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79BB6A">
      <w:pPr>
        <w:spacing w:line="360" w:lineRule="exact"/>
        <w:rPr>
          <w:rFonts w:ascii="宋体" w:hAnsi="宋体" w:eastAsia="宋体" w:cs="宋体"/>
          <w:color w:val="auto"/>
          <w:szCs w:val="21"/>
          <w:highlight w:val="none"/>
        </w:rPr>
      </w:pPr>
    </w:p>
    <w:p w14:paraId="3E49D952">
      <w:pPr>
        <w:jc w:val="center"/>
        <w:rPr>
          <w:rFonts w:ascii="宋体" w:hAnsi="宋体" w:eastAsia="宋体" w:cs="宋体"/>
          <w:color w:val="auto"/>
          <w:sz w:val="72"/>
          <w:szCs w:val="72"/>
          <w:highlight w:val="none"/>
        </w:rPr>
      </w:pPr>
      <w:r>
        <w:rPr>
          <w:rFonts w:hint="eastAsia" w:ascii="宋体" w:hAnsi="宋体" w:eastAsia="黑体"/>
          <w:color w:val="auto"/>
          <w:sz w:val="48"/>
          <w:szCs w:val="48"/>
          <w:highlight w:val="none"/>
          <w:lang w:eastAsia="zh-CN"/>
        </w:rPr>
        <w:t>2025年首届粤港澳大湾区灯会活动项目监理</w:t>
      </w:r>
      <w:r>
        <w:rPr>
          <w:rFonts w:hint="eastAsia" w:ascii="宋体" w:hAnsi="宋体" w:eastAsia="宋体" w:cs="宋体"/>
          <w:color w:val="auto"/>
          <w:sz w:val="44"/>
          <w:szCs w:val="44"/>
          <w:highlight w:val="none"/>
        </w:rPr>
        <w:t xml:space="preserve"> </w:t>
      </w:r>
    </w:p>
    <w:p w14:paraId="36B1E64A">
      <w:pPr>
        <w:rPr>
          <w:rFonts w:ascii="宋体" w:hAnsi="宋体" w:eastAsia="宋体" w:cs="宋体"/>
          <w:color w:val="auto"/>
          <w:sz w:val="72"/>
          <w:szCs w:val="72"/>
          <w:highlight w:val="none"/>
        </w:rPr>
      </w:pPr>
      <w:r>
        <w:rPr>
          <w:rFonts w:hint="eastAsia" w:ascii="宋体" w:hAnsi="宋体" w:eastAsia="宋体" w:cs="宋体"/>
          <w:color w:val="auto"/>
          <w:sz w:val="72"/>
          <w:szCs w:val="72"/>
          <w:highlight w:val="none"/>
        </w:rPr>
        <w:t xml:space="preserve"> </w:t>
      </w:r>
    </w:p>
    <w:p w14:paraId="212D4F57">
      <w:pPr>
        <w:jc w:val="center"/>
        <w:rPr>
          <w:rFonts w:ascii="楷体" w:hAnsi="楷体" w:eastAsia="楷体" w:cs="楷体"/>
          <w:b/>
          <w:color w:val="auto"/>
          <w:sz w:val="110"/>
          <w:szCs w:val="110"/>
          <w:highlight w:val="none"/>
        </w:rPr>
      </w:pPr>
      <w:r>
        <w:rPr>
          <w:rFonts w:hint="eastAsia" w:ascii="楷体" w:hAnsi="楷体" w:eastAsia="楷体" w:cs="楷体"/>
          <w:b/>
          <w:color w:val="auto"/>
          <w:sz w:val="110"/>
          <w:szCs w:val="110"/>
          <w:highlight w:val="none"/>
        </w:rPr>
        <w:t>招 标 文 件</w:t>
      </w:r>
    </w:p>
    <w:p w14:paraId="0E70D960">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2AED363">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C6173FA">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7E62EE3D">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3D5D9DA1">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04E9EC75">
      <w:pPr>
        <w:jc w:val="center"/>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p>
    <w:p w14:paraId="64EABCD7">
      <w:pPr>
        <w:spacing w:line="520" w:lineRule="exact"/>
        <w:ind w:right="-101" w:rightChars="-48" w:firstLine="640" w:firstLineChars="200"/>
        <w:rPr>
          <w:rFonts w:ascii="宋体" w:hAnsi="宋体" w:eastAsia="宋体" w:cs="宋体"/>
          <w:color w:val="auto"/>
          <w:sz w:val="32"/>
          <w:szCs w:val="32"/>
          <w:highlight w:val="none"/>
        </w:rPr>
      </w:pPr>
      <w:r>
        <w:rPr>
          <w:rFonts w:hint="eastAsia" w:ascii="宋体" w:hAnsi="宋体" w:eastAsia="宋体" w:cs="宋体"/>
          <w:color w:val="auto"/>
          <w:sz w:val="32"/>
          <w:szCs w:val="32"/>
          <w:highlight w:val="none"/>
        </w:rPr>
        <w:t xml:space="preserve"> </w:t>
      </w:r>
      <w:r>
        <w:rPr>
          <w:rFonts w:hint="eastAsia" w:ascii="宋体" w:hAnsi="宋体" w:eastAsia="宋体" w:cs="宋体"/>
          <w:color w:val="auto"/>
          <w:sz w:val="32"/>
          <w:szCs w:val="32"/>
          <w:highlight w:val="none"/>
          <w:lang w:val="en-US" w:eastAsia="zh-CN"/>
        </w:rPr>
        <w:t xml:space="preserve">      </w:t>
      </w:r>
      <w:r>
        <w:rPr>
          <w:rFonts w:hint="eastAsia" w:ascii="宋体" w:hAnsi="宋体" w:eastAsia="宋体" w:cs="宋体"/>
          <w:b/>
          <w:color w:val="auto"/>
          <w:sz w:val="32"/>
          <w:szCs w:val="32"/>
          <w:highlight w:val="none"/>
        </w:rPr>
        <w:t>招标人</w:t>
      </w:r>
      <w:r>
        <w:rPr>
          <w:rFonts w:hint="eastAsia" w:ascii="宋体" w:hAnsi="宋体" w:eastAsia="宋体" w:cs="宋体"/>
          <w:b/>
          <w:color w:val="auto"/>
          <w:sz w:val="32"/>
          <w:szCs w:val="32"/>
          <w:highlight w:val="none"/>
          <w:lang w:eastAsia="zh-CN"/>
        </w:rPr>
        <w:t>：</w:t>
      </w:r>
      <w:r>
        <w:rPr>
          <w:rFonts w:hint="eastAsia" w:ascii="宋体" w:hAnsi="宋体" w:eastAsia="宋体" w:cs="宋体"/>
          <w:b/>
          <w:color w:val="auto"/>
          <w:sz w:val="32"/>
          <w:szCs w:val="32"/>
          <w:highlight w:val="none"/>
        </w:rPr>
        <w:t>：</w:t>
      </w:r>
      <w:r>
        <w:rPr>
          <w:rFonts w:hint="eastAsia" w:ascii="宋体" w:hAnsi="宋体" w:eastAsia="宋体" w:cs="宋体"/>
          <w:b/>
          <w:color w:val="auto"/>
          <w:sz w:val="32"/>
          <w:szCs w:val="32"/>
          <w:highlight w:val="none"/>
          <w:lang w:eastAsia="zh-CN"/>
        </w:rPr>
        <w:t>广州南沙旅游发展有限公司</w:t>
      </w:r>
      <w:r>
        <w:rPr>
          <w:rFonts w:hint="eastAsia" w:ascii="宋体" w:hAnsi="宋体" w:eastAsia="宋体" w:cs="宋体"/>
          <w:b/>
          <w:color w:val="auto"/>
          <w:sz w:val="32"/>
          <w:szCs w:val="32"/>
          <w:highlight w:val="none"/>
        </w:rPr>
        <w:t>（业主单位）</w:t>
      </w:r>
    </w:p>
    <w:p w14:paraId="53179DB7">
      <w:pPr>
        <w:spacing w:line="520" w:lineRule="exact"/>
        <w:ind w:right="-101" w:rightChars="-48" w:firstLine="2570" w:firstLineChars="800"/>
        <w:rPr>
          <w:rFonts w:ascii="宋体" w:hAnsi="宋体" w:eastAsia="宋体" w:cs="宋体"/>
          <w:b/>
          <w:color w:val="auto"/>
          <w:sz w:val="32"/>
          <w:szCs w:val="32"/>
          <w:highlight w:val="none"/>
        </w:rPr>
      </w:pPr>
      <w:bookmarkStart w:id="0" w:name="OLE_LINK4"/>
      <w:bookmarkEnd w:id="0"/>
      <w:r>
        <w:rPr>
          <w:rFonts w:hint="eastAsia" w:ascii="宋体" w:hAnsi="宋体" w:eastAsia="宋体" w:cs="宋体"/>
          <w:b/>
          <w:color w:val="auto"/>
          <w:sz w:val="32"/>
          <w:szCs w:val="32"/>
          <w:highlight w:val="none"/>
        </w:rPr>
        <w:t>广州南沙建设维护管理有限公司（</w:t>
      </w:r>
      <w:r>
        <w:rPr>
          <w:rFonts w:hint="eastAsia" w:ascii="宋体" w:hAnsi="宋体" w:eastAsia="宋体" w:cs="宋体"/>
          <w:b/>
          <w:color w:val="auto"/>
          <w:sz w:val="32"/>
          <w:szCs w:val="32"/>
          <w:highlight w:val="none"/>
          <w:lang w:eastAsia="zh-CN"/>
        </w:rPr>
        <w:t>代业主单位</w:t>
      </w:r>
      <w:r>
        <w:rPr>
          <w:rFonts w:hint="eastAsia" w:ascii="宋体" w:hAnsi="宋体" w:eastAsia="宋体" w:cs="宋体"/>
          <w:b/>
          <w:color w:val="auto"/>
          <w:sz w:val="32"/>
          <w:szCs w:val="32"/>
          <w:highlight w:val="none"/>
        </w:rPr>
        <w:t>）</w:t>
      </w:r>
    </w:p>
    <w:p w14:paraId="1F347264">
      <w:pPr>
        <w:spacing w:line="520" w:lineRule="exact"/>
        <w:ind w:right="-101" w:rightChars="-48" w:firstLine="1928" w:firstLineChars="600"/>
        <w:rPr>
          <w:rFonts w:ascii="宋体" w:hAnsi="宋体" w:eastAsia="宋体" w:cs="宋体"/>
          <w:color w:val="auto"/>
          <w:spacing w:val="28"/>
          <w:position w:val="8"/>
          <w:sz w:val="28"/>
          <w:szCs w:val="28"/>
          <w:highlight w:val="none"/>
        </w:rPr>
      </w:pPr>
      <w:r>
        <w:rPr>
          <w:rFonts w:hint="eastAsia" w:ascii="宋体" w:hAnsi="宋体" w:eastAsia="宋体" w:cs="宋体"/>
          <w:b/>
          <w:color w:val="auto"/>
          <w:sz w:val="32"/>
          <w:szCs w:val="32"/>
          <w:highlight w:val="none"/>
        </w:rPr>
        <w:t>日    期：</w:t>
      </w:r>
      <w:r>
        <w:rPr>
          <w:rFonts w:hint="eastAsia" w:ascii="宋体" w:hAnsi="宋体" w:eastAsia="宋体" w:cs="宋体"/>
          <w:b/>
          <w:color w:val="auto"/>
          <w:sz w:val="32"/>
          <w:szCs w:val="32"/>
          <w:highlight w:val="none"/>
          <w:lang w:eastAsia="zh-CN"/>
        </w:rPr>
        <w:t>2024年12月</w:t>
      </w:r>
      <w:r>
        <w:rPr>
          <w:rFonts w:hint="eastAsia" w:ascii="宋体" w:hAnsi="宋体" w:eastAsia="宋体" w:cs="宋体"/>
          <w:b/>
          <w:color w:val="auto"/>
          <w:sz w:val="32"/>
          <w:szCs w:val="32"/>
          <w:highlight w:val="none"/>
        </w:rPr>
        <w:t xml:space="preserve">  </w:t>
      </w:r>
    </w:p>
    <w:p w14:paraId="5A13CECD">
      <w:pPr>
        <w:rPr>
          <w:rFonts w:ascii="黑体" w:hAnsi="宋体" w:eastAsia="黑体" w:cs="黑体"/>
          <w:color w:val="auto"/>
          <w:sz w:val="36"/>
          <w:szCs w:val="36"/>
          <w:highlight w:val="none"/>
        </w:rPr>
        <w:sectPr>
          <w:pgSz w:w="11915" w:h="16840"/>
          <w:pgMar w:top="1247" w:right="1135" w:bottom="1247" w:left="1361" w:header="720" w:footer="720" w:gutter="0"/>
          <w:cols w:space="425" w:num="1"/>
          <w:docGrid w:type="lines" w:linePitch="285" w:charSpace="0"/>
        </w:sectPr>
      </w:pPr>
      <w:bookmarkStart w:id="1" w:name="_Toc29976"/>
    </w:p>
    <w:p w14:paraId="0802EF15">
      <w:pPr>
        <w:rPr>
          <w:rFonts w:ascii="黑体" w:hAnsi="宋体" w:eastAsia="黑体" w:cs="黑体"/>
          <w:color w:val="auto"/>
          <w:sz w:val="36"/>
          <w:szCs w:val="36"/>
          <w:highlight w:val="none"/>
        </w:rPr>
      </w:pPr>
    </w:p>
    <w:bookmarkEnd w:id="1"/>
    <w:sdt>
      <w:sdtPr>
        <w:rPr>
          <w:rFonts w:ascii="宋体" w:hAnsi="宋体" w:eastAsia="宋体"/>
          <w:color w:val="auto"/>
          <w:highlight w:val="none"/>
        </w:rPr>
        <w:id w:val="147481204"/>
        <w:docPartObj>
          <w:docPartGallery w:val="Table of Contents"/>
          <w:docPartUnique/>
        </w:docPartObj>
      </w:sdtPr>
      <w:sdtEndPr>
        <w:rPr>
          <w:rFonts w:ascii="宋体" w:hAnsi="宋体" w:eastAsia="宋体"/>
          <w:color w:val="auto"/>
          <w:sz w:val="32"/>
          <w:szCs w:val="32"/>
          <w:highlight w:val="none"/>
        </w:rPr>
      </w:sdtEndPr>
      <w:sdtContent>
        <w:p w14:paraId="4CF51614">
          <w:pPr>
            <w:spacing w:line="360" w:lineRule="auto"/>
            <w:jc w:val="center"/>
            <w:rPr>
              <w:b/>
              <w:bCs/>
              <w:color w:val="auto"/>
              <w:sz w:val="36"/>
              <w:szCs w:val="36"/>
              <w:highlight w:val="none"/>
            </w:rPr>
          </w:pPr>
          <w:r>
            <w:rPr>
              <w:rFonts w:ascii="宋体" w:hAnsi="宋体" w:eastAsia="宋体"/>
              <w:b/>
              <w:bCs/>
              <w:color w:val="auto"/>
              <w:sz w:val="36"/>
              <w:szCs w:val="36"/>
              <w:highlight w:val="none"/>
            </w:rPr>
            <w:t>目</w:t>
          </w:r>
          <w:r>
            <w:rPr>
              <w:rFonts w:hint="eastAsia" w:ascii="宋体" w:hAnsi="宋体" w:eastAsia="宋体"/>
              <w:b/>
              <w:bCs/>
              <w:color w:val="auto"/>
              <w:sz w:val="36"/>
              <w:szCs w:val="36"/>
              <w:highlight w:val="none"/>
            </w:rPr>
            <w:t xml:space="preserve"> </w:t>
          </w:r>
          <w:r>
            <w:rPr>
              <w:rFonts w:ascii="宋体" w:hAnsi="宋体" w:eastAsia="宋体"/>
              <w:b/>
              <w:bCs/>
              <w:color w:val="auto"/>
              <w:sz w:val="36"/>
              <w:szCs w:val="36"/>
              <w:highlight w:val="none"/>
            </w:rPr>
            <w:t>录</w:t>
          </w:r>
        </w:p>
        <w:p w14:paraId="15B5A8F4">
          <w:pPr>
            <w:pStyle w:val="12"/>
            <w:tabs>
              <w:tab w:val="right" w:leader="dot" w:pos="9419"/>
            </w:tabs>
            <w:rPr>
              <w:color w:val="auto"/>
              <w:sz w:val="32"/>
              <w:szCs w:val="32"/>
              <w:highlight w:val="none"/>
            </w:rPr>
          </w:pPr>
          <w:r>
            <w:rPr>
              <w:rFonts w:hint="eastAsia" w:asciiTheme="minorEastAsia" w:hAnsiTheme="minorEastAsia" w:eastAsiaTheme="minorEastAsia" w:cstheme="minorEastAsia"/>
              <w:color w:val="auto"/>
              <w:sz w:val="32"/>
              <w:szCs w:val="32"/>
              <w:highlight w:val="none"/>
            </w:rPr>
            <w:fldChar w:fldCharType="begin"/>
          </w:r>
          <w:r>
            <w:rPr>
              <w:rFonts w:hint="eastAsia" w:asciiTheme="minorEastAsia" w:hAnsiTheme="minorEastAsia" w:eastAsiaTheme="minorEastAsia" w:cstheme="minorEastAsia"/>
              <w:color w:val="auto"/>
              <w:sz w:val="32"/>
              <w:szCs w:val="32"/>
              <w:highlight w:val="none"/>
            </w:rPr>
            <w:instrText xml:space="preserve">TOC \o "1-1" \h \u </w:instrText>
          </w:r>
          <w:r>
            <w:rPr>
              <w:rFonts w:hint="eastAsia" w:asciiTheme="minorEastAsia" w:hAnsiTheme="minorEastAsia" w:eastAsiaTheme="minorEastAsia" w:cstheme="minorEastAsia"/>
              <w:color w:val="auto"/>
              <w:sz w:val="32"/>
              <w:szCs w:val="32"/>
              <w:highlight w:val="none"/>
            </w:rPr>
            <w:fldChar w:fldCharType="separate"/>
          </w: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_Toc30477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第1章 投标须知及前附表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_Toc30477 \h </w:instrText>
          </w:r>
          <w:r>
            <w:rPr>
              <w:color w:val="auto"/>
              <w:sz w:val="32"/>
              <w:szCs w:val="32"/>
              <w:highlight w:val="none"/>
            </w:rPr>
            <w:fldChar w:fldCharType="separate"/>
          </w:r>
          <w:r>
            <w:rPr>
              <w:color w:val="auto"/>
              <w:sz w:val="32"/>
              <w:szCs w:val="32"/>
              <w:highlight w:val="none"/>
            </w:rPr>
            <w:t>1</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47871262">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_Toc17709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第2章  投标格式文件</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_Toc17709 \h </w:instrText>
          </w:r>
          <w:r>
            <w:rPr>
              <w:color w:val="auto"/>
              <w:sz w:val="32"/>
              <w:szCs w:val="32"/>
              <w:highlight w:val="none"/>
            </w:rPr>
            <w:fldChar w:fldCharType="separate"/>
          </w:r>
          <w:r>
            <w:rPr>
              <w:color w:val="auto"/>
              <w:sz w:val="32"/>
              <w:szCs w:val="32"/>
              <w:highlight w:val="none"/>
            </w:rPr>
            <w:t>15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0EA72FFD">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_Toc14259 </w:instrText>
          </w:r>
          <w:r>
            <w:rPr>
              <w:rFonts w:hint="eastAsia" w:asciiTheme="minorEastAsia" w:hAnsiTheme="minorEastAsia" w:cstheme="minorEastAsia"/>
              <w:color w:val="auto"/>
              <w:sz w:val="32"/>
              <w:szCs w:val="32"/>
              <w:highlight w:val="none"/>
            </w:rPr>
            <w:fldChar w:fldCharType="separate"/>
          </w:r>
          <w:r>
            <w:rPr>
              <w:rFonts w:hint="eastAsia" w:ascii="黑体" w:hAnsi="宋体" w:cs="黑体"/>
              <w:color w:val="auto"/>
              <w:kern w:val="44"/>
              <w:sz w:val="32"/>
              <w:szCs w:val="32"/>
              <w:highlight w:val="none"/>
            </w:rPr>
            <w:t>第3章 评标办法</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_Toc14259 \h </w:instrText>
          </w:r>
          <w:r>
            <w:rPr>
              <w:color w:val="auto"/>
              <w:sz w:val="32"/>
              <w:szCs w:val="32"/>
              <w:highlight w:val="none"/>
            </w:rPr>
            <w:fldChar w:fldCharType="separate"/>
          </w:r>
          <w:r>
            <w:rPr>
              <w:color w:val="auto"/>
              <w:sz w:val="32"/>
              <w:szCs w:val="32"/>
              <w:highlight w:val="none"/>
            </w:rPr>
            <w:t>27</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3D91C664">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_Toc22242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附件1：符合性审查表</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_Toc22242 \h </w:instrText>
          </w:r>
          <w:r>
            <w:rPr>
              <w:color w:val="auto"/>
              <w:sz w:val="32"/>
              <w:szCs w:val="32"/>
              <w:highlight w:val="none"/>
            </w:rPr>
            <w:fldChar w:fldCharType="separate"/>
          </w:r>
          <w:r>
            <w:rPr>
              <w:color w:val="auto"/>
              <w:sz w:val="32"/>
              <w:szCs w:val="32"/>
              <w:highlight w:val="none"/>
            </w:rPr>
            <w:t>35</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1D3BFD52">
          <w:pPr>
            <w:pStyle w:val="12"/>
            <w:tabs>
              <w:tab w:val="right" w:leader="dot" w:pos="9419"/>
            </w:tabs>
            <w:rPr>
              <w:color w:val="auto"/>
              <w:sz w:val="32"/>
              <w:szCs w:val="32"/>
              <w:highlight w:val="none"/>
            </w:rPr>
          </w:pPr>
          <w:r>
            <w:rPr>
              <w:rFonts w:hint="eastAsia" w:asciiTheme="minorEastAsia" w:hAnsiTheme="minorEastAsia" w:cstheme="minorEastAsia"/>
              <w:color w:val="auto"/>
              <w:sz w:val="32"/>
              <w:szCs w:val="32"/>
              <w:highlight w:val="none"/>
            </w:rPr>
            <w:fldChar w:fldCharType="begin"/>
          </w:r>
          <w:r>
            <w:rPr>
              <w:rFonts w:hint="eastAsia" w:asciiTheme="minorEastAsia" w:hAnsiTheme="minorEastAsia" w:cstheme="minorEastAsia"/>
              <w:color w:val="auto"/>
              <w:sz w:val="32"/>
              <w:szCs w:val="32"/>
              <w:highlight w:val="none"/>
            </w:rPr>
            <w:instrText xml:space="preserve"> HYPERLINK \l _Toc11456 </w:instrText>
          </w:r>
          <w:r>
            <w:rPr>
              <w:rFonts w:hint="eastAsia" w:asciiTheme="minorEastAsia" w:hAnsiTheme="minorEastAsia" w:cstheme="minorEastAsia"/>
              <w:color w:val="auto"/>
              <w:sz w:val="32"/>
              <w:szCs w:val="32"/>
              <w:highlight w:val="none"/>
            </w:rPr>
            <w:fldChar w:fldCharType="separate"/>
          </w:r>
          <w:r>
            <w:rPr>
              <w:rFonts w:hint="eastAsia" w:ascii="仿宋" w:hAnsi="仿宋" w:eastAsia="仿宋" w:cs="仿宋"/>
              <w:color w:val="auto"/>
              <w:sz w:val="32"/>
              <w:szCs w:val="32"/>
              <w:highlight w:val="none"/>
            </w:rPr>
            <w:t>附件2综合评分表（100分）</w:t>
          </w:r>
          <w:r>
            <w:rPr>
              <w:color w:val="auto"/>
              <w:sz w:val="32"/>
              <w:szCs w:val="32"/>
              <w:highlight w:val="none"/>
            </w:rPr>
            <w:tab/>
          </w:r>
          <w:r>
            <w:rPr>
              <w:color w:val="auto"/>
              <w:sz w:val="32"/>
              <w:szCs w:val="32"/>
              <w:highlight w:val="none"/>
            </w:rPr>
            <w:fldChar w:fldCharType="begin"/>
          </w:r>
          <w:r>
            <w:rPr>
              <w:color w:val="auto"/>
              <w:sz w:val="32"/>
              <w:szCs w:val="32"/>
              <w:highlight w:val="none"/>
            </w:rPr>
            <w:instrText xml:space="preserve"> PAGEREF _Toc11456 \h </w:instrText>
          </w:r>
          <w:r>
            <w:rPr>
              <w:color w:val="auto"/>
              <w:sz w:val="32"/>
              <w:szCs w:val="32"/>
              <w:highlight w:val="none"/>
            </w:rPr>
            <w:fldChar w:fldCharType="separate"/>
          </w:r>
          <w:r>
            <w:rPr>
              <w:color w:val="auto"/>
              <w:sz w:val="32"/>
              <w:szCs w:val="32"/>
              <w:highlight w:val="none"/>
            </w:rPr>
            <w:t>36</w:t>
          </w:r>
          <w:r>
            <w:rPr>
              <w:color w:val="auto"/>
              <w:sz w:val="32"/>
              <w:szCs w:val="32"/>
              <w:highlight w:val="none"/>
            </w:rPr>
            <w:fldChar w:fldCharType="end"/>
          </w:r>
          <w:r>
            <w:rPr>
              <w:rFonts w:hint="eastAsia" w:asciiTheme="minorEastAsia" w:hAnsiTheme="minorEastAsia" w:cstheme="minorEastAsia"/>
              <w:color w:val="auto"/>
              <w:sz w:val="32"/>
              <w:szCs w:val="32"/>
              <w:highlight w:val="none"/>
            </w:rPr>
            <w:fldChar w:fldCharType="end"/>
          </w:r>
        </w:p>
        <w:p w14:paraId="3F8715CE">
          <w:pPr>
            <w:spacing w:line="360" w:lineRule="auto"/>
            <w:rPr>
              <w:color w:val="auto"/>
              <w:sz w:val="32"/>
              <w:szCs w:val="32"/>
              <w:highlight w:val="none"/>
            </w:rPr>
          </w:pPr>
          <w:r>
            <w:rPr>
              <w:rFonts w:hint="eastAsia" w:asciiTheme="minorEastAsia" w:hAnsiTheme="minorEastAsia" w:cstheme="minorEastAsia"/>
              <w:color w:val="auto"/>
              <w:sz w:val="32"/>
              <w:szCs w:val="32"/>
              <w:highlight w:val="none"/>
            </w:rPr>
            <w:fldChar w:fldCharType="end"/>
          </w:r>
        </w:p>
      </w:sdtContent>
    </w:sdt>
    <w:p w14:paraId="5E251E36">
      <w:pPr>
        <w:pStyle w:val="2"/>
        <w:widowControl/>
        <w:spacing w:after="0" w:line="360" w:lineRule="auto"/>
        <w:ind w:firstLine="0"/>
        <w:rPr>
          <w:rFonts w:ascii="宋体" w:hAnsi="宋体" w:cs="宋体"/>
          <w:color w:val="auto"/>
          <w:sz w:val="32"/>
          <w:szCs w:val="32"/>
          <w:highlight w:val="none"/>
        </w:rPr>
        <w:sectPr>
          <w:pgSz w:w="11915" w:h="16840"/>
          <w:pgMar w:top="1247" w:right="1135" w:bottom="1247" w:left="1361" w:header="720" w:footer="720" w:gutter="0"/>
          <w:cols w:space="425" w:num="1"/>
          <w:docGrid w:type="lines" w:linePitch="285" w:charSpace="0"/>
        </w:sectPr>
      </w:pPr>
      <w:r>
        <w:rPr>
          <w:rFonts w:hint="eastAsia" w:ascii="宋体" w:hAnsi="宋体" w:cs="宋体"/>
          <w:color w:val="auto"/>
          <w:sz w:val="32"/>
          <w:szCs w:val="32"/>
          <w:highlight w:val="none"/>
        </w:rPr>
        <w:t xml:space="preserve"> </w:t>
      </w:r>
    </w:p>
    <w:p w14:paraId="5DDE1ADC">
      <w:pPr>
        <w:pStyle w:val="4"/>
        <w:widowControl/>
        <w:spacing w:before="0" w:after="0" w:line="360" w:lineRule="auto"/>
        <w:jc w:val="center"/>
        <w:rPr>
          <w:rFonts w:ascii="黑体" w:hAnsi="宋体" w:cs="黑体"/>
          <w:b/>
          <w:color w:val="auto"/>
          <w:kern w:val="44"/>
          <w:sz w:val="44"/>
          <w:szCs w:val="44"/>
          <w:highlight w:val="none"/>
        </w:rPr>
      </w:pPr>
      <w:bookmarkStart w:id="2" w:name="_Toc374128472"/>
      <w:bookmarkStart w:id="3" w:name="_Toc17710"/>
      <w:bookmarkStart w:id="4" w:name="_Toc30477"/>
      <w:r>
        <w:rPr>
          <w:rFonts w:hint="eastAsia" w:ascii="黑体" w:hAnsi="宋体" w:cs="黑体"/>
          <w:b/>
          <w:color w:val="auto"/>
          <w:kern w:val="44"/>
          <w:sz w:val="44"/>
          <w:szCs w:val="44"/>
          <w:highlight w:val="none"/>
        </w:rPr>
        <w:t>第1章 投标须知及前附表</w:t>
      </w:r>
      <w:bookmarkEnd w:id="2"/>
      <w:bookmarkEnd w:id="3"/>
      <w:bookmarkEnd w:id="4"/>
    </w:p>
    <w:p w14:paraId="49592C71">
      <w:pPr>
        <w:spacing w:after="142" w:afterLines="50"/>
        <w:jc w:val="center"/>
        <w:outlineLvl w:val="1"/>
        <w:rPr>
          <w:rFonts w:ascii="黑体" w:hAnsi="宋体" w:eastAsia="黑体" w:cs="黑体"/>
          <w:color w:val="auto"/>
          <w:sz w:val="30"/>
          <w:szCs w:val="30"/>
          <w:highlight w:val="none"/>
        </w:rPr>
      </w:pPr>
      <w:r>
        <w:rPr>
          <w:rFonts w:hint="eastAsia" w:ascii="黑体" w:hAnsi="宋体" w:eastAsia="黑体" w:cs="黑体"/>
          <w:color w:val="auto"/>
          <w:sz w:val="30"/>
          <w:szCs w:val="30"/>
          <w:highlight w:val="none"/>
        </w:rPr>
        <w:t>一、投标须知前附表</w:t>
      </w:r>
    </w:p>
    <w:tbl>
      <w:tblPr>
        <w:tblStyle w:val="13"/>
        <w:tblW w:w="9709" w:type="dxa"/>
        <w:jc w:val="center"/>
        <w:tblLayout w:type="fixed"/>
        <w:tblCellMar>
          <w:top w:w="0" w:type="dxa"/>
          <w:left w:w="108" w:type="dxa"/>
          <w:bottom w:w="0" w:type="dxa"/>
          <w:right w:w="108" w:type="dxa"/>
        </w:tblCellMar>
      </w:tblPr>
      <w:tblGrid>
        <w:gridCol w:w="720"/>
        <w:gridCol w:w="990"/>
        <w:gridCol w:w="1706"/>
        <w:gridCol w:w="6293"/>
      </w:tblGrid>
      <w:tr w14:paraId="4D0A95DE">
        <w:tblPrEx>
          <w:tblCellMar>
            <w:top w:w="0" w:type="dxa"/>
            <w:left w:w="108" w:type="dxa"/>
            <w:bottom w:w="0" w:type="dxa"/>
            <w:right w:w="108" w:type="dxa"/>
          </w:tblCellMar>
        </w:tblPrEx>
        <w:trPr>
          <w:trHeight w:val="623" w:hRule="atLeast"/>
          <w:jc w:val="center"/>
        </w:trPr>
        <w:tc>
          <w:tcPr>
            <w:tcW w:w="720" w:type="dxa"/>
            <w:tcBorders>
              <w:top w:val="double" w:color="auto" w:sz="2" w:space="0"/>
              <w:left w:val="double" w:color="auto" w:sz="2" w:space="0"/>
              <w:bottom w:val="single" w:color="auto" w:sz="4" w:space="0"/>
              <w:right w:val="single" w:color="auto" w:sz="4" w:space="0"/>
            </w:tcBorders>
            <w:shd w:val="clear" w:color="auto" w:fill="auto"/>
            <w:vAlign w:val="center"/>
          </w:tcPr>
          <w:p w14:paraId="70103C00">
            <w:pPr>
              <w:pStyle w:val="2"/>
              <w:widowControl/>
              <w:spacing w:after="0" w:line="360" w:lineRule="auto"/>
              <w:ind w:firstLine="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项目</w:t>
            </w:r>
          </w:p>
        </w:tc>
        <w:tc>
          <w:tcPr>
            <w:tcW w:w="990" w:type="dxa"/>
            <w:tcBorders>
              <w:top w:val="double" w:color="auto" w:sz="2" w:space="0"/>
              <w:left w:val="single" w:color="auto" w:sz="4" w:space="0"/>
              <w:bottom w:val="single" w:color="auto" w:sz="4" w:space="0"/>
              <w:right w:val="single" w:color="auto" w:sz="4" w:space="0"/>
            </w:tcBorders>
            <w:shd w:val="clear" w:color="auto" w:fill="auto"/>
            <w:vAlign w:val="center"/>
          </w:tcPr>
          <w:p w14:paraId="2487250D">
            <w:pPr>
              <w:pStyle w:val="2"/>
              <w:widowControl/>
              <w:spacing w:after="0" w:line="360" w:lineRule="auto"/>
              <w:ind w:firstLine="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条款号</w:t>
            </w:r>
          </w:p>
        </w:tc>
        <w:tc>
          <w:tcPr>
            <w:tcW w:w="1706" w:type="dxa"/>
            <w:tcBorders>
              <w:top w:val="double" w:color="auto" w:sz="2" w:space="0"/>
              <w:left w:val="single" w:color="auto" w:sz="4" w:space="0"/>
              <w:bottom w:val="single" w:color="auto" w:sz="4" w:space="0"/>
              <w:right w:val="single" w:color="auto" w:sz="4" w:space="0"/>
            </w:tcBorders>
            <w:shd w:val="clear" w:color="auto" w:fill="auto"/>
            <w:vAlign w:val="center"/>
          </w:tcPr>
          <w:p w14:paraId="3B750DD7">
            <w:pPr>
              <w:pStyle w:val="2"/>
              <w:widowControl/>
              <w:spacing w:after="0" w:line="360" w:lineRule="auto"/>
              <w:ind w:firstLine="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内容</w:t>
            </w:r>
          </w:p>
        </w:tc>
        <w:tc>
          <w:tcPr>
            <w:tcW w:w="6293" w:type="dxa"/>
            <w:tcBorders>
              <w:top w:val="double" w:color="auto" w:sz="2" w:space="0"/>
              <w:left w:val="single" w:color="auto" w:sz="4" w:space="0"/>
              <w:bottom w:val="single" w:color="auto" w:sz="4" w:space="0"/>
              <w:right w:val="double" w:color="auto" w:sz="2" w:space="0"/>
            </w:tcBorders>
            <w:shd w:val="clear" w:color="auto" w:fill="auto"/>
            <w:vAlign w:val="center"/>
          </w:tcPr>
          <w:p w14:paraId="05BC7B31">
            <w:pPr>
              <w:pStyle w:val="2"/>
              <w:widowControl/>
              <w:spacing w:after="0" w:line="360" w:lineRule="auto"/>
              <w:ind w:firstLine="0"/>
              <w:jc w:val="center"/>
              <w:rPr>
                <w:rFonts w:hint="eastAsia" w:asciiTheme="minorEastAsia" w:hAnsiTheme="minorEastAsia" w:eastAsiaTheme="minorEastAsia" w:cstheme="minorEastAsia"/>
                <w:b/>
                <w:color w:val="auto"/>
                <w:highlight w:val="none"/>
              </w:rPr>
            </w:pPr>
            <w:r>
              <w:rPr>
                <w:rFonts w:hint="eastAsia" w:asciiTheme="minorEastAsia" w:hAnsiTheme="minorEastAsia" w:eastAsiaTheme="minorEastAsia" w:cstheme="minorEastAsia"/>
                <w:b/>
                <w:color w:val="auto"/>
                <w:highlight w:val="none"/>
              </w:rPr>
              <w:t>说明与要求</w:t>
            </w:r>
          </w:p>
        </w:tc>
      </w:tr>
      <w:tr w14:paraId="7705F797">
        <w:tblPrEx>
          <w:tblCellMar>
            <w:top w:w="0" w:type="dxa"/>
            <w:left w:w="108" w:type="dxa"/>
            <w:bottom w:w="0" w:type="dxa"/>
            <w:right w:w="108" w:type="dxa"/>
          </w:tblCellMar>
        </w:tblPrEx>
        <w:trPr>
          <w:trHeight w:val="5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96B12CA">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4ABD60C7">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7F14C99A">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项目名称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181EC92">
            <w:pPr>
              <w:pStyle w:val="2"/>
              <w:widowControl/>
              <w:spacing w:after="0" w:line="360" w:lineRule="auto"/>
              <w:ind w:firstLine="0"/>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highlight w:val="none"/>
                <w:lang w:eastAsia="zh-CN"/>
              </w:rPr>
              <w:t>2025年首届粤港澳大湾区灯会活动项目监理</w:t>
            </w:r>
          </w:p>
        </w:tc>
      </w:tr>
      <w:tr w14:paraId="16F4D2BD">
        <w:tblPrEx>
          <w:tblCellMar>
            <w:top w:w="0" w:type="dxa"/>
            <w:left w:w="108" w:type="dxa"/>
            <w:bottom w:w="0" w:type="dxa"/>
            <w:right w:w="108" w:type="dxa"/>
          </w:tblCellMar>
        </w:tblPrEx>
        <w:trPr>
          <w:trHeight w:val="4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32FE0C3">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42F0452">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6697803">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建设地点</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8586648">
            <w:pPr>
              <w:pStyle w:val="2"/>
              <w:widowControl/>
              <w:spacing w:after="0" w:line="360" w:lineRule="auto"/>
              <w:ind w:firstLine="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bCs/>
                <w:color w:val="auto"/>
                <w:kern w:val="2"/>
                <w:sz w:val="21"/>
                <w:szCs w:val="21"/>
                <w:highlight w:val="none"/>
              </w:rPr>
              <w:t>广州市南沙区天后宫、蒲州花园、滨海公园</w:t>
            </w:r>
          </w:p>
        </w:tc>
      </w:tr>
      <w:tr w14:paraId="5EEDC872">
        <w:tblPrEx>
          <w:tblCellMar>
            <w:top w:w="0" w:type="dxa"/>
            <w:left w:w="108" w:type="dxa"/>
            <w:bottom w:w="0" w:type="dxa"/>
            <w:right w:w="108" w:type="dxa"/>
          </w:tblCellMar>
        </w:tblPrEx>
        <w:trPr>
          <w:trHeight w:val="96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4CC89BE">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FCF86B8">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9D96BFF">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建设规模</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A301264">
            <w:pPr>
              <w:widowControl/>
              <w:tabs>
                <w:tab w:val="center" w:pos="4415"/>
              </w:tabs>
              <w:spacing w:after="0" w:line="360" w:lineRule="auto"/>
              <w:ind w:firstLine="0" w:firstLineChars="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Cs/>
                <w:color w:val="auto"/>
                <w:kern w:val="2"/>
                <w:sz w:val="21"/>
                <w:szCs w:val="21"/>
                <w:highlight w:val="none"/>
              </w:rPr>
              <w:t>本项目通过灯组的制造、安装及布展，</w:t>
            </w:r>
            <w:r>
              <w:rPr>
                <w:rFonts w:hint="eastAsia" w:asciiTheme="minorEastAsia" w:hAnsiTheme="minorEastAsia" w:eastAsiaTheme="minorEastAsia" w:cstheme="minorEastAsia"/>
                <w:bCs/>
                <w:color w:val="auto"/>
                <w:kern w:val="2"/>
                <w:sz w:val="21"/>
                <w:szCs w:val="21"/>
                <w:highlight w:val="none"/>
                <w:lang w:bidi="ar"/>
              </w:rPr>
              <w:t>以“华彩耀湾区·千灯照珠江”为主题，将传统与现代、地方与国际、多元与统一完美结合，拟打造为大湾区史上最大型的超级灯会</w:t>
            </w:r>
          </w:p>
        </w:tc>
      </w:tr>
      <w:tr w14:paraId="492F8714">
        <w:tblPrEx>
          <w:tblCellMar>
            <w:top w:w="0" w:type="dxa"/>
            <w:left w:w="108" w:type="dxa"/>
            <w:bottom w:w="0" w:type="dxa"/>
            <w:right w:w="108" w:type="dxa"/>
          </w:tblCellMar>
        </w:tblPrEx>
        <w:trPr>
          <w:trHeight w:val="56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3036E7B6">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3F26654">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2.2.4</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593C34B">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项目预算</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30128C26">
            <w:pPr>
              <w:widowControl/>
              <w:tabs>
                <w:tab w:val="center" w:pos="4415"/>
              </w:tabs>
              <w:spacing w:after="0" w:line="360" w:lineRule="auto"/>
              <w:ind w:firstLine="0" w:firstLineChars="0"/>
              <w:jc w:val="left"/>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1"/>
                <w:szCs w:val="21"/>
                <w:highlight w:val="none"/>
                <w:lang w:val="en-US" w:eastAsia="zh-CN"/>
              </w:rPr>
              <w:t>项目总投资约1.3亿元</w:t>
            </w:r>
            <w:r>
              <w:rPr>
                <w:rFonts w:hint="eastAsia" w:asciiTheme="minorEastAsia" w:hAnsiTheme="minorEastAsia" w:eastAsiaTheme="minorEastAsia" w:cstheme="minorEastAsia"/>
                <w:color w:val="auto"/>
                <w:sz w:val="21"/>
                <w:szCs w:val="21"/>
                <w:highlight w:val="none"/>
              </w:rPr>
              <w:t>。</w:t>
            </w:r>
          </w:p>
        </w:tc>
      </w:tr>
      <w:tr w14:paraId="10851C33">
        <w:tblPrEx>
          <w:tblCellMar>
            <w:top w:w="0" w:type="dxa"/>
            <w:left w:w="108" w:type="dxa"/>
            <w:bottom w:w="0" w:type="dxa"/>
            <w:right w:w="108" w:type="dxa"/>
          </w:tblCellMar>
        </w:tblPrEx>
        <w:trPr>
          <w:trHeight w:val="776"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2B2B31B">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21C97F9">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2.2.5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9FA03BA">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质量目标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63BCE54">
            <w:pPr>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 w:val="21"/>
                <w:szCs w:val="21"/>
                <w:highlight w:val="none"/>
                <w:lang w:val="en-US" w:eastAsia="zh-CN"/>
              </w:rPr>
              <w:t>符合现行相关工程施工质量验收规范合格标准</w:t>
            </w:r>
          </w:p>
        </w:tc>
      </w:tr>
      <w:tr w14:paraId="1E3DD414">
        <w:tblPrEx>
          <w:tblCellMar>
            <w:top w:w="0" w:type="dxa"/>
            <w:left w:w="108" w:type="dxa"/>
            <w:bottom w:w="0" w:type="dxa"/>
            <w:right w:w="108" w:type="dxa"/>
          </w:tblCellMar>
        </w:tblPrEx>
        <w:trPr>
          <w:trHeight w:val="33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66641631">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302503D">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507F19CF">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招标范围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2C67145">
            <w:pPr>
              <w:pStyle w:val="8"/>
              <w:spacing w:line="360" w:lineRule="auto"/>
              <w:rPr>
                <w:rFonts w:hint="eastAsia" w:asciiTheme="minorEastAsia" w:hAnsiTheme="minorEastAsia" w:eastAsiaTheme="minorEastAsia" w:cstheme="minorEastAsia"/>
                <w:color w:val="auto"/>
                <w:highlight w:val="none"/>
                <w:lang w:eastAsia="zh-CN"/>
              </w:rPr>
            </w:pPr>
            <w:r>
              <w:rPr>
                <w:rFonts w:hint="eastAsia" w:asciiTheme="minorEastAsia" w:hAnsiTheme="minorEastAsia" w:eastAsiaTheme="minorEastAsia" w:cstheme="minorEastAsia"/>
                <w:color w:val="auto"/>
                <w:sz w:val="21"/>
                <w:szCs w:val="21"/>
                <w:highlight w:val="none"/>
                <w:lang w:eastAsia="zh-CN"/>
              </w:rPr>
              <w:t>本项目的电力工程、灯组基础、灯组制作安装</w:t>
            </w:r>
            <w:r>
              <w:rPr>
                <w:rFonts w:hint="eastAsia" w:asciiTheme="minorEastAsia" w:hAnsiTheme="minorEastAsia" w:eastAsiaTheme="minorEastAsia" w:cstheme="minorEastAsia"/>
                <w:color w:val="auto"/>
                <w:sz w:val="21"/>
                <w:szCs w:val="21"/>
                <w:highlight w:val="none"/>
                <w:lang w:val="en-US" w:eastAsia="zh-CN"/>
              </w:rPr>
              <w:t>及</w:t>
            </w:r>
            <w:r>
              <w:rPr>
                <w:rFonts w:hint="eastAsia" w:asciiTheme="minorEastAsia" w:hAnsiTheme="minorEastAsia" w:eastAsiaTheme="minorEastAsia" w:cstheme="minorEastAsia"/>
                <w:color w:val="auto"/>
                <w:sz w:val="21"/>
                <w:szCs w:val="21"/>
                <w:highlight w:val="none"/>
                <w:lang w:eastAsia="zh-CN"/>
              </w:rPr>
              <w:t>相关配套工程所需的全部监理服务工作，包括但不限于安全生产监督管理、投资控制、进度控制、质量管理、合同管理、信息收集管理、档案整理移交、组织协调等全过程监理服务工作。</w:t>
            </w:r>
          </w:p>
        </w:tc>
      </w:tr>
      <w:tr w14:paraId="78454C5A">
        <w:tblPrEx>
          <w:tblCellMar>
            <w:top w:w="0" w:type="dxa"/>
            <w:left w:w="108" w:type="dxa"/>
            <w:bottom w:w="0" w:type="dxa"/>
            <w:right w:w="108" w:type="dxa"/>
          </w:tblCellMar>
        </w:tblPrEx>
        <w:trPr>
          <w:trHeight w:val="91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08F2253">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5A2433B">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2.3.2</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65D22A33">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服务任务期限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9407232">
            <w:pPr>
              <w:numPr>
                <w:ilvl w:val="0"/>
                <w:numId w:val="0"/>
              </w:numPr>
              <w:spacing w:line="360" w:lineRule="auto"/>
              <w:ind w:firstLine="0"/>
              <w:jc w:val="left"/>
              <w:rPr>
                <w:rFonts w:hint="eastAsia" w:asciiTheme="minorEastAsia" w:hAnsiTheme="minorEastAsia" w:eastAsiaTheme="minorEastAsia" w:cstheme="minorEastAsia"/>
                <w:color w:val="auto"/>
                <w:szCs w:val="21"/>
                <w:highlight w:val="none"/>
                <w:lang w:eastAsia="zh-CN"/>
              </w:rPr>
            </w:pPr>
            <w:r>
              <w:rPr>
                <w:rFonts w:hint="eastAsia" w:asciiTheme="minorEastAsia" w:hAnsiTheme="minorEastAsia" w:cstheme="minorEastAsia"/>
                <w:color w:val="auto"/>
                <w:kern w:val="1"/>
                <w:sz w:val="21"/>
                <w:szCs w:val="21"/>
                <w:highlight w:val="none"/>
              </w:rPr>
              <w:t>监理期限</w:t>
            </w:r>
            <w:r>
              <w:rPr>
                <w:rFonts w:hint="eastAsia" w:asciiTheme="minorEastAsia" w:hAnsiTheme="minorEastAsia" w:eastAsiaTheme="minorEastAsia" w:cstheme="minorEastAsia"/>
                <w:color w:val="auto"/>
                <w:kern w:val="1"/>
                <w:sz w:val="21"/>
                <w:szCs w:val="21"/>
                <w:highlight w:val="none"/>
              </w:rPr>
              <w:t>：</w:t>
            </w:r>
            <w:r>
              <w:rPr>
                <w:rFonts w:hint="eastAsia" w:asciiTheme="minorEastAsia" w:hAnsiTheme="minorEastAsia" w:eastAsiaTheme="minorEastAsia" w:cstheme="minorEastAsia"/>
                <w:color w:val="auto"/>
                <w:sz w:val="21"/>
                <w:szCs w:val="21"/>
                <w:highlight w:val="none"/>
                <w:u w:val="single"/>
              </w:rPr>
              <w:t>施工准备期、施工期和质量保修期的监理服务期之和</w:t>
            </w:r>
            <w:r>
              <w:rPr>
                <w:rFonts w:hint="eastAsia" w:asciiTheme="minorEastAsia" w:hAnsiTheme="minorEastAsia" w:eastAsiaTheme="minorEastAsia" w:cstheme="minorEastAsia"/>
                <w:color w:val="auto"/>
                <w:sz w:val="21"/>
                <w:szCs w:val="21"/>
                <w:highlight w:val="none"/>
                <w:u w:val="single"/>
                <w:lang w:eastAsia="zh-CN"/>
              </w:rPr>
              <w:t>。</w:t>
            </w:r>
            <w:r>
              <w:rPr>
                <w:rFonts w:hint="eastAsia" w:asciiTheme="minorEastAsia" w:hAnsiTheme="minorEastAsia" w:eastAsiaTheme="minorEastAsia" w:cstheme="minorEastAsia"/>
                <w:color w:val="auto"/>
                <w:sz w:val="21"/>
                <w:szCs w:val="21"/>
                <w:highlight w:val="none"/>
                <w:u w:val="single"/>
                <w:lang w:val="en-US" w:eastAsia="zh-CN"/>
              </w:rPr>
              <w:t>施工期约50日历天</w:t>
            </w:r>
            <w:r>
              <w:rPr>
                <w:rFonts w:hint="eastAsia" w:asciiTheme="minorEastAsia" w:hAnsiTheme="minorEastAsia" w:eastAsiaTheme="minorEastAsia" w:cstheme="minorEastAsia"/>
                <w:color w:val="auto"/>
                <w:sz w:val="21"/>
                <w:szCs w:val="21"/>
                <w:highlight w:val="none"/>
                <w:u w:val="single"/>
                <w:lang w:eastAsia="zh-CN"/>
              </w:rPr>
              <w:t>。</w:t>
            </w:r>
          </w:p>
        </w:tc>
      </w:tr>
      <w:tr w14:paraId="16A6F667">
        <w:tblPrEx>
          <w:tblCellMar>
            <w:top w:w="0" w:type="dxa"/>
            <w:left w:w="108" w:type="dxa"/>
            <w:bottom w:w="0" w:type="dxa"/>
            <w:right w:w="108" w:type="dxa"/>
          </w:tblCellMar>
        </w:tblPrEx>
        <w:trPr>
          <w:trHeight w:val="444"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12CB5941">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F5D77AE">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E8DADF7">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资金来源</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EC59F0A">
            <w:pPr>
              <w:pStyle w:val="2"/>
              <w:widowControl/>
              <w:spacing w:after="0" w:line="360" w:lineRule="auto"/>
              <w:ind w:firstLine="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自筹资金</w:t>
            </w:r>
          </w:p>
        </w:tc>
      </w:tr>
      <w:tr w14:paraId="6AEA5B9B">
        <w:tblPrEx>
          <w:tblCellMar>
            <w:top w:w="0" w:type="dxa"/>
            <w:left w:w="108" w:type="dxa"/>
            <w:bottom w:w="0" w:type="dxa"/>
            <w:right w:w="108" w:type="dxa"/>
          </w:tblCellMar>
        </w:tblPrEx>
        <w:trPr>
          <w:trHeight w:val="453"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50742F4">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07905FCD">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3F9345A">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投标人</w:t>
            </w:r>
            <w:r>
              <w:rPr>
                <w:rFonts w:hint="eastAsia" w:asciiTheme="minorEastAsia" w:hAnsiTheme="minorEastAsia" w:eastAsiaTheme="minorEastAsia" w:cstheme="minorEastAsia"/>
                <w:color w:val="auto"/>
                <w:highlight w:val="none"/>
                <w:lang w:eastAsia="zh-CN"/>
              </w:rPr>
              <w:t>单位</w:t>
            </w:r>
            <w:r>
              <w:rPr>
                <w:rFonts w:hint="eastAsia" w:asciiTheme="minorEastAsia" w:hAnsiTheme="minorEastAsia" w:eastAsiaTheme="minorEastAsia" w:cstheme="minorEastAsia"/>
                <w:color w:val="auto"/>
                <w:highlight w:val="none"/>
              </w:rPr>
              <w:t>资质要求</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5A0CD71">
            <w:pPr>
              <w:pStyle w:val="2"/>
              <w:widowControl/>
              <w:spacing w:after="0" w:line="360" w:lineRule="auto"/>
              <w:ind w:firstLine="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sz w:val="21"/>
                <w:szCs w:val="21"/>
                <w:highlight w:val="none"/>
                <w:u w:val="none"/>
                <w:lang w:eastAsia="zh-CN"/>
              </w:rPr>
              <w:t>具有</w:t>
            </w:r>
            <w:r>
              <w:rPr>
                <w:rFonts w:hint="eastAsia" w:asciiTheme="minorEastAsia" w:hAnsiTheme="minorEastAsia" w:eastAsiaTheme="minorEastAsia" w:cstheme="minorEastAsia"/>
                <w:i w:val="0"/>
                <w:iCs w:val="0"/>
                <w:caps w:val="0"/>
                <w:color w:val="auto"/>
                <w:spacing w:val="0"/>
                <w:sz w:val="21"/>
                <w:szCs w:val="21"/>
                <w:highlight w:val="none"/>
                <w:shd w:val="clear"/>
                <w:lang w:eastAsia="zh-CN"/>
              </w:rPr>
              <w:t>市政公用工程</w:t>
            </w:r>
            <w:r>
              <w:rPr>
                <w:rFonts w:hint="eastAsia" w:asciiTheme="minorEastAsia" w:hAnsiTheme="minorEastAsia" w:eastAsiaTheme="minorEastAsia" w:cstheme="minorEastAsia"/>
                <w:i w:val="0"/>
                <w:iCs w:val="0"/>
                <w:caps w:val="0"/>
                <w:color w:val="auto"/>
                <w:spacing w:val="0"/>
                <w:kern w:val="2"/>
                <w:sz w:val="21"/>
                <w:szCs w:val="21"/>
                <w:highlight w:val="none"/>
                <w:u w:val="none"/>
                <w:shd w:val="clear"/>
                <w:lang w:val="en-US" w:eastAsia="zh-CN" w:bidi="ar"/>
              </w:rPr>
              <w:t>监理乙</w:t>
            </w:r>
            <w:r>
              <w:rPr>
                <w:rFonts w:hint="eastAsia" w:asciiTheme="minorEastAsia" w:hAnsiTheme="minorEastAsia" w:eastAsiaTheme="minorEastAsia" w:cstheme="minorEastAsia"/>
                <w:i w:val="0"/>
                <w:iCs w:val="0"/>
                <w:caps w:val="0"/>
                <w:color w:val="auto"/>
                <w:spacing w:val="0"/>
                <w:kern w:val="2"/>
                <w:sz w:val="21"/>
                <w:szCs w:val="21"/>
                <w:highlight w:val="none"/>
                <w:u w:val="none"/>
                <w:shd w:val="clear" w:color="auto" w:fill="auto"/>
                <w:lang w:val="en-US" w:eastAsia="zh-CN" w:bidi="ar"/>
              </w:rPr>
              <w:t>级或以上资质</w:t>
            </w:r>
          </w:p>
        </w:tc>
      </w:tr>
      <w:tr w14:paraId="3E65131F">
        <w:tblPrEx>
          <w:tblCellMar>
            <w:top w:w="0" w:type="dxa"/>
            <w:left w:w="108" w:type="dxa"/>
            <w:bottom w:w="0" w:type="dxa"/>
            <w:right w:w="108" w:type="dxa"/>
          </w:tblCellMar>
        </w:tblPrEx>
        <w:trPr>
          <w:trHeight w:val="59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268E229">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5862180">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2.3.3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281D58E2">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服务人员的专业配套要求</w:t>
            </w:r>
          </w:p>
          <w:p w14:paraId="0182B9C5">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（据实配备）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7445689">
            <w:pPr>
              <w:widowControl/>
              <w:spacing w:line="360" w:lineRule="auto"/>
              <w:ind w:firstLine="0" w:firstLineChars="0"/>
              <w:jc w:val="left"/>
              <w:rPr>
                <w:rFonts w:hint="eastAsia" w:asciiTheme="minorEastAsia" w:hAnsiTheme="minorEastAsia" w:eastAsiaTheme="minorEastAsia" w:cstheme="minorEastAsia"/>
                <w:b w:val="0"/>
                <w:bCs w:val="0"/>
                <w:color w:val="auto"/>
                <w:kern w:val="0"/>
                <w:sz w:val="21"/>
                <w:szCs w:val="21"/>
                <w:highlight w:val="none"/>
                <w:u w:val="none"/>
                <w:lang w:bidi="ar-SA"/>
              </w:rPr>
            </w:pPr>
            <w:r>
              <w:rPr>
                <w:rFonts w:hint="eastAsia" w:asciiTheme="minorEastAsia" w:hAnsiTheme="minorEastAsia" w:eastAsiaTheme="minorEastAsia" w:cstheme="minorEastAsia"/>
                <w:b w:val="0"/>
                <w:bCs w:val="0"/>
                <w:color w:val="auto"/>
                <w:kern w:val="0"/>
                <w:sz w:val="21"/>
                <w:szCs w:val="21"/>
                <w:highlight w:val="none"/>
                <w:u w:val="none"/>
                <w:lang w:val="en-US" w:eastAsia="zh-CN" w:bidi="ar-SA"/>
              </w:rPr>
              <w:t>1</w:t>
            </w:r>
            <w:r>
              <w:rPr>
                <w:rFonts w:hint="eastAsia" w:asciiTheme="minorEastAsia" w:hAnsiTheme="minorEastAsia" w:eastAsiaTheme="minorEastAsia" w:cstheme="minorEastAsia"/>
                <w:b w:val="0"/>
                <w:bCs w:val="0"/>
                <w:color w:val="auto"/>
                <w:kern w:val="0"/>
                <w:sz w:val="21"/>
                <w:szCs w:val="21"/>
                <w:highlight w:val="none"/>
                <w:u w:val="none"/>
                <w:lang w:bidi="ar-SA"/>
              </w:rPr>
              <w:t>、总监理工程师</w:t>
            </w:r>
            <w:r>
              <w:rPr>
                <w:rFonts w:hint="eastAsia" w:asciiTheme="minorEastAsia" w:hAnsiTheme="minorEastAsia" w:cstheme="minorEastAsia"/>
                <w:b w:val="0"/>
                <w:bCs w:val="0"/>
                <w:color w:val="auto"/>
                <w:kern w:val="0"/>
                <w:sz w:val="21"/>
                <w:szCs w:val="21"/>
                <w:highlight w:val="none"/>
                <w:u w:val="none"/>
                <w:lang w:val="en-US" w:eastAsia="zh-CN" w:bidi="ar-SA"/>
              </w:rPr>
              <w:t>1名，</w:t>
            </w:r>
            <w:r>
              <w:rPr>
                <w:rFonts w:hint="eastAsia" w:asciiTheme="minorEastAsia" w:hAnsiTheme="minorEastAsia" w:eastAsiaTheme="minorEastAsia" w:cstheme="minorEastAsia"/>
                <w:b w:val="0"/>
                <w:bCs w:val="0"/>
                <w:i w:val="0"/>
                <w:iCs w:val="0"/>
                <w:caps w:val="0"/>
                <w:color w:val="auto"/>
                <w:spacing w:val="0"/>
                <w:kern w:val="0"/>
                <w:sz w:val="21"/>
                <w:szCs w:val="21"/>
                <w:highlight w:val="none"/>
                <w:u w:val="none"/>
                <w:shd w:val="clear"/>
                <w:lang w:val="en-US" w:eastAsia="zh-CN" w:bidi="ar-SA"/>
              </w:rPr>
              <w:t>具有</w:t>
            </w:r>
            <w:r>
              <w:rPr>
                <w:rFonts w:hint="eastAsia" w:asciiTheme="minorEastAsia" w:hAnsiTheme="minorEastAsia" w:eastAsiaTheme="minorEastAsia" w:cstheme="minorEastAsia"/>
                <w:i w:val="0"/>
                <w:iCs w:val="0"/>
                <w:caps w:val="0"/>
                <w:color w:val="auto"/>
                <w:spacing w:val="0"/>
                <w:sz w:val="21"/>
                <w:szCs w:val="21"/>
                <w:highlight w:val="none"/>
                <w:shd w:val="clear"/>
                <w:lang w:eastAsia="zh-CN"/>
              </w:rPr>
              <w:t>市政公用工程</w:t>
            </w:r>
            <w:r>
              <w:rPr>
                <w:rFonts w:hint="eastAsia" w:asciiTheme="minorEastAsia" w:hAnsiTheme="minorEastAsia" w:eastAsiaTheme="minorEastAsia" w:cstheme="minorEastAsia"/>
                <w:i w:val="0"/>
                <w:iCs w:val="0"/>
                <w:caps w:val="0"/>
                <w:color w:val="auto"/>
                <w:spacing w:val="0"/>
                <w:kern w:val="2"/>
                <w:sz w:val="21"/>
                <w:szCs w:val="21"/>
                <w:highlight w:val="none"/>
                <w:u w:val="none"/>
                <w:shd w:val="clear" w:color="auto" w:fill="auto"/>
                <w:lang w:val="en-US" w:eastAsia="zh-CN" w:bidi="ar"/>
              </w:rPr>
              <w:t>类专业中级或以上职称，</w:t>
            </w:r>
            <w:r>
              <w:rPr>
                <w:rFonts w:hint="eastAsia" w:asciiTheme="minorEastAsia" w:hAnsiTheme="minorEastAsia" w:eastAsiaTheme="minorEastAsia" w:cstheme="minorEastAsia"/>
                <w:color w:val="auto"/>
                <w:sz w:val="21"/>
                <w:szCs w:val="21"/>
                <w:highlight w:val="none"/>
              </w:rPr>
              <w:t>具有</w:t>
            </w:r>
            <w:r>
              <w:rPr>
                <w:rFonts w:hint="eastAsia" w:asciiTheme="minorEastAsia" w:hAnsiTheme="minorEastAsia" w:eastAsiaTheme="minorEastAsia" w:cstheme="minorEastAsia"/>
                <w:color w:val="auto"/>
                <w:sz w:val="21"/>
                <w:szCs w:val="21"/>
                <w:highlight w:val="none"/>
                <w:lang w:eastAsia="zh-CN"/>
              </w:rPr>
              <w:t>市政公用工程类</w:t>
            </w:r>
            <w:r>
              <w:rPr>
                <w:rFonts w:hint="eastAsia" w:asciiTheme="minorEastAsia" w:hAnsiTheme="minorEastAsia" w:eastAsiaTheme="minorEastAsia" w:cstheme="minorEastAsia"/>
                <w:color w:val="auto"/>
                <w:sz w:val="21"/>
                <w:szCs w:val="21"/>
                <w:highlight w:val="none"/>
              </w:rPr>
              <w:t>注册监理工程师证书。</w:t>
            </w:r>
          </w:p>
          <w:p w14:paraId="20CE0366">
            <w:pPr>
              <w:spacing w:line="360" w:lineRule="auto"/>
              <w:rPr>
                <w:rFonts w:hint="eastAsia" w:asciiTheme="minorEastAsia" w:hAnsiTheme="minorEastAsia" w:eastAsiaTheme="minorEastAsia" w:cstheme="minorEastAsia"/>
                <w:b w:val="0"/>
                <w:bCs w:val="0"/>
                <w:i w:val="0"/>
                <w:iCs w:val="0"/>
                <w:caps w:val="0"/>
                <w:color w:val="auto"/>
                <w:spacing w:val="0"/>
                <w:kern w:val="0"/>
                <w:sz w:val="21"/>
                <w:szCs w:val="21"/>
                <w:highlight w:val="none"/>
                <w:u w:val="none"/>
                <w:shd w:val="clear"/>
                <w:lang w:val="en-US" w:eastAsia="zh-CN" w:bidi="ar-SA"/>
              </w:rPr>
            </w:pPr>
            <w:r>
              <w:rPr>
                <w:rFonts w:hint="eastAsia" w:asciiTheme="minorEastAsia" w:hAnsiTheme="minorEastAsia" w:eastAsiaTheme="minorEastAsia" w:cstheme="minorEastAsia"/>
                <w:b w:val="0"/>
                <w:bCs w:val="0"/>
                <w:color w:val="auto"/>
                <w:kern w:val="0"/>
                <w:sz w:val="21"/>
                <w:szCs w:val="21"/>
                <w:highlight w:val="none"/>
                <w:u w:val="none"/>
                <w:shd w:val="clear"/>
                <w:lang w:val="en-US" w:eastAsia="zh-CN" w:bidi="ar-SA"/>
              </w:rPr>
              <w:t>2、总监代表1名，</w:t>
            </w:r>
            <w:r>
              <w:rPr>
                <w:rFonts w:hint="eastAsia" w:asciiTheme="minorEastAsia" w:hAnsiTheme="minorEastAsia" w:eastAsiaTheme="minorEastAsia" w:cstheme="minorEastAsia"/>
                <w:b w:val="0"/>
                <w:bCs w:val="0"/>
                <w:i w:val="0"/>
                <w:iCs w:val="0"/>
                <w:caps w:val="0"/>
                <w:color w:val="auto"/>
                <w:spacing w:val="0"/>
                <w:kern w:val="0"/>
                <w:sz w:val="21"/>
                <w:szCs w:val="21"/>
                <w:highlight w:val="none"/>
                <w:u w:val="none"/>
                <w:shd w:val="clear"/>
                <w:lang w:val="en-US" w:eastAsia="zh-CN" w:bidi="ar-SA"/>
              </w:rPr>
              <w:t>具有</w:t>
            </w:r>
            <w:r>
              <w:rPr>
                <w:rFonts w:hint="eastAsia" w:asciiTheme="minorEastAsia" w:hAnsiTheme="minorEastAsia" w:eastAsiaTheme="minorEastAsia" w:cstheme="minorEastAsia"/>
                <w:i w:val="0"/>
                <w:iCs w:val="0"/>
                <w:caps w:val="0"/>
                <w:color w:val="auto"/>
                <w:spacing w:val="0"/>
                <w:sz w:val="21"/>
                <w:szCs w:val="21"/>
                <w:highlight w:val="none"/>
                <w:shd w:val="clear"/>
                <w:lang w:eastAsia="zh-CN"/>
              </w:rPr>
              <w:t>市政公用工程</w:t>
            </w:r>
            <w:r>
              <w:rPr>
                <w:rFonts w:hint="eastAsia" w:asciiTheme="minorEastAsia" w:hAnsiTheme="minorEastAsia" w:eastAsiaTheme="minorEastAsia" w:cstheme="minorEastAsia"/>
                <w:b w:val="0"/>
                <w:bCs w:val="0"/>
                <w:i w:val="0"/>
                <w:iCs w:val="0"/>
                <w:caps w:val="0"/>
                <w:color w:val="auto"/>
                <w:spacing w:val="0"/>
                <w:kern w:val="0"/>
                <w:sz w:val="21"/>
                <w:szCs w:val="21"/>
                <w:highlight w:val="none"/>
                <w:u w:val="none"/>
                <w:shd w:val="clear"/>
                <w:lang w:val="en-US" w:eastAsia="zh-CN" w:bidi="ar-SA"/>
              </w:rPr>
              <w:t>类专业中级或以上职称。</w:t>
            </w:r>
          </w:p>
          <w:p w14:paraId="3BF5A038">
            <w:pPr>
              <w:spacing w:line="360" w:lineRule="auto"/>
              <w:contextualSpacing w:val="0"/>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b w:val="0"/>
                <w:bCs w:val="0"/>
                <w:color w:val="auto"/>
                <w:kern w:val="0"/>
                <w:sz w:val="21"/>
                <w:szCs w:val="21"/>
                <w:highlight w:val="none"/>
                <w:u w:val="none"/>
                <w:lang w:val="en-US" w:eastAsia="zh-CN" w:bidi="ar-SA"/>
              </w:rPr>
              <w:t>3、</w:t>
            </w:r>
            <w:r>
              <w:rPr>
                <w:rFonts w:hint="eastAsia" w:asciiTheme="minorEastAsia" w:hAnsiTheme="minorEastAsia" w:eastAsiaTheme="minorEastAsia" w:cstheme="minorEastAsia"/>
                <w:b w:val="0"/>
                <w:bCs w:val="0"/>
                <w:color w:val="auto"/>
                <w:kern w:val="0"/>
                <w:sz w:val="21"/>
                <w:szCs w:val="21"/>
                <w:highlight w:val="none"/>
                <w:u w:val="none"/>
                <w:lang w:bidi="ar-SA"/>
              </w:rPr>
              <w:t>监理员</w:t>
            </w:r>
            <w:r>
              <w:rPr>
                <w:rFonts w:hint="eastAsia" w:asciiTheme="minorEastAsia" w:hAnsiTheme="minorEastAsia" w:cstheme="minorEastAsia"/>
                <w:b w:val="0"/>
                <w:bCs w:val="0"/>
                <w:color w:val="auto"/>
                <w:kern w:val="0"/>
                <w:sz w:val="21"/>
                <w:szCs w:val="21"/>
                <w:highlight w:val="none"/>
                <w:u w:val="none"/>
                <w:lang w:val="en-US" w:eastAsia="zh-CN" w:bidi="ar-SA"/>
              </w:rPr>
              <w:t>5</w:t>
            </w:r>
            <w:r>
              <w:rPr>
                <w:rFonts w:hint="eastAsia" w:asciiTheme="minorEastAsia" w:hAnsiTheme="minorEastAsia" w:eastAsiaTheme="minorEastAsia" w:cstheme="minorEastAsia"/>
                <w:b w:val="0"/>
                <w:bCs w:val="0"/>
                <w:color w:val="auto"/>
                <w:kern w:val="0"/>
                <w:sz w:val="21"/>
                <w:szCs w:val="21"/>
                <w:highlight w:val="none"/>
                <w:u w:val="none"/>
                <w:lang w:bidi="ar-SA"/>
              </w:rPr>
              <w:t>名，具有监理员岗位证书</w:t>
            </w:r>
            <w:r>
              <w:rPr>
                <w:rFonts w:hint="eastAsia" w:asciiTheme="minorEastAsia" w:hAnsiTheme="minorEastAsia" w:eastAsiaTheme="minorEastAsia" w:cstheme="minorEastAsia"/>
                <w:b w:val="0"/>
                <w:bCs w:val="0"/>
                <w:color w:val="auto"/>
                <w:kern w:val="0"/>
                <w:sz w:val="21"/>
                <w:szCs w:val="21"/>
                <w:highlight w:val="none"/>
                <w:u w:val="none"/>
                <w:lang w:eastAsia="zh-CN" w:bidi="ar-SA"/>
              </w:rPr>
              <w:t>。</w:t>
            </w:r>
          </w:p>
        </w:tc>
      </w:tr>
      <w:tr w14:paraId="36F96CD4">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91AC4A0">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11</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0E405ED">
            <w:pPr>
              <w:pStyle w:val="2"/>
              <w:widowControl/>
              <w:spacing w:beforeAutospacing="0"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4.5</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D062DBA">
            <w:pPr>
              <w:pStyle w:val="2"/>
              <w:widowControl/>
              <w:spacing w:beforeAutospacing="0" w:after="0" w:line="360" w:lineRule="auto"/>
              <w:ind w:left="-59" w:leftChars="-28" w:right="-59" w:rightChars="-28"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资格审查方式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A7AD882">
            <w:pPr>
              <w:pStyle w:val="2"/>
              <w:widowControl/>
              <w:spacing w:after="0" w:line="360" w:lineRule="auto"/>
              <w:ind w:firstLine="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资格后审</w:t>
            </w:r>
          </w:p>
        </w:tc>
      </w:tr>
      <w:tr w14:paraId="092F8D15">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814F058">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12</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0ED23C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B31E6D6">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踏勘现场</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5BD589F8">
            <w:pPr>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由投标人自行考察。</w:t>
            </w:r>
          </w:p>
        </w:tc>
      </w:tr>
      <w:tr w14:paraId="375C0655">
        <w:tblPrEx>
          <w:tblCellMar>
            <w:top w:w="0" w:type="dxa"/>
            <w:left w:w="108" w:type="dxa"/>
            <w:bottom w:w="0" w:type="dxa"/>
            <w:right w:w="108" w:type="dxa"/>
          </w:tblCellMar>
        </w:tblPrEx>
        <w:trPr>
          <w:trHeight w:val="515"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A1D5B48">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8C7A114">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8.1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0BBA76D1">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招标答疑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3FA97D7">
            <w:pPr>
              <w:spacing w:line="360" w:lineRule="auto"/>
              <w:jc w:val="center"/>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w:t>
            </w:r>
          </w:p>
        </w:tc>
      </w:tr>
      <w:tr w14:paraId="35A35BCC">
        <w:tblPrEx>
          <w:tblCellMar>
            <w:top w:w="0" w:type="dxa"/>
            <w:left w:w="108" w:type="dxa"/>
            <w:bottom w:w="0" w:type="dxa"/>
            <w:right w:w="108" w:type="dxa"/>
          </w:tblCellMar>
        </w:tblPrEx>
        <w:trPr>
          <w:trHeight w:val="659"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9CB9AE7">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14</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3E5E768F">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13.1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3C9B149">
            <w:pPr>
              <w:pStyle w:val="2"/>
              <w:widowControl/>
              <w:spacing w:before="100" w:beforeAutospacing="0" w:after="0" w:line="360" w:lineRule="auto"/>
              <w:ind w:left="-59" w:leftChars="-28" w:right="-44" w:rightChars="-21"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报价及结算方式</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CCAA066">
            <w:pPr>
              <w:pStyle w:val="6"/>
              <w:numPr>
                <w:ilvl w:val="0"/>
                <w:numId w:val="0"/>
              </w:numPr>
              <w:spacing w:line="360" w:lineRule="auto"/>
              <w:ind w:firstLine="420" w:firstLineChars="200"/>
              <w:rPr>
                <w:rFonts w:hint="eastAsia" w:asciiTheme="minorEastAsia" w:hAnsiTheme="minorEastAsia" w:eastAsiaTheme="minorEastAsia" w:cstheme="minorEastAsia"/>
                <w:color w:val="auto"/>
                <w:sz w:val="21"/>
                <w:szCs w:val="21"/>
                <w:highlight w:val="none"/>
                <w:u w:val="none"/>
                <w:lang w:val="en-US" w:eastAsia="zh-CN"/>
              </w:rPr>
            </w:pPr>
            <w:r>
              <w:rPr>
                <w:rFonts w:hint="eastAsia" w:asciiTheme="minorEastAsia" w:hAnsiTheme="minorEastAsia" w:eastAsiaTheme="minorEastAsia" w:cstheme="minorEastAsia"/>
                <w:color w:val="auto"/>
                <w:sz w:val="21"/>
                <w:szCs w:val="21"/>
                <w:highlight w:val="none"/>
                <w:u w:val="none"/>
                <w:lang w:eastAsia="zh-CN"/>
              </w:rPr>
              <w:t>本次监理费为总价包干，招标控制价</w:t>
            </w:r>
            <w:r>
              <w:rPr>
                <w:rFonts w:hint="eastAsia" w:asciiTheme="minorEastAsia" w:hAnsiTheme="minorEastAsia" w:eastAsiaTheme="minorEastAsia" w:cstheme="minorEastAsia"/>
                <w:color w:val="auto"/>
                <w:sz w:val="21"/>
                <w:szCs w:val="21"/>
                <w:highlight w:val="none"/>
                <w:u w:val="none"/>
              </w:rPr>
              <w:t>为¥</w:t>
            </w:r>
            <w:r>
              <w:rPr>
                <w:rFonts w:hint="eastAsia" w:asciiTheme="minorEastAsia" w:hAnsiTheme="minorEastAsia" w:eastAsiaTheme="minorEastAsia" w:cstheme="minorEastAsia"/>
                <w:color w:val="auto"/>
                <w:sz w:val="21"/>
                <w:szCs w:val="21"/>
                <w:highlight w:val="none"/>
                <w:u w:val="none"/>
                <w:lang w:val="en-US" w:eastAsia="zh-CN"/>
              </w:rPr>
              <w:t>220000.00</w:t>
            </w:r>
            <w:r>
              <w:rPr>
                <w:rFonts w:hint="eastAsia" w:asciiTheme="minorEastAsia" w:hAnsiTheme="minorEastAsia" w:eastAsiaTheme="minorEastAsia" w:cstheme="minorEastAsia"/>
                <w:color w:val="auto"/>
                <w:sz w:val="21"/>
                <w:szCs w:val="21"/>
                <w:highlight w:val="none"/>
                <w:u w:val="none"/>
              </w:rPr>
              <w:t>元</w:t>
            </w:r>
            <w:r>
              <w:rPr>
                <w:rFonts w:hint="eastAsia" w:asciiTheme="minorEastAsia" w:hAnsiTheme="minorEastAsia" w:eastAsiaTheme="minorEastAsia" w:cstheme="minorEastAsia"/>
                <w:color w:val="auto"/>
                <w:sz w:val="21"/>
                <w:szCs w:val="21"/>
                <w:highlight w:val="none"/>
                <w:u w:val="none"/>
                <w:lang w:eastAsia="zh-CN"/>
              </w:rPr>
              <w:t>，参照</w:t>
            </w:r>
            <w:r>
              <w:rPr>
                <w:rFonts w:hint="eastAsia" w:asciiTheme="minorEastAsia" w:hAnsiTheme="minorEastAsia" w:eastAsiaTheme="minorEastAsia" w:cstheme="minorEastAsia"/>
                <w:color w:val="auto"/>
                <w:sz w:val="21"/>
                <w:szCs w:val="21"/>
                <w:highlight w:val="none"/>
                <w:u w:val="none"/>
              </w:rPr>
              <w:t>发改办价格[2007]670号文件</w:t>
            </w:r>
            <w:r>
              <w:rPr>
                <w:rFonts w:hint="eastAsia" w:asciiTheme="minorEastAsia" w:hAnsiTheme="minorEastAsia" w:eastAsiaTheme="minorEastAsia" w:cstheme="minorEastAsia"/>
                <w:color w:val="auto"/>
                <w:sz w:val="21"/>
                <w:szCs w:val="21"/>
                <w:highlight w:val="none"/>
                <w:u w:val="none"/>
                <w:lang w:eastAsia="zh-CN"/>
              </w:rPr>
              <w:t>为计费标准，</w:t>
            </w:r>
            <w:r>
              <w:rPr>
                <w:rFonts w:hint="eastAsia" w:asciiTheme="minorEastAsia" w:hAnsiTheme="minorEastAsia" w:eastAsiaTheme="minorEastAsia" w:cstheme="minorEastAsia"/>
                <w:color w:val="auto"/>
                <w:sz w:val="21"/>
                <w:szCs w:val="21"/>
                <w:highlight w:val="none"/>
                <w:u w:val="none"/>
              </w:rPr>
              <w:t>暂按</w:t>
            </w:r>
            <w:r>
              <w:rPr>
                <w:rFonts w:hint="eastAsia" w:asciiTheme="minorEastAsia" w:hAnsiTheme="minorEastAsia" w:eastAsiaTheme="minorEastAsia" w:cstheme="minorEastAsia"/>
                <w:color w:val="auto"/>
                <w:sz w:val="21"/>
                <w:szCs w:val="21"/>
                <w:highlight w:val="none"/>
                <w:u w:val="none"/>
                <w:lang w:eastAsia="zh-CN"/>
              </w:rPr>
              <w:t>建安工程费估算</w:t>
            </w:r>
            <w:r>
              <w:rPr>
                <w:rFonts w:hint="eastAsia" w:asciiTheme="minorEastAsia" w:hAnsiTheme="minorEastAsia" w:eastAsiaTheme="minorEastAsia" w:cstheme="minorEastAsia"/>
                <w:b w:val="0"/>
                <w:bCs w:val="0"/>
                <w:color w:val="auto"/>
                <w:sz w:val="21"/>
                <w:szCs w:val="21"/>
                <w:highlight w:val="none"/>
                <w:lang w:val="en-US" w:eastAsia="zh-CN"/>
              </w:rPr>
              <w:t>1400</w:t>
            </w:r>
            <w:r>
              <w:rPr>
                <w:rFonts w:hint="eastAsia" w:asciiTheme="minorEastAsia" w:hAnsiTheme="minorEastAsia" w:eastAsiaTheme="minorEastAsia" w:cstheme="minorEastAsia"/>
                <w:color w:val="auto"/>
                <w:sz w:val="21"/>
                <w:szCs w:val="21"/>
                <w:highlight w:val="none"/>
                <w:u w:val="none"/>
              </w:rPr>
              <w:t>万元</w:t>
            </w:r>
            <w:r>
              <w:rPr>
                <w:rFonts w:hint="eastAsia" w:asciiTheme="minorEastAsia" w:hAnsiTheme="minorEastAsia" w:eastAsiaTheme="minorEastAsia" w:cstheme="minorEastAsia"/>
                <w:color w:val="auto"/>
                <w:sz w:val="21"/>
                <w:szCs w:val="21"/>
                <w:highlight w:val="none"/>
                <w:u w:val="none"/>
                <w:lang w:eastAsia="zh-CN"/>
              </w:rPr>
              <w:t>（电力设施提升</w:t>
            </w:r>
            <w:r>
              <w:rPr>
                <w:rFonts w:hint="eastAsia" w:asciiTheme="minorEastAsia" w:hAnsiTheme="minorEastAsia" w:eastAsiaTheme="minorEastAsia" w:cstheme="minorEastAsia"/>
                <w:color w:val="auto"/>
                <w:sz w:val="21"/>
                <w:szCs w:val="21"/>
                <w:highlight w:val="none"/>
                <w:u w:val="none"/>
                <w:lang w:val="en-US" w:eastAsia="zh-CN"/>
              </w:rPr>
              <w:t>约1000万元，灯组基础施工约400万元</w:t>
            </w:r>
            <w:r>
              <w:rPr>
                <w:rFonts w:hint="eastAsia" w:asciiTheme="minorEastAsia" w:hAnsiTheme="minorEastAsia" w:eastAsiaTheme="minorEastAsia" w:cstheme="minorEastAsia"/>
                <w:color w:val="auto"/>
                <w:sz w:val="21"/>
                <w:szCs w:val="21"/>
                <w:highlight w:val="none"/>
                <w:u w:val="none"/>
                <w:lang w:eastAsia="zh-CN"/>
              </w:rPr>
              <w:t>）为计费基数，结合系数（</w:t>
            </w:r>
            <w:r>
              <w:rPr>
                <w:rFonts w:hint="eastAsia" w:asciiTheme="minorEastAsia" w:hAnsiTheme="minorEastAsia" w:eastAsiaTheme="minorEastAsia" w:cstheme="minorEastAsia"/>
                <w:color w:val="auto"/>
                <w:sz w:val="21"/>
                <w:szCs w:val="21"/>
                <w:highlight w:val="none"/>
                <w:u w:val="none"/>
              </w:rPr>
              <w:t>专业调整系数取1.</w:t>
            </w:r>
            <w:r>
              <w:rPr>
                <w:rFonts w:hint="eastAsia" w:asciiTheme="minorEastAsia" w:hAnsiTheme="minorEastAsia" w:eastAsiaTheme="minorEastAsia" w:cstheme="minorEastAsia"/>
                <w:color w:val="auto"/>
                <w:sz w:val="21"/>
                <w:szCs w:val="21"/>
                <w:highlight w:val="none"/>
                <w:u w:val="none"/>
                <w:lang w:val="en-US" w:eastAsia="zh-CN"/>
              </w:rPr>
              <w:t>0</w:t>
            </w:r>
            <w:r>
              <w:rPr>
                <w:rFonts w:hint="eastAsia" w:asciiTheme="minorEastAsia" w:hAnsiTheme="minorEastAsia" w:eastAsiaTheme="minorEastAsia" w:cstheme="minorEastAsia"/>
                <w:color w:val="auto"/>
                <w:sz w:val="21"/>
                <w:szCs w:val="21"/>
                <w:highlight w:val="none"/>
                <w:u w:val="none"/>
              </w:rPr>
              <w:t>，工程复杂程度调整系数取</w:t>
            </w:r>
            <w:r>
              <w:rPr>
                <w:rFonts w:hint="eastAsia" w:asciiTheme="minorEastAsia" w:hAnsiTheme="minorEastAsia" w:eastAsiaTheme="minorEastAsia" w:cstheme="minorEastAsia"/>
                <w:color w:val="auto"/>
                <w:sz w:val="21"/>
                <w:szCs w:val="21"/>
                <w:highlight w:val="none"/>
                <w:u w:val="none"/>
                <w:lang w:eastAsia="zh-CN"/>
              </w:rPr>
              <w:t>0</w:t>
            </w:r>
            <w:r>
              <w:rPr>
                <w:rFonts w:hint="eastAsia" w:asciiTheme="minorEastAsia" w:hAnsiTheme="minorEastAsia" w:eastAsiaTheme="minorEastAsia" w:cstheme="minorEastAsia"/>
                <w:color w:val="auto"/>
                <w:sz w:val="21"/>
                <w:szCs w:val="21"/>
                <w:highlight w:val="none"/>
                <w:u w:val="none"/>
                <w:lang w:val="en-US" w:eastAsia="zh-CN"/>
              </w:rPr>
              <w:t>.85</w:t>
            </w:r>
            <w:r>
              <w:rPr>
                <w:rFonts w:hint="eastAsia" w:asciiTheme="minorEastAsia" w:hAnsiTheme="minorEastAsia" w:eastAsiaTheme="minorEastAsia" w:cstheme="minorEastAsia"/>
                <w:color w:val="auto"/>
                <w:sz w:val="21"/>
                <w:szCs w:val="21"/>
                <w:highlight w:val="none"/>
                <w:u w:val="none"/>
              </w:rPr>
              <w:t>，高程调整系数取1.0</w:t>
            </w:r>
            <w:r>
              <w:rPr>
                <w:rFonts w:hint="eastAsia" w:asciiTheme="minorEastAsia" w:hAnsiTheme="minorEastAsia" w:eastAsiaTheme="minorEastAsia" w:cstheme="minorEastAsia"/>
                <w:color w:val="auto"/>
                <w:sz w:val="21"/>
                <w:szCs w:val="21"/>
                <w:highlight w:val="none"/>
                <w:u w:val="none"/>
                <w:lang w:eastAsia="zh-CN"/>
              </w:rPr>
              <w:t>）计算得出监理</w:t>
            </w:r>
            <w:r>
              <w:rPr>
                <w:rFonts w:hint="eastAsia" w:asciiTheme="minorEastAsia" w:hAnsiTheme="minorEastAsia" w:eastAsiaTheme="minorEastAsia" w:cstheme="minorEastAsia"/>
                <w:color w:val="auto"/>
                <w:sz w:val="21"/>
                <w:szCs w:val="21"/>
                <w:highlight w:val="none"/>
                <w:u w:val="none"/>
                <w:lang w:val="en-US" w:eastAsia="zh-CN"/>
              </w:rPr>
              <w:t>基本收费价为</w:t>
            </w:r>
            <w:r>
              <w:rPr>
                <w:rFonts w:hint="eastAsia" w:asciiTheme="minorEastAsia" w:hAnsiTheme="minorEastAsia" w:eastAsiaTheme="minorEastAsia" w:cstheme="minorEastAsia"/>
                <w:color w:val="auto"/>
                <w:sz w:val="21"/>
                <w:szCs w:val="21"/>
                <w:highlight w:val="none"/>
                <w:u w:val="none"/>
                <w:lang w:val="en-US" w:eastAsia="zh-CN"/>
              </w:rPr>
              <w:t>337450.00</w:t>
            </w:r>
            <w:r>
              <w:rPr>
                <w:rFonts w:hint="eastAsia" w:asciiTheme="minorEastAsia" w:hAnsiTheme="minorEastAsia" w:eastAsiaTheme="minorEastAsia" w:cstheme="minorEastAsia"/>
                <w:color w:val="auto"/>
                <w:sz w:val="21"/>
                <w:szCs w:val="21"/>
                <w:highlight w:val="none"/>
                <w:u w:val="none"/>
                <w:lang w:val="en-US" w:eastAsia="zh-CN"/>
              </w:rPr>
              <w:t>元</w:t>
            </w:r>
            <w:r>
              <w:rPr>
                <w:rFonts w:hint="eastAsia" w:asciiTheme="minorEastAsia" w:hAnsiTheme="minorEastAsia" w:eastAsiaTheme="minorEastAsia" w:cstheme="minorEastAsia"/>
                <w:color w:val="auto"/>
                <w:sz w:val="21"/>
                <w:szCs w:val="21"/>
                <w:highlight w:val="none"/>
                <w:u w:val="none"/>
                <w:lang w:val="en-US" w:eastAsia="zh-CN"/>
              </w:rPr>
              <w:t>，下浮约35%，得出金额为220000.00元</w:t>
            </w:r>
            <w:r>
              <w:rPr>
                <w:rFonts w:hint="eastAsia" w:asciiTheme="minorEastAsia" w:hAnsiTheme="minorEastAsia" w:eastAsiaTheme="minorEastAsia" w:cstheme="minorEastAsia"/>
                <w:color w:val="auto"/>
                <w:sz w:val="21"/>
                <w:szCs w:val="21"/>
                <w:highlight w:val="none"/>
                <w:u w:val="none"/>
              </w:rPr>
              <w:t>。</w:t>
            </w:r>
          </w:p>
          <w:p w14:paraId="1394885D">
            <w:pPr>
              <w:pStyle w:val="6"/>
              <w:spacing w:line="360" w:lineRule="auto"/>
              <w:ind w:firstLine="420" w:firstLineChars="200"/>
              <w:rPr>
                <w:rFonts w:hint="eastAsia" w:asciiTheme="minorEastAsia" w:hAnsiTheme="minorEastAsia" w:eastAsiaTheme="minorEastAsia" w:cstheme="minorEastAsia"/>
                <w:color w:val="auto"/>
                <w:kern w:val="2"/>
                <w:sz w:val="21"/>
                <w:szCs w:val="21"/>
                <w:highlight w:val="none"/>
                <w:lang w:val="en-US" w:eastAsia="zh-CN"/>
              </w:rPr>
            </w:pPr>
            <w:r>
              <w:rPr>
                <w:rFonts w:hint="eastAsia" w:asciiTheme="minorEastAsia" w:hAnsiTheme="minorEastAsia" w:eastAsiaTheme="minorEastAsia" w:cstheme="minorEastAsia"/>
                <w:color w:val="auto"/>
                <w:kern w:val="0"/>
                <w:sz w:val="21"/>
                <w:szCs w:val="21"/>
                <w:highlight w:val="none"/>
                <w:u w:val="none"/>
              </w:rPr>
              <w:t>投标</w:t>
            </w:r>
            <w:r>
              <w:rPr>
                <w:rFonts w:hint="eastAsia" w:asciiTheme="minorEastAsia" w:hAnsiTheme="minorEastAsia" w:eastAsiaTheme="minorEastAsia" w:cstheme="minorEastAsia"/>
                <w:color w:val="auto"/>
                <w:kern w:val="0"/>
                <w:sz w:val="21"/>
                <w:szCs w:val="21"/>
                <w:highlight w:val="none"/>
                <w:u w:val="none"/>
                <w:lang w:eastAsia="zh-CN"/>
              </w:rPr>
              <w:t>报价不得高于招标控制价，否则</w:t>
            </w:r>
            <w:r>
              <w:rPr>
                <w:rFonts w:hint="eastAsia" w:asciiTheme="minorEastAsia" w:hAnsiTheme="minorEastAsia" w:eastAsiaTheme="minorEastAsia" w:cstheme="minorEastAsia"/>
                <w:color w:val="auto"/>
                <w:kern w:val="0"/>
                <w:sz w:val="21"/>
                <w:szCs w:val="21"/>
                <w:highlight w:val="none"/>
                <w:u w:val="none"/>
              </w:rPr>
              <w:t>按废标处理。</w:t>
            </w:r>
            <w:r>
              <w:rPr>
                <w:rFonts w:hint="eastAsia" w:asciiTheme="minorEastAsia" w:hAnsiTheme="minorEastAsia" w:eastAsiaTheme="minorEastAsia" w:cstheme="minorEastAsia"/>
                <w:color w:val="auto"/>
                <w:kern w:val="2"/>
                <w:sz w:val="21"/>
                <w:szCs w:val="21"/>
                <w:highlight w:val="none"/>
                <w:lang w:val="en-US" w:eastAsia="zh-CN"/>
              </w:rPr>
              <w:t>监理投标下浮率=1-（监理报价/</w:t>
            </w:r>
            <w:r>
              <w:rPr>
                <w:rFonts w:hint="eastAsia" w:asciiTheme="minorEastAsia" w:hAnsiTheme="minorEastAsia" w:eastAsiaTheme="minorEastAsia" w:cstheme="minorEastAsia"/>
                <w:color w:val="auto"/>
                <w:sz w:val="21"/>
                <w:szCs w:val="21"/>
                <w:highlight w:val="none"/>
                <w:u w:val="none"/>
                <w:lang w:eastAsia="zh-CN"/>
              </w:rPr>
              <w:t>监理</w:t>
            </w:r>
            <w:r>
              <w:rPr>
                <w:rFonts w:hint="eastAsia" w:asciiTheme="minorEastAsia" w:hAnsiTheme="minorEastAsia" w:eastAsiaTheme="minorEastAsia" w:cstheme="minorEastAsia"/>
                <w:color w:val="auto"/>
                <w:sz w:val="21"/>
                <w:szCs w:val="21"/>
                <w:highlight w:val="none"/>
                <w:u w:val="none"/>
                <w:lang w:val="en-US" w:eastAsia="zh-CN"/>
              </w:rPr>
              <w:t>基本收费价337450.00元</w:t>
            </w:r>
            <w:r>
              <w:rPr>
                <w:rFonts w:hint="eastAsia" w:asciiTheme="minorEastAsia" w:hAnsiTheme="minorEastAsia" w:eastAsiaTheme="minorEastAsia" w:cstheme="minorEastAsia"/>
                <w:color w:val="auto"/>
                <w:kern w:val="2"/>
                <w:sz w:val="21"/>
                <w:szCs w:val="21"/>
                <w:highlight w:val="none"/>
                <w:lang w:val="en-US" w:eastAsia="zh-CN"/>
              </w:rPr>
              <w:t>）*100%。</w:t>
            </w:r>
          </w:p>
          <w:p w14:paraId="432647CF">
            <w:pPr>
              <w:pStyle w:val="6"/>
              <w:widowControl/>
              <w:spacing w:before="0" w:line="360" w:lineRule="auto"/>
              <w:ind w:right="0" w:rightChars="0" w:firstLine="0" w:firstLineChars="0"/>
              <w:jc w:val="left"/>
              <w:rPr>
                <w:rFonts w:hint="eastAsia" w:asciiTheme="minorEastAsia" w:hAnsiTheme="minorEastAsia" w:eastAsiaTheme="minorEastAsia" w:cstheme="minorEastAsia"/>
                <w:color w:val="auto"/>
                <w:kern w:val="2"/>
                <w:sz w:val="21"/>
                <w:szCs w:val="21"/>
                <w:highlight w:val="none"/>
              </w:rPr>
            </w:pPr>
          </w:p>
        </w:tc>
      </w:tr>
      <w:tr w14:paraId="6620C8DF">
        <w:tblPrEx>
          <w:tblCellMar>
            <w:top w:w="0" w:type="dxa"/>
            <w:left w:w="108" w:type="dxa"/>
            <w:bottom w:w="0" w:type="dxa"/>
            <w:right w:w="108" w:type="dxa"/>
          </w:tblCellMar>
        </w:tblPrEx>
        <w:trPr>
          <w:trHeight w:val="580"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73271D7">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56E70B89">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15.1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5480CCE">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投标有效期</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4A1DFF17">
            <w:pPr>
              <w:pStyle w:val="2"/>
              <w:widowControl/>
              <w:spacing w:after="0" w:line="360" w:lineRule="auto"/>
              <w:ind w:firstLine="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90日历天（从投标截止之日算起）。</w:t>
            </w:r>
          </w:p>
        </w:tc>
      </w:tr>
      <w:tr w14:paraId="36ACC26E">
        <w:tblPrEx>
          <w:tblCellMar>
            <w:top w:w="0" w:type="dxa"/>
            <w:left w:w="108" w:type="dxa"/>
            <w:bottom w:w="0" w:type="dxa"/>
            <w:right w:w="108" w:type="dxa"/>
          </w:tblCellMar>
        </w:tblPrEx>
        <w:trPr>
          <w:trHeight w:val="741"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28FC5CBE">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A17F9E7">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16.1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DD65F1C">
            <w:pPr>
              <w:pStyle w:val="2"/>
              <w:widowControl/>
              <w:spacing w:after="0" w:line="360" w:lineRule="auto"/>
              <w:ind w:firstLine="0"/>
              <w:jc w:val="center"/>
              <w:rPr>
                <w:rFonts w:hint="eastAsia" w:asciiTheme="minorEastAsia" w:hAnsiTheme="minorEastAsia" w:eastAsiaTheme="minorEastAsia" w:cstheme="minorEastAsia"/>
                <w:color w:val="auto"/>
                <w:spacing w:val="-4"/>
                <w:highlight w:val="none"/>
              </w:rPr>
            </w:pPr>
            <w:r>
              <w:rPr>
                <w:rFonts w:hint="eastAsia" w:asciiTheme="minorEastAsia" w:hAnsiTheme="minorEastAsia" w:eastAsiaTheme="minorEastAsia" w:cstheme="minorEastAsia"/>
                <w:color w:val="auto"/>
                <w:spacing w:val="-4"/>
                <w:highlight w:val="none"/>
              </w:rPr>
              <w:t>投标保证金</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5671074">
            <w:pPr>
              <w:numPr>
                <w:ilvl w:val="-1"/>
                <w:numId w:val="0"/>
              </w:numPr>
              <w:adjustRightInd w:val="0"/>
              <w:snapToGrid w:val="0"/>
              <w:spacing w:line="360" w:lineRule="auto"/>
              <w:rPr>
                <w:rFonts w:hint="eastAsia" w:asciiTheme="minorEastAsia" w:hAnsiTheme="minorEastAsia" w:eastAsiaTheme="minorEastAsia" w:cstheme="minorEastAsia"/>
                <w:color w:val="auto"/>
                <w:sz w:val="21"/>
                <w:szCs w:val="21"/>
                <w:highlight w:val="none"/>
              </w:rPr>
            </w:pPr>
            <w:r>
              <w:rPr>
                <w:rFonts w:hint="eastAsia" w:asciiTheme="minorEastAsia" w:hAnsiTheme="minorEastAsia" w:eastAsiaTheme="minorEastAsia" w:cstheme="minorEastAsia"/>
                <w:color w:val="auto"/>
                <w:sz w:val="21"/>
                <w:szCs w:val="21"/>
                <w:highlight w:val="none"/>
              </w:rPr>
              <w:t>1、金额：人民币</w:t>
            </w:r>
            <w:r>
              <w:rPr>
                <w:rFonts w:hint="eastAsia" w:asciiTheme="minorEastAsia" w:hAnsiTheme="minorEastAsia" w:eastAsiaTheme="minorEastAsia" w:cstheme="minorEastAsia"/>
                <w:color w:val="auto"/>
                <w:sz w:val="21"/>
                <w:szCs w:val="21"/>
                <w:highlight w:val="none"/>
                <w:u w:val="single"/>
                <w:lang w:eastAsia="zh-CN"/>
              </w:rPr>
              <w:t>伍仟</w:t>
            </w:r>
            <w:r>
              <w:rPr>
                <w:rFonts w:hint="eastAsia" w:asciiTheme="minorEastAsia" w:hAnsiTheme="minorEastAsia" w:eastAsiaTheme="minorEastAsia" w:cstheme="minorEastAsia"/>
                <w:color w:val="auto"/>
                <w:sz w:val="21"/>
                <w:szCs w:val="21"/>
                <w:highlight w:val="none"/>
              </w:rPr>
              <w:t>元。</w:t>
            </w:r>
          </w:p>
          <w:p w14:paraId="43675D53">
            <w:pPr>
              <w:numPr>
                <w:ilvl w:val="-1"/>
                <w:numId w:val="0"/>
              </w:numPr>
              <w:adjustRightInd w:val="0"/>
              <w:snapToGrid w:val="0"/>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2、缴纳方式：</w:t>
            </w:r>
            <w:r>
              <w:rPr>
                <w:rFonts w:hint="eastAsia" w:asciiTheme="minorEastAsia" w:hAnsiTheme="minorEastAsia" w:eastAsiaTheme="minorEastAsia" w:cstheme="minorEastAsia"/>
                <w:color w:val="auto"/>
                <w:sz w:val="21"/>
                <w:szCs w:val="21"/>
                <w:highlight w:val="none"/>
                <w:lang w:eastAsia="zh-CN"/>
              </w:rPr>
              <w:t>银行转账。</w:t>
            </w:r>
          </w:p>
          <w:p w14:paraId="10219092">
            <w:pPr>
              <w:numPr>
                <w:ilvl w:val="-1"/>
                <w:numId w:val="0"/>
              </w:numPr>
              <w:adjustRightInd w:val="0"/>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账户名称：广州南沙建设维护管理有限公司</w:t>
            </w:r>
          </w:p>
          <w:p w14:paraId="7D6B7273">
            <w:pPr>
              <w:numPr>
                <w:ilvl w:val="-1"/>
                <w:numId w:val="0"/>
              </w:numPr>
              <w:adjustRightInd w:val="0"/>
              <w:spacing w:line="360" w:lineRule="auto"/>
              <w:rPr>
                <w:rFonts w:hint="eastAsia" w:asciiTheme="minorEastAsia" w:hAnsiTheme="minorEastAsia" w:eastAsiaTheme="minorEastAsia" w:cstheme="minorEastAsia"/>
                <w:color w:val="auto"/>
                <w:sz w:val="21"/>
                <w:szCs w:val="21"/>
                <w:highlight w:val="none"/>
                <w:lang w:eastAsia="zh-CN"/>
              </w:rPr>
            </w:pPr>
            <w:r>
              <w:rPr>
                <w:rFonts w:hint="eastAsia" w:asciiTheme="minorEastAsia" w:hAnsiTheme="minorEastAsia" w:eastAsiaTheme="minorEastAsia" w:cstheme="minorEastAsia"/>
                <w:color w:val="auto"/>
                <w:sz w:val="21"/>
                <w:szCs w:val="21"/>
                <w:highlight w:val="none"/>
              </w:rPr>
              <w:t>开户银行：中国工商银行广东自由贸易试验区南沙分行</w:t>
            </w:r>
            <w:r>
              <w:rPr>
                <w:rFonts w:hint="eastAsia" w:asciiTheme="minorEastAsia" w:hAnsiTheme="minorEastAsia" w:eastAsiaTheme="minorEastAsia" w:cstheme="minorEastAsia"/>
                <w:color w:val="auto"/>
                <w:sz w:val="21"/>
                <w:szCs w:val="21"/>
                <w:highlight w:val="none"/>
                <w:lang w:val="en-US" w:eastAsia="zh-CN"/>
              </w:rPr>
              <w:t xml:space="preserve"> </w:t>
            </w:r>
          </w:p>
          <w:p w14:paraId="3B7843C6">
            <w:pPr>
              <w:numPr>
                <w:ilvl w:val="-1"/>
                <w:numId w:val="0"/>
              </w:numPr>
              <w:adjustRightInd w:val="0"/>
              <w:spacing w:line="360" w:lineRule="auto"/>
              <w:rPr>
                <w:rFonts w:hint="eastAsia" w:asciiTheme="minorEastAsia" w:hAnsiTheme="minorEastAsia" w:eastAsiaTheme="minorEastAsia" w:cstheme="minorEastAsia"/>
                <w:color w:val="auto"/>
                <w:sz w:val="21"/>
                <w:szCs w:val="21"/>
                <w:highlight w:val="none"/>
                <w:lang w:val="en-US" w:eastAsia="zh-CN"/>
              </w:rPr>
            </w:pPr>
            <w:r>
              <w:rPr>
                <w:rFonts w:hint="eastAsia" w:asciiTheme="minorEastAsia" w:hAnsiTheme="minorEastAsia" w:eastAsiaTheme="minorEastAsia" w:cstheme="minorEastAsia"/>
                <w:color w:val="auto"/>
                <w:sz w:val="21"/>
                <w:szCs w:val="21"/>
                <w:highlight w:val="none"/>
              </w:rPr>
              <w:t>账号：3602056909200030855</w:t>
            </w:r>
          </w:p>
          <w:p w14:paraId="49E76E7E">
            <w:pPr>
              <w:numPr>
                <w:ilvl w:val="0"/>
                <w:numId w:val="1"/>
              </w:numPr>
              <w:adjustRightInd w:val="0"/>
              <w:snapToGrid w:val="0"/>
              <w:spacing w:line="360" w:lineRule="auto"/>
              <w:rPr>
                <w:rFonts w:hint="eastAsia" w:asciiTheme="minorEastAsia" w:hAnsiTheme="minorEastAsia" w:eastAsiaTheme="minorEastAsia" w:cstheme="minorEastAsia"/>
                <w:color w:val="auto"/>
                <w:kern w:val="2"/>
                <w:sz w:val="21"/>
                <w:szCs w:val="21"/>
                <w:highlight w:val="none"/>
                <w:u w:val="none"/>
                <w:lang w:val="en-US" w:eastAsia="zh-CN" w:bidi="ar-SA"/>
              </w:rPr>
            </w:pPr>
            <w:r>
              <w:rPr>
                <w:rFonts w:hint="eastAsia" w:asciiTheme="minorEastAsia" w:hAnsiTheme="minorEastAsia" w:eastAsiaTheme="minorEastAsia" w:cstheme="minorEastAsia"/>
                <w:color w:val="auto"/>
                <w:sz w:val="21"/>
                <w:szCs w:val="21"/>
                <w:highlight w:val="none"/>
              </w:rPr>
              <w:t>缴纳时间：投标单位须在</w:t>
            </w:r>
            <w:r>
              <w:rPr>
                <w:rFonts w:hint="eastAsia" w:asciiTheme="minorEastAsia" w:hAnsiTheme="minorEastAsia" w:eastAsiaTheme="minorEastAsia" w:cstheme="minorEastAsia"/>
                <w:color w:val="auto"/>
                <w:sz w:val="21"/>
                <w:szCs w:val="21"/>
                <w:highlight w:val="none"/>
                <w:u w:val="none"/>
                <w:lang w:eastAsia="zh-CN"/>
              </w:rPr>
              <w:t>2024年12月</w:t>
            </w:r>
            <w:r>
              <w:rPr>
                <w:rFonts w:hint="eastAsia" w:asciiTheme="minorEastAsia" w:hAnsiTheme="minorEastAsia" w:cstheme="minorEastAsia"/>
                <w:color w:val="auto"/>
                <w:sz w:val="21"/>
                <w:szCs w:val="21"/>
                <w:highlight w:val="none"/>
                <w:u w:val="none"/>
                <w:lang w:val="en-US" w:eastAsia="zh-CN"/>
              </w:rPr>
              <w:t>19</w:t>
            </w:r>
            <w:r>
              <w:rPr>
                <w:rFonts w:hint="eastAsia" w:asciiTheme="minorEastAsia" w:hAnsiTheme="minorEastAsia" w:eastAsiaTheme="minorEastAsia" w:cstheme="minorEastAsia"/>
                <w:color w:val="auto"/>
                <w:sz w:val="21"/>
                <w:szCs w:val="21"/>
                <w:highlight w:val="none"/>
                <w:u w:val="none"/>
              </w:rPr>
              <w:t>日</w:t>
            </w:r>
            <w:r>
              <w:rPr>
                <w:rFonts w:hint="eastAsia" w:asciiTheme="minorEastAsia" w:hAnsiTheme="minorEastAsia" w:eastAsiaTheme="minorEastAsia" w:cstheme="minorEastAsia"/>
                <w:color w:val="auto"/>
                <w:sz w:val="21"/>
                <w:szCs w:val="21"/>
                <w:highlight w:val="none"/>
                <w:u w:val="none"/>
                <w:lang w:eastAsia="zh-CN"/>
              </w:rPr>
              <w:t>（星期</w:t>
            </w:r>
            <w:r>
              <w:rPr>
                <w:rFonts w:hint="eastAsia" w:asciiTheme="minorEastAsia" w:hAnsiTheme="minorEastAsia" w:cstheme="minorEastAsia"/>
                <w:color w:val="auto"/>
                <w:sz w:val="21"/>
                <w:szCs w:val="21"/>
                <w:highlight w:val="none"/>
                <w:u w:val="none"/>
                <w:lang w:val="en-US" w:eastAsia="zh-CN"/>
              </w:rPr>
              <w:t>四</w:t>
            </w:r>
            <w:r>
              <w:rPr>
                <w:rFonts w:hint="eastAsia" w:asciiTheme="minorEastAsia" w:hAnsiTheme="minorEastAsia" w:eastAsiaTheme="minorEastAsia" w:cstheme="minorEastAsia"/>
                <w:color w:val="auto"/>
                <w:sz w:val="21"/>
                <w:szCs w:val="21"/>
                <w:highlight w:val="none"/>
                <w:u w:val="none"/>
                <w:lang w:eastAsia="zh-CN"/>
              </w:rPr>
              <w:t>）</w:t>
            </w:r>
            <w:r>
              <w:rPr>
                <w:rFonts w:hint="eastAsia" w:asciiTheme="minorEastAsia" w:hAnsiTheme="minorEastAsia" w:eastAsiaTheme="minorEastAsia" w:cstheme="minorEastAsia"/>
                <w:color w:val="auto"/>
                <w:sz w:val="21"/>
                <w:szCs w:val="21"/>
                <w:highlight w:val="none"/>
                <w:u w:val="none"/>
                <w:lang w:val="en-US" w:eastAsia="zh-CN"/>
              </w:rPr>
              <w:t>17</w:t>
            </w:r>
            <w:r>
              <w:rPr>
                <w:rFonts w:hint="eastAsia" w:asciiTheme="minorEastAsia" w:hAnsiTheme="minorEastAsia" w:eastAsiaTheme="minorEastAsia" w:cstheme="minorEastAsia"/>
                <w:color w:val="auto"/>
                <w:sz w:val="21"/>
                <w:szCs w:val="21"/>
                <w:highlight w:val="none"/>
                <w:u w:val="none"/>
              </w:rPr>
              <w:t>时</w:t>
            </w:r>
            <w:r>
              <w:rPr>
                <w:rFonts w:hint="eastAsia" w:asciiTheme="minorEastAsia" w:hAnsiTheme="minorEastAsia" w:eastAsiaTheme="minorEastAsia" w:cstheme="minorEastAsia"/>
                <w:color w:val="auto"/>
                <w:sz w:val="21"/>
                <w:szCs w:val="21"/>
                <w:highlight w:val="none"/>
                <w:u w:val="none"/>
                <w:lang w:val="en-US" w:eastAsia="zh-CN"/>
              </w:rPr>
              <w:t>00</w:t>
            </w:r>
            <w:r>
              <w:rPr>
                <w:rFonts w:hint="eastAsia" w:asciiTheme="minorEastAsia" w:hAnsiTheme="minorEastAsia" w:eastAsiaTheme="minorEastAsia" w:cstheme="minorEastAsia"/>
                <w:color w:val="auto"/>
                <w:sz w:val="21"/>
                <w:szCs w:val="21"/>
                <w:highlight w:val="none"/>
                <w:u w:val="none"/>
              </w:rPr>
              <w:t>分</w:t>
            </w:r>
            <w:r>
              <w:rPr>
                <w:rFonts w:hint="eastAsia" w:asciiTheme="minorEastAsia" w:hAnsiTheme="minorEastAsia" w:eastAsiaTheme="minorEastAsia" w:cstheme="minorEastAsia"/>
                <w:color w:val="auto"/>
                <w:sz w:val="21"/>
                <w:szCs w:val="21"/>
                <w:highlight w:val="none"/>
                <w:u w:val="none"/>
                <w:lang w:eastAsia="zh-CN"/>
              </w:rPr>
              <w:t>前</w:t>
            </w:r>
            <w:r>
              <w:rPr>
                <w:rFonts w:hint="eastAsia" w:asciiTheme="minorEastAsia" w:hAnsiTheme="minorEastAsia" w:eastAsiaTheme="minorEastAsia" w:cstheme="minorEastAsia"/>
                <w:color w:val="auto"/>
                <w:sz w:val="21"/>
                <w:szCs w:val="21"/>
                <w:highlight w:val="none"/>
              </w:rPr>
              <w:t>以投标人转出【以招标单位查询的信息为准，汇款时备注：</w:t>
            </w:r>
            <w:r>
              <w:rPr>
                <w:rFonts w:hint="eastAsia" w:asciiTheme="minorEastAsia" w:hAnsiTheme="minorEastAsia" w:eastAsiaTheme="minorEastAsia" w:cstheme="minorEastAsia"/>
                <w:color w:val="auto"/>
                <w:szCs w:val="21"/>
                <w:highlight w:val="none"/>
                <w:lang w:eastAsia="zh-CN"/>
              </w:rPr>
              <w:t>2025年首届粤港澳大湾区灯会活动项目监理</w:t>
            </w:r>
            <w:r>
              <w:rPr>
                <w:rFonts w:hint="eastAsia" w:asciiTheme="minorEastAsia" w:hAnsiTheme="minorEastAsia" w:eastAsiaTheme="minorEastAsia" w:cstheme="minorEastAsia"/>
                <w:color w:val="auto"/>
                <w:sz w:val="21"/>
                <w:szCs w:val="21"/>
                <w:highlight w:val="none"/>
              </w:rPr>
              <w:t>投标保证金】</w:t>
            </w:r>
          </w:p>
          <w:p w14:paraId="0C1305D9">
            <w:pPr>
              <w:pStyle w:val="2"/>
              <w:widowControl/>
              <w:spacing w:beforeAutospacing="0" w:after="0" w:line="360" w:lineRule="auto"/>
              <w:ind w:firstLine="0"/>
              <w:rPr>
                <w:rFonts w:hint="eastAsia" w:asciiTheme="minorEastAsia" w:hAnsiTheme="minorEastAsia" w:eastAsiaTheme="minorEastAsia" w:cstheme="minorEastAsia"/>
                <w:color w:val="auto"/>
                <w:highlight w:val="none"/>
              </w:rPr>
            </w:pPr>
          </w:p>
        </w:tc>
      </w:tr>
      <w:tr w14:paraId="276AA6C6">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C027491">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7746C6B9">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17.1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27F5A76">
            <w:pPr>
              <w:pStyle w:val="2"/>
              <w:widowControl/>
              <w:spacing w:before="100" w:beforeAutospacing="0" w:after="0" w:line="360" w:lineRule="auto"/>
              <w:ind w:left="-46" w:leftChars="-22" w:right="-59" w:rightChars="-28"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投标文件份数</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7502993F">
            <w:pPr>
              <w:pStyle w:val="2"/>
              <w:widowControl/>
              <w:spacing w:after="0" w:line="360" w:lineRule="auto"/>
              <w:ind w:firstLine="0"/>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投标文件：1份正本（含电子文件一套），4份副本。</w:t>
            </w:r>
          </w:p>
        </w:tc>
      </w:tr>
      <w:tr w14:paraId="5912ACEB">
        <w:tblPrEx>
          <w:tblCellMar>
            <w:top w:w="0" w:type="dxa"/>
            <w:left w:w="108" w:type="dxa"/>
            <w:bottom w:w="0" w:type="dxa"/>
            <w:right w:w="108" w:type="dxa"/>
          </w:tblCellMar>
        </w:tblPrEx>
        <w:trPr>
          <w:trHeight w:val="898"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098B3FA7">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18</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1A271068">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19.1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4346E53A">
            <w:pPr>
              <w:pStyle w:val="2"/>
              <w:widowControl/>
              <w:spacing w:before="100" w:beforeAutospacing="0" w:after="0" w:line="360" w:lineRule="auto"/>
              <w:ind w:left="-19" w:leftChars="-9" w:right="-17" w:rightChars="-8"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投标文件</w:t>
            </w:r>
          </w:p>
          <w:p w14:paraId="0CC3F3D1">
            <w:pPr>
              <w:pStyle w:val="2"/>
              <w:widowControl/>
              <w:spacing w:before="100" w:beforeAutospacing="0" w:after="0" w:line="360" w:lineRule="auto"/>
              <w:ind w:left="-19" w:leftChars="-9" w:right="-17" w:rightChars="-8"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提交地点及</w:t>
            </w:r>
          </w:p>
          <w:p w14:paraId="5AB60B1B">
            <w:pPr>
              <w:pStyle w:val="2"/>
              <w:widowControl/>
              <w:spacing w:before="100" w:beforeAutospacing="0" w:after="0" w:line="360" w:lineRule="auto"/>
              <w:ind w:left="-19" w:leftChars="-9" w:right="-17" w:rightChars="-8"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截止时间</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022488BB">
            <w:pPr>
              <w:spacing w:line="360" w:lineRule="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收件人：李工</w:t>
            </w:r>
          </w:p>
          <w:p w14:paraId="174DDC05">
            <w:pPr>
              <w:spacing w:line="360" w:lineRule="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提交地点：</w:t>
            </w:r>
            <w:r>
              <w:rPr>
                <w:rFonts w:hint="eastAsia" w:asciiTheme="minorEastAsia" w:hAnsiTheme="minorEastAsia" w:eastAsiaTheme="minorEastAsia" w:cstheme="minorEastAsia"/>
                <w:b w:val="0"/>
                <w:bCs/>
                <w:color w:val="auto"/>
                <w:sz w:val="21"/>
                <w:szCs w:val="21"/>
                <w:highlight w:val="none"/>
              </w:rPr>
              <w:t>广州</w:t>
            </w:r>
            <w:r>
              <w:rPr>
                <w:rFonts w:hint="eastAsia" w:asciiTheme="minorEastAsia" w:hAnsiTheme="minorEastAsia" w:eastAsiaTheme="minorEastAsia" w:cstheme="minorEastAsia"/>
                <w:b w:val="0"/>
                <w:bCs/>
                <w:color w:val="auto"/>
                <w:sz w:val="21"/>
                <w:szCs w:val="21"/>
                <w:highlight w:val="none"/>
                <w:lang w:eastAsia="zh-CN"/>
              </w:rPr>
              <w:t>市</w:t>
            </w:r>
            <w:r>
              <w:rPr>
                <w:rFonts w:hint="eastAsia" w:asciiTheme="minorEastAsia" w:hAnsiTheme="minorEastAsia" w:eastAsiaTheme="minorEastAsia" w:cstheme="minorEastAsia"/>
                <w:b w:val="0"/>
                <w:bCs/>
                <w:color w:val="auto"/>
                <w:sz w:val="21"/>
                <w:szCs w:val="21"/>
                <w:highlight w:val="none"/>
              </w:rPr>
              <w:t>南沙区</w:t>
            </w:r>
            <w:r>
              <w:rPr>
                <w:rFonts w:hint="eastAsia" w:asciiTheme="minorEastAsia" w:hAnsiTheme="minorEastAsia" w:eastAsiaTheme="minorEastAsia" w:cstheme="minorEastAsia"/>
                <w:b w:val="0"/>
                <w:bCs/>
                <w:color w:val="auto"/>
                <w:sz w:val="21"/>
                <w:szCs w:val="21"/>
                <w:highlight w:val="none"/>
                <w:lang w:val="en-US" w:eastAsia="zh-CN"/>
              </w:rPr>
              <w:t>环市大道中富汇街3号楼5楼会议</w:t>
            </w:r>
            <w:r>
              <w:rPr>
                <w:rFonts w:hint="eastAsia" w:asciiTheme="minorEastAsia" w:hAnsiTheme="minorEastAsia" w:eastAsiaTheme="minorEastAsia" w:cstheme="minorEastAsia"/>
                <w:b w:val="0"/>
                <w:bCs/>
                <w:color w:val="auto"/>
                <w:sz w:val="21"/>
                <w:szCs w:val="21"/>
                <w:highlight w:val="none"/>
              </w:rPr>
              <w:t>室</w:t>
            </w:r>
          </w:p>
          <w:p w14:paraId="5D25CB40">
            <w:pPr>
              <w:spacing w:line="360" w:lineRule="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投标时间：</w:t>
            </w:r>
            <w:r>
              <w:rPr>
                <w:rFonts w:hint="eastAsia" w:asciiTheme="minorEastAsia" w:hAnsiTheme="minorEastAsia" w:eastAsiaTheme="minorEastAsia" w:cstheme="minorEastAsia"/>
                <w:bCs/>
                <w:color w:val="auto"/>
                <w:sz w:val="21"/>
                <w:szCs w:val="21"/>
                <w:highlight w:val="none"/>
                <w:lang w:eastAsia="zh-CN"/>
              </w:rPr>
              <w:t>2024年12月</w:t>
            </w:r>
            <w:r>
              <w:rPr>
                <w:rFonts w:hint="eastAsia" w:asciiTheme="minorEastAsia" w:hAnsiTheme="minorEastAsia" w:eastAsiaTheme="minorEastAsia" w:cstheme="minorEastAsia"/>
                <w:bCs/>
                <w:color w:val="auto"/>
                <w:sz w:val="21"/>
                <w:szCs w:val="21"/>
                <w:highlight w:val="none"/>
                <w:lang w:val="en-US" w:eastAsia="zh-CN"/>
              </w:rPr>
              <w:t>20</w:t>
            </w:r>
            <w:r>
              <w:rPr>
                <w:rFonts w:hint="eastAsia" w:asciiTheme="minorEastAsia" w:hAnsiTheme="minorEastAsia" w:eastAsiaTheme="minorEastAsia" w:cstheme="minorEastAsia"/>
                <w:bCs/>
                <w:color w:val="auto"/>
                <w:sz w:val="21"/>
                <w:szCs w:val="21"/>
                <w:highlight w:val="none"/>
              </w:rPr>
              <w:t>日</w:t>
            </w:r>
            <w:r>
              <w:rPr>
                <w:rFonts w:hint="eastAsia" w:asciiTheme="minorEastAsia" w:hAnsiTheme="minorEastAsia" w:eastAsiaTheme="minorEastAsia" w:cstheme="minorEastAsia"/>
                <w:bCs/>
                <w:color w:val="auto"/>
                <w:sz w:val="21"/>
                <w:szCs w:val="21"/>
                <w:highlight w:val="none"/>
                <w:lang w:eastAsia="zh-CN"/>
              </w:rPr>
              <w:t>（星期</w:t>
            </w:r>
            <w:r>
              <w:rPr>
                <w:rFonts w:hint="eastAsia" w:asciiTheme="minorEastAsia" w:hAnsiTheme="minorEastAsia" w:eastAsiaTheme="minorEastAsia" w:cstheme="minorEastAsia"/>
                <w:bCs/>
                <w:color w:val="auto"/>
                <w:sz w:val="21"/>
                <w:szCs w:val="21"/>
                <w:highlight w:val="none"/>
                <w:lang w:val="en-US" w:eastAsia="zh-CN"/>
              </w:rPr>
              <w:t>五</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lang w:val="en-US" w:eastAsia="zh-CN"/>
              </w:rPr>
              <w:t>09</w:t>
            </w:r>
            <w:r>
              <w:rPr>
                <w:rFonts w:hint="eastAsia" w:asciiTheme="minorEastAsia" w:hAnsiTheme="minorEastAsia" w:eastAsiaTheme="minorEastAsia" w:cstheme="minorEastAsia"/>
                <w:bCs/>
                <w:color w:val="auto"/>
                <w:sz w:val="21"/>
                <w:szCs w:val="21"/>
                <w:highlight w:val="none"/>
              </w:rPr>
              <w:t>时</w:t>
            </w:r>
            <w:r>
              <w:rPr>
                <w:rFonts w:hint="eastAsia" w:asciiTheme="minorEastAsia" w:hAnsiTheme="minorEastAsia" w:eastAsiaTheme="minorEastAsia" w:cstheme="minorEastAsia"/>
                <w:bCs/>
                <w:color w:val="auto"/>
                <w:sz w:val="21"/>
                <w:szCs w:val="21"/>
                <w:highlight w:val="none"/>
                <w:lang w:val="en-US" w:eastAsia="zh-CN"/>
              </w:rPr>
              <w:t>0</w:t>
            </w:r>
            <w:r>
              <w:rPr>
                <w:rFonts w:hint="eastAsia" w:asciiTheme="minorEastAsia" w:hAnsiTheme="minorEastAsia" w:eastAsiaTheme="minorEastAsia" w:cstheme="minorEastAsia"/>
                <w:bCs/>
                <w:color w:val="auto"/>
                <w:sz w:val="21"/>
                <w:szCs w:val="21"/>
                <w:highlight w:val="none"/>
              </w:rPr>
              <w:t>0分至</w:t>
            </w:r>
            <w:r>
              <w:rPr>
                <w:rFonts w:hint="eastAsia" w:asciiTheme="minorEastAsia" w:hAnsiTheme="minorEastAsia" w:eastAsiaTheme="minorEastAsia" w:cstheme="minorEastAsia"/>
                <w:bCs/>
                <w:color w:val="auto"/>
                <w:sz w:val="21"/>
                <w:szCs w:val="21"/>
                <w:highlight w:val="none"/>
                <w:lang w:eastAsia="zh-CN"/>
              </w:rPr>
              <w:t>2024年12月</w:t>
            </w:r>
            <w:r>
              <w:rPr>
                <w:rFonts w:hint="eastAsia" w:asciiTheme="minorEastAsia" w:hAnsiTheme="minorEastAsia" w:eastAsiaTheme="minorEastAsia" w:cstheme="minorEastAsia"/>
                <w:bCs/>
                <w:color w:val="auto"/>
                <w:sz w:val="21"/>
                <w:szCs w:val="21"/>
                <w:highlight w:val="none"/>
                <w:lang w:val="en-US" w:eastAsia="zh-CN"/>
              </w:rPr>
              <w:t>20</w:t>
            </w:r>
            <w:r>
              <w:rPr>
                <w:rFonts w:hint="eastAsia" w:asciiTheme="minorEastAsia" w:hAnsiTheme="minorEastAsia" w:eastAsiaTheme="minorEastAsia" w:cstheme="minorEastAsia"/>
                <w:bCs/>
                <w:color w:val="auto"/>
                <w:sz w:val="21"/>
                <w:szCs w:val="21"/>
                <w:highlight w:val="none"/>
              </w:rPr>
              <w:t>日</w:t>
            </w:r>
            <w:r>
              <w:rPr>
                <w:rFonts w:hint="eastAsia" w:asciiTheme="minorEastAsia" w:hAnsiTheme="minorEastAsia" w:eastAsiaTheme="minorEastAsia" w:cstheme="minorEastAsia"/>
                <w:bCs/>
                <w:color w:val="auto"/>
                <w:sz w:val="21"/>
                <w:szCs w:val="21"/>
                <w:highlight w:val="none"/>
                <w:lang w:eastAsia="zh-CN"/>
              </w:rPr>
              <w:t>（星期</w:t>
            </w:r>
            <w:r>
              <w:rPr>
                <w:rFonts w:hint="eastAsia" w:asciiTheme="minorEastAsia" w:hAnsiTheme="minorEastAsia" w:eastAsiaTheme="minorEastAsia" w:cstheme="minorEastAsia"/>
                <w:bCs/>
                <w:color w:val="auto"/>
                <w:sz w:val="21"/>
                <w:szCs w:val="21"/>
                <w:highlight w:val="none"/>
                <w:lang w:val="en-US" w:eastAsia="zh-CN"/>
              </w:rPr>
              <w:t>五</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lang w:val="en-US" w:eastAsia="zh-CN"/>
              </w:rPr>
              <w:t>09</w:t>
            </w:r>
            <w:r>
              <w:rPr>
                <w:rFonts w:hint="eastAsia" w:asciiTheme="minorEastAsia" w:hAnsiTheme="minorEastAsia" w:eastAsiaTheme="minorEastAsia" w:cstheme="minorEastAsia"/>
                <w:bCs/>
                <w:color w:val="auto"/>
                <w:sz w:val="21"/>
                <w:szCs w:val="21"/>
                <w:highlight w:val="none"/>
              </w:rPr>
              <w:t>时</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0分前</w:t>
            </w:r>
          </w:p>
          <w:p w14:paraId="79F106DD">
            <w:pPr>
              <w:spacing w:line="360" w:lineRule="auto"/>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Cs/>
                <w:color w:val="auto"/>
                <w:szCs w:val="21"/>
                <w:highlight w:val="none"/>
              </w:rPr>
              <w:t>法定代表人应凭本人身份证和法定代表人证明书原件提交投标文件，委托代理人应凭本人身份证、法定代表人证明书原件和法定代表人授权委托证明书原件提交投标文件。否则其投标文件不被招标人接收。</w:t>
            </w:r>
          </w:p>
        </w:tc>
      </w:tr>
      <w:tr w14:paraId="7EABD7CA">
        <w:tblPrEx>
          <w:tblCellMar>
            <w:top w:w="0" w:type="dxa"/>
            <w:left w:w="108" w:type="dxa"/>
            <w:bottom w:w="0" w:type="dxa"/>
            <w:right w:w="108" w:type="dxa"/>
          </w:tblCellMar>
        </w:tblPrEx>
        <w:trPr>
          <w:trHeight w:val="1542" w:hRule="atLeast"/>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43D95DBE">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19</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6D6CCF0E">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24.1</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32EF6BE9">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开标</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6E171A9D">
            <w:pPr>
              <w:spacing w:line="360" w:lineRule="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开标时间：</w:t>
            </w:r>
            <w:r>
              <w:rPr>
                <w:rFonts w:hint="eastAsia" w:asciiTheme="minorEastAsia" w:hAnsiTheme="minorEastAsia" w:eastAsiaTheme="minorEastAsia" w:cstheme="minorEastAsia"/>
                <w:bCs/>
                <w:color w:val="auto"/>
                <w:sz w:val="21"/>
                <w:szCs w:val="21"/>
                <w:highlight w:val="none"/>
                <w:lang w:eastAsia="zh-CN"/>
              </w:rPr>
              <w:t>2024年12月</w:t>
            </w:r>
            <w:r>
              <w:rPr>
                <w:rFonts w:hint="eastAsia" w:asciiTheme="minorEastAsia" w:hAnsiTheme="minorEastAsia" w:eastAsiaTheme="minorEastAsia" w:cstheme="minorEastAsia"/>
                <w:bCs/>
                <w:color w:val="auto"/>
                <w:sz w:val="21"/>
                <w:szCs w:val="21"/>
                <w:highlight w:val="none"/>
                <w:lang w:val="en-US" w:eastAsia="zh-CN"/>
              </w:rPr>
              <w:t>20</w:t>
            </w:r>
            <w:r>
              <w:rPr>
                <w:rFonts w:hint="eastAsia" w:asciiTheme="minorEastAsia" w:hAnsiTheme="minorEastAsia" w:eastAsiaTheme="minorEastAsia" w:cstheme="minorEastAsia"/>
                <w:bCs/>
                <w:color w:val="auto"/>
                <w:sz w:val="21"/>
                <w:szCs w:val="21"/>
                <w:highlight w:val="none"/>
              </w:rPr>
              <w:t>日</w:t>
            </w:r>
            <w:r>
              <w:rPr>
                <w:rFonts w:hint="eastAsia" w:asciiTheme="minorEastAsia" w:hAnsiTheme="minorEastAsia" w:eastAsiaTheme="minorEastAsia" w:cstheme="minorEastAsia"/>
                <w:bCs/>
                <w:color w:val="auto"/>
                <w:sz w:val="21"/>
                <w:szCs w:val="21"/>
                <w:highlight w:val="none"/>
                <w:lang w:eastAsia="zh-CN"/>
              </w:rPr>
              <w:t>（星期</w:t>
            </w:r>
            <w:r>
              <w:rPr>
                <w:rFonts w:hint="eastAsia" w:asciiTheme="minorEastAsia" w:hAnsiTheme="minorEastAsia" w:eastAsiaTheme="minorEastAsia" w:cstheme="minorEastAsia"/>
                <w:bCs/>
                <w:color w:val="auto"/>
                <w:sz w:val="21"/>
                <w:szCs w:val="21"/>
                <w:highlight w:val="none"/>
                <w:lang w:val="en-US" w:eastAsia="zh-CN"/>
              </w:rPr>
              <w:t>五</w:t>
            </w:r>
            <w:r>
              <w:rPr>
                <w:rFonts w:hint="eastAsia" w:asciiTheme="minorEastAsia" w:hAnsiTheme="minorEastAsia" w:eastAsiaTheme="minorEastAsia" w:cstheme="minorEastAsia"/>
                <w:bCs/>
                <w:color w:val="auto"/>
                <w:sz w:val="21"/>
                <w:szCs w:val="21"/>
                <w:highlight w:val="none"/>
                <w:lang w:eastAsia="zh-CN"/>
              </w:rPr>
              <w:t>）</w:t>
            </w:r>
            <w:r>
              <w:rPr>
                <w:rFonts w:hint="eastAsia" w:asciiTheme="minorEastAsia" w:hAnsiTheme="minorEastAsia" w:eastAsiaTheme="minorEastAsia" w:cstheme="minorEastAsia"/>
                <w:bCs/>
                <w:color w:val="auto"/>
                <w:sz w:val="21"/>
                <w:szCs w:val="21"/>
                <w:highlight w:val="none"/>
                <w:lang w:val="en-US" w:eastAsia="zh-CN"/>
              </w:rPr>
              <w:t>09</w:t>
            </w:r>
            <w:r>
              <w:rPr>
                <w:rFonts w:hint="eastAsia" w:asciiTheme="minorEastAsia" w:hAnsiTheme="minorEastAsia" w:eastAsiaTheme="minorEastAsia" w:cstheme="minorEastAsia"/>
                <w:bCs/>
                <w:color w:val="auto"/>
                <w:sz w:val="21"/>
                <w:szCs w:val="21"/>
                <w:highlight w:val="none"/>
              </w:rPr>
              <w:t>时</w:t>
            </w:r>
            <w:r>
              <w:rPr>
                <w:rFonts w:hint="eastAsia" w:asciiTheme="minorEastAsia" w:hAnsiTheme="minorEastAsia" w:eastAsiaTheme="minorEastAsia" w:cstheme="minorEastAsia"/>
                <w:bCs/>
                <w:color w:val="auto"/>
                <w:sz w:val="21"/>
                <w:szCs w:val="21"/>
                <w:highlight w:val="none"/>
                <w:lang w:val="en-US" w:eastAsia="zh-CN"/>
              </w:rPr>
              <w:t>3</w:t>
            </w:r>
            <w:r>
              <w:rPr>
                <w:rFonts w:hint="eastAsia" w:asciiTheme="minorEastAsia" w:hAnsiTheme="minorEastAsia" w:eastAsiaTheme="minorEastAsia" w:cstheme="minorEastAsia"/>
                <w:bCs/>
                <w:color w:val="auto"/>
                <w:sz w:val="21"/>
                <w:szCs w:val="21"/>
                <w:highlight w:val="none"/>
              </w:rPr>
              <w:t>0分</w:t>
            </w:r>
          </w:p>
          <w:p w14:paraId="33B02F67">
            <w:pPr>
              <w:spacing w:line="360" w:lineRule="auto"/>
              <w:rPr>
                <w:rFonts w:hint="eastAsia" w:asciiTheme="minorEastAsia" w:hAnsiTheme="minorEastAsia" w:eastAsiaTheme="minorEastAsia" w:cstheme="minorEastAsia"/>
                <w:bCs/>
                <w:color w:val="auto"/>
                <w:szCs w:val="21"/>
                <w:highlight w:val="none"/>
              </w:rPr>
            </w:pPr>
            <w:r>
              <w:rPr>
                <w:rFonts w:hint="eastAsia" w:asciiTheme="minorEastAsia" w:hAnsiTheme="minorEastAsia" w:eastAsiaTheme="minorEastAsia" w:cstheme="minorEastAsia"/>
                <w:bCs/>
                <w:color w:val="auto"/>
                <w:szCs w:val="21"/>
                <w:highlight w:val="none"/>
              </w:rPr>
              <w:t>地点：</w:t>
            </w:r>
            <w:r>
              <w:rPr>
                <w:rFonts w:hint="eastAsia" w:asciiTheme="minorEastAsia" w:hAnsiTheme="minorEastAsia" w:eastAsiaTheme="minorEastAsia" w:cstheme="minorEastAsia"/>
                <w:b w:val="0"/>
                <w:bCs/>
                <w:color w:val="auto"/>
                <w:sz w:val="21"/>
                <w:szCs w:val="21"/>
                <w:highlight w:val="none"/>
              </w:rPr>
              <w:t>广州</w:t>
            </w:r>
            <w:r>
              <w:rPr>
                <w:rFonts w:hint="eastAsia" w:asciiTheme="minorEastAsia" w:hAnsiTheme="minorEastAsia" w:eastAsiaTheme="minorEastAsia" w:cstheme="minorEastAsia"/>
                <w:b w:val="0"/>
                <w:bCs/>
                <w:color w:val="auto"/>
                <w:sz w:val="21"/>
                <w:szCs w:val="21"/>
                <w:highlight w:val="none"/>
                <w:lang w:eastAsia="zh-CN"/>
              </w:rPr>
              <w:t>市</w:t>
            </w:r>
            <w:r>
              <w:rPr>
                <w:rFonts w:hint="eastAsia" w:asciiTheme="minorEastAsia" w:hAnsiTheme="minorEastAsia" w:eastAsiaTheme="minorEastAsia" w:cstheme="minorEastAsia"/>
                <w:b w:val="0"/>
                <w:bCs/>
                <w:color w:val="auto"/>
                <w:sz w:val="21"/>
                <w:szCs w:val="21"/>
                <w:highlight w:val="none"/>
              </w:rPr>
              <w:t>南沙区</w:t>
            </w:r>
            <w:r>
              <w:rPr>
                <w:rFonts w:hint="eastAsia" w:asciiTheme="minorEastAsia" w:hAnsiTheme="minorEastAsia" w:eastAsiaTheme="minorEastAsia" w:cstheme="minorEastAsia"/>
                <w:b w:val="0"/>
                <w:bCs/>
                <w:color w:val="auto"/>
                <w:sz w:val="21"/>
                <w:szCs w:val="21"/>
                <w:highlight w:val="none"/>
                <w:lang w:val="en-US" w:eastAsia="zh-CN"/>
              </w:rPr>
              <w:t>环市大道中富汇街3号楼5楼会议</w:t>
            </w:r>
            <w:r>
              <w:rPr>
                <w:rFonts w:hint="eastAsia" w:asciiTheme="minorEastAsia" w:hAnsiTheme="minorEastAsia" w:eastAsiaTheme="minorEastAsia" w:cstheme="minorEastAsia"/>
                <w:b w:val="0"/>
                <w:bCs/>
                <w:color w:val="auto"/>
                <w:sz w:val="21"/>
                <w:szCs w:val="21"/>
                <w:highlight w:val="none"/>
              </w:rPr>
              <w:t>室</w:t>
            </w:r>
          </w:p>
          <w:p w14:paraId="233265D6">
            <w:pPr>
              <w:spacing w:line="360" w:lineRule="auto"/>
              <w:rPr>
                <w:rFonts w:hint="eastAsia" w:asciiTheme="minorEastAsia" w:hAnsiTheme="minorEastAsia" w:eastAsiaTheme="minorEastAsia" w:cstheme="minorEastAsia"/>
                <w:b w:val="0"/>
                <w:bCs/>
                <w:color w:val="auto"/>
                <w:szCs w:val="21"/>
                <w:highlight w:val="none"/>
              </w:rPr>
            </w:pPr>
            <w:r>
              <w:rPr>
                <w:rFonts w:hint="eastAsia" w:asciiTheme="minorEastAsia" w:hAnsiTheme="minorEastAsia" w:eastAsiaTheme="minorEastAsia" w:cstheme="minorEastAsia"/>
                <w:bCs/>
                <w:color w:val="auto"/>
                <w:szCs w:val="21"/>
                <w:highlight w:val="none"/>
              </w:rPr>
              <w:t>请各投标人的法定代表人或其有效授权委托人务必准时出席，并须带本人身份证以供招标人审查，否则作弃权处理。</w:t>
            </w:r>
          </w:p>
        </w:tc>
      </w:tr>
      <w:tr w14:paraId="62F1C87D">
        <w:tblPrEx>
          <w:tblCellMar>
            <w:top w:w="0" w:type="dxa"/>
            <w:left w:w="108" w:type="dxa"/>
            <w:bottom w:w="0" w:type="dxa"/>
            <w:right w:w="108" w:type="dxa"/>
          </w:tblCellMar>
        </w:tblPrEx>
        <w:trPr>
          <w:jc w:val="center"/>
        </w:trPr>
        <w:tc>
          <w:tcPr>
            <w:tcW w:w="720" w:type="dxa"/>
            <w:tcBorders>
              <w:top w:val="single" w:color="auto" w:sz="4" w:space="0"/>
              <w:left w:val="double" w:color="auto" w:sz="2" w:space="0"/>
              <w:bottom w:val="single" w:color="auto" w:sz="4" w:space="0"/>
              <w:right w:val="single" w:color="auto" w:sz="4" w:space="0"/>
            </w:tcBorders>
            <w:shd w:val="clear" w:color="auto" w:fill="auto"/>
            <w:vAlign w:val="center"/>
          </w:tcPr>
          <w:p w14:paraId="5626FABF">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20</w:t>
            </w:r>
          </w:p>
        </w:tc>
        <w:tc>
          <w:tcPr>
            <w:tcW w:w="990" w:type="dxa"/>
            <w:tcBorders>
              <w:top w:val="single" w:color="auto" w:sz="4" w:space="0"/>
              <w:left w:val="single" w:color="auto" w:sz="4" w:space="0"/>
              <w:bottom w:val="single" w:color="auto" w:sz="4" w:space="0"/>
              <w:right w:val="single" w:color="auto" w:sz="4" w:space="0"/>
            </w:tcBorders>
            <w:shd w:val="clear" w:color="auto" w:fill="auto"/>
            <w:vAlign w:val="center"/>
          </w:tcPr>
          <w:p w14:paraId="23405556">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27.3</w:t>
            </w:r>
          </w:p>
        </w:tc>
        <w:tc>
          <w:tcPr>
            <w:tcW w:w="1706" w:type="dxa"/>
            <w:tcBorders>
              <w:top w:val="single" w:color="auto" w:sz="4" w:space="0"/>
              <w:left w:val="single" w:color="auto" w:sz="4" w:space="0"/>
              <w:bottom w:val="single" w:color="auto" w:sz="4" w:space="0"/>
              <w:right w:val="single" w:color="auto" w:sz="4" w:space="0"/>
            </w:tcBorders>
            <w:shd w:val="clear" w:color="auto" w:fill="auto"/>
            <w:vAlign w:val="center"/>
          </w:tcPr>
          <w:p w14:paraId="13AB53A2">
            <w:pPr>
              <w:pStyle w:val="2"/>
              <w:widowControl/>
              <w:spacing w:after="0" w:line="360" w:lineRule="auto"/>
              <w:ind w:firstLine="0"/>
              <w:jc w:val="center"/>
              <w:rPr>
                <w:rFonts w:hint="eastAsia" w:asciiTheme="minorEastAsia" w:hAnsiTheme="minorEastAsia" w:eastAsiaTheme="minorEastAsia" w:cstheme="minorEastAsia"/>
                <w:color w:val="auto"/>
                <w:highlight w:val="none"/>
              </w:rPr>
            </w:pPr>
            <w:r>
              <w:rPr>
                <w:rFonts w:hint="eastAsia" w:asciiTheme="minorEastAsia" w:hAnsiTheme="minorEastAsia" w:eastAsiaTheme="minorEastAsia" w:cstheme="minorEastAsia"/>
                <w:color w:val="auto"/>
                <w:highlight w:val="none"/>
              </w:rPr>
              <w:t>评标方法</w:t>
            </w:r>
          </w:p>
        </w:tc>
        <w:tc>
          <w:tcPr>
            <w:tcW w:w="6293" w:type="dxa"/>
            <w:tcBorders>
              <w:top w:val="single" w:color="auto" w:sz="4" w:space="0"/>
              <w:left w:val="single" w:color="auto" w:sz="4" w:space="0"/>
              <w:bottom w:val="single" w:color="auto" w:sz="4" w:space="0"/>
              <w:right w:val="double" w:color="auto" w:sz="2" w:space="0"/>
            </w:tcBorders>
            <w:shd w:val="clear" w:color="auto" w:fill="auto"/>
            <w:vAlign w:val="center"/>
          </w:tcPr>
          <w:p w14:paraId="2E93F877">
            <w:pPr>
              <w:spacing w:line="360" w:lineRule="auto"/>
              <w:rPr>
                <w:rFonts w:hint="eastAsia" w:asciiTheme="minorEastAsia" w:hAnsiTheme="minorEastAsia" w:eastAsiaTheme="minorEastAsia" w:cstheme="minorEastAsia"/>
                <w:color w:val="auto"/>
                <w:szCs w:val="21"/>
                <w:highlight w:val="none"/>
              </w:rPr>
            </w:pPr>
            <w:r>
              <w:rPr>
                <w:rFonts w:hint="eastAsia" w:asciiTheme="minorEastAsia" w:hAnsiTheme="minorEastAsia" w:eastAsiaTheme="minorEastAsia" w:cstheme="minorEastAsia"/>
                <w:color w:val="auto"/>
                <w:szCs w:val="21"/>
                <w:highlight w:val="none"/>
              </w:rPr>
              <w:t>综合评分法</w:t>
            </w:r>
          </w:p>
        </w:tc>
      </w:tr>
    </w:tbl>
    <w:p w14:paraId="479962A0">
      <w:pPr>
        <w:rPr>
          <w:rFonts w:ascii="宋体" w:hAnsi="宋体" w:eastAsia="宋体" w:cs="宋体"/>
          <w:color w:val="auto"/>
          <w:highlight w:val="none"/>
        </w:rPr>
      </w:pPr>
      <w:r>
        <w:rPr>
          <w:rFonts w:hint="eastAsia" w:ascii="宋体" w:hAnsi="宋体" w:eastAsia="宋体" w:cs="宋体"/>
          <w:color w:val="auto"/>
          <w:szCs w:val="21"/>
          <w:highlight w:val="none"/>
        </w:rPr>
        <w:t xml:space="preserve"> </w:t>
      </w:r>
    </w:p>
    <w:p w14:paraId="7496E7B0">
      <w:pPr>
        <w:spacing w:line="360" w:lineRule="auto"/>
        <w:jc w:val="center"/>
        <w:rPr>
          <w:b/>
          <w:color w:val="auto"/>
          <w:highlight w:val="none"/>
        </w:rPr>
      </w:pPr>
      <w:r>
        <w:rPr>
          <w:b/>
          <w:color w:val="auto"/>
          <w:highlight w:val="none"/>
        </w:rPr>
        <w:t xml:space="preserve"> </w:t>
      </w:r>
    </w:p>
    <w:p w14:paraId="28FA7F44">
      <w:pPr>
        <w:rPr>
          <w:b/>
          <w:color w:val="auto"/>
          <w:highlight w:val="none"/>
        </w:rPr>
      </w:pPr>
      <w:r>
        <w:rPr>
          <w:b/>
          <w:color w:val="auto"/>
          <w:highlight w:val="none"/>
        </w:rPr>
        <w:br w:type="page"/>
      </w:r>
    </w:p>
    <w:p w14:paraId="64FC06BC">
      <w:pPr>
        <w:spacing w:line="360" w:lineRule="auto"/>
        <w:jc w:val="center"/>
        <w:outlineLvl w:val="1"/>
        <w:rPr>
          <w:rFonts w:ascii="宋体" w:hAnsi="宋体" w:eastAsia="宋体" w:cs="宋体"/>
          <w:b/>
          <w:color w:val="auto"/>
          <w:sz w:val="36"/>
          <w:szCs w:val="36"/>
          <w:highlight w:val="none"/>
        </w:rPr>
      </w:pPr>
      <w:r>
        <w:rPr>
          <w:rFonts w:hint="eastAsia" w:ascii="宋体" w:hAnsi="宋体" w:eastAsia="宋体" w:cs="宋体"/>
          <w:b/>
          <w:color w:val="auto"/>
          <w:sz w:val="36"/>
          <w:szCs w:val="36"/>
          <w:highlight w:val="none"/>
        </w:rPr>
        <w:t>二、投标须知</w:t>
      </w:r>
    </w:p>
    <w:p w14:paraId="059BCD29">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（一）总则</w:t>
      </w:r>
    </w:p>
    <w:p w14:paraId="2ACE60D3">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1．定义</w:t>
      </w:r>
    </w:p>
    <w:p w14:paraId="278F3D8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本招标文件使用的下列词语具有如下规定的意义：</w:t>
      </w:r>
    </w:p>
    <w:p w14:paraId="0DA27800">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1.1 “招标人”（即委托人）指</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14:paraId="5F659680">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1.2 “项目</w:t>
      </w:r>
      <w:r>
        <w:rPr>
          <w:rFonts w:hint="eastAsia" w:ascii="宋体" w:hAnsi="宋体" w:eastAsia="宋体" w:cs="宋体"/>
          <w:color w:val="auto"/>
          <w:sz w:val="24"/>
          <w:highlight w:val="none"/>
          <w:lang w:eastAsia="zh-CN"/>
        </w:rPr>
        <w:t>代业主单位</w:t>
      </w:r>
      <w:r>
        <w:rPr>
          <w:rFonts w:hint="eastAsia" w:ascii="宋体" w:hAnsi="宋体" w:eastAsia="宋体" w:cs="宋体"/>
          <w:color w:val="auto"/>
          <w:sz w:val="24"/>
          <w:highlight w:val="none"/>
        </w:rPr>
        <w:t>”指</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w:t>
      </w:r>
    </w:p>
    <w:p w14:paraId="7B6CBCF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1.3 “投标人”指向招标人提交投标文件的当事人。</w:t>
      </w:r>
    </w:p>
    <w:p w14:paraId="63634AF3">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1.4 “承包商”指被招标人接受并与其签订承包合同的当事人</w:t>
      </w:r>
      <w:r>
        <w:rPr>
          <w:rFonts w:hint="eastAsia" w:ascii="宋体" w:hAnsi="宋体" w:eastAsia="宋体" w:cs="宋体"/>
          <w:color w:val="auto"/>
          <w:sz w:val="24"/>
          <w:highlight w:val="none"/>
          <w:lang w:eastAsia="zh-CN"/>
        </w:rPr>
        <w:t>。</w:t>
      </w:r>
    </w:p>
    <w:p w14:paraId="496B7EF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1.5 “招标代理”指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24A2ADC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1.6 “设计人”指</w:t>
      </w:r>
      <w:r>
        <w:rPr>
          <w:rFonts w:hint="eastAsia" w:ascii="宋体" w:hAnsi="宋体" w:eastAsia="宋体" w:cs="宋体"/>
          <w:color w:val="auto"/>
          <w:sz w:val="24"/>
          <w:highlight w:val="none"/>
          <w:u w:val="single"/>
        </w:rPr>
        <w:t xml:space="preserve">   /  </w:t>
      </w:r>
      <w:r>
        <w:rPr>
          <w:rFonts w:hint="eastAsia" w:ascii="宋体" w:hAnsi="宋体" w:eastAsia="宋体" w:cs="宋体"/>
          <w:color w:val="auto"/>
          <w:sz w:val="24"/>
          <w:highlight w:val="none"/>
        </w:rPr>
        <w:t>。</w:t>
      </w:r>
    </w:p>
    <w:p w14:paraId="754024E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7</w:t>
      </w:r>
      <w:r>
        <w:rPr>
          <w:rFonts w:hint="eastAsia" w:ascii="宋体" w:hAnsi="宋体" w:eastAsia="宋体" w:cs="宋体"/>
          <w:color w:val="auto"/>
          <w:sz w:val="24"/>
          <w:highlight w:val="none"/>
        </w:rPr>
        <w:t xml:space="preserve"> “招标文件”指由招标代理发出的本文件（包括全部章节、附件）及澄清补充文件。</w:t>
      </w:r>
    </w:p>
    <w:p w14:paraId="585B4DB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w:t>
      </w:r>
      <w:r>
        <w:rPr>
          <w:rFonts w:hint="eastAsia" w:ascii="宋体" w:hAnsi="宋体" w:eastAsia="宋体" w:cs="宋体"/>
          <w:color w:val="auto"/>
          <w:sz w:val="24"/>
          <w:highlight w:val="none"/>
          <w:lang w:val="en-US" w:eastAsia="zh-CN"/>
        </w:rPr>
        <w:t>8</w:t>
      </w:r>
      <w:r>
        <w:rPr>
          <w:rFonts w:hint="eastAsia" w:ascii="宋体" w:hAnsi="宋体" w:eastAsia="宋体" w:cs="宋体"/>
          <w:color w:val="auto"/>
          <w:sz w:val="24"/>
          <w:highlight w:val="none"/>
        </w:rPr>
        <w:t xml:space="preserve"> “投标文件”指投标人根据本招标文件向招标人提交的全部文件。</w:t>
      </w:r>
    </w:p>
    <w:p w14:paraId="4E68A4F4">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w:t>
      </w:r>
      <w:r>
        <w:rPr>
          <w:rFonts w:hint="eastAsia" w:ascii="宋体" w:hAnsi="宋体" w:cs="宋体"/>
          <w:color w:val="auto"/>
          <w:sz w:val="24"/>
          <w:szCs w:val="24"/>
          <w:highlight w:val="none"/>
          <w:lang w:val="en-US" w:eastAsia="zh-CN"/>
        </w:rPr>
        <w:t>9</w:t>
      </w:r>
      <w:r>
        <w:rPr>
          <w:rFonts w:hint="eastAsia" w:ascii="宋体" w:hAnsi="宋体" w:cs="宋体"/>
          <w:color w:val="auto"/>
          <w:sz w:val="24"/>
          <w:szCs w:val="24"/>
          <w:highlight w:val="none"/>
        </w:rPr>
        <w:t>“书面函件”指打字或印刷的函件，包括电传、电报和传真。</w:t>
      </w:r>
    </w:p>
    <w:p w14:paraId="1B8DA189">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2、招标说明</w:t>
      </w:r>
    </w:p>
    <w:p w14:paraId="755E5F2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2.1本招标项目按照《中华人民共和国招标投标法》等有关法律、行政法规和部门规章，采取邀请招标的办法，选择有经验、有实力、社会信誉好的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单位承担</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服务，确保本</w:t>
      </w:r>
      <w:r>
        <w:rPr>
          <w:rFonts w:hint="eastAsia" w:ascii="宋体" w:hAnsi="宋体" w:cs="宋体"/>
          <w:color w:val="auto"/>
          <w:highlight w:val="none"/>
        </w:rPr>
        <w:t>项目</w:t>
      </w:r>
      <w:r>
        <w:rPr>
          <w:rFonts w:hint="eastAsia" w:ascii="宋体" w:hAnsi="宋体" w:eastAsia="宋体" w:cs="宋体"/>
          <w:color w:val="auto"/>
          <w:sz w:val="24"/>
          <w:highlight w:val="none"/>
        </w:rPr>
        <w:t>能按期、优质、经济地完成。</w:t>
      </w:r>
    </w:p>
    <w:p w14:paraId="4794060D">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w:t>
      </w:r>
      <w:r>
        <w:rPr>
          <w:rFonts w:hint="eastAsia" w:ascii="宋体" w:hAnsi="宋体" w:cs="宋体"/>
          <w:color w:val="auto"/>
          <w:highlight w:val="none"/>
        </w:rPr>
        <w:t>项目</w:t>
      </w:r>
      <w:r>
        <w:rPr>
          <w:rFonts w:hint="eastAsia" w:ascii="宋体" w:hAnsi="宋体" w:eastAsia="宋体" w:cs="宋体"/>
          <w:color w:val="auto"/>
          <w:sz w:val="24"/>
          <w:highlight w:val="none"/>
        </w:rPr>
        <w:t>概况：</w:t>
      </w:r>
    </w:p>
    <w:p w14:paraId="0A96667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w:t>
      </w:r>
      <w:r>
        <w:rPr>
          <w:rFonts w:hint="eastAsia" w:ascii="宋体" w:hAnsi="宋体" w:cs="宋体"/>
          <w:color w:val="auto"/>
          <w:highlight w:val="none"/>
        </w:rPr>
        <w:t>项目</w:t>
      </w:r>
      <w:r>
        <w:rPr>
          <w:rFonts w:hint="eastAsia" w:ascii="宋体" w:hAnsi="宋体" w:eastAsia="宋体" w:cs="宋体"/>
          <w:color w:val="auto"/>
          <w:sz w:val="24"/>
          <w:highlight w:val="none"/>
        </w:rPr>
        <w:t>名称：见投标须知前附表第1项。</w:t>
      </w:r>
    </w:p>
    <w:p w14:paraId="5B625E29">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2.2.2建设地点：见投标须知前附表第2项。</w:t>
      </w:r>
    </w:p>
    <w:p w14:paraId="3C066B50">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2.2.3建设规模：见投标须知前附表第3项。</w:t>
      </w:r>
    </w:p>
    <w:p w14:paraId="2E0969EA">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w:t>
      </w:r>
      <w:r>
        <w:rPr>
          <w:rFonts w:hint="eastAsia" w:ascii="宋体" w:hAnsi="宋体" w:eastAsia="宋体" w:cs="宋体"/>
          <w:color w:val="auto"/>
          <w:sz w:val="24"/>
          <w:highlight w:val="none"/>
          <w:lang w:eastAsia="zh-CN"/>
        </w:rPr>
        <w:t>项目预算</w:t>
      </w:r>
      <w:r>
        <w:rPr>
          <w:rFonts w:hint="eastAsia" w:ascii="宋体" w:hAnsi="宋体" w:eastAsia="宋体" w:cs="宋体"/>
          <w:color w:val="auto"/>
          <w:sz w:val="24"/>
          <w:highlight w:val="none"/>
        </w:rPr>
        <w:t>：见投标须知前附表第4项。</w:t>
      </w:r>
    </w:p>
    <w:p w14:paraId="3987BB0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2.2.5</w:t>
      </w:r>
      <w:r>
        <w:rPr>
          <w:rFonts w:hint="eastAsia" w:ascii="宋体" w:hAnsi="宋体" w:eastAsia="宋体" w:cs="宋体"/>
          <w:color w:val="auto"/>
          <w:sz w:val="24"/>
          <w:highlight w:val="none"/>
          <w:lang w:eastAsia="zh-CN"/>
        </w:rPr>
        <w:t>质量</w:t>
      </w:r>
      <w:r>
        <w:rPr>
          <w:rFonts w:hint="eastAsia" w:ascii="宋体" w:hAnsi="宋体" w:eastAsia="宋体" w:cs="宋体"/>
          <w:color w:val="auto"/>
          <w:sz w:val="24"/>
          <w:highlight w:val="none"/>
        </w:rPr>
        <w:t>目标：见投标须知前附表第5项。</w:t>
      </w:r>
    </w:p>
    <w:p w14:paraId="51CB1978">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2.3招标范围及服务期及专业配套要求</w:t>
      </w:r>
    </w:p>
    <w:p w14:paraId="4889527B">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2.3.1 本招标项目的招标范围：见投标须知前附表第6项。</w:t>
      </w:r>
    </w:p>
    <w:p w14:paraId="6AB2EBCE">
      <w:pPr>
        <w:spacing w:line="500" w:lineRule="exact"/>
        <w:ind w:left="-1"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2.3.2 本招标项目的</w:t>
      </w:r>
      <w:r>
        <w:rPr>
          <w:rFonts w:hint="eastAsia" w:ascii="宋体" w:hAnsi="宋体" w:eastAsia="宋体" w:cs="宋体"/>
          <w:color w:val="auto"/>
          <w:sz w:val="24"/>
          <w:highlight w:val="none"/>
          <w:lang w:eastAsia="zh-CN"/>
        </w:rPr>
        <w:t>监理</w:t>
      </w:r>
      <w:r>
        <w:rPr>
          <w:rFonts w:hint="eastAsia" w:ascii="宋体" w:hAnsi="宋体" w:eastAsia="宋体" w:cs="宋体"/>
          <w:color w:val="auto"/>
          <w:sz w:val="24"/>
          <w:highlight w:val="none"/>
        </w:rPr>
        <w:t>服务期要求：见投标须知前附表第7项。</w:t>
      </w:r>
    </w:p>
    <w:p w14:paraId="2CCA1C65">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3．资金来源</w:t>
      </w:r>
    </w:p>
    <w:p w14:paraId="52944A2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本招标项目资金来源见投标须知前附表第8项。</w:t>
      </w:r>
    </w:p>
    <w:p w14:paraId="65855F82">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4．合格投标人的条件</w:t>
      </w:r>
    </w:p>
    <w:p w14:paraId="7B71EC67">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详见投标须知前附表第9项。</w:t>
      </w:r>
    </w:p>
    <w:p w14:paraId="07E9ABEC">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5．踏勘现场</w:t>
      </w:r>
    </w:p>
    <w:p w14:paraId="73E86485">
      <w:pPr>
        <w:spacing w:line="360" w:lineRule="auto"/>
        <w:ind w:firstLine="480" w:firstLineChars="200"/>
        <w:rPr>
          <w:rFonts w:ascii="宋体" w:hAnsi="宋体" w:eastAsia="宋体" w:cs="宋体"/>
          <w:color w:val="auto"/>
          <w:sz w:val="24"/>
          <w:highlight w:val="none"/>
          <w:u w:val="single"/>
        </w:rPr>
      </w:pPr>
      <w:r>
        <w:rPr>
          <w:rFonts w:hint="eastAsia" w:ascii="宋体" w:hAnsi="宋体" w:eastAsia="宋体" w:cs="宋体"/>
          <w:color w:val="auto"/>
          <w:sz w:val="24"/>
          <w:highlight w:val="none"/>
        </w:rPr>
        <w:t>5.1投标人应对各个项目现场及周围环境自行踏勘，投标人应充分重视和仔细地进行这种考察，以便投标人获取那些须投标人自己负责的有关编制投标文件和签署合同所涉及现场所有的资料。一旦中标，这种考察即被认为其结果已在中标文件中得到充分反映。考察现场的费用由投标人自己承担。</w:t>
      </w:r>
    </w:p>
    <w:p w14:paraId="2F49AF42">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5.2招标人向投标人提供的有关现场的数据和资料，是招标人现有的能被投标人利用的资料，招标人对投标人做出的任何推论、理解和结论均不负责任。</w:t>
      </w:r>
    </w:p>
    <w:p w14:paraId="4FF5B158">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5.3经招标人允许，投标人可为踏勘目的进入招标人的项目现场，投标人及其代表必须承担那些进入现场后，由于他们的行为所造成的人身伤害（不管是否致命）、财产损失或损坏，以及其他任何原因造成的损失、损坏或费用。招标人在投标人及其代表考察过程中不负任何责任。但投标人不得因此使招标人承担有关的责任和蒙受损失。投标人应承担踏勘现场的责任和风险。</w:t>
      </w:r>
    </w:p>
    <w:p w14:paraId="1176474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6．投标费用</w:t>
      </w:r>
    </w:p>
    <w:p w14:paraId="0F1DFA9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6.1不论投标结果如何，投标人应承担购买招标文件等相关资料及其投标文件编制与递交所涉及的一切费用。</w:t>
      </w:r>
    </w:p>
    <w:p w14:paraId="402C625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6.2投标人应承担其参加本招标活动自身所发生的其他一切费用，招标人对上述费用均不负任何责任。</w:t>
      </w:r>
    </w:p>
    <w:p w14:paraId="0630748B">
      <w:pPr>
        <w:spacing w:line="360" w:lineRule="auto"/>
        <w:ind w:firstLine="241" w:firstLineChars="1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（二）招标文件</w:t>
      </w:r>
    </w:p>
    <w:p w14:paraId="3D551870">
      <w:pPr>
        <w:spacing w:line="360" w:lineRule="auto"/>
        <w:ind w:firstLine="482" w:firstLineChars="200"/>
        <w:outlineLvl w:val="3"/>
        <w:rPr>
          <w:rFonts w:ascii="宋体" w:hAnsi="宋体" w:eastAsia="宋体" w:cs="宋体"/>
          <w:b/>
          <w:color w:val="auto"/>
          <w:sz w:val="24"/>
          <w:highlight w:val="none"/>
        </w:rPr>
      </w:pPr>
      <w:r>
        <w:rPr>
          <w:rFonts w:hint="eastAsia" w:ascii="宋体" w:hAnsi="宋体" w:eastAsia="宋体" w:cs="宋体"/>
          <w:b/>
          <w:color w:val="auto"/>
          <w:sz w:val="24"/>
          <w:highlight w:val="none"/>
        </w:rPr>
        <w:t>7.招标文件的组成</w:t>
      </w:r>
    </w:p>
    <w:p w14:paraId="22940AD1">
      <w:pPr>
        <w:pStyle w:val="2"/>
        <w:widowControl/>
        <w:spacing w:after="0" w:line="360" w:lineRule="auto"/>
        <w:ind w:firstLine="480" w:firstLineChars="200"/>
        <w:rPr>
          <w:rFonts w:ascii="宋体" w:hAnsi="宋体" w:cs="宋体"/>
          <w:b/>
          <w:color w:val="auto"/>
          <w:sz w:val="24"/>
          <w:szCs w:val="24"/>
          <w:highlight w:val="none"/>
        </w:rPr>
      </w:pPr>
      <w:r>
        <w:rPr>
          <w:rFonts w:hint="eastAsia" w:ascii="宋体" w:hAnsi="宋体" w:cs="宋体"/>
          <w:color w:val="auto"/>
          <w:sz w:val="24"/>
          <w:szCs w:val="24"/>
          <w:highlight w:val="none"/>
        </w:rPr>
        <w:t>7.1本招标文件包括下列文件，以及所有按本须知第8条发出的招标答疑会会议纪要和按本须知第9条发出的澄清或修改：</w:t>
      </w:r>
    </w:p>
    <w:p w14:paraId="71460941">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1）投标须知及前附表</w:t>
      </w:r>
    </w:p>
    <w:p w14:paraId="631F658F">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2）投标文件格式</w:t>
      </w:r>
    </w:p>
    <w:p w14:paraId="6ADB69B2">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3）服务合同（另附）</w:t>
      </w:r>
    </w:p>
    <w:p w14:paraId="07E9D8B3">
      <w:pPr>
        <w:spacing w:line="360" w:lineRule="auto"/>
        <w:ind w:firstLine="480" w:firstLineChars="200"/>
        <w:rPr>
          <w:rFonts w:ascii="黑体" w:hAnsi="华文楷体" w:eastAsia="黑体" w:cs="黑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4）评标办法</w:t>
      </w:r>
    </w:p>
    <w:p w14:paraId="7C0D6569">
      <w:pPr>
        <w:spacing w:line="360" w:lineRule="auto"/>
        <w:ind w:firstLine="480" w:firstLineChars="200"/>
        <w:rPr>
          <w:rFonts w:ascii="宋体" w:hAnsi="宋体" w:eastAsia="宋体" w:cs="宋体"/>
          <w:color w:val="auto"/>
          <w:sz w:val="24"/>
          <w:highlight w:val="none"/>
        </w:rPr>
      </w:pPr>
      <w:r>
        <w:rPr>
          <w:rFonts w:hint="eastAsia" w:ascii="黑体" w:hAnsi="宋体" w:eastAsia="黑体" w:cs="黑体"/>
          <w:color w:val="auto"/>
          <w:sz w:val="24"/>
          <w:highlight w:val="none"/>
        </w:rPr>
        <w:t>（</w:t>
      </w:r>
      <w:r>
        <w:rPr>
          <w:rFonts w:hint="eastAsia" w:ascii="黑体" w:hAnsi="华文楷体" w:eastAsia="黑体" w:cs="黑体"/>
          <w:color w:val="auto"/>
          <w:sz w:val="24"/>
          <w:highlight w:val="none"/>
        </w:rPr>
        <w:t>5）附件</w:t>
      </w:r>
    </w:p>
    <w:p w14:paraId="5B5440F0">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7.2除7.1内容外，招标人在提交投标文件截止时间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天前，以书面形式发出的对招标文件的澄清或修改内容，均为招标文件的组成部分，对招标人和投标人起约束作用。</w:t>
      </w:r>
    </w:p>
    <w:p w14:paraId="7649D2B9">
      <w:pPr>
        <w:pStyle w:val="2"/>
        <w:widowControl/>
        <w:spacing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7.3投标人获取招标文件后，应仔细检查招标文件的所有内容，如有残缺等问题应在获得招标文件3日内向招标人提出，否则，由此引起的损失由投标人自己承担。投标人同时应认真审阅招标文件中所有的事项、格式、条款和规范要求等，若投标人的投标文件没有按招标文件要求提交全部资料，或投标文件实质上没有响应招标文件的要求，招标人将有权予以拒绝，并且不允许投标人通过修改或撤消其不符合要求的差异或保留使之成为具有响应性的投标文件。</w:t>
      </w:r>
    </w:p>
    <w:p w14:paraId="2AC814F1">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8．招标答疑</w:t>
      </w:r>
    </w:p>
    <w:p w14:paraId="65382FEA">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8.1投标人若对招标文件中有疑问，可以书面形式提交或传真给招标人或招标代理人，提交或传真地点见投标须知前附表第13项要求。招标人或招标代理人将于投标须知前附表第13项指定的地点和时间对疑问进行答复。</w:t>
      </w:r>
    </w:p>
    <w:p w14:paraId="58D2DC33">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8.2招标答疑会会议纪要将在提交投标文件截止时间3日前以书面形式答复给所有投标人，投标人收到答疑纪要后24小时内以书面形式确认收到。如投标人届时无书面确认，招标人将在合适的第三方见证下再次发出招标答疑会会议纪要，并以发出时间作为送达时间。</w:t>
      </w:r>
    </w:p>
    <w:p w14:paraId="3678ED21">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8.3答疑会会议纪要为招标文件的一部分。</w:t>
      </w:r>
    </w:p>
    <w:p w14:paraId="43CA823F">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8.4若招标答疑会会议纪要与招标文件有矛盾，以答疑会议纪要最后发出的书面文件为准。</w:t>
      </w:r>
    </w:p>
    <w:p w14:paraId="60CAA4F2">
      <w:pPr>
        <w:spacing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9.招标文件的澄清与修改</w:t>
      </w:r>
    </w:p>
    <w:p w14:paraId="77655FE6">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9.1招标文件发出后,在提交投标文件截止时间</w:t>
      </w:r>
      <w:r>
        <w:rPr>
          <w:rFonts w:hint="eastAsia" w:ascii="宋体" w:hAnsi="宋体" w:cs="宋体"/>
          <w:b/>
          <w:color w:val="auto"/>
          <w:sz w:val="24"/>
          <w:szCs w:val="24"/>
          <w:highlight w:val="none"/>
          <w:u w:val="single"/>
          <w:lang w:val="en-US" w:eastAsia="zh-CN"/>
        </w:rPr>
        <w:t>1</w:t>
      </w:r>
      <w:r>
        <w:rPr>
          <w:rFonts w:hint="eastAsia" w:ascii="宋体" w:hAnsi="宋体" w:cs="宋体"/>
          <w:color w:val="auto"/>
          <w:sz w:val="24"/>
          <w:szCs w:val="24"/>
          <w:highlight w:val="none"/>
        </w:rPr>
        <w:t>日前，招标人可对招标文件进行必要的澄清或修改。</w:t>
      </w:r>
    </w:p>
    <w:p w14:paraId="6037E664">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9.2招标文件的修改将以书面形式发送给所有投标人，投标人应于收到该修改文件后24小时内，以书面形式给予确认，招标文件的修改内容作为招标文件的组成部分，具有约束作用。</w:t>
      </w:r>
    </w:p>
    <w:p w14:paraId="7FE6AD5A">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9.3招标文件的澄清、修改、补充等内容均以书面形式明确的内容为准。当招标文件的澄清、修改、补充等在同一内容的表述不一致时，以最后发出的书面文件为准。</w:t>
      </w:r>
    </w:p>
    <w:p w14:paraId="754FA02F">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9.4为使投标人在编制投标文件时有充分的时间对招标文件的澄清、修改、补充等内容考虑进去，招标人将酌情延长提交投标文件的截止时间，具体时间将在招标文件的修改、补充通知中予以明确。若通知中没有明确延长时间，即表示投标时间不延长。</w:t>
      </w:r>
    </w:p>
    <w:p w14:paraId="0C30B0D0">
      <w:pPr>
        <w:pStyle w:val="2"/>
        <w:widowControl/>
        <w:spacing w:beforeAutospacing="0" w:after="0" w:line="360" w:lineRule="auto"/>
        <w:ind w:firstLine="482" w:firstLineChars="200"/>
        <w:outlineLvl w:val="2"/>
        <w:rPr>
          <w:rFonts w:ascii="宋体" w:hAnsi="宋体" w:cs="宋体"/>
          <w:b/>
          <w:color w:val="auto"/>
          <w:sz w:val="24"/>
          <w:szCs w:val="24"/>
          <w:highlight w:val="none"/>
        </w:rPr>
      </w:pPr>
      <w:r>
        <w:rPr>
          <w:rFonts w:hint="eastAsia" w:ascii="宋体" w:hAnsi="宋体" w:cs="宋体"/>
          <w:b/>
          <w:color w:val="auto"/>
          <w:sz w:val="24"/>
          <w:szCs w:val="24"/>
          <w:highlight w:val="none"/>
        </w:rPr>
        <w:t>（三）投标文件的编制</w:t>
      </w:r>
    </w:p>
    <w:p w14:paraId="7557E2BA">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10．投标文件的语言及度量衡单位</w:t>
      </w:r>
    </w:p>
    <w:p w14:paraId="1D61D075">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10.1 投标文件和与投标有关的所有文件均应使用</w:t>
      </w:r>
      <w:r>
        <w:rPr>
          <w:rFonts w:hint="eastAsia" w:ascii="宋体" w:hAnsi="宋体" w:cs="宋体"/>
          <w:color w:val="auto"/>
          <w:sz w:val="24"/>
          <w:szCs w:val="24"/>
          <w:highlight w:val="none"/>
          <w:u w:val="single"/>
        </w:rPr>
        <w:t>中文</w:t>
      </w:r>
      <w:r>
        <w:rPr>
          <w:rFonts w:hint="eastAsia" w:ascii="宋体" w:hAnsi="宋体" w:cs="宋体"/>
          <w:color w:val="auto"/>
          <w:sz w:val="24"/>
          <w:szCs w:val="24"/>
          <w:highlight w:val="none"/>
        </w:rPr>
        <w:t>。</w:t>
      </w:r>
    </w:p>
    <w:p w14:paraId="5C6A0574">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10.2 除项目规范另有规定外，投标文件使用的度量衡单位，均采用中华人民共和国法定计量单位。</w:t>
      </w:r>
    </w:p>
    <w:p w14:paraId="442BF3A8">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11．投标文件的组成</w:t>
      </w:r>
    </w:p>
    <w:p w14:paraId="76D6E318">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11.1投标文件目录</w:t>
      </w:r>
      <w:r>
        <w:rPr>
          <w:rFonts w:hint="eastAsia" w:ascii="宋体" w:hAnsi="宋体" w:eastAsia="宋体" w:cs="宋体"/>
          <w:color w:val="auto"/>
          <w:sz w:val="24"/>
          <w:highlight w:val="none"/>
          <w:lang w:eastAsia="zh-CN"/>
        </w:rPr>
        <w:t>；</w:t>
      </w:r>
    </w:p>
    <w:p w14:paraId="15070B9F">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11.2投标函（按招标文件第2章格式填写）</w:t>
      </w:r>
      <w:r>
        <w:rPr>
          <w:rFonts w:hint="eastAsia" w:ascii="宋体" w:hAnsi="宋体" w:eastAsia="宋体" w:cs="宋体"/>
          <w:color w:val="auto"/>
          <w:sz w:val="24"/>
          <w:highlight w:val="none"/>
          <w:lang w:eastAsia="zh-CN"/>
        </w:rPr>
        <w:t>；</w:t>
      </w:r>
    </w:p>
    <w:p w14:paraId="3E73A937">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11.3服务承诺书（按招标文件第2章格式填写）</w:t>
      </w:r>
      <w:r>
        <w:rPr>
          <w:rFonts w:hint="eastAsia" w:ascii="宋体" w:hAnsi="宋体" w:eastAsia="宋体" w:cs="宋体"/>
          <w:color w:val="auto"/>
          <w:sz w:val="24"/>
          <w:highlight w:val="none"/>
          <w:lang w:eastAsia="zh-CN"/>
        </w:rPr>
        <w:t>；</w:t>
      </w:r>
    </w:p>
    <w:p w14:paraId="6904056D">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11.4企业法定代表人证明书及法定代表人授权委托证明书（按招标文件第2章格式填写，或使用从工商管理部门购买的版本填写），法人身份证复印件、被授权人身份证复印件</w:t>
      </w:r>
      <w:r>
        <w:rPr>
          <w:rFonts w:hint="eastAsia" w:ascii="宋体" w:hAnsi="宋体" w:eastAsia="宋体" w:cs="宋体"/>
          <w:color w:val="auto"/>
          <w:sz w:val="24"/>
          <w:highlight w:val="none"/>
          <w:lang w:eastAsia="zh-CN"/>
        </w:rPr>
        <w:t>；</w:t>
      </w:r>
    </w:p>
    <w:p w14:paraId="4418C7CC">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11.5公司法人营业执照及资质证书复印件</w:t>
      </w:r>
      <w:r>
        <w:rPr>
          <w:rFonts w:hint="eastAsia" w:ascii="宋体" w:hAnsi="宋体" w:eastAsia="宋体" w:cs="宋体"/>
          <w:color w:val="auto"/>
          <w:sz w:val="24"/>
          <w:highlight w:val="none"/>
          <w:lang w:eastAsia="zh-CN"/>
        </w:rPr>
        <w:t>；</w:t>
      </w:r>
    </w:p>
    <w:p w14:paraId="30174D2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11.6</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lang w:val="en-US" w:eastAsia="zh-CN"/>
        </w:rPr>
        <w:t>证书</w:t>
      </w:r>
      <w:r>
        <w:rPr>
          <w:rFonts w:hint="eastAsia" w:ascii="宋体" w:hAnsi="宋体" w:eastAsia="宋体" w:cs="宋体"/>
          <w:color w:val="auto"/>
          <w:sz w:val="24"/>
          <w:highlight w:val="none"/>
        </w:rPr>
        <w:t>复印件</w:t>
      </w:r>
      <w:r>
        <w:rPr>
          <w:rFonts w:hint="eastAsia" w:ascii="宋体" w:hAnsi="宋体" w:eastAsia="宋体" w:cs="宋体"/>
          <w:color w:val="auto"/>
          <w:sz w:val="24"/>
          <w:highlight w:val="none"/>
          <w:lang w:eastAsia="zh-CN"/>
        </w:rPr>
        <w:t>；</w:t>
      </w:r>
    </w:p>
    <w:p w14:paraId="2336705D">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11.7人员到位承诺书（按招标文件第2章格式填写）；</w:t>
      </w:r>
    </w:p>
    <w:p w14:paraId="37607368">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11.8投标人综合概况（按招标文件第2章格式填写）；</w:t>
      </w:r>
    </w:p>
    <w:p w14:paraId="6D1B443A">
      <w:pPr>
        <w:spacing w:line="360" w:lineRule="auto"/>
        <w:ind w:firstLine="480" w:firstLineChars="200"/>
        <w:rPr>
          <w:rFonts w:hint="eastAsia" w:ascii="宋体" w:hAnsi="宋体" w:eastAsia="宋体" w:cs="宋体"/>
          <w:color w:val="auto"/>
          <w:sz w:val="24"/>
          <w:highlight w:val="none"/>
          <w:lang w:eastAsia="zh-CN"/>
        </w:rPr>
      </w:pPr>
      <w:r>
        <w:rPr>
          <w:rFonts w:hint="eastAsia" w:ascii="宋体" w:hAnsi="宋体" w:eastAsia="宋体" w:cs="宋体"/>
          <w:color w:val="auto"/>
          <w:sz w:val="24"/>
          <w:highlight w:val="none"/>
        </w:rPr>
        <w:t>11.9企业自</w:t>
      </w:r>
      <w:r>
        <w:rPr>
          <w:rFonts w:hint="eastAsia" w:ascii="宋体" w:hAnsi="宋体" w:eastAsia="宋体" w:cs="宋体"/>
          <w:color w:val="auto"/>
          <w:sz w:val="24"/>
          <w:highlight w:val="none"/>
          <w:lang w:eastAsia="zh-CN"/>
        </w:rPr>
        <w:t>201</w:t>
      </w:r>
      <w:r>
        <w:rPr>
          <w:rFonts w:hint="eastAsia" w:ascii="宋体" w:hAnsi="宋体" w:eastAsia="宋体" w:cs="宋体"/>
          <w:color w:val="auto"/>
          <w:sz w:val="24"/>
          <w:highlight w:val="none"/>
          <w:lang w:val="en-US" w:eastAsia="zh-CN"/>
        </w:rPr>
        <w:t>9</w:t>
      </w:r>
      <w:r>
        <w:rPr>
          <w:rFonts w:hint="eastAsia" w:ascii="宋体" w:hAnsi="宋体" w:eastAsia="宋体" w:cs="宋体"/>
          <w:color w:val="auto"/>
          <w:sz w:val="24"/>
          <w:highlight w:val="none"/>
          <w:lang w:eastAsia="zh-CN"/>
        </w:rPr>
        <w:t>年</w:t>
      </w:r>
      <w:r>
        <w:rPr>
          <w:rFonts w:hint="eastAsia" w:ascii="宋体" w:hAnsi="宋体" w:eastAsia="宋体" w:cs="宋体"/>
          <w:color w:val="auto"/>
          <w:sz w:val="24"/>
          <w:highlight w:val="none"/>
        </w:rPr>
        <w:t>1月1日至今企业承担的同类项目（按招标文件第2章格式填写）；</w:t>
      </w:r>
    </w:p>
    <w:p w14:paraId="783E052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11.10参与本项目的人员一览表及证明文件（按招标文件第2章格式填写）；</w:t>
      </w:r>
    </w:p>
    <w:p w14:paraId="736A786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11.11</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相关经验及业绩（按招标文件第2章格式填写）；</w:t>
      </w:r>
    </w:p>
    <w:p w14:paraId="637C60CD">
      <w:pPr>
        <w:pStyle w:val="8"/>
        <w:ind w:firstLine="480" w:firstLineChars="200"/>
        <w:rPr>
          <w:rFonts w:hint="eastAsia" w:ascii="宋体" w:hAnsi="宋体" w:eastAsia="宋体" w:cs="宋体"/>
          <w:color w:val="auto"/>
          <w:sz w:val="24"/>
          <w:highlight w:val="none"/>
        </w:rPr>
      </w:pPr>
      <w:r>
        <w:rPr>
          <w:rFonts w:hint="eastAsia" w:ascii="宋体" w:hAnsi="宋体" w:eastAsia="宋体" w:cs="宋体"/>
          <w:color w:val="auto"/>
          <w:sz w:val="24"/>
          <w:highlight w:val="none"/>
        </w:rPr>
        <w:t>11.12报价表</w:t>
      </w:r>
      <w:r>
        <w:rPr>
          <w:rFonts w:hint="eastAsia" w:hAnsi="宋体" w:cs="宋体"/>
          <w:color w:val="auto"/>
          <w:sz w:val="24"/>
          <w:highlight w:val="none"/>
          <w:lang w:eastAsia="zh-CN"/>
        </w:rPr>
        <w:t>；</w:t>
      </w:r>
    </w:p>
    <w:p w14:paraId="1E97FF8C">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 xml:space="preserve">11.13 </w:t>
      </w:r>
      <w:r>
        <w:rPr>
          <w:rFonts w:hint="eastAsia" w:hAnsi="宋体" w:cs="宋体"/>
          <w:color w:val="auto"/>
          <w:sz w:val="24"/>
          <w:highlight w:val="none"/>
          <w:lang w:eastAsia="zh-CN"/>
        </w:rPr>
        <w:t>监理大纲（作为技术标单独成册）；</w:t>
      </w:r>
    </w:p>
    <w:p w14:paraId="0A9A40DA">
      <w:pPr>
        <w:pStyle w:val="8"/>
        <w:ind w:firstLine="480" w:firstLineChars="200"/>
        <w:rPr>
          <w:rFonts w:hint="eastAsia" w:hAnsi="宋体" w:eastAsia="宋体" w:cs="宋体"/>
          <w:color w:val="auto"/>
          <w:sz w:val="24"/>
          <w:highlight w:val="none"/>
          <w:lang w:eastAsia="zh-CN"/>
        </w:rPr>
      </w:pPr>
      <w:r>
        <w:rPr>
          <w:rFonts w:hAnsi="宋体" w:cs="宋体"/>
          <w:color w:val="auto"/>
          <w:sz w:val="24"/>
          <w:highlight w:val="none"/>
        </w:rPr>
        <w:t>11.1</w:t>
      </w:r>
      <w:r>
        <w:rPr>
          <w:rFonts w:hint="eastAsia" w:hAnsi="宋体" w:cs="宋体"/>
          <w:color w:val="auto"/>
          <w:sz w:val="24"/>
          <w:highlight w:val="none"/>
          <w:lang w:val="en-US" w:eastAsia="zh-CN"/>
        </w:rPr>
        <w:t>4</w:t>
      </w:r>
      <w:r>
        <w:rPr>
          <w:rFonts w:hAnsi="宋体" w:cs="宋体"/>
          <w:color w:val="auto"/>
          <w:sz w:val="24"/>
          <w:highlight w:val="none"/>
        </w:rPr>
        <w:t xml:space="preserve"> 投标文件电子版（</w:t>
      </w:r>
      <w:r>
        <w:rPr>
          <w:rFonts w:hint="eastAsia" w:hAnsi="宋体" w:cs="宋体"/>
          <w:color w:val="auto"/>
          <w:sz w:val="24"/>
          <w:highlight w:val="none"/>
          <w:lang w:eastAsia="zh-CN"/>
        </w:rPr>
        <w:t>需带有</w:t>
      </w:r>
      <w:r>
        <w:rPr>
          <w:rFonts w:hint="eastAsia" w:hAnsi="宋体" w:cs="宋体"/>
          <w:color w:val="auto"/>
          <w:sz w:val="24"/>
          <w:highlight w:val="none"/>
          <w:lang w:val="en-US" w:eastAsia="zh-CN"/>
        </w:rPr>
        <w:t>公司印章，</w:t>
      </w:r>
      <w:r>
        <w:rPr>
          <w:rFonts w:hAnsi="宋体" w:cs="宋体"/>
          <w:color w:val="auto"/>
          <w:sz w:val="24"/>
          <w:highlight w:val="none"/>
        </w:rPr>
        <w:t>刻录光盘或提供U盘）</w:t>
      </w:r>
      <w:r>
        <w:rPr>
          <w:rFonts w:hint="eastAsia" w:hAnsi="宋体" w:cs="宋体"/>
          <w:color w:val="auto"/>
          <w:sz w:val="24"/>
          <w:highlight w:val="none"/>
          <w:lang w:eastAsia="zh-CN"/>
        </w:rPr>
        <w:t>；</w:t>
      </w:r>
    </w:p>
    <w:p w14:paraId="754F8423">
      <w:pPr>
        <w:pStyle w:val="8"/>
        <w:ind w:firstLine="480" w:firstLineChars="200"/>
        <w:rPr>
          <w:rFonts w:hint="default" w:hAnsi="宋体" w:cs="宋体"/>
          <w:color w:val="auto"/>
          <w:sz w:val="24"/>
          <w:highlight w:val="none"/>
        </w:rPr>
      </w:pPr>
      <w:r>
        <w:rPr>
          <w:rFonts w:hAnsi="宋体" w:cs="宋体"/>
          <w:color w:val="auto"/>
          <w:sz w:val="24"/>
          <w:highlight w:val="none"/>
        </w:rPr>
        <w:t>11.1</w:t>
      </w:r>
      <w:r>
        <w:rPr>
          <w:rFonts w:hint="eastAsia" w:hAnsi="宋体" w:cs="宋体"/>
          <w:color w:val="auto"/>
          <w:sz w:val="24"/>
          <w:highlight w:val="none"/>
          <w:lang w:val="en-US" w:eastAsia="zh-CN"/>
        </w:rPr>
        <w:t>5</w:t>
      </w:r>
      <w:r>
        <w:rPr>
          <w:rFonts w:hAnsi="宋体" w:cs="宋体"/>
          <w:color w:val="auto"/>
          <w:sz w:val="24"/>
          <w:highlight w:val="none"/>
        </w:rPr>
        <w:t>投标人认为需要提交的其他资料。</w:t>
      </w:r>
    </w:p>
    <w:p w14:paraId="5C077DF8">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12．投标文件格式</w:t>
      </w:r>
    </w:p>
    <w:p w14:paraId="30174EFA">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12.1 投标文件包括本须知第11条中规定的内容，投标人提交的投标文件应当使用招标文件所提供的投标格式文件的格式（表格可以按同样格式扩展）。</w:t>
      </w:r>
    </w:p>
    <w:p w14:paraId="3405244C">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13．投标报价</w:t>
      </w:r>
    </w:p>
    <w:p w14:paraId="7803628B">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13.1 本次投标报价采用投标须知前附表第14项所规定的方式。</w:t>
      </w:r>
    </w:p>
    <w:p w14:paraId="04A68BBD">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13.2 投标人的投标报价，应是完成本须知第2.3款和合同条款所列招标项目服务范围的全部内容为计算投标报价基础。</w:t>
      </w:r>
    </w:p>
    <w:p w14:paraId="7460A300">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13.3投标报价方式：投标单位自行报价（投标</w:t>
      </w:r>
      <w:r>
        <w:rPr>
          <w:rFonts w:hint="eastAsia" w:ascii="宋体" w:hAnsi="宋体" w:cs="宋体"/>
          <w:color w:val="auto"/>
          <w:sz w:val="24"/>
          <w:szCs w:val="24"/>
          <w:highlight w:val="none"/>
          <w:lang w:eastAsia="zh-CN"/>
        </w:rPr>
        <w:t>报</w:t>
      </w:r>
      <w:r>
        <w:rPr>
          <w:rFonts w:hint="eastAsia" w:ascii="宋体" w:hAnsi="宋体" w:cs="宋体"/>
          <w:color w:val="auto"/>
          <w:sz w:val="24"/>
          <w:szCs w:val="24"/>
          <w:highlight w:val="none"/>
        </w:rPr>
        <w:t>价不得超过最高投标限价，否则按废标处理）。（小数点后保留二位小数，第三位小数四舍五入）</w:t>
      </w:r>
    </w:p>
    <w:p w14:paraId="634F7AA0">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14．投标货币</w:t>
      </w:r>
    </w:p>
    <w:p w14:paraId="701B5518">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14.1 本次投标报价采用的币种为</w:t>
      </w:r>
      <w:r>
        <w:rPr>
          <w:rFonts w:hint="eastAsia" w:ascii="宋体" w:hAnsi="宋体" w:cs="宋体"/>
          <w:b/>
          <w:color w:val="auto"/>
          <w:sz w:val="24"/>
          <w:szCs w:val="24"/>
          <w:highlight w:val="none"/>
        </w:rPr>
        <w:t>人民币</w:t>
      </w:r>
      <w:r>
        <w:rPr>
          <w:rFonts w:hint="eastAsia" w:ascii="宋体" w:hAnsi="宋体" w:cs="宋体"/>
          <w:color w:val="auto"/>
          <w:sz w:val="24"/>
          <w:szCs w:val="24"/>
          <w:highlight w:val="none"/>
        </w:rPr>
        <w:t>。</w:t>
      </w:r>
    </w:p>
    <w:p w14:paraId="4D2F75CD">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15．投标有效期</w:t>
      </w:r>
    </w:p>
    <w:p w14:paraId="11B3A9C8">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15.1 投标有效期见投标须知前附表第15项所规定的期限，在此期限内，凡符合本招标文件要求的投标文件均保持有效。</w:t>
      </w:r>
    </w:p>
    <w:p w14:paraId="2521BAB7">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15.2 在特殊情况下，招标人在原定投标有效期内，可以根据需要以书面形式向投标人提出延长投标有效期的要求，对此要求投标人须以书面形式予以答复。投标人可以拒绝招标人这种要求。同意延长投标有效期的投标人既不能要求也不允许修改其投标文件。</w:t>
      </w:r>
    </w:p>
    <w:p w14:paraId="74CF881D">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16．投标保证金</w:t>
      </w:r>
    </w:p>
    <w:p w14:paraId="5F58A43E">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本项目要求递交投标保证金</w:t>
      </w:r>
      <w:r>
        <w:rPr>
          <w:rFonts w:hint="eastAsia" w:ascii="宋体" w:hAnsi="宋体" w:cs="宋体"/>
          <w:color w:val="auto"/>
          <w:sz w:val="24"/>
          <w:szCs w:val="24"/>
          <w:highlight w:val="none"/>
          <w:lang w:eastAsia="zh-CN"/>
        </w:rPr>
        <w:t>，详见</w:t>
      </w:r>
      <w:r>
        <w:rPr>
          <w:rFonts w:hint="eastAsia" w:ascii="宋体" w:hAnsi="宋体" w:cs="宋体"/>
          <w:color w:val="auto"/>
          <w:sz w:val="24"/>
          <w:szCs w:val="24"/>
          <w:highlight w:val="none"/>
        </w:rPr>
        <w:t>投标须知前附表</w:t>
      </w:r>
      <w:r>
        <w:rPr>
          <w:rFonts w:hint="eastAsia" w:ascii="宋体" w:hAnsi="宋体" w:cs="宋体"/>
          <w:color w:val="auto"/>
          <w:sz w:val="24"/>
          <w:szCs w:val="24"/>
          <w:highlight w:val="none"/>
          <w:lang w:eastAsia="zh-CN"/>
        </w:rPr>
        <w:t>要求</w:t>
      </w:r>
      <w:r>
        <w:rPr>
          <w:rFonts w:hint="eastAsia" w:ascii="宋体" w:hAnsi="宋体" w:cs="宋体"/>
          <w:color w:val="auto"/>
          <w:sz w:val="24"/>
          <w:szCs w:val="24"/>
          <w:highlight w:val="none"/>
        </w:rPr>
        <w:t>。</w:t>
      </w:r>
    </w:p>
    <w:p w14:paraId="19F2ACAB">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17．投标文件的份数和签署</w:t>
      </w:r>
    </w:p>
    <w:p w14:paraId="048D2E89">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17.1 投标人应按投标须知前附表第17项规定的份数提交投标文件。</w:t>
      </w:r>
    </w:p>
    <w:p w14:paraId="17229363">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17.2 投标文件的正本和副本均需打印或使用不褪色的蓝、黑墨水笔书写，副本可以是正本盖章签字后的复印件，字迹应清晰易于辨认，并应在投标文件封面的右上角清楚地注明“正本”或“副本”。正本和副本如有不一致之处，以正本为准。</w:t>
      </w:r>
    </w:p>
    <w:p w14:paraId="6E88288F">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17.3 投标文件封面必须有法定代表人或其委托代理人签字（或盖章）并加盖投标单位公章。由委托代理人签字（或盖章）的投标文件中须同时提交法定代表人签署授权委托书。投标文件中递交的法定代表人证明书、授权委托证明书格式、签字、盖章及内容均应符合要求，否则证明书无效。</w:t>
      </w:r>
    </w:p>
    <w:p w14:paraId="606EF677">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17.4 除投标人对错误处须修改外，全套投标文件应无涂改或行间插字和增删。如有修改，修改处应盖校对章或法定代表人签字（或盖私章）或委托代理人签字（或盖私章），并加盖单位公章。</w:t>
      </w:r>
    </w:p>
    <w:p w14:paraId="47DBA4D5">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17.5投标文件的规格：统一A4印刷本，纸质封面，可双面或单面打印。封面标明招标项目名称、投标人、投标时间，右上角打上正本（或副本）。使用书式装订，装订时书订不外露；不能使用塑料面或塑料胶条装订。</w:t>
      </w:r>
    </w:p>
    <w:p w14:paraId="02975860">
      <w:pPr>
        <w:pStyle w:val="2"/>
        <w:widowControl/>
        <w:spacing w:beforeAutospacing="0" w:after="0" w:line="360" w:lineRule="auto"/>
        <w:ind w:firstLine="480" w:firstLineChars="200"/>
        <w:rPr>
          <w:rFonts w:ascii="宋体" w:hAnsi="宋体" w:cs="宋体"/>
          <w:color w:val="auto"/>
          <w:sz w:val="24"/>
          <w:szCs w:val="24"/>
          <w:highlight w:val="none"/>
        </w:rPr>
      </w:pPr>
      <w:r>
        <w:rPr>
          <w:rFonts w:hint="eastAsia" w:ascii="宋体" w:hAnsi="宋体" w:cs="宋体"/>
          <w:color w:val="auto"/>
          <w:sz w:val="24"/>
          <w:szCs w:val="24"/>
          <w:highlight w:val="none"/>
        </w:rPr>
        <w:t>17.6投标文件的页码：必须按每本逐页从1开始，按照流水号编号（包括附图、证件、图片等），页号编在右下角，若双面打印的页号编在左下角（空白页面不编号）。</w:t>
      </w:r>
    </w:p>
    <w:p w14:paraId="7CDFBDB7">
      <w:pPr>
        <w:spacing w:line="360" w:lineRule="auto"/>
        <w:ind w:firstLine="482" w:firstLineChars="200"/>
        <w:outlineLvl w:val="2"/>
        <w:rPr>
          <w:rFonts w:ascii="宋体" w:hAnsi="宋体" w:cs="宋体"/>
          <w:b/>
          <w:color w:val="auto"/>
          <w:sz w:val="24"/>
          <w:highlight w:val="none"/>
        </w:rPr>
      </w:pPr>
      <w:r>
        <w:rPr>
          <w:rFonts w:hint="eastAsia" w:ascii="宋体" w:hAnsi="宋体" w:cs="宋体"/>
          <w:b/>
          <w:color w:val="auto"/>
          <w:sz w:val="24"/>
          <w:highlight w:val="none"/>
        </w:rPr>
        <w:t>（四）投标文件的提交</w:t>
      </w:r>
    </w:p>
    <w:p w14:paraId="75BC7281">
      <w:pPr>
        <w:pStyle w:val="2"/>
        <w:widowControl/>
        <w:spacing w:beforeAutospacing="0" w:after="0" w:line="360" w:lineRule="auto"/>
        <w:ind w:firstLine="482" w:firstLineChars="200"/>
        <w:outlineLvl w:val="3"/>
        <w:rPr>
          <w:rFonts w:ascii="宋体" w:hAnsi="宋体" w:cs="宋体"/>
          <w:b/>
          <w:color w:val="auto"/>
          <w:sz w:val="24"/>
          <w:szCs w:val="24"/>
          <w:highlight w:val="none"/>
        </w:rPr>
      </w:pPr>
      <w:r>
        <w:rPr>
          <w:rFonts w:hint="eastAsia" w:ascii="宋体" w:hAnsi="宋体" w:cs="宋体"/>
          <w:b/>
          <w:color w:val="auto"/>
          <w:sz w:val="24"/>
          <w:szCs w:val="24"/>
          <w:highlight w:val="none"/>
        </w:rPr>
        <w:t>18．投标文件的包封、密封和标记</w:t>
      </w:r>
    </w:p>
    <w:p w14:paraId="707D775F">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18.1 投标文件的包封要求：商务标一正四副、技术标一正四副及电子文件一起包封。</w:t>
      </w:r>
    </w:p>
    <w:p w14:paraId="2C69E4FF">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18.2投标文件的密封要求：投标人应确保密闭封装、并加盖骑缝公章。</w:t>
      </w:r>
    </w:p>
    <w:p w14:paraId="5290D49D">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18.3投标文件的标记要求：每个包封上应具有以下标记：</w:t>
      </w:r>
    </w:p>
    <w:p w14:paraId="7A6D13DB">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18.3.1招标人的名称和地址：</w:t>
      </w:r>
      <w:r>
        <w:rPr>
          <w:rFonts w:hint="eastAsia" w:ascii="宋体" w:hAnsi="宋体" w:eastAsia="宋体" w:cs="宋体"/>
          <w:color w:val="auto"/>
          <w:sz w:val="24"/>
          <w:highlight w:val="none"/>
          <w:u w:val="single"/>
        </w:rPr>
        <w:t xml:space="preserve">          /           </w:t>
      </w:r>
    </w:p>
    <w:p w14:paraId="60F541FA">
      <w:pPr>
        <w:snapToGrid w:val="0"/>
        <w:spacing w:line="360" w:lineRule="auto"/>
        <w:ind w:left="1" w:hanging="1"/>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18.3.2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p>
    <w:p w14:paraId="2DA47900">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18.3.3</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u w:val="single"/>
          <w:lang w:val="en-US" w:eastAsia="zh-CN"/>
        </w:rPr>
        <w:t>/</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前不得开封（填入前附表第19项所述日期及时间）</w:t>
      </w:r>
    </w:p>
    <w:p w14:paraId="72492DBB">
      <w:pPr>
        <w:snapToGrid w:val="0"/>
        <w:spacing w:line="360" w:lineRule="auto"/>
        <w:ind w:left="1" w:hanging="1"/>
        <w:rPr>
          <w:rFonts w:ascii="宋体" w:hAnsi="宋体" w:eastAsia="宋体" w:cs="宋体"/>
          <w:color w:val="auto"/>
          <w:sz w:val="24"/>
          <w:highlight w:val="none"/>
        </w:rPr>
      </w:pPr>
      <w:r>
        <w:rPr>
          <w:rFonts w:hint="eastAsia" w:ascii="宋体" w:hAnsi="宋体" w:eastAsia="宋体" w:cs="宋体"/>
          <w:color w:val="auto"/>
          <w:sz w:val="24"/>
          <w:highlight w:val="none"/>
        </w:rPr>
        <w:t xml:space="preserve">    18.4在包封上应写明投标人的名称与地址，以便投标被宣布迟到时，能原封退回。</w:t>
      </w:r>
    </w:p>
    <w:p w14:paraId="4475434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18.5如果包封上没有按上述规定密封并加写标志，招标人将不承担投标文件错放或提前开封的责任，由此造成的提前开封的投标文件，招标人予以拒绝，并退还给投标人。</w:t>
      </w:r>
    </w:p>
    <w:p w14:paraId="6BCCEB2B">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19．投标</w:t>
      </w:r>
      <w:r>
        <w:rPr>
          <w:rFonts w:hint="eastAsia" w:ascii="宋体" w:hAnsi="宋体" w:cs="宋体"/>
          <w:b/>
          <w:color w:val="auto"/>
          <w:sz w:val="24"/>
          <w:szCs w:val="24"/>
          <w:highlight w:val="none"/>
        </w:rPr>
        <w:t>文件</w:t>
      </w:r>
      <w:r>
        <w:rPr>
          <w:rFonts w:hint="eastAsia" w:ascii="宋体" w:hAnsi="宋体" w:cs="宋体"/>
          <w:b/>
          <w:color w:val="auto"/>
          <w:sz w:val="24"/>
          <w:highlight w:val="none"/>
        </w:rPr>
        <w:t>的提交</w:t>
      </w:r>
    </w:p>
    <w:p w14:paraId="269C0BC9">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19.1 投标人应按投标须知前附表第19项所规定的地点，于截止时间前提交投标文件，并办理好送达签认手续。</w:t>
      </w:r>
    </w:p>
    <w:p w14:paraId="20E377C9">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19.2投标文件提交人在提交投标文件时应出示法定代表人证明书（原件）、法定代表人授权委托证明书（原件）及本人身份证（原件）提交投标文件。</w:t>
      </w:r>
    </w:p>
    <w:p w14:paraId="33921284">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20．投标文件提交的截止时间</w:t>
      </w:r>
    </w:p>
    <w:p w14:paraId="6CA9EC4C">
      <w:pPr>
        <w:spacing w:line="360" w:lineRule="auto"/>
        <w:ind w:firstLine="480" w:firstLineChars="200"/>
        <w:rPr>
          <w:rFonts w:ascii="宋体" w:hAnsi="宋体" w:eastAsia="宋体" w:cs="宋体"/>
          <w:b/>
          <w:color w:val="auto"/>
          <w:sz w:val="24"/>
          <w:highlight w:val="none"/>
        </w:rPr>
      </w:pPr>
      <w:r>
        <w:rPr>
          <w:rFonts w:hint="eastAsia" w:ascii="宋体" w:hAnsi="宋体" w:eastAsia="宋体" w:cs="宋体"/>
          <w:color w:val="auto"/>
          <w:sz w:val="24"/>
          <w:highlight w:val="none"/>
        </w:rPr>
        <w:t>20.1投标人应按前附表第18项所述的地点、日期和时间将投标文件提交给招标人。</w:t>
      </w:r>
    </w:p>
    <w:p w14:paraId="7C32A28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20.2招标人可按本须知第9条规定以修改补充通知的方式，酌情延长提交投标文件的截止时间。在此情况下，投标人的所有权利和义务以及投标人受制约的截止时间，均以延长后新的投标截止时间为准。</w:t>
      </w:r>
    </w:p>
    <w:p w14:paraId="2345A35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20.3 到投标截止时间止，招标人收到的投标文件少于3家的，招标人将依法重新选择邀请单位重新组织招标，三次招标仍少于三家投标单位则由投标人自行指定服务单位承接该项目。</w:t>
      </w:r>
    </w:p>
    <w:p w14:paraId="7633FF3B">
      <w:pPr>
        <w:pStyle w:val="2"/>
        <w:widowControl/>
        <w:spacing w:beforeAutospacing="0" w:after="0" w:line="360" w:lineRule="auto"/>
        <w:ind w:firstLine="482" w:firstLineChars="200"/>
        <w:outlineLvl w:val="3"/>
        <w:rPr>
          <w:rFonts w:ascii="宋体" w:hAnsi="宋体" w:cs="宋体"/>
          <w:color w:val="auto"/>
          <w:sz w:val="24"/>
          <w:highlight w:val="none"/>
        </w:rPr>
      </w:pPr>
      <w:r>
        <w:rPr>
          <w:rFonts w:hint="eastAsia" w:ascii="宋体" w:hAnsi="宋体" w:cs="宋体"/>
          <w:b/>
          <w:color w:val="auto"/>
          <w:sz w:val="24"/>
          <w:highlight w:val="none"/>
        </w:rPr>
        <w:t>21．迟交的投标文件</w:t>
      </w:r>
    </w:p>
    <w:p w14:paraId="7FED349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21.1 招标人在本须知第19条规定的投标截止时间以后收到的投标文件，将被拒绝并退回给投标人。</w:t>
      </w:r>
    </w:p>
    <w:p w14:paraId="5A413664">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22．投标文件的补充、修改与撤回</w:t>
      </w:r>
    </w:p>
    <w:p w14:paraId="235B048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22.1 投标人在提交投标文件以后，在规定的投标截止时间之前，可以以书面形式补充修改或撤回已提交的投标文件，并以书面形式通知招标人。补充、修改的内容为投标文件的组成部分。</w:t>
      </w:r>
    </w:p>
    <w:p w14:paraId="7371C5D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22.2 投标人对投标文件的补充、修改，应按本须知第18条有关规定密封、标记和提交，并在投标文件密封袋上清楚标明“补充、修改”或“撤回”字样。</w:t>
      </w:r>
    </w:p>
    <w:p w14:paraId="0F93A7F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22.3 在投标截止时间之后，投标人不得补充、修改投标文件。</w:t>
      </w:r>
    </w:p>
    <w:p w14:paraId="7941EE9D">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22.4根据本须知第16条的规定，在投标截止期与招标人在招标文件中规定的有效期终止日之间的这段时期内，投标人不能撤回投标文件，否则其投标保证金将被没收。</w:t>
      </w:r>
    </w:p>
    <w:p w14:paraId="1FDD2B66">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（五）开标</w:t>
      </w:r>
    </w:p>
    <w:p w14:paraId="74567263">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24．开标</w:t>
      </w:r>
    </w:p>
    <w:p w14:paraId="246055C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24.1 招标人按投标须知前附表第19项所规定的时间和地点公开开标，并邀请所有投标人参加。请各投标人的法定代表人或其有效授权委托代理人届时务必带本人身份证出席开标会，否则作弃权处理。</w:t>
      </w:r>
    </w:p>
    <w:p w14:paraId="40B460B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24.2 按规定提交合格的撤回通知的投标文件不予开封，并退回给投标人；</w:t>
      </w:r>
    </w:p>
    <w:p w14:paraId="5E4F8A8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24.3 招标人在招标文件要求提交投标文件的截止时间前收到的投标文件，开标时都当众予以拆封、宣读。</w:t>
      </w:r>
    </w:p>
    <w:p w14:paraId="44F11D0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24.4开标程序：</w:t>
      </w:r>
    </w:p>
    <w:p w14:paraId="648ECAAE">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1）开标由招标人主持；</w:t>
      </w:r>
    </w:p>
    <w:p w14:paraId="64E28E7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2）宣读投标人名称，由投标人或其推选的代表检查投标文件的密封情况，投标人出示本人身份证原件（身份证件应与投标文件中的法定代表人或其委托人一致，无身份证原件的作弃权处理）；</w:t>
      </w:r>
    </w:p>
    <w:p w14:paraId="4A327DCD">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3）经确认无误后，由有关工作人员公布下列内容：a.法定代表人证明及授权委托；b.</w:t>
      </w:r>
      <w:r>
        <w:rPr>
          <w:rFonts w:hint="eastAsia" w:ascii="宋体" w:hAnsi="宋体" w:eastAsia="宋体" w:cs="宋体"/>
          <w:color w:val="auto"/>
          <w:szCs w:val="21"/>
          <w:highlight w:val="none"/>
        </w:rPr>
        <w:t xml:space="preserve"> </w:t>
      </w:r>
      <w:r>
        <w:rPr>
          <w:rFonts w:hint="eastAsia" w:ascii="宋体" w:hAnsi="宋体" w:eastAsia="宋体" w:cs="宋体"/>
          <w:color w:val="auto"/>
          <w:sz w:val="24"/>
          <w:highlight w:val="none"/>
        </w:rPr>
        <w:t>标书密封情况；c.投标报价；d.服务期；e. 质量目标；f.</w:t>
      </w:r>
      <w:r>
        <w:rPr>
          <w:rFonts w:hint="eastAsia" w:ascii="宋体" w:hAnsi="宋体" w:eastAsia="宋体" w:cs="宋体"/>
          <w:color w:val="auto"/>
          <w:sz w:val="24"/>
          <w:highlight w:val="none"/>
          <w:lang w:eastAsia="zh-CN"/>
        </w:rPr>
        <w:t>总监理工程师</w:t>
      </w:r>
      <w:r>
        <w:rPr>
          <w:rFonts w:hint="eastAsia" w:ascii="宋体" w:hAnsi="宋体" w:eastAsia="宋体" w:cs="宋体"/>
          <w:color w:val="auto"/>
          <w:sz w:val="24"/>
          <w:highlight w:val="none"/>
        </w:rPr>
        <w:t>等主要内容。</w:t>
      </w:r>
    </w:p>
    <w:p w14:paraId="77185C94">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24.5 招标人对开标过程进行记录，并存档备查，投标人在开标记录上签字，以确认对所宣读的内容没有任何异议。</w:t>
      </w:r>
    </w:p>
    <w:p w14:paraId="1441DB9F">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24.6 投标文件有下列情形之一的，招标人不予受理：</w:t>
      </w:r>
    </w:p>
    <w:p w14:paraId="4A9FC6F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24.6.1逾期送达的或者未送达指定地点的；</w:t>
      </w:r>
    </w:p>
    <w:p w14:paraId="06B6D4B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24.6.2未按招标文件要求密封的。</w:t>
      </w:r>
    </w:p>
    <w:p w14:paraId="2B6248D6">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24.7招标人将上述符合要求的投标文件，送至评标小组进行评审的。</w:t>
      </w:r>
    </w:p>
    <w:p w14:paraId="682E575D">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（六） 评标</w:t>
      </w:r>
    </w:p>
    <w:p w14:paraId="5F037E91">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25．评标过程的保密</w:t>
      </w:r>
    </w:p>
    <w:p w14:paraId="0AD52E16">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25.1 开标后，直至授予中标人合同为止，凡属于对投标文件的审查、澄清、评价和比较有关的资料以及中标候选人的推荐情况，与评标有关的其他任何情况均严格保密。</w:t>
      </w:r>
    </w:p>
    <w:p w14:paraId="4D80037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25.2 在投标文件的评审和比较、中标候选人推荐以及授予合同的过程中，投标人向招标人和评标小组施加影响的任何行为，都将会导致其投标被拒绝。</w:t>
      </w:r>
    </w:p>
    <w:p w14:paraId="5496DDB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25.3 中标人确定后，招标人不对未中标人就评标过程以及未能中标原因作出任何解释。未中标人不得向评标小组组成人员或其他有关人员索问评标过程的情况和材料。</w:t>
      </w:r>
    </w:p>
    <w:p w14:paraId="6F5700BD">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26．投标文件的澄清</w:t>
      </w:r>
    </w:p>
    <w:p w14:paraId="7148D1D1">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26.1 为有助于投标文件的审查、评价和比较，评标小组可以以书面形式要求投标人对投标文件含义不明确的内容作必要的澄清或说明，投标人应书面形式进行澄清或说明，但不得超出投标文件的范围或改变投标文件的实质性内容。</w:t>
      </w:r>
    </w:p>
    <w:p w14:paraId="1302E080">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26.2 如果投标文件实质上不响应招标文件的各项要求，评标小组将予以拒绝，并且不允许投标人通过修改或撤销其不符合要求的差异或保留，使之成为具有响应性的投标。</w:t>
      </w:r>
    </w:p>
    <w:p w14:paraId="6E891B50">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27．投标文件的评审、比较和否决</w:t>
      </w:r>
    </w:p>
    <w:p w14:paraId="63A56CA7">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27.1 评标小组将按照本须知第26条规定，仅对在实质上响应招标文件要求的投标文件进行评审和比较。</w:t>
      </w:r>
    </w:p>
    <w:p w14:paraId="62708039">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27.2 在评审过程中，评标小组可以以书面形式要求投标人就投标文件中含义不明确的内容进行书面说明并提供相关材料。</w:t>
      </w:r>
    </w:p>
    <w:p w14:paraId="63BE1E0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27.3 评标小组依据投标须知前附表第20项规定的评标标准和方法，详见本招标文件《评标办法》，对投标文件进行评审和比较，向招标人提出书面评标报告，并推荐经评审投标</w:t>
      </w:r>
      <w:r>
        <w:rPr>
          <w:rFonts w:hint="eastAsia" w:ascii="宋体" w:hAnsi="宋体" w:eastAsia="宋体" w:cs="宋体"/>
          <w:color w:val="auto"/>
          <w:sz w:val="24"/>
          <w:highlight w:val="none"/>
          <w:lang w:eastAsia="zh-CN"/>
        </w:rPr>
        <w:t>得分</w:t>
      </w:r>
      <w:r>
        <w:rPr>
          <w:rFonts w:hint="eastAsia" w:ascii="宋体" w:hAnsi="宋体" w:eastAsia="宋体" w:cs="宋体"/>
          <w:color w:val="auto"/>
          <w:sz w:val="24"/>
          <w:highlight w:val="none"/>
        </w:rPr>
        <w:t>由</w:t>
      </w:r>
      <w:r>
        <w:rPr>
          <w:rFonts w:hint="eastAsia" w:ascii="宋体" w:hAnsi="宋体" w:eastAsia="宋体" w:cs="宋体"/>
          <w:color w:val="auto"/>
          <w:sz w:val="24"/>
          <w:highlight w:val="none"/>
          <w:lang w:eastAsia="zh-CN"/>
        </w:rPr>
        <w:t>高</w:t>
      </w:r>
      <w:r>
        <w:rPr>
          <w:rFonts w:hint="eastAsia" w:ascii="宋体" w:hAnsi="宋体" w:eastAsia="宋体" w:cs="宋体"/>
          <w:color w:val="auto"/>
          <w:sz w:val="24"/>
          <w:highlight w:val="none"/>
        </w:rPr>
        <w:t>至</w:t>
      </w:r>
      <w:r>
        <w:rPr>
          <w:rFonts w:hint="eastAsia" w:ascii="宋体" w:hAnsi="宋体" w:eastAsia="宋体" w:cs="宋体"/>
          <w:color w:val="auto"/>
          <w:sz w:val="24"/>
          <w:highlight w:val="none"/>
          <w:lang w:eastAsia="zh-CN"/>
        </w:rPr>
        <w:t>低</w:t>
      </w:r>
      <w:r>
        <w:rPr>
          <w:rFonts w:hint="eastAsia" w:ascii="宋体" w:hAnsi="宋体" w:eastAsia="宋体" w:cs="宋体"/>
          <w:color w:val="auto"/>
          <w:sz w:val="24"/>
          <w:highlight w:val="none"/>
        </w:rPr>
        <w:t>排序的前一～三名为第一、第二和第三中标候选人。招标人根据评标小组提出的书面评标报告和推荐的中标候选人中，按排序依法确定中标人。</w:t>
      </w:r>
    </w:p>
    <w:p w14:paraId="629EDFEE">
      <w:pPr>
        <w:spacing w:line="360" w:lineRule="auto"/>
        <w:ind w:firstLine="482" w:firstLineChars="200"/>
        <w:rPr>
          <w:rFonts w:ascii="宋体" w:hAnsi="宋体" w:eastAsia="宋体" w:cs="宋体"/>
          <w:b/>
          <w:color w:val="auto"/>
          <w:sz w:val="24"/>
          <w:highlight w:val="none"/>
        </w:rPr>
      </w:pPr>
      <w:r>
        <w:rPr>
          <w:rFonts w:hint="eastAsia" w:ascii="宋体" w:hAnsi="宋体" w:eastAsia="宋体" w:cs="宋体"/>
          <w:b/>
          <w:color w:val="auto"/>
          <w:sz w:val="24"/>
          <w:highlight w:val="none"/>
        </w:rPr>
        <w:t>28．评标小组依据有关法律、法规和招标文件的规定对投标文件进行评审，经评定的有效投标人不足三名时，招标人应当依法重新组织招标。</w:t>
      </w:r>
    </w:p>
    <w:p w14:paraId="23BB7441">
      <w:pPr>
        <w:spacing w:line="360" w:lineRule="auto"/>
        <w:ind w:firstLine="482" w:firstLineChars="200"/>
        <w:outlineLvl w:val="2"/>
        <w:rPr>
          <w:rFonts w:ascii="宋体" w:hAnsi="宋体" w:eastAsia="宋体" w:cs="宋体"/>
          <w:b/>
          <w:color w:val="auto"/>
          <w:sz w:val="24"/>
          <w:highlight w:val="none"/>
        </w:rPr>
      </w:pPr>
      <w:r>
        <w:rPr>
          <w:rFonts w:hint="eastAsia" w:ascii="宋体" w:hAnsi="宋体" w:eastAsia="宋体" w:cs="宋体"/>
          <w:b/>
          <w:color w:val="auto"/>
          <w:sz w:val="24"/>
          <w:highlight w:val="none"/>
        </w:rPr>
        <w:t>（七）合同的授予</w:t>
      </w:r>
    </w:p>
    <w:p w14:paraId="589DD53C">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29．合同授予标准</w:t>
      </w:r>
    </w:p>
    <w:p w14:paraId="6B1D36BA">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29.1 本招标(项目)的合同将授予按本须知第27.3款所确定的中标人。</w:t>
      </w:r>
    </w:p>
    <w:p w14:paraId="51045AF4">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30．招标人保留接受或拒绝任何某一投标或所有投标的权力</w:t>
      </w:r>
    </w:p>
    <w:p w14:paraId="39C8CF23">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30.1 招标人不承诺将合同授予报价最低的投标人。招标人在发出中标通知书前，有权依据评标小组的评标报告拒绝不合格的投标。</w:t>
      </w:r>
    </w:p>
    <w:p w14:paraId="5048C034">
      <w:pPr>
        <w:snapToGrid w:val="0"/>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30.2招标人保留接受或拒绝任何某一投标或所有投标的权力。尽管有本须知第27.3款的规定，但是招标人在授予合同前任何时候有权接受或拒绝任何投标书，宣布招标程序无效并拒绝所有投标书，而且对由此引起的对投标人的影响不承担任何责任，也无须将这样做的理由通知受影响的投标人。</w:t>
      </w:r>
    </w:p>
    <w:p w14:paraId="4DF29C5D">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31．中标通知书</w:t>
      </w:r>
    </w:p>
    <w:p w14:paraId="17835BD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31.1中标通知书经招标人及招标代理机构</w:t>
      </w:r>
      <w:r>
        <w:rPr>
          <w:rFonts w:hint="eastAsia" w:ascii="宋体" w:hAnsi="宋体" w:eastAsia="宋体" w:cs="宋体"/>
          <w:color w:val="auto"/>
          <w:sz w:val="24"/>
          <w:highlight w:val="none"/>
          <w:lang w:eastAsia="zh-CN"/>
        </w:rPr>
        <w:t>（如有）</w:t>
      </w:r>
      <w:r>
        <w:rPr>
          <w:rFonts w:hint="eastAsia" w:ascii="宋体" w:hAnsi="宋体" w:eastAsia="宋体" w:cs="宋体"/>
          <w:color w:val="auto"/>
          <w:sz w:val="24"/>
          <w:highlight w:val="none"/>
        </w:rPr>
        <w:t>确认，并由招标人颁发。</w:t>
      </w:r>
    </w:p>
    <w:p w14:paraId="2D20B85F">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31.2中标人必须在收到中标通知书后24小时之内以书面形式回复招标人，确认收到。</w:t>
      </w:r>
    </w:p>
    <w:p w14:paraId="3DD2E7A2">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32．合同协议书的签订</w:t>
      </w:r>
    </w:p>
    <w:p w14:paraId="7D37554B">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32.1 招标人与中标人将于中标通知书发出之日起30日内，按照招标文件和中标人的投标文件商定合同和签订合同，招标人和中标人不得再行订立背离合同实质性内容的其他协议。</w:t>
      </w:r>
    </w:p>
    <w:p w14:paraId="722B4985">
      <w:pPr>
        <w:spacing w:line="360" w:lineRule="auto"/>
        <w:ind w:firstLine="480" w:firstLineChars="200"/>
        <w:rPr>
          <w:rFonts w:hint="default" w:ascii="宋体" w:hAnsi="宋体" w:eastAsia="宋体" w:cs="宋体"/>
          <w:color w:val="auto"/>
          <w:sz w:val="24"/>
          <w:highlight w:val="none"/>
        </w:rPr>
      </w:pPr>
      <w:r>
        <w:rPr>
          <w:rFonts w:hint="eastAsia" w:ascii="宋体" w:hAnsi="宋体" w:eastAsia="宋体" w:cs="宋体"/>
          <w:color w:val="auto"/>
          <w:sz w:val="24"/>
          <w:highlight w:val="none"/>
        </w:rPr>
        <w:t>32.2中标人放弃中标资格的，无正当理由不按投标须知第32.1款的规定不与招标人签订合同的，在签订合同时向招标人提出附加条件或者更改合同实质性内容的，招标人可取消其中标资格，并没收其投标保证金</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lang w:val="en-US" w:eastAsia="zh-CN"/>
        </w:rPr>
        <w:t>一年内拒绝其对招标人其他招标项目的投标文件。</w:t>
      </w:r>
      <w:r>
        <w:rPr>
          <w:rFonts w:hint="eastAsia" w:ascii="宋体" w:hAnsi="宋体" w:eastAsia="宋体" w:cs="宋体"/>
          <w:color w:val="auto"/>
          <w:sz w:val="24"/>
          <w:highlight w:val="none"/>
        </w:rPr>
        <w:t>给招标人的损失超过投标保证金数额的，中标人应当对超过部分予以赔偿；没有提交投标保证金的，应当对招标人的损失承担赔偿责任。</w:t>
      </w:r>
    </w:p>
    <w:p w14:paraId="298EAFD5">
      <w:pPr>
        <w:spacing w:line="36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32.3中标人在投标过程使用的投标人名称、银行名称和账号至项目完成竣工结算不得变更，否则，招标人有权停止款项的拨付及至解除合同，由此造成的一切责任由中标人承担。</w:t>
      </w:r>
    </w:p>
    <w:p w14:paraId="36902A13">
      <w:pPr>
        <w:pStyle w:val="2"/>
        <w:widowControl/>
        <w:spacing w:beforeAutospacing="0" w:after="0" w:line="360" w:lineRule="auto"/>
        <w:ind w:firstLine="482" w:firstLineChars="200"/>
        <w:outlineLvl w:val="3"/>
        <w:rPr>
          <w:rFonts w:ascii="宋体" w:hAnsi="宋体" w:cs="宋体"/>
          <w:b/>
          <w:color w:val="auto"/>
          <w:sz w:val="24"/>
          <w:highlight w:val="none"/>
        </w:rPr>
      </w:pPr>
      <w:r>
        <w:rPr>
          <w:rFonts w:hint="eastAsia" w:ascii="宋体" w:hAnsi="宋体" w:cs="宋体"/>
          <w:b/>
          <w:color w:val="auto"/>
          <w:sz w:val="24"/>
          <w:highlight w:val="none"/>
        </w:rPr>
        <w:t>33．合同生效</w:t>
      </w:r>
    </w:p>
    <w:p w14:paraId="0AC4F0A5">
      <w:pPr>
        <w:spacing w:line="360" w:lineRule="auto"/>
        <w:ind w:firstLine="480" w:firstLineChars="200"/>
        <w:rPr>
          <w:rFonts w:ascii="宋体" w:hAnsi="宋体" w:eastAsia="宋体" w:cs="宋体"/>
          <w:color w:val="auto"/>
          <w:highlight w:val="none"/>
        </w:rPr>
      </w:pPr>
      <w:r>
        <w:rPr>
          <w:rFonts w:hint="eastAsia" w:ascii="宋体" w:hAnsi="宋体" w:eastAsia="宋体" w:cs="宋体"/>
          <w:color w:val="auto"/>
          <w:sz w:val="24"/>
          <w:highlight w:val="none"/>
        </w:rPr>
        <w:t>33.1在合同双方全权代表在合同协议书上签字，并分别加盖双方单位的公章，合同正式生效。</w:t>
      </w:r>
    </w:p>
    <w:p w14:paraId="6A27422C">
      <w:pPr>
        <w:pStyle w:val="4"/>
        <w:widowControl/>
        <w:spacing w:before="0" w:after="0" w:line="360" w:lineRule="auto"/>
        <w:jc w:val="center"/>
        <w:rPr>
          <w:rFonts w:ascii="黑体" w:hAnsi="宋体" w:cs="黑体"/>
          <w:b/>
          <w:color w:val="auto"/>
          <w:kern w:val="44"/>
          <w:sz w:val="44"/>
          <w:szCs w:val="44"/>
          <w:highlight w:val="none"/>
        </w:rPr>
      </w:pPr>
      <w:bookmarkStart w:id="5" w:name="_Toc374128473"/>
      <w:bookmarkEnd w:id="5"/>
    </w:p>
    <w:p w14:paraId="79536849">
      <w:pPr>
        <w:pStyle w:val="4"/>
        <w:widowControl/>
        <w:spacing w:before="0" w:after="0" w:line="360" w:lineRule="auto"/>
        <w:jc w:val="center"/>
        <w:rPr>
          <w:rFonts w:ascii="黑体" w:hAnsi="宋体" w:cs="黑体"/>
          <w:b/>
          <w:color w:val="auto"/>
          <w:kern w:val="44"/>
          <w:sz w:val="44"/>
          <w:szCs w:val="44"/>
          <w:highlight w:val="none"/>
        </w:rPr>
      </w:pPr>
    </w:p>
    <w:p w14:paraId="5B17103F">
      <w:pPr>
        <w:pStyle w:val="4"/>
        <w:widowControl/>
        <w:spacing w:before="0" w:after="0" w:line="360" w:lineRule="auto"/>
        <w:jc w:val="center"/>
        <w:rPr>
          <w:rFonts w:ascii="黑体" w:hAnsi="宋体" w:cs="黑体"/>
          <w:b/>
          <w:color w:val="auto"/>
          <w:kern w:val="44"/>
          <w:sz w:val="44"/>
          <w:szCs w:val="44"/>
          <w:highlight w:val="none"/>
        </w:rPr>
      </w:pPr>
    </w:p>
    <w:p w14:paraId="481F6BD9">
      <w:pPr>
        <w:pStyle w:val="4"/>
        <w:widowControl/>
        <w:spacing w:before="0" w:after="0" w:line="360" w:lineRule="auto"/>
        <w:jc w:val="center"/>
        <w:rPr>
          <w:rFonts w:ascii="黑体" w:hAnsi="宋体" w:cs="黑体"/>
          <w:b/>
          <w:color w:val="auto"/>
          <w:kern w:val="44"/>
          <w:sz w:val="44"/>
          <w:szCs w:val="44"/>
          <w:highlight w:val="none"/>
        </w:rPr>
      </w:pPr>
    </w:p>
    <w:p w14:paraId="0F53C993">
      <w:pPr>
        <w:pStyle w:val="4"/>
        <w:widowControl/>
        <w:spacing w:before="0" w:after="0" w:line="360" w:lineRule="auto"/>
        <w:jc w:val="center"/>
        <w:rPr>
          <w:rFonts w:ascii="黑体" w:hAnsi="宋体" w:cs="黑体"/>
          <w:b/>
          <w:color w:val="auto"/>
          <w:kern w:val="44"/>
          <w:sz w:val="44"/>
          <w:szCs w:val="44"/>
          <w:highlight w:val="none"/>
        </w:rPr>
      </w:pPr>
    </w:p>
    <w:p w14:paraId="74BB6E02">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6B9FB0DA">
      <w:pPr>
        <w:pStyle w:val="4"/>
        <w:widowControl/>
        <w:spacing w:before="0" w:after="0" w:line="360" w:lineRule="auto"/>
        <w:jc w:val="center"/>
        <w:rPr>
          <w:rFonts w:ascii="黑体" w:hAnsi="宋体" w:cs="黑体"/>
          <w:b/>
          <w:color w:val="auto"/>
          <w:kern w:val="44"/>
          <w:sz w:val="44"/>
          <w:szCs w:val="44"/>
          <w:highlight w:val="none"/>
        </w:rPr>
      </w:pPr>
    </w:p>
    <w:p w14:paraId="64166B50">
      <w:pPr>
        <w:pStyle w:val="4"/>
        <w:widowControl/>
        <w:spacing w:before="0" w:after="0" w:line="360" w:lineRule="auto"/>
        <w:jc w:val="center"/>
        <w:rPr>
          <w:rFonts w:ascii="黑体" w:hAnsi="宋体" w:cs="黑体"/>
          <w:b/>
          <w:color w:val="auto"/>
          <w:kern w:val="44"/>
          <w:sz w:val="44"/>
          <w:szCs w:val="44"/>
          <w:highlight w:val="none"/>
        </w:rPr>
      </w:pPr>
    </w:p>
    <w:p w14:paraId="7DB1144D">
      <w:pPr>
        <w:pStyle w:val="4"/>
        <w:widowControl/>
        <w:spacing w:before="0" w:after="0" w:line="360" w:lineRule="auto"/>
        <w:jc w:val="center"/>
        <w:rPr>
          <w:rFonts w:ascii="黑体" w:hAnsi="宋体" w:cs="黑体"/>
          <w:b/>
          <w:color w:val="auto"/>
          <w:kern w:val="44"/>
          <w:sz w:val="44"/>
          <w:szCs w:val="44"/>
          <w:highlight w:val="none"/>
        </w:rPr>
      </w:pPr>
    </w:p>
    <w:p w14:paraId="7184903A">
      <w:pPr>
        <w:pStyle w:val="4"/>
        <w:widowControl/>
        <w:spacing w:before="0" w:after="0" w:line="360" w:lineRule="auto"/>
        <w:jc w:val="center"/>
        <w:rPr>
          <w:rFonts w:ascii="黑体" w:hAnsi="宋体" w:cs="黑体"/>
          <w:b/>
          <w:color w:val="auto"/>
          <w:kern w:val="44"/>
          <w:sz w:val="44"/>
          <w:szCs w:val="44"/>
          <w:highlight w:val="none"/>
        </w:rPr>
      </w:pPr>
    </w:p>
    <w:p w14:paraId="570E4E16">
      <w:pPr>
        <w:pStyle w:val="4"/>
        <w:widowControl/>
        <w:spacing w:before="0" w:after="0" w:line="360" w:lineRule="auto"/>
        <w:jc w:val="center"/>
        <w:rPr>
          <w:rFonts w:ascii="黑体" w:hAnsi="宋体" w:cs="黑体"/>
          <w:b/>
          <w:color w:val="auto"/>
          <w:kern w:val="44"/>
          <w:sz w:val="44"/>
          <w:szCs w:val="44"/>
          <w:highlight w:val="none"/>
        </w:rPr>
      </w:pPr>
    </w:p>
    <w:p w14:paraId="0C032753">
      <w:pPr>
        <w:pStyle w:val="4"/>
        <w:widowControl/>
        <w:spacing w:before="0" w:after="0" w:line="360" w:lineRule="auto"/>
        <w:jc w:val="center"/>
        <w:rPr>
          <w:rFonts w:ascii="黑体" w:hAnsi="宋体" w:cs="黑体"/>
          <w:b/>
          <w:color w:val="auto"/>
          <w:kern w:val="44"/>
          <w:sz w:val="44"/>
          <w:szCs w:val="44"/>
          <w:highlight w:val="none"/>
        </w:rPr>
      </w:pPr>
    </w:p>
    <w:p w14:paraId="2EEF7B5C">
      <w:pPr>
        <w:pStyle w:val="4"/>
        <w:widowControl/>
        <w:spacing w:before="0" w:after="0" w:line="360" w:lineRule="auto"/>
        <w:jc w:val="center"/>
        <w:rPr>
          <w:rFonts w:ascii="黑体" w:hAnsi="宋体" w:cs="黑体"/>
          <w:b/>
          <w:color w:val="auto"/>
          <w:kern w:val="44"/>
          <w:sz w:val="44"/>
          <w:szCs w:val="44"/>
          <w:highlight w:val="none"/>
        </w:rPr>
      </w:pPr>
      <w:bookmarkStart w:id="6" w:name="_Toc32057"/>
      <w:bookmarkStart w:id="7" w:name="_Toc17709"/>
      <w:r>
        <w:rPr>
          <w:rFonts w:hint="eastAsia" w:ascii="黑体" w:hAnsi="宋体" w:cs="黑体"/>
          <w:b/>
          <w:color w:val="auto"/>
          <w:kern w:val="44"/>
          <w:sz w:val="44"/>
          <w:szCs w:val="44"/>
          <w:highlight w:val="none"/>
        </w:rPr>
        <w:t>第2章  投标格式文件</w:t>
      </w:r>
      <w:bookmarkEnd w:id="6"/>
      <w:bookmarkEnd w:id="7"/>
    </w:p>
    <w:p w14:paraId="4FAA8EE0">
      <w:pPr>
        <w:snapToGrid w:val="0"/>
        <w:rPr>
          <w:rFonts w:ascii="黑体" w:hAnsi="宋体" w:eastAsia="黑体" w:cs="黑体"/>
          <w:b/>
          <w:color w:val="auto"/>
          <w:kern w:val="44"/>
          <w:sz w:val="44"/>
          <w:szCs w:val="44"/>
          <w:highlight w:val="none"/>
        </w:rPr>
      </w:pPr>
      <w:r>
        <w:rPr>
          <w:rFonts w:hint="eastAsia" w:ascii="黑体" w:hAnsi="宋体" w:eastAsia="黑体" w:cs="黑体"/>
          <w:b/>
          <w:color w:val="auto"/>
          <w:kern w:val="44"/>
          <w:sz w:val="44"/>
          <w:szCs w:val="44"/>
          <w:highlight w:val="none"/>
        </w:rPr>
        <w:t xml:space="preserve"> </w:t>
      </w:r>
    </w:p>
    <w:p w14:paraId="09C43B25">
      <w:pPr>
        <w:snapToGrid w:val="0"/>
        <w:outlineLvl w:val="1"/>
        <w:rPr>
          <w:rFonts w:ascii="宋体" w:hAnsi="宋体" w:eastAsia="宋体" w:cs="宋体"/>
          <w:b/>
          <w:color w:val="auto"/>
          <w:sz w:val="28"/>
          <w:szCs w:val="28"/>
          <w:highlight w:val="none"/>
        </w:rPr>
      </w:pPr>
      <w:r>
        <w:rPr>
          <w:rFonts w:hint="eastAsia" w:ascii="宋体" w:hAnsi="宋体" w:eastAsia="宋体" w:cs="黑体"/>
          <w:b/>
          <w:color w:val="auto"/>
          <w:spacing w:val="20"/>
          <w:sz w:val="28"/>
          <w:szCs w:val="28"/>
          <w:highlight w:val="none"/>
        </w:rPr>
        <w:br w:type="page"/>
      </w:r>
      <w:r>
        <w:rPr>
          <w:rFonts w:hint="eastAsia" w:ascii="宋体" w:hAnsi="宋体" w:eastAsia="宋体" w:cs="黑体"/>
          <w:b/>
          <w:color w:val="auto"/>
          <w:spacing w:val="20"/>
          <w:sz w:val="28"/>
          <w:szCs w:val="28"/>
          <w:highlight w:val="none"/>
        </w:rPr>
        <w:t>格式一：</w:t>
      </w:r>
    </w:p>
    <w:p w14:paraId="0F407E98">
      <w:pPr>
        <w:spacing w:line="360" w:lineRule="auto"/>
        <w:jc w:val="center"/>
        <w:outlineLvl w:val="2"/>
        <w:rPr>
          <w:rFonts w:ascii="宋体" w:hAnsi="宋体" w:eastAsia="宋体" w:cs="宋体"/>
          <w:b/>
          <w:color w:val="auto"/>
          <w:sz w:val="36"/>
          <w:szCs w:val="36"/>
          <w:highlight w:val="none"/>
        </w:rPr>
      </w:pPr>
      <w:r>
        <w:rPr>
          <w:rFonts w:hint="eastAsia" w:ascii="宋体" w:hAnsi="宋体" w:eastAsia="宋体" w:cs="宋体"/>
          <w:b/>
          <w:color w:val="auto"/>
          <w:spacing w:val="34"/>
          <w:sz w:val="36"/>
          <w:szCs w:val="36"/>
          <w:highlight w:val="none"/>
        </w:rPr>
        <w:t>投标函</w:t>
      </w:r>
    </w:p>
    <w:p w14:paraId="462D367C">
      <w:pPr>
        <w:rPr>
          <w:rFonts w:ascii="宋体" w:hAnsi="宋体" w:eastAsia="宋体" w:cs="宋体"/>
          <w:color w:val="auto"/>
          <w:sz w:val="24"/>
          <w:highlight w:val="none"/>
        </w:rPr>
      </w:pPr>
    </w:p>
    <w:p w14:paraId="4DFD871F">
      <w:pPr>
        <w:snapToGrid w:val="0"/>
        <w:spacing w:line="360" w:lineRule="auto"/>
        <w:rPr>
          <w:rFonts w:ascii="宋体" w:hAnsi="宋体" w:eastAsia="宋体" w:cs="Times New Roman"/>
          <w:color w:val="auto"/>
          <w:spacing w:val="20"/>
          <w:sz w:val="24"/>
          <w:highlight w:val="none"/>
          <w:u w:val="single"/>
        </w:rPr>
      </w:pP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09C186A1">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我方决定参加贵方的</w:t>
      </w:r>
      <w:r>
        <w:rPr>
          <w:rFonts w:hint="eastAsia" w:ascii="宋体" w:hAnsi="宋体" w:eastAsia="宋体" w:cs="Times New Roman"/>
          <w:color w:val="auto"/>
          <w:spacing w:val="20"/>
          <w:sz w:val="24"/>
          <w:highlight w:val="none"/>
          <w:u w:val="single"/>
          <w:lang w:eastAsia="zh-CN"/>
        </w:rPr>
        <w:t>2025年首届粤港澳大湾区灯会活动项目监理</w:t>
      </w:r>
      <w:r>
        <w:rPr>
          <w:rFonts w:hint="eastAsia" w:ascii="宋体" w:hAnsi="宋体" w:eastAsia="宋体" w:cs="Times New Roman"/>
          <w:color w:val="auto"/>
          <w:spacing w:val="20"/>
          <w:sz w:val="24"/>
          <w:highlight w:val="none"/>
        </w:rPr>
        <w:t>单位选定的竞标，并完全接受贵方发出的招标文件及澄清文件中的所有内容。为此，我方作出如下承诺：</w:t>
      </w:r>
    </w:p>
    <w:p w14:paraId="6C758A53">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1、我方经分析研究了贵方提供的招标文件中的项目介绍、投标人须知、合同条件以及本次招标答疑或澄清文件后，我公司愿意以投标报价表中承诺报价，完成贵方</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任务，并提供增值税专业发票税率为</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%，并按合同条件的要求，承担并完成</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服务任务。</w:t>
      </w:r>
    </w:p>
    <w:p w14:paraId="71BEF367">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2、完全理解和接受全部招标文件（包括修改文件、参考资料和有关附件）的一切规定和要求。</w:t>
      </w:r>
    </w:p>
    <w:p w14:paraId="6C7B107C">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3、我方同意在规定的投标截止之日起</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3"/>
          <w:sz w:val="24"/>
          <w:highlight w:val="none"/>
          <w:u w:val="single"/>
          <w:lang w:val="en-US" w:eastAsia="zh-CN"/>
        </w:rPr>
        <w:t>90</w:t>
      </w:r>
      <w:r>
        <w:rPr>
          <w:rFonts w:hint="eastAsia" w:ascii="宋体" w:hAnsi="宋体" w:eastAsia="宋体" w:cs="Times New Roman"/>
          <w:color w:val="auto"/>
          <w:spacing w:val="23"/>
          <w:sz w:val="24"/>
          <w:highlight w:val="none"/>
          <w:u w:val="single"/>
        </w:rPr>
        <w:t xml:space="preserve"> </w:t>
      </w:r>
      <w:r>
        <w:rPr>
          <w:rFonts w:hint="eastAsia" w:ascii="宋体" w:hAnsi="宋体" w:eastAsia="宋体" w:cs="Times New Roman"/>
          <w:color w:val="auto"/>
          <w:spacing w:val="20"/>
          <w:sz w:val="24"/>
          <w:highlight w:val="none"/>
        </w:rPr>
        <w:t>日历天内遵守本投标。在该期限满期之前，本投标书对我单位始终具有约束力，并可随时被接受。</w:t>
      </w:r>
    </w:p>
    <w:p w14:paraId="59E6D84F">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4、在正式签订</w:t>
      </w:r>
      <w:r>
        <w:rPr>
          <w:rFonts w:hint="eastAsia" w:ascii="宋体" w:hAnsi="宋体" w:eastAsia="宋体" w:cs="Times New Roman"/>
          <w:color w:val="auto"/>
          <w:spacing w:val="20"/>
          <w:sz w:val="24"/>
          <w:highlight w:val="none"/>
          <w:lang w:eastAsia="zh-CN"/>
        </w:rPr>
        <w:t>监理</w:t>
      </w:r>
      <w:r>
        <w:rPr>
          <w:rFonts w:hint="eastAsia" w:ascii="宋体" w:hAnsi="宋体" w:eastAsia="宋体" w:cs="Times New Roman"/>
          <w:color w:val="auto"/>
          <w:spacing w:val="20"/>
          <w:sz w:val="24"/>
          <w:highlight w:val="none"/>
        </w:rPr>
        <w:t>服务合同之前，本投标书连同贵方的中标通知书应成为约束贵、我双方的合同文件。</w:t>
      </w:r>
    </w:p>
    <w:p w14:paraId="689D22D6">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5、在整个招、投标过程中及招、投标结束后，未经招标人书面同意，我方保证不向任何第三方泄露本次招、投标的任何信息、资料及内容。</w:t>
      </w:r>
    </w:p>
    <w:p w14:paraId="45A30D78">
      <w:pPr>
        <w:snapToGrid w:val="0"/>
        <w:spacing w:line="360" w:lineRule="auto"/>
        <w:ind w:firstLine="560" w:firstLineChars="200"/>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6、投标文件中所有关于投标人资格的文件、证明、陈述均是真实的、准确的。若有违背，我方承担由此而产生的一切后果。</w:t>
      </w:r>
    </w:p>
    <w:p w14:paraId="578449BF">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62B2DB23">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 xml:space="preserve"> </w:t>
      </w:r>
    </w:p>
    <w:p w14:paraId="70AB38D6">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投标人：（盖章）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0CE3D21D">
      <w:pPr>
        <w:snapToGrid w:val="0"/>
        <w:spacing w:line="360" w:lineRule="auto"/>
        <w:rPr>
          <w:rFonts w:ascii="宋体" w:hAnsi="宋体" w:eastAsia="宋体" w:cs="Times New Roman"/>
          <w:color w:val="auto"/>
          <w:spacing w:val="23"/>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p>
    <w:p w14:paraId="450A882F">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地    址：</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1F96B4F9">
      <w:pPr>
        <w:snapToGrid w:val="0"/>
        <w:spacing w:line="360" w:lineRule="auto"/>
        <w:rPr>
          <w:rFonts w:ascii="宋体" w:hAnsi="宋体" w:eastAsia="宋体" w:cs="Times New Roman"/>
          <w:color w:val="auto"/>
          <w:spacing w:val="20"/>
          <w:sz w:val="24"/>
          <w:highlight w:val="none"/>
        </w:rPr>
      </w:pPr>
      <w:r>
        <w:rPr>
          <w:rFonts w:hint="eastAsia" w:ascii="宋体" w:hAnsi="宋体" w:eastAsia="宋体" w:cs="Times New Roman"/>
          <w:color w:val="auto"/>
          <w:spacing w:val="20"/>
          <w:sz w:val="24"/>
          <w:highlight w:val="none"/>
        </w:rPr>
        <w:t>电    话：</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0"/>
          <w:sz w:val="24"/>
          <w:highlight w:val="none"/>
        </w:rPr>
        <w:tab/>
      </w:r>
      <w:r>
        <w:rPr>
          <w:rFonts w:hint="eastAsia" w:ascii="宋体" w:hAnsi="宋体" w:eastAsia="宋体" w:cs="Times New Roman"/>
          <w:color w:val="auto"/>
          <w:spacing w:val="20"/>
          <w:sz w:val="24"/>
          <w:highlight w:val="none"/>
        </w:rPr>
        <w:tab/>
      </w:r>
    </w:p>
    <w:p w14:paraId="1E918D37">
      <w:pPr>
        <w:snapToGrid w:val="0"/>
        <w:spacing w:line="360" w:lineRule="auto"/>
        <w:rPr>
          <w:rFonts w:ascii="宋体" w:hAnsi="宋体" w:eastAsia="宋体" w:cs="Times New Roman"/>
          <w:b/>
          <w:color w:val="auto"/>
          <w:spacing w:val="20"/>
          <w:sz w:val="24"/>
          <w:highlight w:val="none"/>
        </w:rPr>
      </w:pPr>
      <w:r>
        <w:rPr>
          <w:rFonts w:hint="eastAsia" w:ascii="宋体" w:hAnsi="宋体" w:eastAsia="宋体" w:cs="Times New Roman"/>
          <w:color w:val="auto"/>
          <w:spacing w:val="20"/>
          <w:sz w:val="24"/>
          <w:highlight w:val="none"/>
        </w:rPr>
        <w:t>日    期：</w:t>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color w:val="auto"/>
          <w:spacing w:val="23"/>
          <w:sz w:val="24"/>
          <w:highlight w:val="none"/>
          <w:u w:val="single"/>
        </w:rPr>
        <w:tab/>
      </w:r>
      <w:r>
        <w:rPr>
          <w:rFonts w:hint="eastAsia" w:ascii="宋体" w:hAnsi="宋体" w:eastAsia="宋体" w:cs="Times New Roman"/>
          <w:b/>
          <w:color w:val="auto"/>
          <w:spacing w:val="20"/>
          <w:sz w:val="24"/>
          <w:highlight w:val="none"/>
        </w:rPr>
        <w:tab/>
      </w:r>
    </w:p>
    <w:p w14:paraId="47AB9CB3">
      <w:pPr>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br w:type="page"/>
      </w:r>
    </w:p>
    <w:p w14:paraId="0DCD1ECA">
      <w:pPr>
        <w:snapToGrid w:val="0"/>
        <w:spacing w:line="360" w:lineRule="auto"/>
        <w:outlineLvl w:val="1"/>
        <w:rPr>
          <w:rFonts w:ascii="宋体" w:hAnsi="宋体" w:eastAsia="宋体" w:cs="宋体"/>
          <w:b/>
          <w:color w:val="auto"/>
          <w:sz w:val="28"/>
          <w:szCs w:val="28"/>
          <w:highlight w:val="none"/>
        </w:rPr>
      </w:pPr>
      <w:r>
        <w:rPr>
          <w:rFonts w:hint="eastAsia" w:ascii="宋体" w:hAnsi="宋体" w:eastAsia="宋体" w:cs="宋体"/>
          <w:b/>
          <w:color w:val="auto"/>
          <w:sz w:val="28"/>
          <w:szCs w:val="28"/>
          <w:highlight w:val="none"/>
        </w:rPr>
        <w:t>格式二：</w:t>
      </w:r>
    </w:p>
    <w:p w14:paraId="5A0C38F5">
      <w:pPr>
        <w:snapToGrid w:val="0"/>
        <w:spacing w:line="480" w:lineRule="auto"/>
        <w:jc w:val="center"/>
        <w:outlineLvl w:val="2"/>
        <w:rPr>
          <w:b/>
          <w:color w:val="auto"/>
          <w:sz w:val="28"/>
          <w:szCs w:val="28"/>
          <w:highlight w:val="none"/>
        </w:rPr>
      </w:pPr>
      <w:r>
        <w:rPr>
          <w:rFonts w:hint="eastAsia" w:ascii="宋体" w:hAnsi="宋体" w:eastAsia="宋体" w:cs="宋体"/>
          <w:b/>
          <w:color w:val="auto"/>
          <w:sz w:val="36"/>
          <w:szCs w:val="36"/>
          <w:highlight w:val="none"/>
        </w:rPr>
        <w:t>服务承诺书（格式）</w:t>
      </w:r>
    </w:p>
    <w:p w14:paraId="6BFF3118">
      <w:pPr>
        <w:snapToGrid w:val="0"/>
        <w:spacing w:line="480" w:lineRule="auto"/>
        <w:rPr>
          <w:rFonts w:ascii="宋体" w:hAnsi="宋体" w:eastAsia="宋体" w:cs="宋体"/>
          <w:color w:val="auto"/>
          <w:sz w:val="24"/>
          <w:highlight w:val="none"/>
          <w:u w:val="single"/>
        </w:rPr>
      </w:pPr>
      <w:r>
        <w:rPr>
          <w:rFonts w:hint="eastAsia" w:ascii="宋体" w:hAnsi="宋体" w:eastAsia="宋体" w:cs="宋体"/>
          <w:color w:val="auto"/>
          <w:sz w:val="24"/>
          <w:highlight w:val="none"/>
        </w:rPr>
        <w:t>致：</w:t>
      </w:r>
      <w:r>
        <w:rPr>
          <w:rFonts w:hint="eastAsia" w:ascii="宋体" w:hAnsi="宋体" w:eastAsia="宋体" w:cs="Times New Roman"/>
          <w:color w:val="auto"/>
          <w:spacing w:val="20"/>
          <w:sz w:val="24"/>
          <w:highlight w:val="none"/>
          <w:u w:val="single"/>
          <w:lang w:eastAsia="zh-CN"/>
        </w:rPr>
        <w:t>广州南沙旅游发展有限公司</w:t>
      </w:r>
      <w:r>
        <w:rPr>
          <w:rFonts w:hint="eastAsia" w:ascii="宋体" w:hAnsi="宋体" w:eastAsia="宋体" w:cs="Times New Roman"/>
          <w:color w:val="auto"/>
          <w:spacing w:val="20"/>
          <w:sz w:val="24"/>
          <w:highlight w:val="none"/>
          <w:u w:val="single"/>
        </w:rPr>
        <w:t>、广州南沙建设维护管理有限公司</w:t>
      </w:r>
    </w:p>
    <w:p w14:paraId="382F8ECB">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B973F69">
      <w:pPr>
        <w:snapToGrid w:val="0"/>
        <w:spacing w:line="480" w:lineRule="auto"/>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一旦我方中标，我方愿意做出如下承诺：</w:t>
      </w:r>
    </w:p>
    <w:p w14:paraId="25F593EB">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我方同意投标文件自投标人须知规定的投标截止日期开始对我方有约束力，并自投标人须知的投标有效截止日期前一直对我方有约束力且随时可能按此投标文件中标。</w:t>
      </w:r>
    </w:p>
    <w:p w14:paraId="0FCE908F">
      <w:pPr>
        <w:snapToGrid w:val="0"/>
        <w:spacing w:line="480" w:lineRule="auto"/>
        <w:ind w:firstLine="480"/>
        <w:rPr>
          <w:rFonts w:ascii="宋体" w:hAnsi="宋体" w:eastAsia="宋体" w:cs="宋体"/>
          <w:color w:val="auto"/>
          <w:sz w:val="24"/>
          <w:highlight w:val="none"/>
        </w:rPr>
      </w:pPr>
      <w:r>
        <w:rPr>
          <w:rFonts w:hint="eastAsia" w:ascii="宋体" w:hAnsi="宋体" w:eastAsia="宋体" w:cs="宋体"/>
          <w:color w:val="auto"/>
          <w:sz w:val="24"/>
          <w:highlight w:val="none"/>
        </w:rPr>
        <w:t>如果我方投标文件中存在计算或表达错误的，我方理解并接受评标小组按照招标文件规定的原则进行修正，这种修正对我方具有约束力，且不需要我方确认。</w:t>
      </w:r>
    </w:p>
    <w:p w14:paraId="0796D5CB">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在签署合同协议书之前，你方的中标通知书和本投标承诺书将构成约束我们双方的契约。</w:t>
      </w:r>
    </w:p>
    <w:p w14:paraId="57258738">
      <w:pPr>
        <w:snapToGrid w:val="0"/>
        <w:spacing w:line="48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1B6F69D">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2FE04911">
      <w:pPr>
        <w:snapToGrid w:val="0"/>
        <w:spacing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C546EE0">
      <w:pPr>
        <w:snapToGrid w:val="0"/>
        <w:spacing w:line="440" w:lineRule="exact"/>
        <w:ind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投 标 人： (盖公章)</w:t>
      </w:r>
      <w:r>
        <w:rPr>
          <w:rFonts w:hint="eastAsia" w:ascii="宋体" w:hAnsi="宋体" w:eastAsia="宋体" w:cs="宋体"/>
          <w:color w:val="auto"/>
          <w:sz w:val="24"/>
          <w:highlight w:val="none"/>
          <w:u w:val="single"/>
        </w:rPr>
        <w:t xml:space="preserve">                              </w:t>
      </w:r>
    </w:p>
    <w:p w14:paraId="31494D22">
      <w:pPr>
        <w:snapToGrid w:val="0"/>
        <w:spacing w:line="440" w:lineRule="exact"/>
        <w:ind w:right="26" w:firstLine="1680" w:firstLineChars="600"/>
        <w:rPr>
          <w:rFonts w:ascii="宋体" w:hAnsi="宋体" w:eastAsia="宋体" w:cs="宋体"/>
          <w:color w:val="auto"/>
          <w:sz w:val="24"/>
          <w:highlight w:val="none"/>
          <w:u w:val="single"/>
        </w:rPr>
      </w:pPr>
      <w:r>
        <w:rPr>
          <w:rFonts w:hint="eastAsia" w:ascii="宋体" w:hAnsi="宋体" w:eastAsia="宋体" w:cs="Times New Roman"/>
          <w:color w:val="auto"/>
          <w:spacing w:val="20"/>
          <w:sz w:val="24"/>
          <w:highlight w:val="none"/>
        </w:rPr>
        <w:t>法定代表人或被授权人（代理人）(签字或签章)</w:t>
      </w:r>
      <w:r>
        <w:rPr>
          <w:rFonts w:hint="eastAsia" w:ascii="宋体" w:hAnsi="宋体" w:eastAsia="宋体" w:cs="宋体"/>
          <w:color w:val="auto"/>
          <w:sz w:val="24"/>
          <w:highlight w:val="none"/>
        </w:rPr>
        <w:t xml:space="preserve">： </w:t>
      </w:r>
      <w:r>
        <w:rPr>
          <w:rFonts w:hint="eastAsia" w:ascii="宋体" w:hAnsi="宋体" w:eastAsia="宋体" w:cs="宋体"/>
          <w:color w:val="auto"/>
          <w:sz w:val="24"/>
          <w:highlight w:val="none"/>
          <w:u w:val="single"/>
        </w:rPr>
        <w:t xml:space="preserve">              </w:t>
      </w:r>
    </w:p>
    <w:p w14:paraId="563BBFCC">
      <w:pPr>
        <w:snapToGrid w:val="0"/>
        <w:spacing w:line="440" w:lineRule="exact"/>
        <w:ind w:right="26" w:firstLine="1680" w:firstLineChars="700"/>
        <w:rPr>
          <w:rFonts w:ascii="宋体" w:hAnsi="宋体" w:eastAsia="宋体" w:cs="宋体"/>
          <w:color w:val="auto"/>
          <w:sz w:val="24"/>
          <w:highlight w:val="none"/>
        </w:rPr>
      </w:pPr>
      <w:r>
        <w:rPr>
          <w:rFonts w:hint="eastAsia" w:ascii="宋体" w:hAnsi="宋体" w:eastAsia="宋体" w:cs="宋体"/>
          <w:color w:val="auto"/>
          <w:sz w:val="24"/>
          <w:highlight w:val="none"/>
        </w:rPr>
        <w:t>日    期：</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月</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日</w:t>
      </w:r>
    </w:p>
    <w:p w14:paraId="2E7A4B16">
      <w:pPr>
        <w:snapToGrid w:val="0"/>
        <w:spacing w:line="440" w:lineRule="exact"/>
        <w:ind w:right="26" w:firstLine="1680" w:firstLineChars="700"/>
        <w:rPr>
          <w:rFonts w:ascii="宋体" w:hAnsi="宋体" w:eastAsia="宋体" w:cs="宋体"/>
          <w:color w:val="auto"/>
          <w:sz w:val="24"/>
          <w:highlight w:val="none"/>
          <w:u w:val="single"/>
        </w:rPr>
      </w:pPr>
      <w:r>
        <w:rPr>
          <w:rFonts w:hint="eastAsia" w:ascii="宋体" w:hAnsi="宋体" w:eastAsia="宋体" w:cs="宋体"/>
          <w:color w:val="auto"/>
          <w:sz w:val="24"/>
          <w:highlight w:val="none"/>
        </w:rPr>
        <w:t>电    话：</w:t>
      </w:r>
      <w:r>
        <w:rPr>
          <w:rFonts w:hint="eastAsia" w:ascii="宋体" w:hAnsi="宋体" w:eastAsia="宋体" w:cs="宋体"/>
          <w:color w:val="auto"/>
          <w:sz w:val="24"/>
          <w:highlight w:val="none"/>
          <w:u w:val="single"/>
        </w:rPr>
        <w:t xml:space="preserve">               </w:t>
      </w:r>
    </w:p>
    <w:p w14:paraId="5B02E366">
      <w:pPr>
        <w:spacing w:line="360" w:lineRule="auto"/>
        <w:ind w:firstLine="1680" w:firstLineChars="700"/>
        <w:rPr>
          <w:rFonts w:ascii="宋体" w:hAnsi="宋体" w:eastAsia="宋体" w:cs="宋体"/>
          <w:b/>
          <w:color w:val="auto"/>
          <w:spacing w:val="20"/>
          <w:sz w:val="28"/>
          <w:szCs w:val="28"/>
          <w:highlight w:val="none"/>
        </w:rPr>
      </w:pPr>
      <w:r>
        <w:rPr>
          <w:rFonts w:hint="eastAsia" w:ascii="宋体" w:hAnsi="宋体" w:eastAsia="宋体" w:cs="宋体"/>
          <w:color w:val="auto"/>
          <w:sz w:val="24"/>
          <w:highlight w:val="none"/>
        </w:rPr>
        <w:t>传    真：</w:t>
      </w:r>
      <w:r>
        <w:rPr>
          <w:rFonts w:hint="eastAsia" w:ascii="宋体" w:hAnsi="宋体" w:eastAsia="宋体" w:cs="宋体"/>
          <w:color w:val="auto"/>
          <w:sz w:val="24"/>
          <w:highlight w:val="none"/>
          <w:u w:val="single"/>
        </w:rPr>
        <w:t xml:space="preserve">               </w:t>
      </w:r>
    </w:p>
    <w:p w14:paraId="725C5507">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F72610E">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271496B5">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0C41342">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4F1C3087">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7807A0B8">
      <w:pPr>
        <w:spacing w:line="360" w:lineRule="auto"/>
        <w:rPr>
          <w:rFonts w:ascii="黑体" w:hAnsi="宋体" w:eastAsia="黑体" w:cs="黑体"/>
          <w:b/>
          <w:color w:val="auto"/>
          <w:spacing w:val="20"/>
          <w:sz w:val="28"/>
          <w:szCs w:val="28"/>
          <w:highlight w:val="none"/>
        </w:rPr>
      </w:pPr>
      <w:r>
        <w:rPr>
          <w:rFonts w:hint="eastAsia" w:ascii="黑体" w:hAnsi="宋体" w:eastAsia="黑体" w:cs="黑体"/>
          <w:b/>
          <w:color w:val="auto"/>
          <w:spacing w:val="20"/>
          <w:sz w:val="28"/>
          <w:szCs w:val="28"/>
          <w:highlight w:val="none"/>
        </w:rPr>
        <w:t xml:space="preserve"> </w:t>
      </w:r>
    </w:p>
    <w:p w14:paraId="5581335F">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br w:type="page"/>
      </w:r>
      <w:bookmarkStart w:id="8" w:name="_Toc223342668"/>
      <w:bookmarkEnd w:id="8"/>
      <w:bookmarkStart w:id="9" w:name="_Toc216145749"/>
      <w:bookmarkEnd w:id="9"/>
      <w:r>
        <w:rPr>
          <w:rFonts w:hint="eastAsia" w:ascii="宋体" w:hAnsi="宋体" w:eastAsia="宋体" w:cs="黑体"/>
          <w:color w:val="auto"/>
          <w:sz w:val="28"/>
          <w:szCs w:val="28"/>
          <w:highlight w:val="none"/>
        </w:rPr>
        <w:t>格式三：</w:t>
      </w:r>
    </w:p>
    <w:p w14:paraId="03D1ECBC">
      <w:pPr>
        <w:pStyle w:val="22"/>
        <w:widowControl/>
        <w:ind w:firstLine="0" w:firstLineChars="0"/>
        <w:jc w:val="center"/>
        <w:outlineLvl w:val="2"/>
        <w:rPr>
          <w:color w:val="auto"/>
          <w:kern w:val="44"/>
          <w:highlight w:val="none"/>
        </w:rPr>
      </w:pPr>
      <w:bookmarkStart w:id="10" w:name="_Toc172416501"/>
      <w:bookmarkEnd w:id="10"/>
      <w:r>
        <w:rPr>
          <w:rFonts w:hint="eastAsia" w:ascii="宋体" w:hAnsi="宋体" w:cs="宋体"/>
          <w:b/>
          <w:color w:val="auto"/>
          <w:sz w:val="30"/>
          <w:szCs w:val="30"/>
          <w:highlight w:val="none"/>
        </w:rPr>
        <w:t>法定代表人证明书</w:t>
      </w:r>
    </w:p>
    <w:p w14:paraId="11D49378">
      <w:pPr>
        <w:pStyle w:val="22"/>
        <w:widowControl/>
        <w:ind w:firstLine="496"/>
        <w:jc w:val="right"/>
        <w:rPr>
          <w:b/>
          <w:color w:val="auto"/>
          <w:highlight w:val="none"/>
        </w:rPr>
      </w:pPr>
      <w:r>
        <w:rPr>
          <w:color w:val="auto"/>
          <w:highlight w:val="none"/>
        </w:rPr>
        <w:t xml:space="preserve">                                      </w:t>
      </w:r>
    </w:p>
    <w:p w14:paraId="435400CB">
      <w:pPr>
        <w:pStyle w:val="22"/>
        <w:widowControl/>
        <w:ind w:firstLine="0" w:firstLineChars="0"/>
        <w:rPr>
          <w:color w:val="auto"/>
          <w:sz w:val="30"/>
          <w:szCs w:val="30"/>
          <w:highlight w:val="none"/>
        </w:rPr>
      </w:pPr>
      <w:r>
        <w:rPr>
          <w:color w:val="auto"/>
          <w:highlight w:val="none"/>
        </w:rPr>
        <w:drawing>
          <wp:inline distT="0" distB="0" distL="114300" distR="114300">
            <wp:extent cx="5543550" cy="2790825"/>
            <wp:effectExtent l="0" t="0" r="0" b="9525"/>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6" r:link="rId7" cstate="print"/>
                    <a:stretch>
                      <a:fillRect/>
                    </a:stretch>
                  </pic:blipFill>
                  <pic:spPr>
                    <a:xfrm>
                      <a:off x="0" y="0"/>
                      <a:ext cx="5543550" cy="2790825"/>
                    </a:xfrm>
                    <a:prstGeom prst="rect">
                      <a:avLst/>
                    </a:prstGeom>
                    <a:noFill/>
                    <a:ln w="9525">
                      <a:noFill/>
                    </a:ln>
                  </pic:spPr>
                </pic:pic>
              </a:graphicData>
            </a:graphic>
          </wp:inline>
        </w:drawing>
      </w:r>
    </w:p>
    <w:p w14:paraId="769C45F3">
      <w:pPr>
        <w:pStyle w:val="22"/>
        <w:widowControl/>
        <w:ind w:firstLine="618"/>
        <w:rPr>
          <w:b/>
          <w:color w:val="auto"/>
          <w:sz w:val="30"/>
          <w:szCs w:val="30"/>
          <w:highlight w:val="none"/>
        </w:rPr>
      </w:pPr>
      <w:r>
        <w:rPr>
          <w:b/>
          <w:color w:val="auto"/>
          <w:sz w:val="30"/>
          <w:szCs w:val="30"/>
          <w:highlight w:val="none"/>
        </w:rPr>
        <w:t xml:space="preserve"> </w:t>
      </w:r>
    </w:p>
    <w:p w14:paraId="20D74113">
      <w:pPr>
        <w:pStyle w:val="22"/>
        <w:widowControl/>
        <w:ind w:firstLine="0" w:firstLineChars="0"/>
        <w:jc w:val="center"/>
        <w:outlineLvl w:val="2"/>
        <w:rPr>
          <w:b/>
          <w:color w:val="auto"/>
          <w:sz w:val="30"/>
          <w:szCs w:val="30"/>
          <w:highlight w:val="none"/>
        </w:rPr>
      </w:pPr>
      <w:r>
        <w:rPr>
          <w:rFonts w:hint="eastAsia" w:ascii="宋体" w:hAnsi="宋体" w:cs="宋体"/>
          <w:b/>
          <w:color w:val="auto"/>
          <w:sz w:val="30"/>
          <w:szCs w:val="30"/>
          <w:highlight w:val="none"/>
        </w:rPr>
        <w:t>授权委托证明书</w:t>
      </w:r>
    </w:p>
    <w:p w14:paraId="202BA1DC">
      <w:pPr>
        <w:pStyle w:val="22"/>
        <w:widowControl/>
        <w:ind w:firstLine="496"/>
        <w:jc w:val="right"/>
        <w:rPr>
          <w:color w:val="auto"/>
          <w:highlight w:val="none"/>
        </w:rPr>
      </w:pPr>
      <w:r>
        <w:rPr>
          <w:color w:val="auto"/>
          <w:highlight w:val="none"/>
        </w:rPr>
        <w:t xml:space="preserve">         </w:t>
      </w:r>
    </w:p>
    <w:p w14:paraId="57EFC899">
      <w:pPr>
        <w:pStyle w:val="22"/>
        <w:widowControl/>
        <w:ind w:firstLine="0" w:firstLineChars="0"/>
        <w:rPr>
          <w:b/>
          <w:color w:val="auto"/>
          <w:highlight w:val="none"/>
        </w:rPr>
      </w:pPr>
      <w:r>
        <w:rPr>
          <w:color w:val="auto"/>
          <w:highlight w:val="none"/>
        </w:rPr>
        <w:drawing>
          <wp:inline distT="0" distB="0" distL="114300" distR="114300">
            <wp:extent cx="5543550" cy="2838450"/>
            <wp:effectExtent l="0" t="0" r="0" b="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r:link="rId9" cstate="print"/>
                    <a:stretch>
                      <a:fillRect/>
                    </a:stretch>
                  </pic:blipFill>
                  <pic:spPr>
                    <a:xfrm>
                      <a:off x="0" y="0"/>
                      <a:ext cx="5543550" cy="2838450"/>
                    </a:xfrm>
                    <a:prstGeom prst="rect">
                      <a:avLst/>
                    </a:prstGeom>
                    <a:noFill/>
                    <a:ln w="9525">
                      <a:noFill/>
                    </a:ln>
                  </pic:spPr>
                </pic:pic>
              </a:graphicData>
            </a:graphic>
          </wp:inline>
        </w:drawing>
      </w:r>
    </w:p>
    <w:p w14:paraId="0BCB4B7A">
      <w:pPr>
        <w:pStyle w:val="20"/>
        <w:widowControl/>
        <w:spacing w:before="142"/>
        <w:jc w:val="both"/>
        <w:outlineLvl w:val="9"/>
        <w:rPr>
          <w:rFonts w:ascii="黑体" w:hAnsi="宋体" w:cs="宋体"/>
          <w:b w:val="0"/>
          <w:color w:val="auto"/>
          <w:highlight w:val="none"/>
        </w:rPr>
      </w:pPr>
      <w:r>
        <w:rPr>
          <w:rFonts w:hint="eastAsia" w:ascii="黑体" w:hAnsi="宋体" w:cs="宋体"/>
          <w:b w:val="0"/>
          <w:color w:val="auto"/>
          <w:highlight w:val="none"/>
        </w:rPr>
        <w:t>备注：也可使用从工商管理部门购买的格式填写</w:t>
      </w:r>
      <w:bookmarkStart w:id="11" w:name="_Toc216145759"/>
      <w:bookmarkEnd w:id="11"/>
      <w:bookmarkStart w:id="12" w:name="_Toc223342677"/>
    </w:p>
    <w:p w14:paraId="2BD5A86D">
      <w:pPr>
        <w:rPr>
          <w:rFonts w:ascii="宋体" w:hAnsi="宋体" w:eastAsia="宋体" w:cs="黑体"/>
          <w:color w:val="auto"/>
          <w:sz w:val="28"/>
          <w:szCs w:val="28"/>
          <w:highlight w:val="none"/>
        </w:rPr>
      </w:pPr>
      <w:r>
        <w:rPr>
          <w:rFonts w:hint="eastAsia" w:ascii="宋体" w:hAnsi="宋体" w:eastAsia="宋体" w:cs="黑体"/>
          <w:color w:val="auto"/>
          <w:sz w:val="28"/>
          <w:szCs w:val="28"/>
          <w:highlight w:val="none"/>
        </w:rPr>
        <w:br w:type="page"/>
      </w:r>
    </w:p>
    <w:p w14:paraId="1709AFC3">
      <w:pPr>
        <w:pStyle w:val="20"/>
        <w:widowControl/>
        <w:spacing w:before="142"/>
        <w:jc w:val="both"/>
        <w:rPr>
          <w:rFonts w:ascii="宋体" w:hAnsi="宋体" w:eastAsia="宋体" w:cs="宋体"/>
          <w:color w:val="auto"/>
          <w:sz w:val="28"/>
          <w:szCs w:val="28"/>
          <w:highlight w:val="none"/>
        </w:rPr>
      </w:pPr>
      <w:r>
        <w:rPr>
          <w:rFonts w:hint="eastAsia" w:ascii="宋体" w:hAnsi="宋体" w:eastAsia="宋体" w:cs="黑体"/>
          <w:color w:val="auto"/>
          <w:sz w:val="28"/>
          <w:szCs w:val="28"/>
          <w:highlight w:val="none"/>
        </w:rPr>
        <w:t>格式四：</w:t>
      </w:r>
      <w:bookmarkEnd w:id="12"/>
      <w:r>
        <w:rPr>
          <w:rFonts w:hint="eastAsia" w:ascii="宋体" w:hAnsi="宋体" w:eastAsia="宋体" w:cs="宋体"/>
          <w:color w:val="auto"/>
          <w:sz w:val="28"/>
          <w:szCs w:val="28"/>
          <w:highlight w:val="none"/>
        </w:rPr>
        <w:t xml:space="preserve"> </w:t>
      </w:r>
    </w:p>
    <w:p w14:paraId="7B87F15E">
      <w:pPr>
        <w:pStyle w:val="22"/>
        <w:widowControl/>
        <w:ind w:firstLine="0" w:firstLineChars="0"/>
        <w:jc w:val="center"/>
        <w:rPr>
          <w:b/>
          <w:color w:val="auto"/>
          <w:sz w:val="28"/>
          <w:szCs w:val="28"/>
          <w:highlight w:val="none"/>
        </w:rPr>
      </w:pPr>
      <w:r>
        <w:rPr>
          <w:b/>
          <w:color w:val="auto"/>
          <w:sz w:val="28"/>
          <w:szCs w:val="28"/>
          <w:highlight w:val="none"/>
        </w:rPr>
        <w:t xml:space="preserve"> </w:t>
      </w:r>
    </w:p>
    <w:p w14:paraId="5A3DCE9F">
      <w:pPr>
        <w:snapToGrid w:val="0"/>
        <w:spacing w:after="120" w:line="440" w:lineRule="exact"/>
        <w:jc w:val="center"/>
        <w:outlineLvl w:val="2"/>
        <w:rPr>
          <w:rFonts w:ascii="宋体" w:hAnsi="宋体" w:eastAsia="宋体" w:cs="宋体"/>
          <w:b/>
          <w:color w:val="auto"/>
          <w:sz w:val="32"/>
          <w:szCs w:val="32"/>
          <w:highlight w:val="none"/>
        </w:rPr>
      </w:pPr>
      <w:r>
        <w:rPr>
          <w:rFonts w:hint="eastAsia" w:ascii="宋体" w:hAnsi="宋体" w:eastAsia="宋体" w:cs="宋体"/>
          <w:b/>
          <w:color w:val="auto"/>
          <w:sz w:val="32"/>
          <w:szCs w:val="32"/>
          <w:highlight w:val="none"/>
        </w:rPr>
        <w:t>服务人员到位承诺书</w:t>
      </w:r>
    </w:p>
    <w:p w14:paraId="4154A242">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D748E66">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招标人名称：</w:t>
      </w:r>
      <w:r>
        <w:rPr>
          <w:rFonts w:hint="eastAsia" w:ascii="宋体" w:hAnsi="宋体" w:eastAsia="宋体" w:cs="宋体"/>
          <w:color w:val="auto"/>
          <w:sz w:val="24"/>
          <w:highlight w:val="none"/>
          <w:u w:val="single"/>
          <w:lang w:eastAsia="zh-CN"/>
        </w:rPr>
        <w:t>广州南沙旅游发展有限公司</w:t>
      </w:r>
      <w:r>
        <w:rPr>
          <w:rFonts w:hint="eastAsia" w:ascii="宋体" w:hAnsi="宋体" w:eastAsia="宋体" w:cs="宋体"/>
          <w:color w:val="auto"/>
          <w:sz w:val="24"/>
          <w:highlight w:val="none"/>
          <w:u w:val="single"/>
        </w:rPr>
        <w:t>、广州南沙建设维护管理有限公司</w:t>
      </w:r>
    </w:p>
    <w:p w14:paraId="76B6CD44">
      <w:pPr>
        <w:spacing w:line="560" w:lineRule="exact"/>
        <w:rPr>
          <w:rFonts w:hint="eastAsia" w:ascii="宋体" w:hAnsi="宋体" w:eastAsia="宋体" w:cs="宋体"/>
          <w:color w:val="auto"/>
          <w:sz w:val="24"/>
          <w:highlight w:val="none"/>
          <w:u w:val="single"/>
          <w:lang w:eastAsia="zh-CN"/>
        </w:rPr>
      </w:pPr>
      <w:r>
        <w:rPr>
          <w:rFonts w:hint="eastAsia" w:ascii="宋体" w:hAnsi="宋体" w:eastAsia="宋体" w:cs="宋体"/>
          <w:color w:val="auto"/>
          <w:sz w:val="24"/>
          <w:highlight w:val="none"/>
        </w:rPr>
        <w:t>投标项目名称：</w:t>
      </w:r>
      <w:r>
        <w:rPr>
          <w:rFonts w:hint="eastAsia" w:ascii="宋体" w:hAnsi="宋体" w:eastAsia="宋体" w:cs="Times New Roman"/>
          <w:color w:val="auto"/>
          <w:spacing w:val="20"/>
          <w:sz w:val="24"/>
          <w:highlight w:val="none"/>
          <w:u w:val="single"/>
          <w:lang w:eastAsia="zh-CN"/>
        </w:rPr>
        <w:t>2025年首届粤港澳大湾区灯会活动项目监理</w:t>
      </w:r>
    </w:p>
    <w:p w14:paraId="62178B85">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58F4216B">
      <w:pPr>
        <w:snapToGrid w:val="0"/>
        <w:spacing w:after="120" w:line="440" w:lineRule="exact"/>
        <w:ind w:firstLine="480" w:firstLineChars="200"/>
        <w:rPr>
          <w:rFonts w:ascii="宋体" w:hAnsi="宋体" w:eastAsia="宋体" w:cs="宋体"/>
          <w:color w:val="auto"/>
          <w:sz w:val="24"/>
          <w:highlight w:val="none"/>
        </w:rPr>
      </w:pPr>
      <w:r>
        <w:rPr>
          <w:rFonts w:hint="eastAsia" w:ascii="宋体" w:hAnsi="宋体" w:eastAsia="宋体" w:cs="宋体"/>
          <w:color w:val="auto"/>
          <w:sz w:val="24"/>
          <w:highlight w:val="none"/>
        </w:rPr>
        <w:t>我方如果中标，承诺服务人员的配备不得低于招标人要求</w:t>
      </w:r>
      <w:r>
        <w:rPr>
          <w:rFonts w:hint="eastAsia" w:ascii="宋体" w:hAnsi="宋体" w:eastAsia="宋体" w:cs="宋体"/>
          <w:color w:val="auto"/>
          <w:sz w:val="24"/>
          <w:highlight w:val="none"/>
          <w:lang w:eastAsia="zh-CN"/>
        </w:rPr>
        <w:t>，</w:t>
      </w:r>
      <w:r>
        <w:rPr>
          <w:rFonts w:hint="eastAsia" w:ascii="宋体" w:hAnsi="宋体" w:eastAsia="宋体" w:cs="宋体"/>
          <w:color w:val="auto"/>
          <w:sz w:val="24"/>
          <w:highlight w:val="none"/>
        </w:rPr>
        <w:t>各专业人员</w:t>
      </w:r>
      <w:r>
        <w:rPr>
          <w:rFonts w:hint="eastAsia" w:ascii="宋体" w:hAnsi="宋体" w:eastAsia="宋体" w:cs="宋体"/>
          <w:color w:val="auto"/>
          <w:sz w:val="24"/>
          <w:szCs w:val="24"/>
          <w:highlight w:val="none"/>
        </w:rPr>
        <w:t>随工程</w:t>
      </w:r>
      <w:r>
        <w:rPr>
          <w:rFonts w:hint="eastAsia" w:ascii="宋体" w:hAnsi="宋体" w:eastAsia="宋体" w:cs="宋体"/>
          <w:color w:val="auto"/>
          <w:sz w:val="24"/>
          <w:szCs w:val="24"/>
          <w:highlight w:val="none"/>
          <w:lang w:eastAsia="zh-CN"/>
        </w:rPr>
        <w:t>进展</w:t>
      </w:r>
      <w:r>
        <w:rPr>
          <w:rFonts w:hint="eastAsia" w:ascii="宋体" w:hAnsi="宋体" w:eastAsia="宋体" w:cs="宋体"/>
          <w:color w:val="auto"/>
          <w:sz w:val="24"/>
          <w:szCs w:val="24"/>
          <w:highlight w:val="none"/>
        </w:rPr>
        <w:t>情况按业主要求进行调配</w:t>
      </w:r>
      <w:r>
        <w:rPr>
          <w:rFonts w:hint="eastAsia" w:ascii="宋体" w:hAnsi="宋体" w:eastAsia="宋体" w:cs="宋体"/>
          <w:color w:val="auto"/>
          <w:sz w:val="24"/>
          <w:highlight w:val="none"/>
        </w:rPr>
        <w:t>。</w:t>
      </w:r>
    </w:p>
    <w:p w14:paraId="092E0C74">
      <w:pPr>
        <w:snapToGrid w:val="0"/>
        <w:spacing w:after="120" w:line="440" w:lineRule="exact"/>
        <w:rPr>
          <w:rFonts w:ascii="宋体" w:hAnsi="宋体" w:eastAsia="宋体" w:cs="宋体"/>
          <w:b/>
          <w:color w:val="auto"/>
          <w:sz w:val="24"/>
          <w:highlight w:val="none"/>
        </w:rPr>
      </w:pPr>
      <w:r>
        <w:rPr>
          <w:rFonts w:hint="eastAsia" w:ascii="宋体" w:hAnsi="宋体" w:eastAsia="宋体" w:cs="宋体"/>
          <w:b/>
          <w:color w:val="auto"/>
          <w:sz w:val="24"/>
          <w:highlight w:val="none"/>
        </w:rPr>
        <w:t xml:space="preserve"> </w:t>
      </w:r>
    </w:p>
    <w:p w14:paraId="0E987AC9">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投标单位名称（盖公章）：</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w:t>
      </w:r>
    </w:p>
    <w:p w14:paraId="0D458942">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0CF005B">
      <w:pPr>
        <w:spacing w:line="560" w:lineRule="exact"/>
        <w:ind w:firstLine="240" w:firstLineChars="100"/>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法定代表人或受委托人（签字或盖章）：</w:t>
      </w:r>
      <w:r>
        <w:rPr>
          <w:rFonts w:hint="eastAsia" w:ascii="宋体" w:hAnsi="宋体" w:eastAsia="宋体" w:cs="宋体"/>
          <w:color w:val="auto"/>
          <w:sz w:val="24"/>
          <w:highlight w:val="none"/>
          <w:u w:val="single"/>
        </w:rPr>
        <w:t xml:space="preserve">                      </w:t>
      </w:r>
    </w:p>
    <w:p w14:paraId="088D4282">
      <w:pPr>
        <w:spacing w:line="560" w:lineRule="exact"/>
        <w:rPr>
          <w:rFonts w:ascii="宋体" w:hAnsi="宋体" w:eastAsia="宋体" w:cs="宋体"/>
          <w:color w:val="auto"/>
          <w:sz w:val="24"/>
          <w:highlight w:val="none"/>
          <w:u w:val="single"/>
        </w:rPr>
      </w:pPr>
      <w:r>
        <w:rPr>
          <w:rFonts w:hint="eastAsia" w:ascii="宋体" w:hAnsi="宋体" w:eastAsia="宋体" w:cs="宋体"/>
          <w:color w:val="auto"/>
          <w:sz w:val="24"/>
          <w:highlight w:val="none"/>
        </w:rPr>
        <w:t xml:space="preserve">   </w:t>
      </w:r>
    </w:p>
    <w:p w14:paraId="683FE999">
      <w:pPr>
        <w:spacing w:line="56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日期：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年</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月 </w:t>
      </w:r>
      <w:r>
        <w:rPr>
          <w:rFonts w:hint="eastAsia" w:ascii="宋体" w:hAnsi="宋体" w:eastAsia="宋体" w:cs="宋体"/>
          <w:color w:val="auto"/>
          <w:sz w:val="24"/>
          <w:highlight w:val="none"/>
          <w:u w:val="single"/>
        </w:rPr>
        <w:t xml:space="preserve">    </w:t>
      </w:r>
      <w:r>
        <w:rPr>
          <w:rFonts w:hint="eastAsia" w:ascii="宋体" w:hAnsi="宋体" w:eastAsia="宋体" w:cs="宋体"/>
          <w:color w:val="auto"/>
          <w:sz w:val="24"/>
          <w:highlight w:val="none"/>
        </w:rPr>
        <w:t xml:space="preserve"> 日</w:t>
      </w:r>
    </w:p>
    <w:p w14:paraId="30E2E8BC">
      <w:pPr>
        <w:snapToGrid w:val="0"/>
        <w:spacing w:after="120" w:line="440" w:lineRule="exac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A9119A9">
      <w:pPr>
        <w:outlineLvl w:val="1"/>
        <w:rPr>
          <w:rFonts w:ascii="宋体" w:hAnsi="宋体" w:eastAsia="宋体" w:cs="宋体"/>
          <w:b/>
          <w:color w:val="auto"/>
          <w:sz w:val="28"/>
          <w:szCs w:val="28"/>
          <w:highlight w:val="none"/>
        </w:rPr>
      </w:pPr>
      <w:r>
        <w:rPr>
          <w:rFonts w:ascii="Times New Roman" w:hAnsi="Times New Roman" w:eastAsia="宋体" w:cs="Times New Roman"/>
          <w:color w:val="auto"/>
          <w:spacing w:val="18"/>
          <w:szCs w:val="21"/>
          <w:highlight w:val="none"/>
        </w:rPr>
        <w:br w:type="page"/>
      </w:r>
      <w:bookmarkStart w:id="13" w:name="_Toc415833503"/>
      <w:bookmarkEnd w:id="13"/>
      <w:bookmarkStart w:id="14" w:name="_Toc196036941"/>
      <w:bookmarkEnd w:id="14"/>
      <w:bookmarkStart w:id="15" w:name="_Toc199647675"/>
      <w:bookmarkEnd w:id="15"/>
      <w:bookmarkStart w:id="16" w:name="_Toc197235848"/>
      <w:bookmarkEnd w:id="16"/>
      <w:bookmarkStart w:id="17" w:name="_Toc326909213"/>
      <w:bookmarkEnd w:id="17"/>
      <w:bookmarkStart w:id="18" w:name="_Toc196130110"/>
      <w:bookmarkEnd w:id="18"/>
      <w:bookmarkStart w:id="19" w:name="_Toc41822703"/>
      <w:bookmarkEnd w:id="19"/>
      <w:bookmarkStart w:id="20" w:name="_Toc196037097"/>
      <w:bookmarkEnd w:id="20"/>
      <w:bookmarkStart w:id="21" w:name="_Toc459403394"/>
      <w:bookmarkEnd w:id="21"/>
      <w:bookmarkStart w:id="22" w:name="_Toc415728297"/>
      <w:bookmarkEnd w:id="22"/>
      <w:bookmarkStart w:id="23" w:name="_Toc196130013"/>
      <w:bookmarkEnd w:id="23"/>
      <w:bookmarkStart w:id="24" w:name="_Toc462911098"/>
      <w:r>
        <w:rPr>
          <w:rFonts w:hint="eastAsia" w:ascii="宋体" w:hAnsi="宋体" w:eastAsia="宋体" w:cs="黑体"/>
          <w:b/>
          <w:color w:val="auto"/>
          <w:spacing w:val="4"/>
          <w:kern w:val="0"/>
          <w:sz w:val="28"/>
          <w:szCs w:val="28"/>
          <w:highlight w:val="none"/>
        </w:rPr>
        <w:t>格式五</w:t>
      </w:r>
      <w:bookmarkEnd w:id="24"/>
      <w:r>
        <w:rPr>
          <w:rFonts w:hint="eastAsia" w:ascii="宋体" w:hAnsi="宋体" w:eastAsia="宋体" w:cs="宋体"/>
          <w:color w:val="auto"/>
          <w:sz w:val="28"/>
          <w:szCs w:val="28"/>
          <w:highlight w:val="none"/>
        </w:rPr>
        <w:t>：</w:t>
      </w:r>
    </w:p>
    <w:p w14:paraId="6778F825">
      <w:pPr>
        <w:spacing w:line="360" w:lineRule="auto"/>
        <w:jc w:val="center"/>
        <w:outlineLvl w:val="2"/>
        <w:rPr>
          <w:rFonts w:ascii="仿宋" w:hAnsi="仿宋" w:eastAsia="仿宋" w:cs="仿宋"/>
          <w:b/>
          <w:bCs/>
          <w:color w:val="auto"/>
          <w:sz w:val="36"/>
          <w:szCs w:val="36"/>
          <w:highlight w:val="none"/>
        </w:rPr>
      </w:pPr>
      <w:bookmarkStart w:id="25" w:name="_Toc41822704"/>
      <w:bookmarkEnd w:id="25"/>
      <w:r>
        <w:rPr>
          <w:rFonts w:hint="eastAsia" w:ascii="仿宋" w:hAnsi="仿宋" w:eastAsia="仿宋" w:cs="仿宋"/>
          <w:b/>
          <w:bCs/>
          <w:color w:val="auto"/>
          <w:sz w:val="36"/>
          <w:szCs w:val="36"/>
          <w:highlight w:val="none"/>
        </w:rPr>
        <w:t>投标人综合概况</w:t>
      </w:r>
    </w:p>
    <w:tbl>
      <w:tblPr>
        <w:tblStyle w:val="13"/>
        <w:tblW w:w="93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108" w:type="dxa"/>
          <w:bottom w:w="0" w:type="dxa"/>
          <w:right w:w="108" w:type="dxa"/>
        </w:tblCellMar>
      </w:tblPr>
      <w:tblGrid>
        <w:gridCol w:w="1693"/>
        <w:gridCol w:w="870"/>
        <w:gridCol w:w="59"/>
        <w:gridCol w:w="2312"/>
        <w:gridCol w:w="67"/>
        <w:gridCol w:w="1553"/>
        <w:gridCol w:w="677"/>
        <w:gridCol w:w="2101"/>
      </w:tblGrid>
      <w:tr w14:paraId="0CF06E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463BD1AD">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单位名称</w:t>
            </w:r>
          </w:p>
        </w:tc>
        <w:tc>
          <w:tcPr>
            <w:tcW w:w="3308" w:type="dxa"/>
            <w:gridSpan w:val="4"/>
            <w:tcBorders>
              <w:tl2br w:val="nil"/>
              <w:tr2bl w:val="nil"/>
            </w:tcBorders>
            <w:shd w:val="clear" w:color="auto" w:fill="auto"/>
            <w:vAlign w:val="center"/>
          </w:tcPr>
          <w:p w14:paraId="479CD8A5">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6B57C35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统一社会信用代码</w:t>
            </w:r>
          </w:p>
        </w:tc>
        <w:tc>
          <w:tcPr>
            <w:tcW w:w="2101" w:type="dxa"/>
            <w:tcBorders>
              <w:tl2br w:val="nil"/>
              <w:tr2bl w:val="nil"/>
            </w:tcBorders>
            <w:shd w:val="clear" w:color="auto" w:fill="auto"/>
            <w:vAlign w:val="center"/>
          </w:tcPr>
          <w:p w14:paraId="06AF49F5">
            <w:pPr>
              <w:spacing w:line="360" w:lineRule="auto"/>
              <w:jc w:val="center"/>
              <w:rPr>
                <w:rFonts w:ascii="仿宋" w:hAnsi="仿宋" w:eastAsia="仿宋" w:cs="仿宋"/>
                <w:color w:val="auto"/>
                <w:sz w:val="24"/>
                <w:highlight w:val="none"/>
              </w:rPr>
            </w:pPr>
          </w:p>
        </w:tc>
      </w:tr>
      <w:tr w14:paraId="1A50C6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1693" w:type="dxa"/>
            <w:tcBorders>
              <w:tl2br w:val="nil"/>
              <w:tr2bl w:val="nil"/>
            </w:tcBorders>
            <w:shd w:val="clear" w:color="auto" w:fill="auto"/>
            <w:vAlign w:val="center"/>
          </w:tcPr>
          <w:p w14:paraId="5A4DFAB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注册地址</w:t>
            </w:r>
          </w:p>
        </w:tc>
        <w:tc>
          <w:tcPr>
            <w:tcW w:w="3308" w:type="dxa"/>
            <w:gridSpan w:val="4"/>
            <w:tcBorders>
              <w:tl2br w:val="nil"/>
              <w:tr2bl w:val="nil"/>
            </w:tcBorders>
            <w:shd w:val="clear" w:color="auto" w:fill="auto"/>
            <w:vAlign w:val="center"/>
          </w:tcPr>
          <w:p w14:paraId="4023DAD7">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55510C84">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单位性质</w:t>
            </w:r>
          </w:p>
        </w:tc>
        <w:tc>
          <w:tcPr>
            <w:tcW w:w="2101" w:type="dxa"/>
            <w:tcBorders>
              <w:tl2br w:val="nil"/>
              <w:tr2bl w:val="nil"/>
            </w:tcBorders>
            <w:shd w:val="clear" w:color="auto" w:fill="auto"/>
            <w:vAlign w:val="center"/>
          </w:tcPr>
          <w:p w14:paraId="3D9914AF">
            <w:pPr>
              <w:spacing w:line="360" w:lineRule="auto"/>
              <w:jc w:val="center"/>
              <w:rPr>
                <w:rFonts w:ascii="仿宋" w:hAnsi="仿宋" w:eastAsia="仿宋" w:cs="仿宋"/>
                <w:color w:val="auto"/>
                <w:sz w:val="24"/>
                <w:highlight w:val="none"/>
              </w:rPr>
            </w:pPr>
          </w:p>
        </w:tc>
      </w:tr>
      <w:tr w14:paraId="6EC126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6F05232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经营范围</w:t>
            </w:r>
          </w:p>
        </w:tc>
        <w:tc>
          <w:tcPr>
            <w:tcW w:w="3308" w:type="dxa"/>
            <w:gridSpan w:val="4"/>
            <w:tcBorders>
              <w:tl2br w:val="nil"/>
              <w:tr2bl w:val="nil"/>
            </w:tcBorders>
            <w:shd w:val="clear" w:color="auto" w:fill="auto"/>
            <w:vAlign w:val="center"/>
          </w:tcPr>
          <w:p w14:paraId="05C826DD">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64A261AA">
            <w:pPr>
              <w:spacing w:line="360" w:lineRule="auto"/>
              <w:jc w:val="center"/>
              <w:rPr>
                <w:rFonts w:ascii="仿宋" w:hAnsi="仿宋" w:eastAsia="仿宋" w:cs="仿宋"/>
                <w:color w:val="auto"/>
                <w:sz w:val="24"/>
                <w:highlight w:val="none"/>
              </w:rPr>
            </w:pPr>
            <w:r>
              <w:rPr>
                <w:rFonts w:hint="eastAsia" w:ascii="仿宋" w:hAnsi="仿宋" w:eastAsia="仿宋" w:cs="仿宋"/>
                <w:color w:val="auto"/>
                <w:spacing w:val="34"/>
                <w:sz w:val="24"/>
                <w:highlight w:val="none"/>
              </w:rPr>
              <w:t>注册资本</w:t>
            </w:r>
          </w:p>
        </w:tc>
        <w:tc>
          <w:tcPr>
            <w:tcW w:w="2101" w:type="dxa"/>
            <w:tcBorders>
              <w:tl2br w:val="nil"/>
              <w:tr2bl w:val="nil"/>
            </w:tcBorders>
            <w:shd w:val="clear" w:color="auto" w:fill="auto"/>
            <w:vAlign w:val="center"/>
          </w:tcPr>
          <w:p w14:paraId="63C0FF45">
            <w:pPr>
              <w:spacing w:line="360" w:lineRule="auto"/>
              <w:jc w:val="center"/>
              <w:rPr>
                <w:rFonts w:ascii="仿宋" w:hAnsi="仿宋" w:eastAsia="仿宋" w:cs="仿宋"/>
                <w:color w:val="auto"/>
                <w:sz w:val="24"/>
                <w:highlight w:val="none"/>
              </w:rPr>
            </w:pPr>
          </w:p>
        </w:tc>
      </w:tr>
      <w:tr w14:paraId="2C15D6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20" w:hRule="atLeast"/>
          <w:jc w:val="center"/>
        </w:trPr>
        <w:tc>
          <w:tcPr>
            <w:tcW w:w="1693" w:type="dxa"/>
            <w:tcBorders>
              <w:tl2br w:val="nil"/>
              <w:tr2bl w:val="nil"/>
            </w:tcBorders>
            <w:shd w:val="clear" w:color="auto" w:fill="auto"/>
            <w:vAlign w:val="center"/>
          </w:tcPr>
          <w:p w14:paraId="142C48D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分支机构地址</w:t>
            </w:r>
          </w:p>
        </w:tc>
        <w:tc>
          <w:tcPr>
            <w:tcW w:w="3308" w:type="dxa"/>
            <w:gridSpan w:val="4"/>
            <w:tcBorders>
              <w:tl2br w:val="nil"/>
              <w:tr2bl w:val="nil"/>
            </w:tcBorders>
            <w:shd w:val="clear" w:color="auto" w:fill="auto"/>
            <w:vAlign w:val="center"/>
          </w:tcPr>
          <w:p w14:paraId="65C273B1">
            <w:pPr>
              <w:spacing w:line="360" w:lineRule="auto"/>
              <w:jc w:val="center"/>
              <w:rPr>
                <w:rFonts w:ascii="仿宋" w:hAnsi="仿宋" w:eastAsia="仿宋" w:cs="仿宋"/>
                <w:color w:val="auto"/>
                <w:sz w:val="24"/>
                <w:highlight w:val="none"/>
              </w:rPr>
            </w:pPr>
          </w:p>
        </w:tc>
        <w:tc>
          <w:tcPr>
            <w:tcW w:w="2230" w:type="dxa"/>
            <w:gridSpan w:val="2"/>
            <w:tcBorders>
              <w:tl2br w:val="nil"/>
              <w:tr2bl w:val="nil"/>
            </w:tcBorders>
            <w:shd w:val="clear" w:color="auto" w:fill="auto"/>
            <w:vAlign w:val="center"/>
          </w:tcPr>
          <w:p w14:paraId="571A166E">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营业期限</w:t>
            </w:r>
          </w:p>
        </w:tc>
        <w:tc>
          <w:tcPr>
            <w:tcW w:w="2101" w:type="dxa"/>
            <w:tcBorders>
              <w:tl2br w:val="nil"/>
              <w:tr2bl w:val="nil"/>
            </w:tcBorders>
            <w:shd w:val="clear" w:color="auto" w:fill="auto"/>
            <w:vAlign w:val="center"/>
          </w:tcPr>
          <w:p w14:paraId="4BB674B5">
            <w:pPr>
              <w:spacing w:line="360" w:lineRule="auto"/>
              <w:jc w:val="center"/>
              <w:rPr>
                <w:rFonts w:ascii="仿宋" w:hAnsi="仿宋" w:eastAsia="仿宋" w:cs="仿宋"/>
                <w:color w:val="auto"/>
                <w:sz w:val="24"/>
                <w:highlight w:val="none"/>
              </w:rPr>
            </w:pPr>
          </w:p>
        </w:tc>
      </w:tr>
      <w:tr w14:paraId="1CAA386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70" w:hRule="atLeast"/>
          <w:jc w:val="center"/>
        </w:trPr>
        <w:tc>
          <w:tcPr>
            <w:tcW w:w="2563" w:type="dxa"/>
            <w:gridSpan w:val="2"/>
            <w:tcBorders>
              <w:tl2br w:val="nil"/>
              <w:tr2bl w:val="nil"/>
            </w:tcBorders>
            <w:shd w:val="clear" w:color="auto" w:fill="auto"/>
            <w:vAlign w:val="center"/>
          </w:tcPr>
          <w:p w14:paraId="7243BE7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资质证号、范围和等级</w:t>
            </w:r>
          </w:p>
        </w:tc>
        <w:tc>
          <w:tcPr>
            <w:tcW w:w="6769" w:type="dxa"/>
            <w:gridSpan w:val="6"/>
            <w:tcBorders>
              <w:tl2br w:val="nil"/>
              <w:tr2bl w:val="nil"/>
            </w:tcBorders>
            <w:shd w:val="clear" w:color="auto" w:fill="auto"/>
            <w:vAlign w:val="center"/>
          </w:tcPr>
          <w:p w14:paraId="5ADEF174">
            <w:pPr>
              <w:spacing w:line="360" w:lineRule="auto"/>
              <w:jc w:val="center"/>
              <w:rPr>
                <w:rFonts w:ascii="仿宋" w:hAnsi="仿宋" w:eastAsia="仿宋" w:cs="仿宋"/>
                <w:color w:val="auto"/>
                <w:sz w:val="24"/>
                <w:highlight w:val="none"/>
              </w:rPr>
            </w:pPr>
          </w:p>
        </w:tc>
      </w:tr>
      <w:tr w14:paraId="0B2371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70" w:hRule="atLeast"/>
          <w:jc w:val="center"/>
        </w:trPr>
        <w:tc>
          <w:tcPr>
            <w:tcW w:w="2563" w:type="dxa"/>
            <w:gridSpan w:val="2"/>
            <w:tcBorders>
              <w:tl2br w:val="nil"/>
              <w:tr2bl w:val="nil"/>
            </w:tcBorders>
            <w:shd w:val="clear" w:color="auto" w:fill="auto"/>
            <w:vAlign w:val="center"/>
          </w:tcPr>
          <w:p w14:paraId="1C3E457F">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员工数量</w:t>
            </w:r>
          </w:p>
        </w:tc>
        <w:tc>
          <w:tcPr>
            <w:tcW w:w="6769" w:type="dxa"/>
            <w:gridSpan w:val="6"/>
            <w:tcBorders>
              <w:tl2br w:val="nil"/>
              <w:tr2bl w:val="nil"/>
            </w:tcBorders>
            <w:shd w:val="clear" w:color="auto" w:fill="auto"/>
            <w:vAlign w:val="center"/>
          </w:tcPr>
          <w:p w14:paraId="0C05DAA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共</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人，其中，高级职称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人，中级职称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人</w:t>
            </w:r>
          </w:p>
        </w:tc>
      </w:tr>
      <w:tr w14:paraId="1C14DF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2DC5EA91">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联络人</w:t>
            </w:r>
          </w:p>
        </w:tc>
        <w:tc>
          <w:tcPr>
            <w:tcW w:w="2371" w:type="dxa"/>
            <w:gridSpan w:val="2"/>
            <w:tcBorders>
              <w:tl2br w:val="nil"/>
              <w:tr2bl w:val="nil"/>
            </w:tcBorders>
            <w:shd w:val="clear" w:color="auto" w:fill="auto"/>
            <w:vAlign w:val="center"/>
          </w:tcPr>
          <w:p w14:paraId="6087681A">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4D2AC71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手机号码</w:t>
            </w:r>
          </w:p>
        </w:tc>
        <w:tc>
          <w:tcPr>
            <w:tcW w:w="2778" w:type="dxa"/>
            <w:gridSpan w:val="2"/>
            <w:tcBorders>
              <w:tl2br w:val="nil"/>
              <w:tr2bl w:val="nil"/>
            </w:tcBorders>
            <w:shd w:val="clear" w:color="auto" w:fill="auto"/>
            <w:vAlign w:val="center"/>
          </w:tcPr>
          <w:p w14:paraId="0FA98638">
            <w:pPr>
              <w:spacing w:line="360" w:lineRule="auto"/>
              <w:jc w:val="center"/>
              <w:rPr>
                <w:rFonts w:ascii="仿宋" w:hAnsi="仿宋" w:eastAsia="仿宋" w:cs="仿宋"/>
                <w:color w:val="auto"/>
                <w:sz w:val="24"/>
                <w:highlight w:val="none"/>
              </w:rPr>
            </w:pPr>
          </w:p>
        </w:tc>
      </w:tr>
      <w:tr w14:paraId="7B90A0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2563" w:type="dxa"/>
            <w:gridSpan w:val="2"/>
            <w:tcBorders>
              <w:tl2br w:val="nil"/>
              <w:tr2bl w:val="nil"/>
            </w:tcBorders>
            <w:shd w:val="clear" w:color="auto" w:fill="auto"/>
            <w:vAlign w:val="center"/>
          </w:tcPr>
          <w:p w14:paraId="7ECAAFB2">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联系电话</w:t>
            </w:r>
          </w:p>
        </w:tc>
        <w:tc>
          <w:tcPr>
            <w:tcW w:w="2371" w:type="dxa"/>
            <w:gridSpan w:val="2"/>
            <w:tcBorders>
              <w:tl2br w:val="nil"/>
              <w:tr2bl w:val="nil"/>
            </w:tcBorders>
            <w:shd w:val="clear" w:color="auto" w:fill="auto"/>
            <w:vAlign w:val="center"/>
          </w:tcPr>
          <w:p w14:paraId="53C68493">
            <w:pPr>
              <w:spacing w:line="360" w:lineRule="auto"/>
              <w:jc w:val="center"/>
              <w:rPr>
                <w:rFonts w:ascii="仿宋" w:hAnsi="仿宋" w:eastAsia="仿宋" w:cs="仿宋"/>
                <w:color w:val="auto"/>
                <w:sz w:val="24"/>
                <w:highlight w:val="none"/>
              </w:rPr>
            </w:pPr>
          </w:p>
        </w:tc>
        <w:tc>
          <w:tcPr>
            <w:tcW w:w="1620" w:type="dxa"/>
            <w:gridSpan w:val="2"/>
            <w:tcBorders>
              <w:tl2br w:val="nil"/>
              <w:tr2bl w:val="nil"/>
            </w:tcBorders>
            <w:shd w:val="clear" w:color="auto" w:fill="auto"/>
            <w:vAlign w:val="center"/>
          </w:tcPr>
          <w:p w14:paraId="79F48167">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传真</w:t>
            </w:r>
          </w:p>
        </w:tc>
        <w:tc>
          <w:tcPr>
            <w:tcW w:w="2778" w:type="dxa"/>
            <w:gridSpan w:val="2"/>
            <w:tcBorders>
              <w:tl2br w:val="nil"/>
              <w:tr2bl w:val="nil"/>
            </w:tcBorders>
            <w:shd w:val="clear" w:color="auto" w:fill="auto"/>
            <w:vAlign w:val="center"/>
          </w:tcPr>
          <w:p w14:paraId="5E44F87F">
            <w:pPr>
              <w:spacing w:line="360" w:lineRule="auto"/>
              <w:jc w:val="center"/>
              <w:rPr>
                <w:rFonts w:ascii="仿宋" w:hAnsi="仿宋" w:eastAsia="仿宋" w:cs="仿宋"/>
                <w:color w:val="auto"/>
                <w:sz w:val="24"/>
                <w:highlight w:val="none"/>
              </w:rPr>
            </w:pPr>
          </w:p>
        </w:tc>
      </w:tr>
      <w:tr w14:paraId="701E1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jc w:val="center"/>
        </w:trPr>
        <w:tc>
          <w:tcPr>
            <w:tcW w:w="9332" w:type="dxa"/>
            <w:gridSpan w:val="8"/>
            <w:tcBorders>
              <w:tl2br w:val="nil"/>
              <w:tr2bl w:val="nil"/>
            </w:tcBorders>
            <w:shd w:val="clear" w:color="auto" w:fill="auto"/>
            <w:vAlign w:val="center"/>
          </w:tcPr>
          <w:p w14:paraId="4E6B2B20">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法 定 代 表 人 基 本 情 况</w:t>
            </w:r>
          </w:p>
        </w:tc>
      </w:tr>
      <w:tr w14:paraId="58F1B9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360" w:hRule="atLeast"/>
          <w:jc w:val="center"/>
        </w:trPr>
        <w:tc>
          <w:tcPr>
            <w:tcW w:w="1693" w:type="dxa"/>
            <w:tcBorders>
              <w:tl2br w:val="nil"/>
              <w:tr2bl w:val="nil"/>
            </w:tcBorders>
            <w:shd w:val="clear" w:color="auto" w:fill="auto"/>
            <w:vAlign w:val="center"/>
          </w:tcPr>
          <w:p w14:paraId="5B72175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  名</w:t>
            </w:r>
          </w:p>
        </w:tc>
        <w:tc>
          <w:tcPr>
            <w:tcW w:w="929" w:type="dxa"/>
            <w:gridSpan w:val="2"/>
            <w:tcBorders>
              <w:tl2br w:val="nil"/>
              <w:tr2bl w:val="nil"/>
            </w:tcBorders>
            <w:shd w:val="clear" w:color="auto" w:fill="auto"/>
            <w:vAlign w:val="center"/>
          </w:tcPr>
          <w:p w14:paraId="7390C8C1">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0374012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身份证号码</w:t>
            </w:r>
          </w:p>
        </w:tc>
        <w:tc>
          <w:tcPr>
            <w:tcW w:w="4398" w:type="dxa"/>
            <w:gridSpan w:val="4"/>
            <w:tcBorders>
              <w:tl2br w:val="nil"/>
              <w:tr2bl w:val="nil"/>
            </w:tcBorders>
            <w:shd w:val="clear" w:color="auto" w:fill="auto"/>
            <w:vAlign w:val="center"/>
          </w:tcPr>
          <w:p w14:paraId="37A3BCD4">
            <w:pPr>
              <w:spacing w:line="360" w:lineRule="auto"/>
              <w:jc w:val="center"/>
              <w:rPr>
                <w:rFonts w:ascii="仿宋" w:hAnsi="仿宋" w:eastAsia="仿宋" w:cs="仿宋"/>
                <w:color w:val="auto"/>
                <w:sz w:val="24"/>
                <w:highlight w:val="none"/>
              </w:rPr>
            </w:pPr>
          </w:p>
        </w:tc>
      </w:tr>
      <w:tr w14:paraId="2541DA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trHeight w:val="440" w:hRule="atLeast"/>
          <w:jc w:val="center"/>
        </w:trPr>
        <w:tc>
          <w:tcPr>
            <w:tcW w:w="1693" w:type="dxa"/>
            <w:tcBorders>
              <w:tl2br w:val="nil"/>
              <w:tr2bl w:val="nil"/>
            </w:tcBorders>
            <w:shd w:val="clear" w:color="auto" w:fill="auto"/>
            <w:vAlign w:val="center"/>
          </w:tcPr>
          <w:p w14:paraId="6A3E6DC5">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务</w:t>
            </w:r>
          </w:p>
        </w:tc>
        <w:tc>
          <w:tcPr>
            <w:tcW w:w="929" w:type="dxa"/>
            <w:gridSpan w:val="2"/>
            <w:tcBorders>
              <w:tl2br w:val="nil"/>
              <w:tr2bl w:val="nil"/>
            </w:tcBorders>
            <w:shd w:val="clear" w:color="auto" w:fill="auto"/>
            <w:vAlign w:val="center"/>
          </w:tcPr>
          <w:p w14:paraId="30A928C0">
            <w:pPr>
              <w:spacing w:line="360" w:lineRule="auto"/>
              <w:jc w:val="center"/>
              <w:rPr>
                <w:rFonts w:ascii="仿宋" w:hAnsi="仿宋" w:eastAsia="仿宋" w:cs="仿宋"/>
                <w:color w:val="auto"/>
                <w:sz w:val="24"/>
                <w:highlight w:val="none"/>
              </w:rPr>
            </w:pPr>
          </w:p>
        </w:tc>
        <w:tc>
          <w:tcPr>
            <w:tcW w:w="2312" w:type="dxa"/>
            <w:tcBorders>
              <w:tl2br w:val="nil"/>
              <w:tr2bl w:val="nil"/>
            </w:tcBorders>
            <w:shd w:val="clear" w:color="auto" w:fill="auto"/>
            <w:vAlign w:val="center"/>
          </w:tcPr>
          <w:p w14:paraId="23C5CD33">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   称</w:t>
            </w:r>
          </w:p>
        </w:tc>
        <w:tc>
          <w:tcPr>
            <w:tcW w:w="4398" w:type="dxa"/>
            <w:gridSpan w:val="4"/>
            <w:tcBorders>
              <w:tl2br w:val="nil"/>
              <w:tr2bl w:val="nil"/>
            </w:tcBorders>
            <w:shd w:val="clear" w:color="auto" w:fill="auto"/>
            <w:vAlign w:val="center"/>
          </w:tcPr>
          <w:p w14:paraId="7BACA524">
            <w:pPr>
              <w:spacing w:line="360" w:lineRule="auto"/>
              <w:jc w:val="center"/>
              <w:rPr>
                <w:rFonts w:ascii="仿宋" w:hAnsi="仿宋" w:eastAsia="仿宋" w:cs="仿宋"/>
                <w:color w:val="auto"/>
                <w:sz w:val="24"/>
                <w:highlight w:val="none"/>
              </w:rPr>
            </w:pPr>
          </w:p>
        </w:tc>
      </w:tr>
      <w:tr w14:paraId="0280EC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1335" w:hRule="atLeast"/>
          <w:jc w:val="center"/>
        </w:trPr>
        <w:tc>
          <w:tcPr>
            <w:tcW w:w="9332" w:type="dxa"/>
            <w:gridSpan w:val="8"/>
            <w:tcBorders>
              <w:tl2br w:val="nil"/>
              <w:tr2bl w:val="nil"/>
            </w:tcBorders>
            <w:shd w:val="clear" w:color="auto" w:fill="auto"/>
            <w:vAlign w:val="center"/>
          </w:tcPr>
          <w:p w14:paraId="307B6523">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投标单位简介：</w:t>
            </w:r>
          </w:p>
          <w:p w14:paraId="6A914544">
            <w:pPr>
              <w:spacing w:line="360" w:lineRule="auto"/>
              <w:ind w:firstLine="6960" w:firstLineChars="2900"/>
              <w:rPr>
                <w:rFonts w:ascii="仿宋" w:hAnsi="仿宋" w:eastAsia="仿宋" w:cs="仿宋"/>
                <w:color w:val="auto"/>
                <w:sz w:val="24"/>
                <w:highlight w:val="none"/>
              </w:rPr>
            </w:pPr>
            <w:r>
              <w:rPr>
                <w:rFonts w:hint="eastAsia" w:ascii="仿宋" w:hAnsi="仿宋" w:eastAsia="仿宋" w:cs="仿宋"/>
                <w:color w:val="auto"/>
                <w:sz w:val="24"/>
                <w:highlight w:val="none"/>
              </w:rPr>
              <w:t>（单位盖章）</w:t>
            </w:r>
          </w:p>
        </w:tc>
      </w:tr>
      <w:tr w14:paraId="585CFC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108" w:type="dxa"/>
            <w:bottom w:w="0" w:type="dxa"/>
            <w:right w:w="108" w:type="dxa"/>
          </w:tblCellMar>
        </w:tblPrEx>
        <w:trPr>
          <w:cantSplit/>
          <w:trHeight w:val="606" w:hRule="atLeast"/>
          <w:jc w:val="center"/>
        </w:trPr>
        <w:tc>
          <w:tcPr>
            <w:tcW w:w="9332" w:type="dxa"/>
            <w:gridSpan w:val="8"/>
            <w:tcBorders>
              <w:tl2br w:val="nil"/>
              <w:tr2bl w:val="nil"/>
            </w:tcBorders>
            <w:shd w:val="clear" w:color="auto" w:fill="auto"/>
            <w:vAlign w:val="center"/>
          </w:tcPr>
          <w:p w14:paraId="0EC6AEC8">
            <w:pPr>
              <w:spacing w:line="360" w:lineRule="auto"/>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rPr>
              <w:t>注</w:t>
            </w:r>
            <w:r>
              <w:rPr>
                <w:rFonts w:hint="eastAsia" w:ascii="仿宋" w:hAnsi="仿宋" w:eastAsia="仿宋" w:cs="仿宋"/>
                <w:color w:val="auto"/>
                <w:sz w:val="24"/>
                <w:highlight w:val="none"/>
                <w:lang w:eastAsia="zh-CN"/>
              </w:rPr>
              <w:t>：附上</w:t>
            </w:r>
            <w:r>
              <w:rPr>
                <w:rFonts w:hint="eastAsia" w:ascii="仿宋" w:hAnsi="仿宋" w:eastAsia="仿宋" w:cs="仿宋"/>
                <w:color w:val="auto"/>
                <w:sz w:val="24"/>
                <w:highlight w:val="none"/>
                <w:lang w:val="en-US" w:eastAsia="zh-CN"/>
              </w:rPr>
              <w:t>1、</w:t>
            </w:r>
            <w:r>
              <w:rPr>
                <w:rFonts w:hint="eastAsia" w:ascii="仿宋" w:hAnsi="仿宋" w:eastAsia="仿宋" w:cs="仿宋"/>
                <w:color w:val="auto"/>
                <w:sz w:val="24"/>
                <w:highlight w:val="none"/>
              </w:rPr>
              <w:t>公司架构图</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2、</w:t>
            </w:r>
            <w:r>
              <w:rPr>
                <w:rFonts w:hint="eastAsia" w:ascii="仿宋" w:hAnsi="仿宋" w:eastAsia="仿宋" w:cs="仿宋"/>
                <w:color w:val="auto"/>
                <w:sz w:val="24"/>
                <w:highlight w:val="none"/>
              </w:rPr>
              <w:t>公司负责人、公司分管负责人、</w:t>
            </w:r>
            <w:r>
              <w:rPr>
                <w:rFonts w:hint="eastAsia" w:ascii="仿宋" w:hAnsi="仿宋" w:eastAsia="仿宋" w:cs="仿宋"/>
                <w:color w:val="auto"/>
                <w:sz w:val="24"/>
                <w:highlight w:val="none"/>
                <w:lang w:eastAsia="zh-CN"/>
              </w:rPr>
              <w:t>监理</w:t>
            </w:r>
            <w:r>
              <w:rPr>
                <w:rFonts w:hint="eastAsia" w:ascii="仿宋" w:hAnsi="仿宋" w:eastAsia="仿宋" w:cs="仿宋"/>
                <w:color w:val="auto"/>
                <w:sz w:val="24"/>
                <w:highlight w:val="none"/>
              </w:rPr>
              <w:t>部门负责人名称及其联系电话</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3、</w:t>
            </w:r>
            <w:r>
              <w:rPr>
                <w:rFonts w:hint="eastAsia" w:ascii="仿宋" w:hAnsi="仿宋" w:eastAsia="仿宋" w:cs="仿宋"/>
                <w:color w:val="auto"/>
                <w:sz w:val="24"/>
                <w:szCs w:val="24"/>
                <w:highlight w:val="none"/>
              </w:rPr>
              <w:t>企业资质、营业执照复印件</w:t>
            </w:r>
            <w:r>
              <w:rPr>
                <w:rFonts w:hint="eastAsia" w:ascii="仿宋" w:hAnsi="仿宋" w:eastAsia="仿宋" w:cs="仿宋"/>
                <w:color w:val="auto"/>
                <w:sz w:val="24"/>
                <w:szCs w:val="24"/>
                <w:highlight w:val="none"/>
                <w:lang w:eastAsia="zh-CN"/>
              </w:rPr>
              <w:t>。</w:t>
            </w:r>
          </w:p>
        </w:tc>
      </w:tr>
    </w:tbl>
    <w:p w14:paraId="0374EF7B">
      <w:pPr>
        <w:rPr>
          <w:rFonts w:ascii="仿宋" w:hAnsi="仿宋" w:eastAsia="仿宋" w:cs="仿宋"/>
          <w:color w:val="auto"/>
          <w:highlight w:val="none"/>
        </w:rPr>
      </w:pPr>
      <w:r>
        <w:rPr>
          <w:rFonts w:hint="eastAsia" w:ascii="仿宋" w:hAnsi="仿宋" w:eastAsia="仿宋" w:cs="仿宋"/>
          <w:color w:val="auto"/>
          <w:szCs w:val="21"/>
          <w:highlight w:val="none"/>
        </w:rPr>
        <w:t xml:space="preserve">  </w:t>
      </w:r>
    </w:p>
    <w:p w14:paraId="2638ABBE">
      <w:pPr>
        <w:outlineLvl w:val="1"/>
        <w:rPr>
          <w:rFonts w:ascii="宋体" w:hAnsi="宋体" w:eastAsia="宋体" w:cs="黑体"/>
          <w:b/>
          <w:color w:val="auto"/>
          <w:spacing w:val="4"/>
          <w:kern w:val="0"/>
          <w:sz w:val="28"/>
          <w:szCs w:val="28"/>
          <w:highlight w:val="none"/>
        </w:rPr>
      </w:pPr>
      <w:bookmarkStart w:id="26" w:name="_Toc196130014"/>
      <w:bookmarkEnd w:id="26"/>
      <w:bookmarkStart w:id="27" w:name="_Toc415833504"/>
      <w:bookmarkEnd w:id="27"/>
      <w:bookmarkStart w:id="28" w:name="_Toc196037098"/>
      <w:bookmarkEnd w:id="28"/>
      <w:bookmarkStart w:id="29" w:name="_Toc415728298"/>
      <w:bookmarkEnd w:id="29"/>
      <w:bookmarkStart w:id="30" w:name="_Toc459403395"/>
      <w:bookmarkEnd w:id="30"/>
      <w:bookmarkStart w:id="31" w:name="_Toc197235849"/>
      <w:bookmarkEnd w:id="31"/>
      <w:bookmarkStart w:id="32" w:name="_Toc196036942"/>
      <w:bookmarkEnd w:id="32"/>
      <w:bookmarkStart w:id="33" w:name="_Toc199647676"/>
      <w:bookmarkEnd w:id="33"/>
      <w:bookmarkStart w:id="34" w:name="_Toc196130111"/>
      <w:bookmarkEnd w:id="34"/>
      <w:bookmarkStart w:id="35" w:name="_Toc326909214"/>
      <w:bookmarkEnd w:id="35"/>
      <w:bookmarkStart w:id="36" w:name="_Toc462911099"/>
    </w:p>
    <w:p w14:paraId="3C688C3E">
      <w:pPr>
        <w:pStyle w:val="6"/>
        <w:rPr>
          <w:rFonts w:ascii="宋体" w:hAnsi="宋体" w:eastAsia="宋体" w:cs="黑体"/>
          <w:b/>
          <w:color w:val="auto"/>
          <w:spacing w:val="4"/>
          <w:sz w:val="28"/>
          <w:szCs w:val="28"/>
          <w:highlight w:val="none"/>
        </w:rPr>
      </w:pPr>
    </w:p>
    <w:p w14:paraId="3C65A0C7">
      <w:pPr>
        <w:pStyle w:val="6"/>
        <w:rPr>
          <w:rFonts w:ascii="宋体" w:hAnsi="宋体" w:eastAsia="宋体" w:cs="黑体"/>
          <w:b/>
          <w:color w:val="auto"/>
          <w:spacing w:val="4"/>
          <w:sz w:val="28"/>
          <w:szCs w:val="28"/>
          <w:highlight w:val="none"/>
        </w:rPr>
      </w:pPr>
    </w:p>
    <w:p w14:paraId="52792AB8">
      <w:pPr>
        <w:pStyle w:val="6"/>
        <w:rPr>
          <w:rFonts w:ascii="宋体" w:hAnsi="宋体" w:eastAsia="宋体" w:cs="黑体"/>
          <w:b/>
          <w:color w:val="auto"/>
          <w:spacing w:val="4"/>
          <w:sz w:val="28"/>
          <w:szCs w:val="28"/>
          <w:highlight w:val="none"/>
        </w:rPr>
      </w:pPr>
    </w:p>
    <w:p w14:paraId="52E1ABA9">
      <w:pPr>
        <w:pStyle w:val="6"/>
        <w:rPr>
          <w:rFonts w:ascii="宋体" w:hAnsi="宋体" w:eastAsia="宋体" w:cs="黑体"/>
          <w:b/>
          <w:color w:val="auto"/>
          <w:spacing w:val="4"/>
          <w:sz w:val="28"/>
          <w:szCs w:val="28"/>
          <w:highlight w:val="none"/>
        </w:rPr>
      </w:pPr>
    </w:p>
    <w:p w14:paraId="2EB8C6F6">
      <w:pPr>
        <w:pStyle w:val="6"/>
        <w:rPr>
          <w:rFonts w:ascii="宋体" w:hAnsi="宋体" w:eastAsia="宋体" w:cs="黑体"/>
          <w:b/>
          <w:color w:val="auto"/>
          <w:spacing w:val="4"/>
          <w:sz w:val="28"/>
          <w:szCs w:val="28"/>
          <w:highlight w:val="none"/>
        </w:rPr>
      </w:pPr>
    </w:p>
    <w:p w14:paraId="6F342482">
      <w:pPr>
        <w:pStyle w:val="6"/>
        <w:rPr>
          <w:rFonts w:ascii="宋体" w:hAnsi="宋体" w:eastAsia="宋体" w:cs="黑体"/>
          <w:b/>
          <w:color w:val="auto"/>
          <w:spacing w:val="4"/>
          <w:sz w:val="28"/>
          <w:szCs w:val="28"/>
          <w:highlight w:val="none"/>
        </w:rPr>
      </w:pPr>
    </w:p>
    <w:p w14:paraId="7F6F388F">
      <w:pPr>
        <w:outlineLvl w:val="1"/>
        <w:rPr>
          <w:rFonts w:ascii="仿宋" w:hAnsi="仿宋" w:eastAsia="仿宋" w:cs="仿宋"/>
          <w:color w:val="auto"/>
          <w:kern w:val="24"/>
          <w:sz w:val="28"/>
          <w:szCs w:val="28"/>
          <w:highlight w:val="none"/>
        </w:rPr>
      </w:pPr>
      <w:r>
        <w:rPr>
          <w:rFonts w:hint="eastAsia" w:ascii="宋体" w:hAnsi="宋体" w:eastAsia="宋体" w:cs="黑体"/>
          <w:b/>
          <w:color w:val="auto"/>
          <w:spacing w:val="4"/>
          <w:kern w:val="0"/>
          <w:sz w:val="28"/>
          <w:szCs w:val="28"/>
          <w:highlight w:val="none"/>
        </w:rPr>
        <w:t>格式六</w:t>
      </w:r>
      <w:bookmarkEnd w:id="36"/>
      <w:r>
        <w:rPr>
          <w:rFonts w:hint="eastAsia" w:ascii="仿宋" w:hAnsi="仿宋" w:eastAsia="仿宋" w:cs="仿宋"/>
          <w:color w:val="auto"/>
          <w:kern w:val="24"/>
          <w:sz w:val="28"/>
          <w:szCs w:val="28"/>
          <w:highlight w:val="none"/>
        </w:rPr>
        <w:t>：</w:t>
      </w:r>
    </w:p>
    <w:p w14:paraId="04EAA661">
      <w:pPr>
        <w:ind w:firstLine="480" w:firstLineChars="200"/>
        <w:rPr>
          <w:rFonts w:ascii="仿宋" w:hAnsi="仿宋" w:eastAsia="仿宋" w:cs="仿宋"/>
          <w:color w:val="auto"/>
          <w:kern w:val="24"/>
          <w:sz w:val="24"/>
          <w:highlight w:val="none"/>
        </w:rPr>
      </w:pPr>
      <w:r>
        <w:rPr>
          <w:rFonts w:hint="eastAsia" w:ascii="仿宋" w:hAnsi="仿宋" w:eastAsia="仿宋" w:cs="仿宋"/>
          <w:color w:val="auto"/>
          <w:kern w:val="24"/>
          <w:sz w:val="24"/>
          <w:highlight w:val="none"/>
          <w:lang w:eastAsia="zh-CN"/>
        </w:rPr>
        <w:t>201</w:t>
      </w:r>
      <w:r>
        <w:rPr>
          <w:rFonts w:hint="eastAsia" w:ascii="仿宋" w:hAnsi="仿宋" w:eastAsia="仿宋" w:cs="仿宋"/>
          <w:color w:val="auto"/>
          <w:kern w:val="24"/>
          <w:sz w:val="24"/>
          <w:highlight w:val="none"/>
          <w:lang w:val="en-US" w:eastAsia="zh-CN"/>
        </w:rPr>
        <w:t>9</w:t>
      </w:r>
      <w:r>
        <w:rPr>
          <w:rFonts w:hint="eastAsia" w:ascii="仿宋" w:hAnsi="仿宋" w:eastAsia="仿宋" w:cs="仿宋"/>
          <w:color w:val="auto"/>
          <w:kern w:val="24"/>
          <w:sz w:val="24"/>
          <w:highlight w:val="none"/>
          <w:lang w:eastAsia="zh-CN"/>
        </w:rPr>
        <w:t>年</w:t>
      </w:r>
      <w:r>
        <w:rPr>
          <w:rFonts w:hint="eastAsia" w:ascii="仿宋" w:hAnsi="仿宋" w:eastAsia="仿宋" w:cs="仿宋"/>
          <w:color w:val="auto"/>
          <w:kern w:val="24"/>
          <w:sz w:val="24"/>
          <w:highlight w:val="none"/>
        </w:rPr>
        <w:t>1月1日至今企业承担的同类项目</w:t>
      </w:r>
    </w:p>
    <w:p w14:paraId="5C46A1D7">
      <w:pPr>
        <w:spacing w:before="85" w:beforeLines="30" w:line="360" w:lineRule="auto"/>
        <w:jc w:val="center"/>
        <w:outlineLvl w:val="2"/>
        <w:rPr>
          <w:rFonts w:ascii="仿宋" w:hAnsi="仿宋" w:eastAsia="仿宋" w:cs="仿宋"/>
          <w:color w:val="auto"/>
          <w:kern w:val="24"/>
          <w:sz w:val="28"/>
          <w:szCs w:val="28"/>
          <w:highlight w:val="none"/>
        </w:rPr>
      </w:pPr>
      <w:bookmarkStart w:id="37" w:name="_Toc199647677"/>
      <w:bookmarkEnd w:id="37"/>
      <w:bookmarkStart w:id="38" w:name="_Toc196130112"/>
      <w:bookmarkEnd w:id="38"/>
      <w:bookmarkStart w:id="39" w:name="_Toc197235850"/>
      <w:bookmarkEnd w:id="39"/>
      <w:bookmarkStart w:id="40" w:name="_Toc41822705"/>
      <w:bookmarkEnd w:id="40"/>
      <w:bookmarkStart w:id="41" w:name="_Toc196036943"/>
      <w:bookmarkEnd w:id="41"/>
      <w:bookmarkStart w:id="42" w:name="_Toc196130015"/>
      <w:bookmarkEnd w:id="42"/>
      <w:bookmarkStart w:id="43" w:name="_Toc196037099"/>
      <w:bookmarkEnd w:id="43"/>
      <w:bookmarkStart w:id="44" w:name="_Toc326909215"/>
      <w:r>
        <w:rPr>
          <w:rFonts w:hint="eastAsia" w:ascii="仿宋" w:hAnsi="仿宋" w:eastAsia="仿宋" w:cs="仿宋"/>
          <w:b/>
          <w:bCs/>
          <w:color w:val="auto"/>
          <w:kern w:val="24"/>
          <w:sz w:val="36"/>
          <w:szCs w:val="36"/>
          <w:highlight w:val="none"/>
        </w:rPr>
        <w:t>业绩一览表</w:t>
      </w:r>
      <w:bookmarkEnd w:id="44"/>
    </w:p>
    <w:p w14:paraId="39C818C7">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7926" w:type="dxa"/>
        <w:jc w:val="center"/>
        <w:tblLayout w:type="fixed"/>
        <w:tblCellMar>
          <w:top w:w="0" w:type="dxa"/>
          <w:left w:w="108" w:type="dxa"/>
          <w:bottom w:w="0" w:type="dxa"/>
          <w:right w:w="108" w:type="dxa"/>
        </w:tblCellMar>
      </w:tblPr>
      <w:tblGrid>
        <w:gridCol w:w="724"/>
        <w:gridCol w:w="2002"/>
        <w:gridCol w:w="2567"/>
        <w:gridCol w:w="1303"/>
        <w:gridCol w:w="1330"/>
      </w:tblGrid>
      <w:tr w14:paraId="0D128F59">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11A268C">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2002" w:type="dxa"/>
            <w:tcBorders>
              <w:top w:val="single" w:color="auto" w:sz="4" w:space="0"/>
              <w:left w:val="nil"/>
              <w:bottom w:val="single" w:color="auto" w:sz="4" w:space="0"/>
              <w:right w:val="single" w:color="auto" w:sz="4" w:space="0"/>
            </w:tcBorders>
            <w:shd w:val="clear" w:color="auto" w:fill="auto"/>
            <w:vAlign w:val="center"/>
          </w:tcPr>
          <w:p w14:paraId="50612B8B">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主要业绩名称</w:t>
            </w:r>
          </w:p>
        </w:tc>
        <w:tc>
          <w:tcPr>
            <w:tcW w:w="2567" w:type="dxa"/>
            <w:tcBorders>
              <w:top w:val="single" w:color="auto" w:sz="4" w:space="0"/>
              <w:left w:val="nil"/>
              <w:bottom w:val="single" w:color="auto" w:sz="4" w:space="0"/>
              <w:right w:val="single" w:color="auto" w:sz="4" w:space="0"/>
            </w:tcBorders>
            <w:shd w:val="clear" w:color="auto" w:fill="auto"/>
            <w:vAlign w:val="center"/>
          </w:tcPr>
          <w:p w14:paraId="74EA8BE9">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业绩简介</w:t>
            </w:r>
          </w:p>
        </w:tc>
        <w:tc>
          <w:tcPr>
            <w:tcW w:w="1303" w:type="dxa"/>
            <w:tcBorders>
              <w:top w:val="single" w:color="auto" w:sz="4" w:space="0"/>
              <w:left w:val="nil"/>
              <w:bottom w:val="single" w:color="auto" w:sz="4" w:space="0"/>
              <w:right w:val="single" w:color="auto" w:sz="4" w:space="0"/>
            </w:tcBorders>
            <w:shd w:val="clear" w:color="auto" w:fill="auto"/>
            <w:vAlign w:val="center"/>
          </w:tcPr>
          <w:p w14:paraId="0D2CF942">
            <w:pPr>
              <w:widowControl/>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面积</w:t>
            </w:r>
          </w:p>
        </w:tc>
        <w:tc>
          <w:tcPr>
            <w:tcW w:w="1330" w:type="dxa"/>
            <w:tcBorders>
              <w:top w:val="single" w:color="auto" w:sz="4" w:space="0"/>
              <w:left w:val="nil"/>
              <w:bottom w:val="single" w:color="auto" w:sz="4" w:space="0"/>
              <w:right w:val="single" w:color="auto" w:sz="4" w:space="0"/>
            </w:tcBorders>
            <w:shd w:val="clear" w:color="auto" w:fill="auto"/>
            <w:vAlign w:val="center"/>
          </w:tcPr>
          <w:p w14:paraId="08DEA796">
            <w:pPr>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完成时间</w:t>
            </w:r>
          </w:p>
        </w:tc>
      </w:tr>
      <w:tr w14:paraId="1D7F46C5">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E4A1417">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41FAD7F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70FADB70">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1E7D4973">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33E691DC">
            <w:pPr>
              <w:spacing w:line="360" w:lineRule="auto"/>
              <w:jc w:val="center"/>
              <w:rPr>
                <w:rFonts w:ascii="仿宋" w:hAnsi="仿宋" w:eastAsia="仿宋" w:cs="仿宋"/>
                <w:color w:val="auto"/>
                <w:sz w:val="24"/>
                <w:highlight w:val="none"/>
              </w:rPr>
            </w:pPr>
          </w:p>
        </w:tc>
      </w:tr>
      <w:tr w14:paraId="318372C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8CAC328">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690541E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106BDE9">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2526D862">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393785FC">
            <w:pPr>
              <w:spacing w:line="360" w:lineRule="auto"/>
              <w:jc w:val="center"/>
              <w:rPr>
                <w:rFonts w:ascii="仿宋" w:hAnsi="仿宋" w:eastAsia="仿宋" w:cs="仿宋"/>
                <w:color w:val="auto"/>
                <w:sz w:val="24"/>
                <w:highlight w:val="none"/>
              </w:rPr>
            </w:pPr>
          </w:p>
        </w:tc>
      </w:tr>
      <w:tr w14:paraId="7A60E732">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A36E844">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183C3202">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6CCD7679">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A2F4E31">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5BA651E">
            <w:pPr>
              <w:spacing w:line="360" w:lineRule="auto"/>
              <w:jc w:val="center"/>
              <w:rPr>
                <w:rFonts w:ascii="仿宋" w:hAnsi="仿宋" w:eastAsia="仿宋" w:cs="仿宋"/>
                <w:color w:val="auto"/>
                <w:sz w:val="24"/>
                <w:highlight w:val="none"/>
              </w:rPr>
            </w:pPr>
          </w:p>
        </w:tc>
      </w:tr>
      <w:tr w14:paraId="4D758BB2">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8097FE7">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50AB4A2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264D0066">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644D0E01">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AFF161D">
            <w:pPr>
              <w:spacing w:line="360" w:lineRule="auto"/>
              <w:jc w:val="center"/>
              <w:rPr>
                <w:rFonts w:ascii="仿宋" w:hAnsi="仿宋" w:eastAsia="仿宋" w:cs="仿宋"/>
                <w:color w:val="auto"/>
                <w:sz w:val="24"/>
                <w:highlight w:val="none"/>
              </w:rPr>
            </w:pPr>
          </w:p>
        </w:tc>
      </w:tr>
      <w:tr w14:paraId="4A76C0DA">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071AAC1">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13D8E893">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55ABDF41">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4E34C58A">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2218B772">
            <w:pPr>
              <w:spacing w:line="360" w:lineRule="auto"/>
              <w:jc w:val="center"/>
              <w:rPr>
                <w:rFonts w:ascii="仿宋" w:hAnsi="仿宋" w:eastAsia="仿宋" w:cs="仿宋"/>
                <w:color w:val="auto"/>
                <w:sz w:val="24"/>
                <w:highlight w:val="none"/>
              </w:rPr>
            </w:pPr>
          </w:p>
        </w:tc>
      </w:tr>
      <w:tr w14:paraId="41F77BA6">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7E58E73C">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0B163CB1">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39B9BD94">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30C70B12">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12EFABF0">
            <w:pPr>
              <w:spacing w:line="360" w:lineRule="auto"/>
              <w:jc w:val="center"/>
              <w:rPr>
                <w:rFonts w:ascii="仿宋" w:hAnsi="仿宋" w:eastAsia="仿宋" w:cs="仿宋"/>
                <w:color w:val="auto"/>
                <w:sz w:val="24"/>
                <w:highlight w:val="none"/>
              </w:rPr>
            </w:pPr>
          </w:p>
        </w:tc>
      </w:tr>
      <w:tr w14:paraId="06CBC5EE">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2B10E920">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356AD927">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3AAEF8B0">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1FA36E2">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6D492E8E">
            <w:pPr>
              <w:spacing w:line="360" w:lineRule="auto"/>
              <w:jc w:val="center"/>
              <w:rPr>
                <w:rFonts w:ascii="仿宋" w:hAnsi="仿宋" w:eastAsia="仿宋" w:cs="仿宋"/>
                <w:color w:val="auto"/>
                <w:sz w:val="24"/>
                <w:highlight w:val="none"/>
              </w:rPr>
            </w:pPr>
          </w:p>
        </w:tc>
      </w:tr>
      <w:tr w14:paraId="0D48C5C9">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51547D3C">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6D379C0C">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2E57EF87">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271BE0A">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4713B8E5">
            <w:pPr>
              <w:spacing w:line="360" w:lineRule="auto"/>
              <w:jc w:val="center"/>
              <w:rPr>
                <w:rFonts w:ascii="仿宋" w:hAnsi="仿宋" w:eastAsia="仿宋" w:cs="仿宋"/>
                <w:color w:val="auto"/>
                <w:sz w:val="24"/>
                <w:highlight w:val="none"/>
              </w:rPr>
            </w:pPr>
          </w:p>
        </w:tc>
      </w:tr>
      <w:tr w14:paraId="0BF3D050">
        <w:tblPrEx>
          <w:tblCellMar>
            <w:top w:w="0" w:type="dxa"/>
            <w:left w:w="108" w:type="dxa"/>
            <w:bottom w:w="0" w:type="dxa"/>
            <w:right w:w="108" w:type="dxa"/>
          </w:tblCellMar>
        </w:tblPrEx>
        <w:trPr>
          <w:trHeight w:val="477" w:hRule="atLeast"/>
          <w:jc w:val="center"/>
        </w:trPr>
        <w:tc>
          <w:tcPr>
            <w:tcW w:w="724" w:type="dxa"/>
            <w:tcBorders>
              <w:top w:val="single" w:color="auto" w:sz="4" w:space="0"/>
              <w:left w:val="single" w:color="auto" w:sz="4" w:space="0"/>
              <w:bottom w:val="single" w:color="auto" w:sz="4" w:space="0"/>
              <w:right w:val="single" w:color="auto" w:sz="4" w:space="0"/>
            </w:tcBorders>
            <w:shd w:val="clear" w:color="auto" w:fill="auto"/>
            <w:vAlign w:val="center"/>
          </w:tcPr>
          <w:p w14:paraId="12A2DD02">
            <w:pPr>
              <w:spacing w:line="360" w:lineRule="auto"/>
              <w:jc w:val="center"/>
              <w:rPr>
                <w:rFonts w:ascii="仿宋" w:hAnsi="仿宋" w:eastAsia="仿宋" w:cs="仿宋"/>
                <w:color w:val="auto"/>
                <w:sz w:val="24"/>
                <w:highlight w:val="none"/>
              </w:rPr>
            </w:pPr>
          </w:p>
        </w:tc>
        <w:tc>
          <w:tcPr>
            <w:tcW w:w="2002" w:type="dxa"/>
            <w:tcBorders>
              <w:top w:val="single" w:color="auto" w:sz="4" w:space="0"/>
              <w:left w:val="nil"/>
              <w:bottom w:val="single" w:color="auto" w:sz="4" w:space="0"/>
              <w:right w:val="single" w:color="auto" w:sz="4" w:space="0"/>
            </w:tcBorders>
            <w:shd w:val="clear" w:color="auto" w:fill="auto"/>
            <w:vAlign w:val="center"/>
          </w:tcPr>
          <w:p w14:paraId="641D8DAA">
            <w:pPr>
              <w:spacing w:line="360" w:lineRule="auto"/>
              <w:jc w:val="center"/>
              <w:rPr>
                <w:rFonts w:ascii="仿宋" w:hAnsi="仿宋" w:eastAsia="仿宋" w:cs="仿宋"/>
                <w:color w:val="auto"/>
                <w:sz w:val="24"/>
                <w:highlight w:val="none"/>
              </w:rPr>
            </w:pPr>
          </w:p>
        </w:tc>
        <w:tc>
          <w:tcPr>
            <w:tcW w:w="2567" w:type="dxa"/>
            <w:tcBorders>
              <w:top w:val="single" w:color="auto" w:sz="4" w:space="0"/>
              <w:left w:val="nil"/>
              <w:bottom w:val="single" w:color="auto" w:sz="4" w:space="0"/>
              <w:right w:val="single" w:color="auto" w:sz="4" w:space="0"/>
            </w:tcBorders>
            <w:shd w:val="clear" w:color="auto" w:fill="auto"/>
            <w:vAlign w:val="center"/>
          </w:tcPr>
          <w:p w14:paraId="6F8D7E8C">
            <w:pPr>
              <w:spacing w:line="360" w:lineRule="auto"/>
              <w:jc w:val="center"/>
              <w:rPr>
                <w:rFonts w:ascii="仿宋" w:hAnsi="仿宋" w:eastAsia="仿宋" w:cs="仿宋"/>
                <w:color w:val="auto"/>
                <w:sz w:val="24"/>
                <w:highlight w:val="none"/>
              </w:rPr>
            </w:pPr>
          </w:p>
        </w:tc>
        <w:tc>
          <w:tcPr>
            <w:tcW w:w="1303" w:type="dxa"/>
            <w:tcBorders>
              <w:top w:val="single" w:color="auto" w:sz="4" w:space="0"/>
              <w:left w:val="nil"/>
              <w:bottom w:val="single" w:color="auto" w:sz="4" w:space="0"/>
              <w:right w:val="single" w:color="auto" w:sz="4" w:space="0"/>
            </w:tcBorders>
            <w:shd w:val="clear" w:color="auto" w:fill="auto"/>
          </w:tcPr>
          <w:p w14:paraId="0676E479">
            <w:pPr>
              <w:spacing w:line="360" w:lineRule="auto"/>
              <w:jc w:val="center"/>
              <w:rPr>
                <w:rFonts w:ascii="仿宋" w:hAnsi="仿宋" w:eastAsia="仿宋" w:cs="仿宋"/>
                <w:color w:val="auto"/>
                <w:sz w:val="24"/>
                <w:highlight w:val="none"/>
              </w:rPr>
            </w:pPr>
          </w:p>
        </w:tc>
        <w:tc>
          <w:tcPr>
            <w:tcW w:w="1330" w:type="dxa"/>
            <w:tcBorders>
              <w:top w:val="single" w:color="auto" w:sz="4" w:space="0"/>
              <w:left w:val="nil"/>
              <w:bottom w:val="single" w:color="auto" w:sz="4" w:space="0"/>
              <w:right w:val="single" w:color="auto" w:sz="4" w:space="0"/>
            </w:tcBorders>
            <w:shd w:val="clear" w:color="auto" w:fill="auto"/>
            <w:vAlign w:val="center"/>
          </w:tcPr>
          <w:p w14:paraId="008C6F11">
            <w:pPr>
              <w:spacing w:line="360" w:lineRule="auto"/>
              <w:jc w:val="center"/>
              <w:rPr>
                <w:rFonts w:ascii="仿宋" w:hAnsi="仿宋" w:eastAsia="仿宋" w:cs="仿宋"/>
                <w:color w:val="auto"/>
                <w:sz w:val="24"/>
                <w:highlight w:val="none"/>
              </w:rPr>
            </w:pPr>
          </w:p>
        </w:tc>
      </w:tr>
    </w:tbl>
    <w:p w14:paraId="795D0FA5">
      <w:pPr>
        <w:spacing w:line="360" w:lineRule="auto"/>
        <w:ind w:firstLine="359" w:firstLineChars="171"/>
        <w:rPr>
          <w:rFonts w:ascii="仿宋" w:hAnsi="仿宋" w:eastAsia="仿宋" w:cs="仿宋"/>
          <w:color w:val="auto"/>
          <w:highlight w:val="none"/>
        </w:rPr>
      </w:pPr>
      <w:r>
        <w:rPr>
          <w:rFonts w:hint="eastAsia" w:ascii="仿宋" w:hAnsi="仿宋" w:eastAsia="仿宋" w:cs="仿宋"/>
          <w:color w:val="auto"/>
          <w:szCs w:val="21"/>
          <w:highlight w:val="none"/>
        </w:rPr>
        <w:t>注：1、投标人提供的同类项目业绩证明资料附于该表后面。业绩证明资料须提供：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14:paraId="532C48C8">
      <w:pPr>
        <w:spacing w:line="360" w:lineRule="auto"/>
        <w:ind w:firstLine="779" w:firstLineChars="371"/>
        <w:rPr>
          <w:rFonts w:ascii="仿宋" w:hAnsi="仿宋" w:eastAsia="仿宋" w:cs="仿宋"/>
          <w:color w:val="auto"/>
          <w:sz w:val="24"/>
          <w:highlight w:val="none"/>
        </w:rPr>
      </w:pPr>
      <w:r>
        <w:rPr>
          <w:rFonts w:hint="eastAsia" w:ascii="仿宋" w:hAnsi="仿宋" w:eastAsia="仿宋" w:cs="仿宋"/>
          <w:color w:val="auto"/>
          <w:szCs w:val="21"/>
          <w:highlight w:val="none"/>
        </w:rPr>
        <w:t>2、如有获奖，请附获奖证书复印件。</w:t>
      </w:r>
    </w:p>
    <w:p w14:paraId="279EC843">
      <w:pPr>
        <w:adjustRightInd w:val="0"/>
        <w:snapToGrid w:val="0"/>
        <w:spacing w:before="85" w:beforeLines="30" w:line="360" w:lineRule="auto"/>
        <w:rPr>
          <w:rFonts w:ascii="仿宋" w:hAnsi="仿宋" w:eastAsia="仿宋" w:cs="仿宋"/>
          <w:color w:val="auto"/>
          <w:sz w:val="24"/>
          <w:highlight w:val="none"/>
        </w:rPr>
      </w:pPr>
    </w:p>
    <w:p w14:paraId="4B6354D8">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2354B295">
      <w:pPr>
        <w:spacing w:line="600" w:lineRule="exact"/>
        <w:rPr>
          <w:rFonts w:ascii="仿宋" w:hAnsi="仿宋" w:eastAsia="仿宋" w:cs="宋体"/>
          <w:color w:val="auto"/>
          <w:sz w:val="28"/>
          <w:szCs w:val="28"/>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36DE0F5">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583EE298">
      <w:pPr>
        <w:outlineLvl w:val="1"/>
        <w:rPr>
          <w:rFonts w:ascii="仿宋" w:hAnsi="仿宋" w:eastAsia="宋体" w:cs="宋体"/>
          <w:color w:val="auto"/>
          <w:sz w:val="28"/>
          <w:szCs w:val="28"/>
          <w:highlight w:val="none"/>
        </w:rPr>
      </w:pPr>
      <w:r>
        <w:rPr>
          <w:rFonts w:hint="eastAsia" w:ascii="宋体" w:hAnsi="宋体" w:eastAsia="宋体" w:cs="黑体"/>
          <w:b/>
          <w:color w:val="auto"/>
          <w:spacing w:val="4"/>
          <w:kern w:val="0"/>
          <w:sz w:val="28"/>
          <w:szCs w:val="28"/>
          <w:highlight w:val="none"/>
        </w:rPr>
        <w:t>格式七</w:t>
      </w:r>
      <w:r>
        <w:rPr>
          <w:rFonts w:hint="eastAsia" w:ascii="仿宋" w:hAnsi="仿宋" w:eastAsia="仿宋" w:cs="宋体"/>
          <w:color w:val="auto"/>
          <w:sz w:val="28"/>
          <w:szCs w:val="28"/>
          <w:highlight w:val="none"/>
        </w:rPr>
        <w:t>：</w:t>
      </w:r>
    </w:p>
    <w:p w14:paraId="1440958D">
      <w:pPr>
        <w:adjustRightInd w:val="0"/>
        <w:snapToGrid w:val="0"/>
        <w:spacing w:before="85" w:beforeLines="30" w:line="360" w:lineRule="auto"/>
        <w:ind w:firstLine="542" w:firstLineChars="150"/>
        <w:jc w:val="center"/>
        <w:outlineLvl w:val="2"/>
        <w:rPr>
          <w:rFonts w:ascii="仿宋" w:hAnsi="仿宋" w:eastAsia="仿宋" w:cs="仿宋"/>
          <w:color w:val="auto"/>
          <w:sz w:val="24"/>
          <w:highlight w:val="none"/>
        </w:rPr>
      </w:pPr>
      <w:r>
        <w:rPr>
          <w:rFonts w:hint="eastAsia" w:ascii="仿宋" w:hAnsi="仿宋" w:eastAsia="仿宋" w:cs="宋体"/>
          <w:b/>
          <w:color w:val="auto"/>
          <w:sz w:val="36"/>
          <w:szCs w:val="36"/>
          <w:highlight w:val="none"/>
        </w:rPr>
        <w:t>参与本项目的人员一览表</w:t>
      </w:r>
    </w:p>
    <w:p w14:paraId="2B8635B3">
      <w:pPr>
        <w:adjustRightInd w:val="0"/>
        <w:snapToGrid w:val="0"/>
        <w:spacing w:before="85" w:beforeLines="30" w:line="360" w:lineRule="auto"/>
        <w:ind w:firstLine="360" w:firstLineChars="1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768" w:type="dxa"/>
        <w:jc w:val="center"/>
        <w:tblLayout w:type="fixed"/>
        <w:tblCellMar>
          <w:top w:w="0" w:type="dxa"/>
          <w:left w:w="108" w:type="dxa"/>
          <w:bottom w:w="0" w:type="dxa"/>
          <w:right w:w="108" w:type="dxa"/>
        </w:tblCellMar>
      </w:tblPr>
      <w:tblGrid>
        <w:gridCol w:w="752"/>
        <w:gridCol w:w="715"/>
        <w:gridCol w:w="887"/>
        <w:gridCol w:w="887"/>
        <w:gridCol w:w="1066"/>
        <w:gridCol w:w="886"/>
        <w:gridCol w:w="884"/>
        <w:gridCol w:w="1250"/>
        <w:gridCol w:w="1441"/>
      </w:tblGrid>
      <w:tr w14:paraId="41462E2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8687A65">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序号</w:t>
            </w: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26FE0E7">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姓名</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8C53BA2">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性别</w:t>
            </w: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99F1764">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年龄</w:t>
            </w: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0F54D1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职称</w:t>
            </w: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F5F984F">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专业</w:t>
            </w:r>
          </w:p>
        </w:tc>
        <w:tc>
          <w:tcPr>
            <w:tcW w:w="884" w:type="dxa"/>
            <w:tcBorders>
              <w:top w:val="single" w:color="000000" w:sz="6" w:space="0"/>
              <w:left w:val="nil"/>
              <w:bottom w:val="single" w:color="000000" w:sz="6" w:space="0"/>
              <w:right w:val="single" w:color="000000" w:sz="6" w:space="0"/>
            </w:tcBorders>
            <w:shd w:val="clear" w:color="auto" w:fill="auto"/>
            <w:vAlign w:val="center"/>
          </w:tcPr>
          <w:p w14:paraId="4F9947BD">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最高学历</w:t>
            </w: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8AD7C9E">
            <w:pPr>
              <w:snapToGrid w:val="0"/>
              <w:spacing w:line="360" w:lineRule="auto"/>
              <w:jc w:val="center"/>
              <w:rPr>
                <w:rFonts w:ascii="仿宋" w:hAnsi="仿宋" w:eastAsia="仿宋" w:cs="宋体"/>
                <w:color w:val="auto"/>
                <w:kern w:val="0"/>
                <w:sz w:val="24"/>
                <w:highlight w:val="none"/>
              </w:rPr>
            </w:pPr>
            <w:r>
              <w:rPr>
                <w:rFonts w:hint="eastAsia" w:ascii="仿宋" w:hAnsi="仿宋" w:eastAsia="仿宋" w:cs="宋体"/>
                <w:color w:val="auto"/>
                <w:kern w:val="0"/>
                <w:sz w:val="24"/>
                <w:highlight w:val="none"/>
              </w:rPr>
              <w:t>相关注</w:t>
            </w:r>
          </w:p>
          <w:p w14:paraId="768D5FB0">
            <w:pPr>
              <w:snapToGrid w:val="0"/>
              <w:spacing w:line="360" w:lineRule="auto"/>
              <w:jc w:val="center"/>
              <w:rPr>
                <w:rFonts w:ascii="仿宋" w:hAnsi="仿宋" w:eastAsia="仿宋" w:cs="仿宋"/>
                <w:color w:val="auto"/>
                <w:sz w:val="24"/>
                <w:highlight w:val="none"/>
              </w:rPr>
            </w:pPr>
            <w:r>
              <w:rPr>
                <w:rFonts w:hint="eastAsia" w:ascii="仿宋" w:hAnsi="仿宋" w:eastAsia="仿宋" w:cs="宋体"/>
                <w:color w:val="auto"/>
                <w:spacing w:val="20"/>
                <w:kern w:val="0"/>
                <w:sz w:val="24"/>
                <w:highlight w:val="none"/>
              </w:rPr>
              <w:t>册资格</w:t>
            </w: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06591A9A">
            <w:pPr>
              <w:snapToGrid w:val="0"/>
              <w:spacing w:line="360"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拟承担工作</w:t>
            </w:r>
          </w:p>
        </w:tc>
      </w:tr>
      <w:tr w14:paraId="093B206C">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6F2ACCC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6FED12D8">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355FBBF">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B3880DE">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77453FA">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575DAD2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505A3B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F2AE38C">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267005D6">
            <w:pPr>
              <w:snapToGrid w:val="0"/>
              <w:spacing w:line="360" w:lineRule="auto"/>
              <w:jc w:val="center"/>
              <w:rPr>
                <w:rFonts w:ascii="仿宋" w:hAnsi="仿宋" w:eastAsia="仿宋" w:cs="仿宋"/>
                <w:color w:val="auto"/>
                <w:sz w:val="24"/>
                <w:highlight w:val="none"/>
              </w:rPr>
            </w:pPr>
          </w:p>
        </w:tc>
      </w:tr>
      <w:tr w14:paraId="0E1FA2F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CC2D13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FD4AF1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7E85547">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800658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4AF1A13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0E97BD4">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02DB8CE">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128D1178">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30D7300">
            <w:pPr>
              <w:snapToGrid w:val="0"/>
              <w:spacing w:line="360" w:lineRule="auto"/>
              <w:jc w:val="center"/>
              <w:rPr>
                <w:rFonts w:ascii="仿宋" w:hAnsi="仿宋" w:eastAsia="仿宋" w:cs="仿宋"/>
                <w:color w:val="auto"/>
                <w:sz w:val="24"/>
                <w:highlight w:val="none"/>
              </w:rPr>
            </w:pPr>
          </w:p>
        </w:tc>
      </w:tr>
      <w:tr w14:paraId="346F23A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E93017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15A8E8A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A72FCAA">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90FF851">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C505A02">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73A83C90">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32FD5D6B">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6DB0237A">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5C95EE59">
            <w:pPr>
              <w:snapToGrid w:val="0"/>
              <w:spacing w:line="360" w:lineRule="auto"/>
              <w:jc w:val="center"/>
              <w:rPr>
                <w:rFonts w:ascii="仿宋" w:hAnsi="仿宋" w:eastAsia="仿宋" w:cs="仿宋"/>
                <w:color w:val="auto"/>
                <w:sz w:val="24"/>
                <w:highlight w:val="none"/>
              </w:rPr>
            </w:pPr>
          </w:p>
        </w:tc>
      </w:tr>
      <w:tr w14:paraId="23845A2B">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75786467">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F2F880C">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7B6FE5F4">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3E82B77">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0B11798A">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398BDB18">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0A1794F9">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9B5EE6A">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EAE380E">
            <w:pPr>
              <w:snapToGrid w:val="0"/>
              <w:spacing w:line="360" w:lineRule="auto"/>
              <w:jc w:val="center"/>
              <w:rPr>
                <w:rFonts w:ascii="仿宋" w:hAnsi="仿宋" w:eastAsia="仿宋" w:cs="仿宋"/>
                <w:color w:val="auto"/>
                <w:sz w:val="24"/>
                <w:highlight w:val="none"/>
              </w:rPr>
            </w:pPr>
          </w:p>
        </w:tc>
      </w:tr>
      <w:tr w14:paraId="4AA035EF">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3BC78CA">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23AB24E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62D748E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1C25BF2B">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18A06EE">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EE2D84E">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2C22F22F">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7E281907">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46C97913">
            <w:pPr>
              <w:snapToGrid w:val="0"/>
              <w:spacing w:line="360" w:lineRule="auto"/>
              <w:jc w:val="center"/>
              <w:rPr>
                <w:rFonts w:ascii="仿宋" w:hAnsi="仿宋" w:eastAsia="仿宋" w:cs="仿宋"/>
                <w:color w:val="auto"/>
                <w:sz w:val="24"/>
                <w:highlight w:val="none"/>
              </w:rPr>
            </w:pPr>
          </w:p>
        </w:tc>
      </w:tr>
      <w:tr w14:paraId="2D760566">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1BDD8DB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2A2790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281F5F1">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3864836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33F6803E">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13F93757">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07BC5D8">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542DB82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1E2BA95">
            <w:pPr>
              <w:snapToGrid w:val="0"/>
              <w:spacing w:line="360" w:lineRule="auto"/>
              <w:jc w:val="center"/>
              <w:rPr>
                <w:rFonts w:ascii="仿宋" w:hAnsi="仿宋" w:eastAsia="仿宋" w:cs="仿宋"/>
                <w:color w:val="auto"/>
                <w:sz w:val="24"/>
                <w:highlight w:val="none"/>
              </w:rPr>
            </w:pPr>
          </w:p>
        </w:tc>
      </w:tr>
      <w:tr w14:paraId="530F2D6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4EE91DF2">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F8CAA7E">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054807DB">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253AE433">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6E396FD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0CAB9719">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7C8699CE">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29927141">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67337896">
            <w:pPr>
              <w:snapToGrid w:val="0"/>
              <w:spacing w:line="360" w:lineRule="auto"/>
              <w:jc w:val="center"/>
              <w:rPr>
                <w:rFonts w:ascii="仿宋" w:hAnsi="仿宋" w:eastAsia="仿宋" w:cs="仿宋"/>
                <w:color w:val="auto"/>
                <w:sz w:val="24"/>
                <w:highlight w:val="none"/>
              </w:rPr>
            </w:pPr>
          </w:p>
        </w:tc>
      </w:tr>
      <w:tr w14:paraId="577C9FBD">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000000" w:sz="6" w:space="0"/>
              <w:right w:val="single" w:color="000000" w:sz="6" w:space="0"/>
            </w:tcBorders>
            <w:shd w:val="clear" w:color="auto" w:fill="auto"/>
            <w:vAlign w:val="center"/>
          </w:tcPr>
          <w:p w14:paraId="301B2AC9">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000000" w:sz="6" w:space="0"/>
              <w:right w:val="single" w:color="000000" w:sz="6" w:space="0"/>
            </w:tcBorders>
            <w:shd w:val="clear" w:color="auto" w:fill="auto"/>
            <w:vAlign w:val="center"/>
          </w:tcPr>
          <w:p w14:paraId="758FB105">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83BD520">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000000" w:sz="6" w:space="0"/>
              <w:right w:val="single" w:color="000000" w:sz="6" w:space="0"/>
            </w:tcBorders>
            <w:shd w:val="clear" w:color="auto" w:fill="auto"/>
            <w:vAlign w:val="center"/>
          </w:tcPr>
          <w:p w14:paraId="4E6D2E02">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000000" w:sz="6" w:space="0"/>
              <w:right w:val="single" w:color="000000" w:sz="6" w:space="0"/>
            </w:tcBorders>
            <w:shd w:val="clear" w:color="auto" w:fill="auto"/>
            <w:vAlign w:val="center"/>
          </w:tcPr>
          <w:p w14:paraId="259F9A17">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000000" w:sz="6" w:space="0"/>
              <w:right w:val="single" w:color="000000" w:sz="6" w:space="0"/>
            </w:tcBorders>
            <w:shd w:val="clear" w:color="auto" w:fill="auto"/>
            <w:vAlign w:val="center"/>
          </w:tcPr>
          <w:p w14:paraId="20DA8211">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000000" w:sz="6" w:space="0"/>
              <w:right w:val="single" w:color="000000" w:sz="6" w:space="0"/>
            </w:tcBorders>
            <w:shd w:val="clear" w:color="auto" w:fill="auto"/>
            <w:vAlign w:val="center"/>
          </w:tcPr>
          <w:p w14:paraId="675E7736">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000000" w:sz="6" w:space="0"/>
              <w:right w:val="single" w:color="000000" w:sz="6" w:space="0"/>
            </w:tcBorders>
            <w:shd w:val="clear" w:color="auto" w:fill="auto"/>
            <w:vAlign w:val="center"/>
          </w:tcPr>
          <w:p w14:paraId="48B9BE4D">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000000" w:sz="6" w:space="0"/>
              <w:right w:val="single" w:color="000000" w:sz="6" w:space="0"/>
            </w:tcBorders>
            <w:shd w:val="clear" w:color="auto" w:fill="auto"/>
            <w:vAlign w:val="center"/>
          </w:tcPr>
          <w:p w14:paraId="16E83460">
            <w:pPr>
              <w:snapToGrid w:val="0"/>
              <w:spacing w:line="360" w:lineRule="auto"/>
              <w:jc w:val="center"/>
              <w:rPr>
                <w:rFonts w:ascii="仿宋" w:hAnsi="仿宋" w:eastAsia="仿宋" w:cs="仿宋"/>
                <w:color w:val="auto"/>
                <w:sz w:val="24"/>
                <w:highlight w:val="none"/>
              </w:rPr>
            </w:pPr>
          </w:p>
        </w:tc>
      </w:tr>
      <w:tr w14:paraId="24569132">
        <w:tblPrEx>
          <w:tblCellMar>
            <w:top w:w="0" w:type="dxa"/>
            <w:left w:w="108" w:type="dxa"/>
            <w:bottom w:w="0" w:type="dxa"/>
            <w:right w:w="108" w:type="dxa"/>
          </w:tblCellMar>
        </w:tblPrEx>
        <w:trPr>
          <w:trHeight w:val="454" w:hRule="atLeast"/>
          <w:jc w:val="center"/>
        </w:trPr>
        <w:tc>
          <w:tcPr>
            <w:tcW w:w="752" w:type="dxa"/>
            <w:tcBorders>
              <w:top w:val="single" w:color="000000" w:sz="6" w:space="0"/>
              <w:left w:val="single" w:color="000000" w:sz="6" w:space="0"/>
              <w:bottom w:val="single" w:color="auto" w:sz="4" w:space="0"/>
              <w:right w:val="single" w:color="000000" w:sz="6" w:space="0"/>
            </w:tcBorders>
            <w:shd w:val="clear" w:color="auto" w:fill="auto"/>
            <w:vAlign w:val="center"/>
          </w:tcPr>
          <w:p w14:paraId="20DE6D10">
            <w:pPr>
              <w:snapToGrid w:val="0"/>
              <w:spacing w:line="360" w:lineRule="auto"/>
              <w:jc w:val="center"/>
              <w:rPr>
                <w:rFonts w:ascii="仿宋" w:hAnsi="仿宋" w:eastAsia="仿宋" w:cs="仿宋"/>
                <w:color w:val="auto"/>
                <w:sz w:val="24"/>
                <w:highlight w:val="none"/>
              </w:rPr>
            </w:pPr>
          </w:p>
        </w:tc>
        <w:tc>
          <w:tcPr>
            <w:tcW w:w="715" w:type="dxa"/>
            <w:tcBorders>
              <w:top w:val="single" w:color="000000" w:sz="6" w:space="0"/>
              <w:left w:val="nil"/>
              <w:bottom w:val="single" w:color="auto" w:sz="4" w:space="0"/>
              <w:right w:val="single" w:color="000000" w:sz="6" w:space="0"/>
            </w:tcBorders>
            <w:shd w:val="clear" w:color="auto" w:fill="auto"/>
            <w:vAlign w:val="center"/>
          </w:tcPr>
          <w:p w14:paraId="39B087B6">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7C33AC9D">
            <w:pPr>
              <w:snapToGrid w:val="0"/>
              <w:spacing w:line="360" w:lineRule="auto"/>
              <w:jc w:val="center"/>
              <w:rPr>
                <w:rFonts w:ascii="仿宋" w:hAnsi="仿宋" w:eastAsia="仿宋" w:cs="仿宋"/>
                <w:color w:val="auto"/>
                <w:sz w:val="24"/>
                <w:highlight w:val="none"/>
              </w:rPr>
            </w:pPr>
          </w:p>
        </w:tc>
        <w:tc>
          <w:tcPr>
            <w:tcW w:w="887" w:type="dxa"/>
            <w:tcBorders>
              <w:top w:val="single" w:color="000000" w:sz="6" w:space="0"/>
              <w:left w:val="nil"/>
              <w:bottom w:val="single" w:color="auto" w:sz="4" w:space="0"/>
              <w:right w:val="single" w:color="000000" w:sz="6" w:space="0"/>
            </w:tcBorders>
            <w:shd w:val="clear" w:color="auto" w:fill="auto"/>
            <w:vAlign w:val="center"/>
          </w:tcPr>
          <w:p w14:paraId="4005DD27">
            <w:pPr>
              <w:snapToGrid w:val="0"/>
              <w:spacing w:line="360" w:lineRule="auto"/>
              <w:jc w:val="center"/>
              <w:rPr>
                <w:rFonts w:ascii="仿宋" w:hAnsi="仿宋" w:eastAsia="仿宋" w:cs="仿宋"/>
                <w:color w:val="auto"/>
                <w:sz w:val="24"/>
                <w:highlight w:val="none"/>
              </w:rPr>
            </w:pPr>
          </w:p>
        </w:tc>
        <w:tc>
          <w:tcPr>
            <w:tcW w:w="1066" w:type="dxa"/>
            <w:tcBorders>
              <w:top w:val="single" w:color="000000" w:sz="6" w:space="0"/>
              <w:left w:val="nil"/>
              <w:bottom w:val="single" w:color="auto" w:sz="4" w:space="0"/>
              <w:right w:val="single" w:color="000000" w:sz="6" w:space="0"/>
            </w:tcBorders>
            <w:shd w:val="clear" w:color="auto" w:fill="auto"/>
            <w:vAlign w:val="center"/>
          </w:tcPr>
          <w:p w14:paraId="5E25D7AF">
            <w:pPr>
              <w:snapToGrid w:val="0"/>
              <w:spacing w:line="360" w:lineRule="auto"/>
              <w:jc w:val="center"/>
              <w:rPr>
                <w:rFonts w:ascii="仿宋" w:hAnsi="仿宋" w:eastAsia="仿宋" w:cs="仿宋"/>
                <w:color w:val="auto"/>
                <w:sz w:val="24"/>
                <w:highlight w:val="none"/>
              </w:rPr>
            </w:pPr>
          </w:p>
        </w:tc>
        <w:tc>
          <w:tcPr>
            <w:tcW w:w="886" w:type="dxa"/>
            <w:tcBorders>
              <w:top w:val="single" w:color="000000" w:sz="6" w:space="0"/>
              <w:left w:val="nil"/>
              <w:bottom w:val="single" w:color="auto" w:sz="4" w:space="0"/>
              <w:right w:val="single" w:color="000000" w:sz="6" w:space="0"/>
            </w:tcBorders>
            <w:shd w:val="clear" w:color="auto" w:fill="auto"/>
            <w:vAlign w:val="center"/>
          </w:tcPr>
          <w:p w14:paraId="70652266">
            <w:pPr>
              <w:snapToGrid w:val="0"/>
              <w:spacing w:line="360" w:lineRule="auto"/>
              <w:rPr>
                <w:rFonts w:ascii="仿宋" w:hAnsi="仿宋" w:eastAsia="仿宋" w:cs="仿宋"/>
                <w:color w:val="auto"/>
                <w:sz w:val="24"/>
                <w:highlight w:val="none"/>
              </w:rPr>
            </w:pPr>
          </w:p>
        </w:tc>
        <w:tc>
          <w:tcPr>
            <w:tcW w:w="884" w:type="dxa"/>
            <w:tcBorders>
              <w:top w:val="single" w:color="000000" w:sz="6" w:space="0"/>
              <w:left w:val="nil"/>
              <w:bottom w:val="single" w:color="auto" w:sz="4" w:space="0"/>
              <w:right w:val="single" w:color="000000" w:sz="6" w:space="0"/>
            </w:tcBorders>
            <w:shd w:val="clear" w:color="auto" w:fill="auto"/>
            <w:vAlign w:val="center"/>
          </w:tcPr>
          <w:p w14:paraId="3F0F8029">
            <w:pPr>
              <w:snapToGrid w:val="0"/>
              <w:spacing w:line="360" w:lineRule="auto"/>
              <w:rPr>
                <w:rFonts w:ascii="仿宋" w:hAnsi="仿宋" w:eastAsia="仿宋" w:cs="仿宋"/>
                <w:color w:val="auto"/>
                <w:sz w:val="24"/>
                <w:highlight w:val="none"/>
              </w:rPr>
            </w:pPr>
          </w:p>
        </w:tc>
        <w:tc>
          <w:tcPr>
            <w:tcW w:w="1250" w:type="dxa"/>
            <w:tcBorders>
              <w:top w:val="single" w:color="000000" w:sz="6" w:space="0"/>
              <w:left w:val="nil"/>
              <w:bottom w:val="single" w:color="auto" w:sz="4" w:space="0"/>
              <w:right w:val="single" w:color="000000" w:sz="6" w:space="0"/>
            </w:tcBorders>
            <w:shd w:val="clear" w:color="auto" w:fill="auto"/>
            <w:vAlign w:val="center"/>
          </w:tcPr>
          <w:p w14:paraId="7178472F">
            <w:pPr>
              <w:snapToGrid w:val="0"/>
              <w:spacing w:line="360" w:lineRule="auto"/>
              <w:jc w:val="center"/>
              <w:rPr>
                <w:rFonts w:ascii="仿宋" w:hAnsi="仿宋" w:eastAsia="仿宋" w:cs="仿宋"/>
                <w:color w:val="auto"/>
                <w:sz w:val="24"/>
                <w:highlight w:val="none"/>
              </w:rPr>
            </w:pPr>
          </w:p>
        </w:tc>
        <w:tc>
          <w:tcPr>
            <w:tcW w:w="1441" w:type="dxa"/>
            <w:tcBorders>
              <w:top w:val="single" w:color="000000" w:sz="6" w:space="0"/>
              <w:left w:val="nil"/>
              <w:bottom w:val="single" w:color="auto" w:sz="4" w:space="0"/>
              <w:right w:val="single" w:color="000000" w:sz="6" w:space="0"/>
            </w:tcBorders>
            <w:shd w:val="clear" w:color="auto" w:fill="auto"/>
            <w:vAlign w:val="center"/>
          </w:tcPr>
          <w:p w14:paraId="60877323">
            <w:pPr>
              <w:snapToGrid w:val="0"/>
              <w:spacing w:line="360" w:lineRule="auto"/>
              <w:jc w:val="center"/>
              <w:rPr>
                <w:rFonts w:ascii="仿宋" w:hAnsi="仿宋" w:eastAsia="仿宋" w:cs="仿宋"/>
                <w:color w:val="auto"/>
                <w:sz w:val="24"/>
                <w:highlight w:val="none"/>
              </w:rPr>
            </w:pPr>
          </w:p>
        </w:tc>
      </w:tr>
    </w:tbl>
    <w:p w14:paraId="5EC764C5">
      <w:pPr>
        <w:spacing w:line="360" w:lineRule="auto"/>
        <w:rPr>
          <w:rFonts w:ascii="仿宋" w:hAnsi="仿宋" w:eastAsia="仿宋" w:cs="仿宋"/>
          <w:color w:val="auto"/>
          <w:highlight w:val="none"/>
        </w:rPr>
      </w:pPr>
      <w:r>
        <w:rPr>
          <w:rFonts w:hint="eastAsia" w:ascii="仿宋" w:hAnsi="仿宋" w:eastAsia="仿宋" w:cs="仿宋"/>
          <w:color w:val="auto"/>
          <w:szCs w:val="21"/>
          <w:highlight w:val="none"/>
        </w:rPr>
        <w:t>注：1、“拟承担工作”栏，应注明主要人员（须注明</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w:t>
      </w:r>
      <w:r>
        <w:rPr>
          <w:rFonts w:hint="eastAsia" w:ascii="仿宋" w:hAnsi="仿宋" w:eastAsia="仿宋" w:cs="仿宋"/>
          <w:color w:val="auto"/>
          <w:szCs w:val="21"/>
          <w:highlight w:val="none"/>
          <w:lang w:eastAsia="zh-CN"/>
        </w:rPr>
        <w:t>总监代表</w:t>
      </w:r>
      <w:r>
        <w:rPr>
          <w:rFonts w:hint="eastAsia" w:ascii="仿宋" w:hAnsi="仿宋" w:eastAsia="仿宋" w:cs="仿宋"/>
          <w:color w:val="auto"/>
          <w:szCs w:val="21"/>
          <w:highlight w:val="none"/>
        </w:rPr>
        <w:t>）等。</w:t>
      </w:r>
    </w:p>
    <w:p w14:paraId="4C4FE462">
      <w:pPr>
        <w:spacing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2、</w:t>
      </w: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应按格式八表格及备注的规定附相关证明文件，本表后不需重复附相关证件。</w:t>
      </w:r>
    </w:p>
    <w:p w14:paraId="049C6D87">
      <w:pPr>
        <w:adjustRightInd w:val="0"/>
        <w:snapToGrid w:val="0"/>
        <w:spacing w:before="85" w:beforeLines="30" w:line="360" w:lineRule="auto"/>
        <w:ind w:firstLine="420" w:firstLineChars="200"/>
        <w:rPr>
          <w:rFonts w:ascii="仿宋" w:hAnsi="仿宋" w:eastAsia="仿宋" w:cs="仿宋"/>
          <w:color w:val="auto"/>
          <w:highlight w:val="none"/>
        </w:rPr>
      </w:pPr>
      <w:r>
        <w:rPr>
          <w:rFonts w:hint="eastAsia" w:ascii="仿宋" w:hAnsi="仿宋" w:eastAsia="仿宋" w:cs="仿宋"/>
          <w:color w:val="auto"/>
          <w:szCs w:val="21"/>
          <w:highlight w:val="none"/>
        </w:rPr>
        <w:t>3、其他人员应附上个人注册执业资格证（如有）、身份证、职称证等文件（复印件，加盖单位公章）。</w:t>
      </w:r>
    </w:p>
    <w:p w14:paraId="5946AAB8">
      <w:pPr>
        <w:adjustRightInd w:val="0"/>
        <w:snapToGrid w:val="0"/>
        <w:spacing w:before="85" w:beforeLines="30" w:line="360" w:lineRule="auto"/>
        <w:rPr>
          <w:rFonts w:ascii="仿宋" w:hAnsi="仿宋" w:eastAsia="仿宋" w:cs="仿宋"/>
          <w:color w:val="auto"/>
          <w:sz w:val="24"/>
          <w:highlight w:val="none"/>
        </w:rPr>
      </w:pPr>
    </w:p>
    <w:p w14:paraId="510EE5A6">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09898680">
      <w:pPr>
        <w:rPr>
          <w:rFonts w:ascii="仿宋" w:hAnsi="仿宋" w:eastAsia="仿宋" w:cs="仿宋"/>
          <w:color w:val="auto"/>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243B27C7">
      <w:pPr>
        <w:widowControl/>
        <w:jc w:val="left"/>
        <w:rPr>
          <w:rFonts w:ascii="宋体" w:hAnsi="宋体" w:eastAsia="宋体" w:cs="黑体"/>
          <w:b/>
          <w:color w:val="auto"/>
          <w:spacing w:val="4"/>
          <w:kern w:val="0"/>
          <w:sz w:val="28"/>
          <w:szCs w:val="28"/>
          <w:highlight w:val="none"/>
        </w:rPr>
      </w:pPr>
      <w:r>
        <w:rPr>
          <w:rFonts w:ascii="宋体" w:hAnsi="宋体" w:eastAsia="宋体" w:cs="黑体"/>
          <w:b/>
          <w:color w:val="auto"/>
          <w:spacing w:val="4"/>
          <w:kern w:val="0"/>
          <w:sz w:val="28"/>
          <w:szCs w:val="28"/>
          <w:highlight w:val="none"/>
        </w:rPr>
        <w:br w:type="page"/>
      </w:r>
    </w:p>
    <w:p w14:paraId="70AC2371">
      <w:pPr>
        <w:outlineLvl w:val="1"/>
        <w:rPr>
          <w:rFonts w:ascii="仿宋" w:hAnsi="仿宋" w:eastAsia="宋体" w:cs="仿宋"/>
          <w:color w:val="auto"/>
          <w:szCs w:val="21"/>
          <w:highlight w:val="none"/>
        </w:rPr>
      </w:pPr>
      <w:r>
        <w:rPr>
          <w:rFonts w:hint="eastAsia" w:ascii="仿宋" w:hAnsi="仿宋" w:eastAsia="仿宋" w:cs="仿宋"/>
          <w:color w:val="auto"/>
          <w:szCs w:val="21"/>
          <w:highlight w:val="none"/>
        </w:rPr>
        <w:t xml:space="preserve"> </w:t>
      </w:r>
      <w:r>
        <w:rPr>
          <w:rFonts w:hint="eastAsia" w:ascii="宋体" w:hAnsi="宋体" w:eastAsia="宋体" w:cs="黑体"/>
          <w:b/>
          <w:color w:val="auto"/>
          <w:spacing w:val="4"/>
          <w:kern w:val="0"/>
          <w:sz w:val="28"/>
          <w:szCs w:val="28"/>
          <w:highlight w:val="none"/>
        </w:rPr>
        <w:t>格式八</w:t>
      </w:r>
      <w:r>
        <w:rPr>
          <w:rFonts w:hint="eastAsia" w:ascii="仿宋" w:hAnsi="仿宋" w:eastAsia="仿宋" w:cs="宋体"/>
          <w:color w:val="auto"/>
          <w:sz w:val="28"/>
          <w:szCs w:val="28"/>
          <w:highlight w:val="none"/>
        </w:rPr>
        <w:t>：</w:t>
      </w:r>
    </w:p>
    <w:p w14:paraId="1CE08F47">
      <w:pPr>
        <w:spacing w:line="360" w:lineRule="auto"/>
        <w:jc w:val="center"/>
        <w:outlineLvl w:val="2"/>
        <w:rPr>
          <w:rFonts w:ascii="仿宋" w:hAnsi="仿宋" w:eastAsia="仿宋" w:cs="宋体"/>
          <w:b/>
          <w:color w:val="auto"/>
          <w:sz w:val="36"/>
          <w:szCs w:val="36"/>
          <w:highlight w:val="none"/>
        </w:rPr>
      </w:pPr>
      <w:r>
        <w:rPr>
          <w:rFonts w:hint="eastAsia" w:ascii="仿宋" w:hAnsi="仿宋" w:eastAsia="仿宋" w:cs="宋体"/>
          <w:b/>
          <w:color w:val="auto"/>
          <w:sz w:val="36"/>
          <w:szCs w:val="36"/>
          <w:highlight w:val="none"/>
          <w:lang w:eastAsia="zh-CN"/>
        </w:rPr>
        <w:t>总监理工程师</w:t>
      </w:r>
      <w:r>
        <w:rPr>
          <w:rFonts w:hint="eastAsia" w:ascii="仿宋" w:hAnsi="仿宋" w:eastAsia="仿宋" w:cs="宋体"/>
          <w:b/>
          <w:color w:val="auto"/>
          <w:sz w:val="36"/>
          <w:szCs w:val="36"/>
          <w:highlight w:val="none"/>
        </w:rPr>
        <w:t>相关经验及业绩</w:t>
      </w:r>
    </w:p>
    <w:p w14:paraId="1DAA556F">
      <w:pPr>
        <w:adjustRightInd w:val="0"/>
        <w:snapToGrid w:val="0"/>
        <w:spacing w:before="85" w:beforeLines="30" w:line="360" w:lineRule="auto"/>
        <w:ind w:firstLine="120" w:firstLineChars="50"/>
        <w:rPr>
          <w:rFonts w:ascii="仿宋" w:hAnsi="仿宋" w:eastAsia="仿宋" w:cs="仿宋"/>
          <w:color w:val="auto"/>
          <w:sz w:val="24"/>
          <w:highlight w:val="none"/>
        </w:rPr>
      </w:pPr>
      <w:r>
        <w:rPr>
          <w:rFonts w:hint="eastAsia" w:ascii="仿宋" w:hAnsi="仿宋" w:eastAsia="仿宋" w:cs="仿宋"/>
          <w:color w:val="auto"/>
          <w:sz w:val="24"/>
          <w:highlight w:val="none"/>
        </w:rPr>
        <w:t>项目名称：</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w:t>
      </w:r>
    </w:p>
    <w:tbl>
      <w:tblPr>
        <w:tblStyle w:val="13"/>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6"/>
        <w:gridCol w:w="359"/>
        <w:gridCol w:w="720"/>
        <w:gridCol w:w="927"/>
        <w:gridCol w:w="1065"/>
        <w:gridCol w:w="708"/>
        <w:gridCol w:w="1261"/>
        <w:gridCol w:w="161"/>
        <w:gridCol w:w="2135"/>
      </w:tblGrid>
      <w:tr w14:paraId="26AC3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679D5F60">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姓  名</w:t>
            </w:r>
          </w:p>
        </w:tc>
        <w:tc>
          <w:tcPr>
            <w:tcW w:w="1079" w:type="dxa"/>
            <w:gridSpan w:val="2"/>
            <w:vAlign w:val="center"/>
          </w:tcPr>
          <w:p w14:paraId="73F8E2BE">
            <w:pPr>
              <w:spacing w:line="460" w:lineRule="exact"/>
              <w:jc w:val="left"/>
              <w:rPr>
                <w:rFonts w:ascii="宋体" w:hAnsi="宋体" w:eastAsia="宋体" w:cs="宋体"/>
                <w:color w:val="auto"/>
                <w:szCs w:val="21"/>
                <w:highlight w:val="none"/>
              </w:rPr>
            </w:pPr>
          </w:p>
        </w:tc>
        <w:tc>
          <w:tcPr>
            <w:tcW w:w="927" w:type="dxa"/>
            <w:vAlign w:val="center"/>
          </w:tcPr>
          <w:p w14:paraId="5547EDB4">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年 龄</w:t>
            </w:r>
          </w:p>
        </w:tc>
        <w:tc>
          <w:tcPr>
            <w:tcW w:w="1065" w:type="dxa"/>
            <w:vAlign w:val="center"/>
          </w:tcPr>
          <w:p w14:paraId="57CE7420">
            <w:pPr>
              <w:spacing w:line="460" w:lineRule="exact"/>
              <w:jc w:val="left"/>
              <w:rPr>
                <w:rFonts w:ascii="宋体" w:hAnsi="宋体" w:eastAsia="宋体" w:cs="宋体"/>
                <w:color w:val="auto"/>
                <w:szCs w:val="21"/>
                <w:highlight w:val="none"/>
              </w:rPr>
            </w:pPr>
          </w:p>
        </w:tc>
        <w:tc>
          <w:tcPr>
            <w:tcW w:w="2130" w:type="dxa"/>
            <w:gridSpan w:val="3"/>
            <w:vAlign w:val="center"/>
          </w:tcPr>
          <w:p w14:paraId="3E94293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学 历</w:t>
            </w:r>
          </w:p>
        </w:tc>
        <w:tc>
          <w:tcPr>
            <w:tcW w:w="2135" w:type="dxa"/>
            <w:vAlign w:val="center"/>
          </w:tcPr>
          <w:p w14:paraId="14037821">
            <w:pPr>
              <w:spacing w:line="460" w:lineRule="exact"/>
              <w:jc w:val="left"/>
              <w:rPr>
                <w:rFonts w:ascii="宋体" w:hAnsi="宋体" w:eastAsia="宋体" w:cs="宋体"/>
                <w:color w:val="auto"/>
                <w:szCs w:val="21"/>
                <w:highlight w:val="none"/>
              </w:rPr>
            </w:pPr>
          </w:p>
        </w:tc>
      </w:tr>
      <w:tr w14:paraId="26276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539C251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称</w:t>
            </w:r>
          </w:p>
        </w:tc>
        <w:tc>
          <w:tcPr>
            <w:tcW w:w="1079" w:type="dxa"/>
            <w:gridSpan w:val="2"/>
            <w:vAlign w:val="center"/>
          </w:tcPr>
          <w:p w14:paraId="036172BB">
            <w:pPr>
              <w:spacing w:line="460" w:lineRule="exact"/>
              <w:jc w:val="left"/>
              <w:rPr>
                <w:rFonts w:ascii="宋体" w:hAnsi="宋体" w:eastAsia="宋体" w:cs="宋体"/>
                <w:color w:val="auto"/>
                <w:szCs w:val="21"/>
                <w:highlight w:val="none"/>
              </w:rPr>
            </w:pPr>
          </w:p>
        </w:tc>
        <w:tc>
          <w:tcPr>
            <w:tcW w:w="927" w:type="dxa"/>
            <w:vAlign w:val="center"/>
          </w:tcPr>
          <w:p w14:paraId="3ADCDA7F">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职 务</w:t>
            </w:r>
          </w:p>
        </w:tc>
        <w:tc>
          <w:tcPr>
            <w:tcW w:w="1065" w:type="dxa"/>
            <w:vAlign w:val="center"/>
          </w:tcPr>
          <w:p w14:paraId="4F29B520">
            <w:pPr>
              <w:spacing w:line="460" w:lineRule="exact"/>
              <w:jc w:val="left"/>
              <w:rPr>
                <w:rFonts w:ascii="宋体" w:hAnsi="宋体" w:eastAsia="宋体" w:cs="宋体"/>
                <w:color w:val="auto"/>
                <w:szCs w:val="21"/>
                <w:highlight w:val="none"/>
              </w:rPr>
            </w:pPr>
          </w:p>
        </w:tc>
        <w:tc>
          <w:tcPr>
            <w:tcW w:w="2130" w:type="dxa"/>
            <w:gridSpan w:val="3"/>
            <w:vAlign w:val="center"/>
          </w:tcPr>
          <w:p w14:paraId="19113888">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拟在本</w:t>
            </w:r>
            <w:r>
              <w:rPr>
                <w:rFonts w:hint="eastAsia" w:ascii="宋体" w:hAnsi="宋体" w:eastAsia="宋体" w:cs="宋体"/>
                <w:color w:val="auto"/>
                <w:szCs w:val="21"/>
                <w:highlight w:val="none"/>
                <w:lang w:eastAsia="zh-CN"/>
              </w:rPr>
              <w:t>项目</w:t>
            </w:r>
            <w:r>
              <w:rPr>
                <w:rFonts w:hint="eastAsia" w:ascii="宋体" w:hAnsi="宋体" w:eastAsia="宋体" w:cs="宋体"/>
                <w:color w:val="auto"/>
                <w:szCs w:val="21"/>
                <w:highlight w:val="none"/>
              </w:rPr>
              <w:t>任职</w:t>
            </w:r>
          </w:p>
        </w:tc>
        <w:tc>
          <w:tcPr>
            <w:tcW w:w="2135" w:type="dxa"/>
            <w:vAlign w:val="center"/>
          </w:tcPr>
          <w:p w14:paraId="7B433991">
            <w:pPr>
              <w:spacing w:line="460" w:lineRule="exact"/>
              <w:jc w:val="left"/>
              <w:rPr>
                <w:rFonts w:ascii="宋体" w:hAnsi="宋体" w:eastAsia="宋体" w:cs="宋体"/>
                <w:color w:val="auto"/>
                <w:szCs w:val="21"/>
                <w:highlight w:val="none"/>
              </w:rPr>
            </w:pPr>
          </w:p>
        </w:tc>
      </w:tr>
      <w:tr w14:paraId="734AF2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186" w:type="dxa"/>
            <w:vAlign w:val="center"/>
          </w:tcPr>
          <w:p w14:paraId="30D9DFC1">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毕业学校</w:t>
            </w:r>
          </w:p>
        </w:tc>
        <w:tc>
          <w:tcPr>
            <w:tcW w:w="7336" w:type="dxa"/>
            <w:gridSpan w:val="8"/>
          </w:tcPr>
          <w:p w14:paraId="6DBA3716">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 xml:space="preserve">      年毕业于            学校        专业</w:t>
            </w:r>
          </w:p>
        </w:tc>
      </w:tr>
      <w:tr w14:paraId="2DAD1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9"/>
            <w:vAlign w:val="center"/>
          </w:tcPr>
          <w:p w14:paraId="3E8F9EA9">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主要工作经历</w:t>
            </w:r>
          </w:p>
        </w:tc>
      </w:tr>
      <w:tr w14:paraId="11464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1545" w:type="dxa"/>
            <w:gridSpan w:val="2"/>
            <w:vAlign w:val="center"/>
          </w:tcPr>
          <w:p w14:paraId="0026CEB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时  间</w:t>
            </w:r>
          </w:p>
        </w:tc>
        <w:tc>
          <w:tcPr>
            <w:tcW w:w="3420" w:type="dxa"/>
            <w:gridSpan w:val="4"/>
            <w:vAlign w:val="center"/>
          </w:tcPr>
          <w:p w14:paraId="45BE64BC">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参加过的类似项目</w:t>
            </w:r>
          </w:p>
        </w:tc>
        <w:tc>
          <w:tcPr>
            <w:tcW w:w="1261" w:type="dxa"/>
            <w:vAlign w:val="center"/>
          </w:tcPr>
          <w:p w14:paraId="507FFD58">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担任职务</w:t>
            </w:r>
          </w:p>
        </w:tc>
        <w:tc>
          <w:tcPr>
            <w:tcW w:w="2296" w:type="dxa"/>
            <w:gridSpan w:val="2"/>
            <w:vAlign w:val="center"/>
          </w:tcPr>
          <w:p w14:paraId="01B5696B">
            <w:pPr>
              <w:spacing w:line="460" w:lineRule="exact"/>
              <w:jc w:val="left"/>
              <w:rPr>
                <w:rFonts w:ascii="宋体" w:hAnsi="宋体" w:eastAsia="宋体" w:cs="宋体"/>
                <w:color w:val="auto"/>
                <w:szCs w:val="21"/>
                <w:highlight w:val="none"/>
              </w:rPr>
            </w:pPr>
            <w:r>
              <w:rPr>
                <w:rFonts w:hint="eastAsia" w:ascii="宋体" w:hAnsi="宋体" w:eastAsia="宋体" w:cs="宋体"/>
                <w:color w:val="auto"/>
                <w:szCs w:val="21"/>
                <w:highlight w:val="none"/>
              </w:rPr>
              <w:t>联系电话</w:t>
            </w:r>
          </w:p>
        </w:tc>
      </w:tr>
      <w:tr w14:paraId="1C6C74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426F452A">
            <w:pPr>
              <w:spacing w:line="460" w:lineRule="exact"/>
              <w:jc w:val="left"/>
              <w:rPr>
                <w:rFonts w:ascii="宋体" w:hAnsi="宋体" w:eastAsia="宋体" w:cs="宋体"/>
                <w:color w:val="auto"/>
                <w:szCs w:val="21"/>
                <w:highlight w:val="none"/>
              </w:rPr>
            </w:pPr>
          </w:p>
        </w:tc>
        <w:tc>
          <w:tcPr>
            <w:tcW w:w="3420" w:type="dxa"/>
            <w:gridSpan w:val="4"/>
          </w:tcPr>
          <w:p w14:paraId="411A5E5F">
            <w:pPr>
              <w:spacing w:line="460" w:lineRule="exact"/>
              <w:jc w:val="left"/>
              <w:rPr>
                <w:rFonts w:ascii="宋体" w:hAnsi="宋体" w:eastAsia="宋体" w:cs="宋体"/>
                <w:color w:val="auto"/>
                <w:szCs w:val="21"/>
                <w:highlight w:val="none"/>
              </w:rPr>
            </w:pPr>
          </w:p>
        </w:tc>
        <w:tc>
          <w:tcPr>
            <w:tcW w:w="1261" w:type="dxa"/>
          </w:tcPr>
          <w:p w14:paraId="6D8036E6">
            <w:pPr>
              <w:spacing w:line="460" w:lineRule="exact"/>
              <w:jc w:val="left"/>
              <w:rPr>
                <w:rFonts w:ascii="宋体" w:hAnsi="宋体" w:eastAsia="宋体" w:cs="宋体"/>
                <w:color w:val="auto"/>
                <w:szCs w:val="21"/>
                <w:highlight w:val="none"/>
              </w:rPr>
            </w:pPr>
          </w:p>
        </w:tc>
        <w:tc>
          <w:tcPr>
            <w:tcW w:w="2296" w:type="dxa"/>
            <w:gridSpan w:val="2"/>
          </w:tcPr>
          <w:p w14:paraId="43DDBB9C">
            <w:pPr>
              <w:spacing w:line="460" w:lineRule="exact"/>
              <w:jc w:val="left"/>
              <w:rPr>
                <w:rFonts w:ascii="宋体" w:hAnsi="宋体" w:eastAsia="宋体" w:cs="宋体"/>
                <w:color w:val="auto"/>
                <w:szCs w:val="21"/>
                <w:highlight w:val="none"/>
              </w:rPr>
            </w:pPr>
          </w:p>
        </w:tc>
      </w:tr>
      <w:tr w14:paraId="77628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317B9C72">
            <w:pPr>
              <w:spacing w:line="460" w:lineRule="exact"/>
              <w:jc w:val="left"/>
              <w:rPr>
                <w:rFonts w:ascii="宋体" w:hAnsi="宋体" w:eastAsia="宋体" w:cs="宋体"/>
                <w:color w:val="auto"/>
                <w:szCs w:val="21"/>
                <w:highlight w:val="none"/>
              </w:rPr>
            </w:pPr>
          </w:p>
        </w:tc>
        <w:tc>
          <w:tcPr>
            <w:tcW w:w="3420" w:type="dxa"/>
            <w:gridSpan w:val="4"/>
          </w:tcPr>
          <w:p w14:paraId="05BF7512">
            <w:pPr>
              <w:spacing w:line="460" w:lineRule="exact"/>
              <w:jc w:val="left"/>
              <w:rPr>
                <w:rFonts w:ascii="宋体" w:hAnsi="宋体" w:eastAsia="宋体" w:cs="宋体"/>
                <w:color w:val="auto"/>
                <w:szCs w:val="21"/>
                <w:highlight w:val="none"/>
              </w:rPr>
            </w:pPr>
          </w:p>
        </w:tc>
        <w:tc>
          <w:tcPr>
            <w:tcW w:w="1261" w:type="dxa"/>
          </w:tcPr>
          <w:p w14:paraId="398C3A42">
            <w:pPr>
              <w:spacing w:line="460" w:lineRule="exact"/>
              <w:jc w:val="left"/>
              <w:rPr>
                <w:rFonts w:ascii="宋体" w:hAnsi="宋体" w:eastAsia="宋体" w:cs="宋体"/>
                <w:color w:val="auto"/>
                <w:szCs w:val="21"/>
                <w:highlight w:val="none"/>
              </w:rPr>
            </w:pPr>
          </w:p>
        </w:tc>
        <w:tc>
          <w:tcPr>
            <w:tcW w:w="2296" w:type="dxa"/>
            <w:gridSpan w:val="2"/>
          </w:tcPr>
          <w:p w14:paraId="77A92096">
            <w:pPr>
              <w:spacing w:line="460" w:lineRule="exact"/>
              <w:jc w:val="left"/>
              <w:rPr>
                <w:rFonts w:ascii="宋体" w:hAnsi="宋体" w:eastAsia="宋体" w:cs="宋体"/>
                <w:color w:val="auto"/>
                <w:szCs w:val="21"/>
                <w:highlight w:val="none"/>
              </w:rPr>
            </w:pPr>
          </w:p>
        </w:tc>
      </w:tr>
      <w:tr w14:paraId="6A751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tcPr>
          <w:p w14:paraId="16DE6996">
            <w:pPr>
              <w:spacing w:line="460" w:lineRule="exact"/>
              <w:jc w:val="left"/>
              <w:rPr>
                <w:rFonts w:ascii="宋体" w:hAnsi="宋体" w:eastAsia="宋体" w:cs="宋体"/>
                <w:color w:val="auto"/>
                <w:szCs w:val="21"/>
                <w:highlight w:val="none"/>
              </w:rPr>
            </w:pPr>
          </w:p>
        </w:tc>
        <w:tc>
          <w:tcPr>
            <w:tcW w:w="3420" w:type="dxa"/>
            <w:gridSpan w:val="4"/>
          </w:tcPr>
          <w:p w14:paraId="2AF30B2F">
            <w:pPr>
              <w:spacing w:line="460" w:lineRule="exact"/>
              <w:jc w:val="left"/>
              <w:rPr>
                <w:rFonts w:ascii="宋体" w:hAnsi="宋体" w:eastAsia="宋体" w:cs="宋体"/>
                <w:color w:val="auto"/>
                <w:szCs w:val="21"/>
                <w:highlight w:val="none"/>
              </w:rPr>
            </w:pPr>
          </w:p>
        </w:tc>
        <w:tc>
          <w:tcPr>
            <w:tcW w:w="1261" w:type="dxa"/>
          </w:tcPr>
          <w:p w14:paraId="29302410">
            <w:pPr>
              <w:spacing w:line="460" w:lineRule="exact"/>
              <w:jc w:val="left"/>
              <w:rPr>
                <w:rFonts w:ascii="宋体" w:hAnsi="宋体" w:eastAsia="宋体" w:cs="宋体"/>
                <w:color w:val="auto"/>
                <w:szCs w:val="21"/>
                <w:highlight w:val="none"/>
              </w:rPr>
            </w:pPr>
          </w:p>
        </w:tc>
        <w:tc>
          <w:tcPr>
            <w:tcW w:w="2296" w:type="dxa"/>
            <w:gridSpan w:val="2"/>
          </w:tcPr>
          <w:p w14:paraId="436FB5F4">
            <w:pPr>
              <w:spacing w:line="460" w:lineRule="exact"/>
              <w:jc w:val="left"/>
              <w:rPr>
                <w:rFonts w:ascii="宋体" w:hAnsi="宋体" w:eastAsia="宋体" w:cs="宋体"/>
                <w:color w:val="auto"/>
                <w:szCs w:val="21"/>
                <w:highlight w:val="none"/>
              </w:rPr>
            </w:pPr>
          </w:p>
        </w:tc>
      </w:tr>
      <w:tr w14:paraId="413B1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1545" w:type="dxa"/>
            <w:gridSpan w:val="2"/>
            <w:vAlign w:val="center"/>
          </w:tcPr>
          <w:p w14:paraId="41397C52">
            <w:pPr>
              <w:spacing w:line="460" w:lineRule="exact"/>
              <w:jc w:val="left"/>
              <w:rPr>
                <w:rFonts w:ascii="宋体" w:hAnsi="宋体" w:eastAsia="宋体" w:cs="宋体"/>
                <w:color w:val="auto"/>
                <w:szCs w:val="21"/>
                <w:highlight w:val="none"/>
              </w:rPr>
            </w:pPr>
          </w:p>
        </w:tc>
        <w:tc>
          <w:tcPr>
            <w:tcW w:w="3420" w:type="dxa"/>
            <w:gridSpan w:val="4"/>
            <w:vAlign w:val="center"/>
          </w:tcPr>
          <w:p w14:paraId="154B8487">
            <w:pPr>
              <w:spacing w:line="460" w:lineRule="exact"/>
              <w:jc w:val="left"/>
              <w:rPr>
                <w:rFonts w:ascii="宋体" w:hAnsi="宋体" w:eastAsia="宋体" w:cs="宋体"/>
                <w:color w:val="auto"/>
                <w:szCs w:val="21"/>
                <w:highlight w:val="none"/>
              </w:rPr>
            </w:pPr>
          </w:p>
        </w:tc>
        <w:tc>
          <w:tcPr>
            <w:tcW w:w="1261" w:type="dxa"/>
            <w:vAlign w:val="center"/>
          </w:tcPr>
          <w:p w14:paraId="508C6B11">
            <w:pPr>
              <w:spacing w:line="460" w:lineRule="exact"/>
              <w:jc w:val="left"/>
              <w:rPr>
                <w:rFonts w:ascii="宋体" w:hAnsi="宋体" w:eastAsia="宋体" w:cs="宋体"/>
                <w:color w:val="auto"/>
                <w:szCs w:val="21"/>
                <w:highlight w:val="none"/>
              </w:rPr>
            </w:pPr>
          </w:p>
        </w:tc>
        <w:tc>
          <w:tcPr>
            <w:tcW w:w="2296" w:type="dxa"/>
            <w:gridSpan w:val="2"/>
            <w:vAlign w:val="center"/>
          </w:tcPr>
          <w:p w14:paraId="48C84A30">
            <w:pPr>
              <w:spacing w:line="460" w:lineRule="exact"/>
              <w:jc w:val="left"/>
              <w:rPr>
                <w:rFonts w:ascii="宋体" w:hAnsi="宋体" w:eastAsia="宋体" w:cs="宋体"/>
                <w:color w:val="auto"/>
                <w:szCs w:val="21"/>
                <w:highlight w:val="none"/>
              </w:rPr>
            </w:pPr>
          </w:p>
        </w:tc>
      </w:tr>
    </w:tbl>
    <w:p w14:paraId="185EA464">
      <w:pPr>
        <w:rPr>
          <w:rFonts w:ascii="仿宋" w:hAnsi="仿宋" w:eastAsia="仿宋" w:cs="仿宋"/>
          <w:color w:val="auto"/>
          <w:szCs w:val="21"/>
          <w:highlight w:val="none"/>
        </w:rPr>
      </w:pPr>
    </w:p>
    <w:p w14:paraId="6B3B45C3">
      <w:pPr>
        <w:rPr>
          <w:rFonts w:ascii="仿宋" w:hAnsi="仿宋" w:eastAsia="仿宋" w:cs="Arial"/>
          <w:color w:val="auto"/>
          <w:highlight w:val="none"/>
        </w:rPr>
      </w:pPr>
      <w:r>
        <w:rPr>
          <w:rFonts w:hint="eastAsia" w:ascii="仿宋" w:hAnsi="仿宋" w:eastAsia="仿宋" w:cs="仿宋"/>
          <w:color w:val="auto"/>
          <w:szCs w:val="21"/>
          <w:highlight w:val="none"/>
        </w:rPr>
        <w:t>注：1、</w:t>
      </w:r>
      <w:r>
        <w:rPr>
          <w:rFonts w:hint="eastAsia" w:ascii="仿宋" w:hAnsi="仿宋" w:eastAsia="仿宋" w:cs="Arial"/>
          <w:color w:val="auto"/>
          <w:szCs w:val="21"/>
          <w:highlight w:val="none"/>
        </w:rPr>
        <w:t>本格式仅供参考，投标人可根据实际情况自定。</w:t>
      </w:r>
    </w:p>
    <w:p w14:paraId="5BF2216A">
      <w:pPr>
        <w:ind w:firstLine="424" w:firstLineChars="202"/>
        <w:rPr>
          <w:rFonts w:ascii="仿宋" w:hAnsi="仿宋" w:eastAsia="仿宋" w:cs="仿宋"/>
          <w:color w:val="auto"/>
          <w:highlight w:val="none"/>
        </w:rPr>
      </w:pPr>
      <w:r>
        <w:rPr>
          <w:rFonts w:hint="eastAsia" w:ascii="仿宋" w:hAnsi="仿宋" w:eastAsia="仿宋" w:cs="仿宋"/>
          <w:color w:val="auto"/>
          <w:szCs w:val="21"/>
          <w:highlight w:val="none"/>
        </w:rPr>
        <w:t>2、须附执业证书及资格证书（如有）、身份证、职称证书及业绩（如有）等证明材料（复印件，加盖单位公章）。</w:t>
      </w:r>
    </w:p>
    <w:p w14:paraId="377874EB">
      <w:pPr>
        <w:ind w:firstLine="424" w:firstLineChars="202"/>
        <w:rPr>
          <w:rFonts w:hint="eastAsia" w:ascii="仿宋" w:hAnsi="仿宋" w:eastAsia="仿宋" w:cs="仿宋"/>
          <w:color w:val="auto"/>
          <w:szCs w:val="21"/>
          <w:highlight w:val="none"/>
        </w:rPr>
      </w:pPr>
      <w:r>
        <w:rPr>
          <w:rFonts w:hint="eastAsia" w:ascii="仿宋" w:hAnsi="仿宋" w:eastAsia="仿宋" w:cs="仿宋"/>
          <w:color w:val="auto"/>
          <w:szCs w:val="21"/>
          <w:highlight w:val="none"/>
        </w:rPr>
        <w:t>3、业绩证明资料（如有）须提供：</w:t>
      </w:r>
      <w:r>
        <w:rPr>
          <w:rFonts w:hint="eastAsia" w:ascii="仿宋" w:hAnsi="仿宋" w:eastAsia="仿宋" w:cs="仿宋"/>
          <w:color w:val="auto"/>
          <w:sz w:val="21"/>
          <w:szCs w:val="21"/>
          <w:highlight w:val="none"/>
          <w:u w:val="none"/>
        </w:rPr>
        <w:t>中标通知书或免招标的相关证明、监理服务合同、竣工验收报告或竣工验收证明，业绩时间以竣工验收报告或竣工验收证明出具时间为准</w:t>
      </w:r>
      <w:r>
        <w:rPr>
          <w:rFonts w:hint="eastAsia" w:ascii="仿宋" w:hAnsi="仿宋" w:eastAsia="仿宋" w:cs="仿宋"/>
          <w:color w:val="auto"/>
          <w:szCs w:val="21"/>
          <w:highlight w:val="none"/>
        </w:rPr>
        <w:t>。</w:t>
      </w:r>
    </w:p>
    <w:p w14:paraId="50D9EBFA">
      <w:pPr>
        <w:spacing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 xml:space="preserve"> </w:t>
      </w:r>
    </w:p>
    <w:p w14:paraId="6A0C640A">
      <w:pPr>
        <w:adjustRightInd w:val="0"/>
        <w:snapToGrid w:val="0"/>
        <w:spacing w:before="85" w:beforeLines="30" w:line="360" w:lineRule="auto"/>
        <w:rPr>
          <w:rFonts w:ascii="仿宋" w:hAnsi="仿宋" w:eastAsia="仿宋" w:cs="仿宋"/>
          <w:color w:val="auto"/>
          <w:sz w:val="24"/>
          <w:highlight w:val="none"/>
        </w:rPr>
      </w:pPr>
      <w:r>
        <w:rPr>
          <w:rFonts w:hint="eastAsia" w:ascii="仿宋" w:hAnsi="仿宋" w:eastAsia="仿宋" w:cs="仿宋"/>
          <w:color w:val="auto"/>
          <w:sz w:val="24"/>
          <w:highlight w:val="none"/>
        </w:rPr>
        <w:t>投标人名称（盖章）：</w:t>
      </w:r>
    </w:p>
    <w:p w14:paraId="0A39517E">
      <w:pPr>
        <w:rPr>
          <w:rFonts w:ascii="仿宋" w:hAnsi="仿宋" w:eastAsia="仿宋" w:cs="仿宋"/>
          <w:color w:val="auto"/>
          <w:sz w:val="24"/>
          <w:highlight w:val="none"/>
        </w:rPr>
      </w:pPr>
      <w:r>
        <w:rPr>
          <w:rFonts w:hint="eastAsia" w:ascii="仿宋" w:hAnsi="仿宋" w:eastAsia="仿宋" w:cs="仿宋"/>
          <w:color w:val="auto"/>
          <w:sz w:val="24"/>
          <w:highlight w:val="none"/>
        </w:rPr>
        <w:t>日    期：</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 xml:space="preserve"> 年</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月</w:t>
      </w:r>
      <w:r>
        <w:rPr>
          <w:rFonts w:hint="eastAsia" w:ascii="仿宋" w:hAnsi="仿宋" w:eastAsia="仿宋" w:cs="仿宋"/>
          <w:color w:val="auto"/>
          <w:sz w:val="24"/>
          <w:highlight w:val="none"/>
          <w:u w:val="single"/>
        </w:rPr>
        <w:t xml:space="preserve">  </w:t>
      </w:r>
      <w:r>
        <w:rPr>
          <w:rFonts w:hint="eastAsia" w:ascii="仿宋" w:hAnsi="仿宋" w:eastAsia="仿宋" w:cs="仿宋"/>
          <w:color w:val="auto"/>
          <w:sz w:val="24"/>
          <w:highlight w:val="none"/>
        </w:rPr>
        <w:t>日</w:t>
      </w:r>
    </w:p>
    <w:p w14:paraId="1E576A3B">
      <w:pPr>
        <w:pStyle w:val="22"/>
        <w:widowControl/>
        <w:ind w:firstLine="0" w:firstLineChars="0"/>
        <w:rPr>
          <w:color w:val="auto"/>
          <w:spacing w:val="18"/>
          <w:highlight w:val="none"/>
        </w:rPr>
      </w:pPr>
      <w:r>
        <w:rPr>
          <w:color w:val="auto"/>
          <w:spacing w:val="18"/>
          <w:highlight w:val="none"/>
        </w:rPr>
        <w:t xml:space="preserve"> </w:t>
      </w:r>
    </w:p>
    <w:p w14:paraId="3C59AD07">
      <w:pPr>
        <w:widowControl/>
        <w:spacing w:line="360" w:lineRule="auto"/>
        <w:jc w:val="left"/>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0CA6508C">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45C97EA1">
      <w:pPr>
        <w:spacing w:line="360" w:lineRule="auto"/>
        <w:rPr>
          <w:rFonts w:ascii="宋体" w:hAnsi="宋体" w:eastAsia="宋体" w:cs="宋体"/>
          <w:color w:val="auto"/>
          <w:sz w:val="24"/>
          <w:highlight w:val="none"/>
        </w:rPr>
        <w:sectPr>
          <w:footerReference r:id="rId3" w:type="default"/>
          <w:pgSz w:w="11915" w:h="16840"/>
          <w:pgMar w:top="1247" w:right="1135" w:bottom="1247" w:left="1361" w:header="720" w:footer="720" w:gutter="0"/>
          <w:pgNumType w:start="1"/>
          <w:cols w:space="425" w:num="1"/>
          <w:docGrid w:type="lines" w:linePitch="285" w:charSpace="0"/>
        </w:sectPr>
      </w:pPr>
    </w:p>
    <w:p w14:paraId="27074BD6">
      <w:pPr>
        <w:spacing w:line="360" w:lineRule="auto"/>
        <w:outlineLvl w:val="1"/>
        <w:rPr>
          <w:rFonts w:ascii="仿宋" w:hAnsi="仿宋" w:eastAsia="仿宋" w:cs="宋体"/>
          <w:color w:val="auto"/>
          <w:sz w:val="28"/>
          <w:szCs w:val="28"/>
          <w:highlight w:val="none"/>
        </w:rPr>
      </w:pPr>
      <w:r>
        <w:rPr>
          <w:rFonts w:hint="eastAsia" w:ascii="宋体" w:hAnsi="宋体" w:eastAsia="宋体" w:cs="黑体"/>
          <w:b/>
          <w:color w:val="auto"/>
          <w:spacing w:val="4"/>
          <w:kern w:val="0"/>
          <w:sz w:val="28"/>
          <w:szCs w:val="28"/>
          <w:highlight w:val="none"/>
        </w:rPr>
        <w:t>格式九：</w:t>
      </w:r>
    </w:p>
    <w:p w14:paraId="244F79FF">
      <w:pPr>
        <w:autoSpaceDE w:val="0"/>
        <w:autoSpaceDN w:val="0"/>
        <w:adjustRightInd w:val="0"/>
        <w:spacing w:line="360" w:lineRule="auto"/>
        <w:jc w:val="center"/>
        <w:rPr>
          <w:rFonts w:ascii="黑体" w:hAnsi="黑体" w:eastAsia="黑体" w:cs="黑体"/>
          <w:b/>
          <w:bCs/>
          <w:color w:val="auto"/>
          <w:sz w:val="32"/>
          <w:szCs w:val="32"/>
          <w:highlight w:val="none"/>
          <w:lang w:val="zh-CN"/>
        </w:rPr>
      </w:pPr>
      <w:r>
        <w:rPr>
          <w:rFonts w:hint="eastAsia" w:ascii="黑体" w:hAnsi="黑体" w:eastAsia="黑体" w:cs="黑体"/>
          <w:b/>
          <w:bCs/>
          <w:color w:val="auto"/>
          <w:sz w:val="32"/>
          <w:szCs w:val="32"/>
          <w:highlight w:val="none"/>
          <w:lang w:val="zh-CN"/>
        </w:rPr>
        <w:t>报价表</w:t>
      </w:r>
    </w:p>
    <w:p w14:paraId="0E2B6D79">
      <w:pPr>
        <w:wordWrap w:val="0"/>
        <w:autoSpaceDE w:val="0"/>
        <w:autoSpaceDN w:val="0"/>
        <w:adjustRightInd w:val="0"/>
        <w:spacing w:line="360" w:lineRule="auto"/>
        <w:jc w:val="right"/>
        <w:rPr>
          <w:rFonts w:ascii="宋体" w:hAnsi="宋体" w:cs="宋体"/>
          <w:bCs/>
          <w:color w:val="auto"/>
          <w:szCs w:val="21"/>
          <w:highlight w:val="none"/>
          <w:lang w:val="zh-CN"/>
        </w:rPr>
      </w:pPr>
      <w:r>
        <w:rPr>
          <w:rFonts w:hint="eastAsia" w:ascii="宋体" w:hAnsi="宋体" w:cs="宋体"/>
          <w:bCs/>
          <w:color w:val="auto"/>
          <w:szCs w:val="21"/>
          <w:highlight w:val="none"/>
          <w:lang w:val="zh-CN"/>
        </w:rPr>
        <w:t>投标日期：    年   月   日</w:t>
      </w:r>
    </w:p>
    <w:tbl>
      <w:tblPr>
        <w:tblStyle w:val="13"/>
        <w:tblW w:w="8967"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Layout w:type="fixed"/>
        <w:tblCellMar>
          <w:top w:w="0" w:type="dxa"/>
          <w:left w:w="0" w:type="dxa"/>
          <w:bottom w:w="0" w:type="dxa"/>
          <w:right w:w="0" w:type="dxa"/>
        </w:tblCellMar>
      </w:tblPr>
      <w:tblGrid>
        <w:gridCol w:w="1933"/>
        <w:gridCol w:w="2700"/>
        <w:gridCol w:w="1932"/>
        <w:gridCol w:w="2402"/>
      </w:tblGrid>
      <w:tr w14:paraId="614C7CC3">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994" w:hRule="atLeast"/>
          <w:jc w:val="center"/>
        </w:trPr>
        <w:tc>
          <w:tcPr>
            <w:tcW w:w="1933" w:type="dxa"/>
            <w:noWrap w:val="0"/>
            <w:tcMar>
              <w:top w:w="0" w:type="dxa"/>
              <w:left w:w="108" w:type="dxa"/>
              <w:bottom w:w="0" w:type="dxa"/>
              <w:right w:w="108" w:type="dxa"/>
            </w:tcMar>
            <w:vAlign w:val="center"/>
          </w:tcPr>
          <w:p w14:paraId="7F79B77B">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投标人名称</w:t>
            </w:r>
          </w:p>
          <w:p w14:paraId="5FBEE7E8">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（盖章）</w:t>
            </w:r>
          </w:p>
        </w:tc>
        <w:tc>
          <w:tcPr>
            <w:tcW w:w="2700" w:type="dxa"/>
            <w:noWrap w:val="0"/>
            <w:tcMar>
              <w:top w:w="0" w:type="dxa"/>
              <w:left w:w="108" w:type="dxa"/>
              <w:bottom w:w="0" w:type="dxa"/>
              <w:right w:w="108" w:type="dxa"/>
            </w:tcMar>
            <w:vAlign w:val="center"/>
          </w:tcPr>
          <w:p w14:paraId="015D82D2">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14:paraId="44603B80">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资质等级</w:t>
            </w:r>
          </w:p>
          <w:p w14:paraId="5A126069">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及证书号</w:t>
            </w:r>
          </w:p>
        </w:tc>
        <w:tc>
          <w:tcPr>
            <w:tcW w:w="2402" w:type="dxa"/>
            <w:noWrap w:val="0"/>
            <w:tcMar>
              <w:top w:w="0" w:type="dxa"/>
              <w:left w:w="108" w:type="dxa"/>
              <w:bottom w:w="0" w:type="dxa"/>
              <w:right w:w="108" w:type="dxa"/>
            </w:tcMar>
            <w:vAlign w:val="center"/>
          </w:tcPr>
          <w:p w14:paraId="2E593568">
            <w:pPr>
              <w:widowControl/>
              <w:snapToGrid w:val="0"/>
              <w:spacing w:line="360" w:lineRule="auto"/>
              <w:ind w:right="-108"/>
              <w:jc w:val="center"/>
              <w:rPr>
                <w:rFonts w:hint="eastAsia" w:ascii="仿宋" w:hAnsi="仿宋" w:eastAsia="仿宋" w:cs="仿宋"/>
                <w:color w:val="auto"/>
                <w:sz w:val="24"/>
                <w:szCs w:val="24"/>
                <w:highlight w:val="none"/>
              </w:rPr>
            </w:pPr>
          </w:p>
        </w:tc>
      </w:tr>
      <w:tr w14:paraId="728F33A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283" w:hRule="atLeast"/>
          <w:jc w:val="center"/>
        </w:trPr>
        <w:tc>
          <w:tcPr>
            <w:tcW w:w="1933" w:type="dxa"/>
            <w:noWrap w:val="0"/>
            <w:tcMar>
              <w:top w:w="0" w:type="dxa"/>
              <w:left w:w="108" w:type="dxa"/>
              <w:bottom w:w="0" w:type="dxa"/>
              <w:right w:w="108" w:type="dxa"/>
            </w:tcMar>
            <w:vAlign w:val="center"/>
          </w:tcPr>
          <w:p w14:paraId="1FEA13BA">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监理费</w:t>
            </w:r>
            <w:r>
              <w:rPr>
                <w:rFonts w:hint="eastAsia" w:ascii="仿宋" w:hAnsi="仿宋" w:eastAsia="仿宋" w:cs="仿宋"/>
                <w:color w:val="auto"/>
                <w:sz w:val="24"/>
                <w:szCs w:val="24"/>
                <w:highlight w:val="none"/>
                <w:lang w:eastAsia="zh-CN"/>
              </w:rPr>
              <w:t>投标</w:t>
            </w:r>
            <w:r>
              <w:rPr>
                <w:rFonts w:hint="eastAsia" w:ascii="仿宋" w:hAnsi="仿宋" w:eastAsia="仿宋" w:cs="仿宋"/>
                <w:color w:val="auto"/>
                <w:sz w:val="24"/>
                <w:szCs w:val="24"/>
                <w:highlight w:val="none"/>
              </w:rPr>
              <w:t>报价（元）</w:t>
            </w:r>
          </w:p>
        </w:tc>
        <w:tc>
          <w:tcPr>
            <w:tcW w:w="7034" w:type="dxa"/>
            <w:gridSpan w:val="3"/>
            <w:noWrap w:val="0"/>
            <w:tcMar>
              <w:top w:w="0" w:type="dxa"/>
              <w:left w:w="108" w:type="dxa"/>
              <w:bottom w:w="0" w:type="dxa"/>
              <w:right w:w="108" w:type="dxa"/>
            </w:tcMar>
            <w:vAlign w:val="center"/>
          </w:tcPr>
          <w:p w14:paraId="7BEE0BEE">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大写：</w:t>
            </w:r>
          </w:p>
          <w:p w14:paraId="1CE798C8">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小写：</w:t>
            </w:r>
          </w:p>
          <w:p w14:paraId="1B88B78A">
            <w:pPr>
              <w:widowControl/>
              <w:snapToGrid w:val="0"/>
              <w:spacing w:line="360" w:lineRule="auto"/>
              <w:ind w:right="-108"/>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下浮率：</w:t>
            </w:r>
            <w:r>
              <w:rPr>
                <w:rFonts w:hint="eastAsia" w:ascii="仿宋" w:hAnsi="仿宋" w:eastAsia="仿宋" w:cs="仿宋"/>
                <w:color w:val="auto"/>
                <w:sz w:val="24"/>
                <w:szCs w:val="24"/>
                <w:highlight w:val="none"/>
                <w:u w:val="single"/>
              </w:rPr>
              <w:t xml:space="preserve">    </w:t>
            </w:r>
            <w:r>
              <w:rPr>
                <w:rFonts w:hint="eastAsia" w:ascii="仿宋" w:hAnsi="仿宋" w:eastAsia="仿宋" w:cs="仿宋"/>
                <w:color w:val="auto"/>
                <w:sz w:val="24"/>
                <w:szCs w:val="24"/>
                <w:highlight w:val="none"/>
              </w:rPr>
              <w:t>%</w:t>
            </w:r>
          </w:p>
        </w:tc>
      </w:tr>
      <w:tr w14:paraId="5FF9F0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560" w:hRule="atLeast"/>
          <w:jc w:val="center"/>
        </w:trPr>
        <w:tc>
          <w:tcPr>
            <w:tcW w:w="1933" w:type="dxa"/>
            <w:noWrap w:val="0"/>
            <w:tcMar>
              <w:top w:w="0" w:type="dxa"/>
              <w:left w:w="108" w:type="dxa"/>
              <w:bottom w:w="0" w:type="dxa"/>
              <w:right w:w="108" w:type="dxa"/>
            </w:tcMar>
            <w:vAlign w:val="center"/>
          </w:tcPr>
          <w:p w14:paraId="0C6FE67F">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监理服务期</w:t>
            </w:r>
          </w:p>
        </w:tc>
        <w:tc>
          <w:tcPr>
            <w:tcW w:w="2700" w:type="dxa"/>
            <w:noWrap w:val="0"/>
            <w:tcMar>
              <w:top w:w="0" w:type="dxa"/>
              <w:left w:w="108" w:type="dxa"/>
              <w:bottom w:w="0" w:type="dxa"/>
              <w:right w:w="108" w:type="dxa"/>
            </w:tcMar>
            <w:vAlign w:val="center"/>
          </w:tcPr>
          <w:p w14:paraId="035CC985">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按招标文件要求</w:t>
            </w:r>
          </w:p>
        </w:tc>
        <w:tc>
          <w:tcPr>
            <w:tcW w:w="1932" w:type="dxa"/>
            <w:noWrap w:val="0"/>
            <w:tcMar>
              <w:top w:w="0" w:type="dxa"/>
              <w:left w:w="108" w:type="dxa"/>
              <w:bottom w:w="0" w:type="dxa"/>
              <w:right w:w="108" w:type="dxa"/>
            </w:tcMar>
            <w:vAlign w:val="center"/>
          </w:tcPr>
          <w:p w14:paraId="2DDB5960">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监理质量目标</w:t>
            </w:r>
          </w:p>
        </w:tc>
        <w:tc>
          <w:tcPr>
            <w:tcW w:w="2402" w:type="dxa"/>
            <w:noWrap w:val="0"/>
            <w:tcMar>
              <w:top w:w="0" w:type="dxa"/>
              <w:left w:w="108" w:type="dxa"/>
              <w:bottom w:w="0" w:type="dxa"/>
              <w:right w:w="108" w:type="dxa"/>
            </w:tcMar>
            <w:vAlign w:val="center"/>
          </w:tcPr>
          <w:p w14:paraId="66A131DB">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按招标文件要求</w:t>
            </w:r>
          </w:p>
        </w:tc>
      </w:tr>
      <w:tr w14:paraId="1899AA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restart"/>
            <w:noWrap w:val="0"/>
            <w:tcMar>
              <w:top w:w="0" w:type="dxa"/>
              <w:left w:w="108" w:type="dxa"/>
              <w:bottom w:w="0" w:type="dxa"/>
              <w:right w:w="108" w:type="dxa"/>
            </w:tcMar>
            <w:vAlign w:val="center"/>
          </w:tcPr>
          <w:p w14:paraId="4250FE4F">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拟委派的项目总监理工程师</w:t>
            </w:r>
          </w:p>
        </w:tc>
        <w:tc>
          <w:tcPr>
            <w:tcW w:w="2700" w:type="dxa"/>
            <w:noWrap w:val="0"/>
            <w:tcMar>
              <w:top w:w="0" w:type="dxa"/>
              <w:left w:w="108" w:type="dxa"/>
              <w:bottom w:w="0" w:type="dxa"/>
              <w:right w:w="108" w:type="dxa"/>
            </w:tcMar>
            <w:vAlign w:val="center"/>
          </w:tcPr>
          <w:p w14:paraId="5F584C3B">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姓    名</w:t>
            </w:r>
          </w:p>
        </w:tc>
        <w:tc>
          <w:tcPr>
            <w:tcW w:w="4334" w:type="dxa"/>
            <w:gridSpan w:val="2"/>
            <w:noWrap w:val="0"/>
            <w:tcMar>
              <w:top w:w="0" w:type="dxa"/>
              <w:left w:w="108" w:type="dxa"/>
              <w:bottom w:w="0" w:type="dxa"/>
              <w:right w:w="108" w:type="dxa"/>
            </w:tcMar>
            <w:vAlign w:val="center"/>
          </w:tcPr>
          <w:p w14:paraId="38311CC8">
            <w:pPr>
              <w:widowControl/>
              <w:snapToGrid w:val="0"/>
              <w:spacing w:line="360" w:lineRule="auto"/>
              <w:ind w:right="-108"/>
              <w:jc w:val="center"/>
              <w:rPr>
                <w:rFonts w:hint="eastAsia" w:ascii="仿宋" w:hAnsi="仿宋" w:eastAsia="仿宋" w:cs="仿宋"/>
                <w:color w:val="auto"/>
                <w:sz w:val="24"/>
                <w:szCs w:val="24"/>
                <w:highlight w:val="none"/>
              </w:rPr>
            </w:pPr>
          </w:p>
        </w:tc>
      </w:tr>
      <w:tr w14:paraId="7A4A82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14:paraId="1A5E7EE7">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14:paraId="77A90094">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技术职称</w:t>
            </w:r>
          </w:p>
        </w:tc>
        <w:tc>
          <w:tcPr>
            <w:tcW w:w="4334" w:type="dxa"/>
            <w:gridSpan w:val="2"/>
            <w:noWrap w:val="0"/>
            <w:tcMar>
              <w:top w:w="0" w:type="dxa"/>
              <w:left w:w="108" w:type="dxa"/>
              <w:bottom w:w="0" w:type="dxa"/>
              <w:right w:w="108" w:type="dxa"/>
            </w:tcMar>
            <w:vAlign w:val="center"/>
          </w:tcPr>
          <w:p w14:paraId="10DBB746">
            <w:pPr>
              <w:widowControl/>
              <w:snapToGrid w:val="0"/>
              <w:spacing w:line="360" w:lineRule="auto"/>
              <w:ind w:right="-108"/>
              <w:jc w:val="center"/>
              <w:rPr>
                <w:rFonts w:hint="eastAsia" w:ascii="仿宋" w:hAnsi="仿宋" w:eastAsia="仿宋" w:cs="仿宋"/>
                <w:color w:val="auto"/>
                <w:sz w:val="24"/>
                <w:szCs w:val="24"/>
                <w:highlight w:val="none"/>
              </w:rPr>
            </w:pPr>
          </w:p>
        </w:tc>
      </w:tr>
      <w:tr w14:paraId="2DA447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811" w:hRule="atLeast"/>
          <w:jc w:val="center"/>
        </w:trPr>
        <w:tc>
          <w:tcPr>
            <w:tcW w:w="1933" w:type="dxa"/>
            <w:vMerge w:val="continue"/>
            <w:noWrap w:val="0"/>
            <w:tcMar>
              <w:top w:w="0" w:type="dxa"/>
              <w:left w:w="108" w:type="dxa"/>
              <w:bottom w:w="0" w:type="dxa"/>
              <w:right w:w="108" w:type="dxa"/>
            </w:tcMar>
            <w:vAlign w:val="center"/>
          </w:tcPr>
          <w:p w14:paraId="5EFFEF20">
            <w:pPr>
              <w:widowControl/>
              <w:snapToGrid w:val="0"/>
              <w:spacing w:line="360" w:lineRule="auto"/>
              <w:ind w:right="-108"/>
              <w:jc w:val="center"/>
              <w:rPr>
                <w:rFonts w:hint="eastAsia" w:ascii="仿宋" w:hAnsi="仿宋" w:eastAsia="仿宋" w:cs="仿宋"/>
                <w:color w:val="auto"/>
                <w:sz w:val="24"/>
                <w:szCs w:val="24"/>
                <w:highlight w:val="none"/>
              </w:rPr>
            </w:pPr>
          </w:p>
        </w:tc>
        <w:tc>
          <w:tcPr>
            <w:tcW w:w="2700" w:type="dxa"/>
            <w:noWrap w:val="0"/>
            <w:tcMar>
              <w:top w:w="0" w:type="dxa"/>
              <w:left w:w="108" w:type="dxa"/>
              <w:bottom w:w="0" w:type="dxa"/>
              <w:right w:w="108" w:type="dxa"/>
            </w:tcMar>
            <w:vAlign w:val="center"/>
          </w:tcPr>
          <w:p w14:paraId="08062EF3">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  注册证号</w:t>
            </w:r>
          </w:p>
        </w:tc>
        <w:tc>
          <w:tcPr>
            <w:tcW w:w="4334" w:type="dxa"/>
            <w:gridSpan w:val="2"/>
            <w:noWrap w:val="0"/>
            <w:tcMar>
              <w:top w:w="0" w:type="dxa"/>
              <w:left w:w="108" w:type="dxa"/>
              <w:bottom w:w="0" w:type="dxa"/>
              <w:right w:w="108" w:type="dxa"/>
            </w:tcMar>
            <w:vAlign w:val="center"/>
          </w:tcPr>
          <w:p w14:paraId="695143B7">
            <w:pPr>
              <w:widowControl/>
              <w:snapToGrid w:val="0"/>
              <w:spacing w:line="360" w:lineRule="auto"/>
              <w:ind w:right="-108"/>
              <w:jc w:val="center"/>
              <w:rPr>
                <w:rFonts w:hint="eastAsia" w:ascii="仿宋" w:hAnsi="仿宋" w:eastAsia="仿宋" w:cs="仿宋"/>
                <w:color w:val="auto"/>
                <w:sz w:val="24"/>
                <w:szCs w:val="24"/>
                <w:highlight w:val="none"/>
              </w:rPr>
            </w:pPr>
          </w:p>
        </w:tc>
      </w:tr>
      <w:tr w14:paraId="3B70355D">
        <w:tblPrEx>
          <w:tblBorders>
            <w:top w:val="single" w:color="000000" w:sz="4" w:space="0"/>
            <w:left w:val="single" w:color="000000" w:sz="4" w:space="0"/>
            <w:bottom w:val="single" w:color="000000" w:sz="4" w:space="0"/>
            <w:right w:val="single" w:color="000000" w:sz="4" w:space="0"/>
            <w:insideH w:val="single" w:color="000000" w:sz="4" w:space="0"/>
            <w:insideV w:val="single" w:color="000000" w:sz="6" w:space="0"/>
          </w:tblBorders>
          <w:tblCellMar>
            <w:top w:w="0" w:type="dxa"/>
            <w:left w:w="0" w:type="dxa"/>
            <w:bottom w:w="0" w:type="dxa"/>
            <w:right w:w="0" w:type="dxa"/>
          </w:tblCellMar>
        </w:tblPrEx>
        <w:trPr>
          <w:trHeight w:val="1680" w:hRule="atLeast"/>
          <w:jc w:val="center"/>
        </w:trPr>
        <w:tc>
          <w:tcPr>
            <w:tcW w:w="1933" w:type="dxa"/>
            <w:noWrap w:val="0"/>
            <w:tcMar>
              <w:top w:w="0" w:type="dxa"/>
              <w:left w:w="108" w:type="dxa"/>
              <w:bottom w:w="0" w:type="dxa"/>
              <w:right w:w="108" w:type="dxa"/>
            </w:tcMar>
            <w:vAlign w:val="center"/>
          </w:tcPr>
          <w:p w14:paraId="756A57A5">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投标人法定</w:t>
            </w:r>
          </w:p>
          <w:p w14:paraId="323A8171">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代表人</w:t>
            </w:r>
          </w:p>
          <w:p w14:paraId="73B2ACE6">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700" w:type="dxa"/>
            <w:noWrap w:val="0"/>
            <w:tcMar>
              <w:top w:w="0" w:type="dxa"/>
              <w:left w:w="108" w:type="dxa"/>
              <w:bottom w:w="0" w:type="dxa"/>
              <w:right w:w="108" w:type="dxa"/>
            </w:tcMar>
            <w:vAlign w:val="center"/>
          </w:tcPr>
          <w:p w14:paraId="64962FEE">
            <w:pPr>
              <w:widowControl/>
              <w:snapToGrid w:val="0"/>
              <w:spacing w:line="360" w:lineRule="auto"/>
              <w:ind w:right="-108"/>
              <w:jc w:val="center"/>
              <w:rPr>
                <w:rFonts w:hint="eastAsia" w:ascii="仿宋" w:hAnsi="仿宋" w:eastAsia="仿宋" w:cs="仿宋"/>
                <w:color w:val="auto"/>
                <w:sz w:val="24"/>
                <w:szCs w:val="24"/>
                <w:highlight w:val="none"/>
              </w:rPr>
            </w:pPr>
          </w:p>
        </w:tc>
        <w:tc>
          <w:tcPr>
            <w:tcW w:w="1932" w:type="dxa"/>
            <w:noWrap w:val="0"/>
            <w:tcMar>
              <w:top w:w="0" w:type="dxa"/>
              <w:left w:w="108" w:type="dxa"/>
              <w:bottom w:w="0" w:type="dxa"/>
              <w:right w:w="108" w:type="dxa"/>
            </w:tcMar>
            <w:vAlign w:val="center"/>
          </w:tcPr>
          <w:p w14:paraId="6EC39BF0">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本项目的授权</w:t>
            </w:r>
          </w:p>
          <w:p w14:paraId="15B0C66B">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委托代理人</w:t>
            </w:r>
          </w:p>
          <w:p w14:paraId="275849D9">
            <w:pPr>
              <w:widowControl/>
              <w:snapToGrid w:val="0"/>
              <w:spacing w:line="360" w:lineRule="auto"/>
              <w:ind w:right="-108"/>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（签名或盖章）</w:t>
            </w:r>
          </w:p>
        </w:tc>
        <w:tc>
          <w:tcPr>
            <w:tcW w:w="2402" w:type="dxa"/>
            <w:noWrap w:val="0"/>
            <w:tcMar>
              <w:top w:w="0" w:type="dxa"/>
              <w:left w:w="108" w:type="dxa"/>
              <w:bottom w:w="0" w:type="dxa"/>
              <w:right w:w="108" w:type="dxa"/>
            </w:tcMar>
            <w:vAlign w:val="center"/>
          </w:tcPr>
          <w:p w14:paraId="04494985">
            <w:pPr>
              <w:widowControl/>
              <w:snapToGrid w:val="0"/>
              <w:spacing w:line="360" w:lineRule="auto"/>
              <w:ind w:right="-108"/>
              <w:jc w:val="center"/>
              <w:rPr>
                <w:rFonts w:hint="eastAsia" w:ascii="仿宋" w:hAnsi="仿宋" w:eastAsia="仿宋" w:cs="仿宋"/>
                <w:color w:val="auto"/>
                <w:sz w:val="24"/>
                <w:szCs w:val="24"/>
                <w:highlight w:val="none"/>
              </w:rPr>
            </w:pPr>
          </w:p>
        </w:tc>
      </w:tr>
    </w:tbl>
    <w:p w14:paraId="55F9B4DB">
      <w:pPr>
        <w:pStyle w:val="8"/>
        <w:spacing w:line="360" w:lineRule="auto"/>
        <w:ind w:firstLine="210" w:firstLineChars="100"/>
        <w:rPr>
          <w:rFonts w:hint="default" w:hAnsi="宋体" w:cs="宋体"/>
          <w:bCs/>
          <w:color w:val="auto"/>
          <w:highlight w:val="none"/>
        </w:rPr>
      </w:pPr>
      <w:r>
        <w:rPr>
          <w:rFonts w:hAnsi="宋体" w:cs="宋体"/>
          <w:bCs/>
          <w:color w:val="auto"/>
          <w:highlight w:val="none"/>
        </w:rPr>
        <w:t>注：</w:t>
      </w:r>
    </w:p>
    <w:p w14:paraId="4FE4433F">
      <w:pPr>
        <w:pStyle w:val="8"/>
        <w:spacing w:line="360" w:lineRule="auto"/>
        <w:rPr>
          <w:rFonts w:hint="default" w:hAnsi="宋体" w:cs="宋体"/>
          <w:bCs/>
          <w:color w:val="auto"/>
          <w:highlight w:val="none"/>
        </w:rPr>
      </w:pPr>
      <w:r>
        <w:rPr>
          <w:rFonts w:hAnsi="宋体" w:cs="宋体"/>
          <w:bCs/>
          <w:color w:val="auto"/>
          <w:highlight w:val="none"/>
        </w:rPr>
        <w:t>（1）投标总报价的大写金额和小写金额不一致的，以大写金额为准，投标报价精确到小数点后两位</w:t>
      </w:r>
      <w:r>
        <w:rPr>
          <w:rFonts w:hint="eastAsia" w:hAnsi="宋体" w:cs="宋体"/>
          <w:bCs/>
          <w:color w:val="auto"/>
          <w:highlight w:val="none"/>
          <w:lang w:eastAsia="zh-CN"/>
        </w:rPr>
        <w:t>（四舍五入）</w:t>
      </w:r>
      <w:r>
        <w:rPr>
          <w:rFonts w:hAnsi="宋体" w:cs="宋体"/>
          <w:bCs/>
          <w:color w:val="auto"/>
          <w:highlight w:val="none"/>
        </w:rPr>
        <w:t>。</w:t>
      </w:r>
    </w:p>
    <w:p w14:paraId="7C1CA4AE">
      <w:pPr>
        <w:spacing w:line="360" w:lineRule="auto"/>
        <w:rPr>
          <w:rFonts w:hint="eastAsia" w:ascii="宋体" w:hAnsi="宋体" w:eastAsia="宋体" w:cs="宋体"/>
          <w:b w:val="0"/>
          <w:bCs/>
          <w:color w:val="auto"/>
          <w:szCs w:val="21"/>
          <w:highlight w:val="none"/>
        </w:rPr>
      </w:pPr>
      <w:r>
        <w:rPr>
          <w:rFonts w:hint="eastAsia" w:ascii="宋体" w:hAnsi="宋体" w:eastAsia="宋体" w:cs="宋体"/>
          <w:bCs/>
          <w:color w:val="auto"/>
          <w:szCs w:val="21"/>
          <w:highlight w:val="none"/>
        </w:rPr>
        <w:t>（2）</w:t>
      </w:r>
      <w:r>
        <w:rPr>
          <w:rFonts w:hint="eastAsia" w:ascii="宋体" w:hAnsi="宋体" w:eastAsia="宋体" w:cs="宋体"/>
          <w:bCs/>
          <w:color w:val="auto"/>
          <w:kern w:val="2"/>
          <w:sz w:val="21"/>
          <w:szCs w:val="21"/>
          <w:highlight w:val="none"/>
          <w:u w:val="none"/>
        </w:rPr>
        <w:t>投标</w:t>
      </w:r>
      <w:r>
        <w:rPr>
          <w:rFonts w:hint="eastAsia" w:ascii="宋体" w:hAnsi="宋体" w:eastAsia="宋体" w:cs="宋体"/>
          <w:bCs/>
          <w:color w:val="auto"/>
          <w:kern w:val="2"/>
          <w:sz w:val="21"/>
          <w:szCs w:val="21"/>
          <w:highlight w:val="none"/>
          <w:u w:val="none"/>
          <w:lang w:eastAsia="zh-CN"/>
        </w:rPr>
        <w:t>报价不得高于招标控制价，否则</w:t>
      </w:r>
      <w:r>
        <w:rPr>
          <w:rFonts w:hint="eastAsia" w:ascii="宋体" w:hAnsi="宋体" w:eastAsia="宋体" w:cs="宋体"/>
          <w:bCs/>
          <w:color w:val="auto"/>
          <w:kern w:val="2"/>
          <w:sz w:val="21"/>
          <w:szCs w:val="21"/>
          <w:highlight w:val="none"/>
          <w:u w:val="none"/>
        </w:rPr>
        <w:t>按废标处理。</w:t>
      </w:r>
      <w:r>
        <w:rPr>
          <w:rFonts w:hint="eastAsia" w:ascii="宋体" w:hAnsi="宋体" w:eastAsia="宋体" w:cs="宋体"/>
          <w:bCs/>
          <w:color w:val="auto"/>
          <w:kern w:val="2"/>
          <w:sz w:val="21"/>
          <w:szCs w:val="21"/>
          <w:highlight w:val="none"/>
          <w:lang w:val="en-US" w:eastAsia="zh-CN"/>
        </w:rPr>
        <w:t>监理投标下浮率=1-（监理报价/</w:t>
      </w:r>
      <w:r>
        <w:rPr>
          <w:rFonts w:hint="eastAsia" w:ascii="宋体" w:hAnsi="宋体" w:eastAsia="宋体" w:cs="宋体"/>
          <w:bCs/>
          <w:color w:val="auto"/>
          <w:sz w:val="21"/>
          <w:szCs w:val="21"/>
          <w:highlight w:val="none"/>
          <w:u w:val="none"/>
          <w:lang w:eastAsia="zh-CN"/>
        </w:rPr>
        <w:t>监理</w:t>
      </w:r>
      <w:r>
        <w:rPr>
          <w:rFonts w:hint="eastAsia" w:ascii="宋体" w:hAnsi="宋体" w:eastAsia="宋体" w:cs="宋体"/>
          <w:bCs/>
          <w:color w:val="auto"/>
          <w:sz w:val="21"/>
          <w:szCs w:val="21"/>
          <w:highlight w:val="none"/>
          <w:u w:val="none"/>
          <w:lang w:val="en-US" w:eastAsia="zh-CN"/>
        </w:rPr>
        <w:t>基本收费价337450.00元</w:t>
      </w:r>
      <w:r>
        <w:rPr>
          <w:rFonts w:hint="eastAsia" w:ascii="宋体" w:hAnsi="宋体" w:eastAsia="宋体" w:cs="宋体"/>
          <w:bCs/>
          <w:color w:val="auto"/>
          <w:kern w:val="2"/>
          <w:sz w:val="21"/>
          <w:szCs w:val="21"/>
          <w:highlight w:val="none"/>
          <w:lang w:val="en-US" w:eastAsia="zh-CN"/>
        </w:rPr>
        <w:t>）*100%。</w:t>
      </w:r>
    </w:p>
    <w:p w14:paraId="3F73021E">
      <w:pPr>
        <w:jc w:val="left"/>
        <w:rPr>
          <w:rFonts w:hint="eastAsia"/>
          <w:b/>
          <w:color w:val="auto"/>
          <w:sz w:val="24"/>
          <w:highlight w:val="none"/>
        </w:rPr>
      </w:pPr>
      <w:r>
        <w:rPr>
          <w:rFonts w:hint="eastAsia"/>
          <w:b/>
          <w:color w:val="auto"/>
          <w:sz w:val="24"/>
          <w:highlight w:val="none"/>
        </w:rPr>
        <w:br w:type="page"/>
      </w:r>
    </w:p>
    <w:p w14:paraId="0DDED68C">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格式1：</w:t>
      </w:r>
    </w:p>
    <w:p w14:paraId="4FF2ED68">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1F47133B">
      <w:pPr>
        <w:jc w:val="center"/>
        <w:rPr>
          <w:rFonts w:ascii="宋体"/>
          <w:b/>
          <w:color w:val="auto"/>
          <w:sz w:val="32"/>
          <w:szCs w:val="32"/>
          <w:highlight w:val="none"/>
        </w:rPr>
      </w:pPr>
    </w:p>
    <w:p w14:paraId="59ECF020">
      <w:pPr>
        <w:jc w:val="center"/>
        <w:rPr>
          <w:rFonts w:ascii="宋体"/>
          <w:b/>
          <w:color w:val="auto"/>
          <w:sz w:val="32"/>
          <w:szCs w:val="32"/>
          <w:highlight w:val="none"/>
        </w:rPr>
      </w:pPr>
    </w:p>
    <w:p w14:paraId="642D64CF">
      <w:pPr>
        <w:jc w:val="center"/>
        <w:rPr>
          <w:rFonts w:ascii="宋体"/>
          <w:b/>
          <w:color w:val="auto"/>
          <w:sz w:val="32"/>
          <w:szCs w:val="32"/>
          <w:highlight w:val="none"/>
        </w:rPr>
      </w:pPr>
    </w:p>
    <w:p w14:paraId="39C2445D">
      <w:pPr>
        <w:jc w:val="center"/>
        <w:rPr>
          <w:rFonts w:ascii="宋体"/>
          <w:b/>
          <w:color w:val="auto"/>
          <w:sz w:val="32"/>
          <w:szCs w:val="32"/>
          <w:highlight w:val="none"/>
        </w:rPr>
      </w:pPr>
    </w:p>
    <w:p w14:paraId="38BAAA69">
      <w:pPr>
        <w:jc w:val="center"/>
        <w:rPr>
          <w:b/>
          <w:color w:val="auto"/>
          <w:sz w:val="44"/>
          <w:szCs w:val="44"/>
          <w:highlight w:val="none"/>
        </w:rPr>
      </w:pPr>
      <w:r>
        <w:rPr>
          <w:rFonts w:hint="eastAsia" w:ascii="宋体" w:hAnsi="宋体"/>
          <w:b/>
          <w:color w:val="auto"/>
          <w:sz w:val="44"/>
          <w:szCs w:val="44"/>
          <w:highlight w:val="none"/>
        </w:rPr>
        <w:t>项目名称</w:t>
      </w:r>
    </w:p>
    <w:p w14:paraId="0B22E2B4">
      <w:pPr>
        <w:jc w:val="center"/>
        <w:rPr>
          <w:b/>
          <w:color w:val="auto"/>
          <w:sz w:val="48"/>
          <w:szCs w:val="48"/>
          <w:highlight w:val="none"/>
        </w:rPr>
      </w:pPr>
    </w:p>
    <w:p w14:paraId="6F046A49">
      <w:pPr>
        <w:rPr>
          <w:rFonts w:eastAsia="黑体"/>
          <w:color w:val="auto"/>
          <w:sz w:val="20"/>
          <w:szCs w:val="20"/>
          <w:highlight w:val="none"/>
        </w:rPr>
      </w:pPr>
    </w:p>
    <w:p w14:paraId="1CE5C04D">
      <w:pPr>
        <w:rPr>
          <w:rFonts w:eastAsia="黑体"/>
          <w:color w:val="auto"/>
          <w:sz w:val="20"/>
          <w:szCs w:val="20"/>
          <w:highlight w:val="none"/>
        </w:rPr>
      </w:pPr>
    </w:p>
    <w:p w14:paraId="4E2568BB">
      <w:pPr>
        <w:rPr>
          <w:rFonts w:eastAsia="黑体"/>
          <w:color w:val="auto"/>
          <w:sz w:val="20"/>
          <w:szCs w:val="20"/>
          <w:highlight w:val="none"/>
        </w:rPr>
      </w:pPr>
    </w:p>
    <w:p w14:paraId="21567D29">
      <w:pPr>
        <w:rPr>
          <w:rFonts w:eastAsia="黑体"/>
          <w:color w:val="auto"/>
          <w:sz w:val="20"/>
          <w:szCs w:val="20"/>
          <w:highlight w:val="none"/>
        </w:rPr>
      </w:pPr>
    </w:p>
    <w:p w14:paraId="4F45BF96">
      <w:pPr>
        <w:jc w:val="center"/>
        <w:rPr>
          <w:rFonts w:eastAsia="黑体"/>
          <w:color w:val="auto"/>
          <w:sz w:val="28"/>
          <w:szCs w:val="28"/>
          <w:highlight w:val="none"/>
        </w:rPr>
      </w:pPr>
      <w:r>
        <w:rPr>
          <w:rFonts w:hint="eastAsia" w:eastAsia="黑体"/>
          <w:color w:val="auto"/>
          <w:sz w:val="52"/>
          <w:szCs w:val="52"/>
          <w:highlight w:val="none"/>
        </w:rPr>
        <w:t>商务文件</w:t>
      </w:r>
    </w:p>
    <w:p w14:paraId="1FAE5FD8">
      <w:pPr>
        <w:rPr>
          <w:rFonts w:eastAsia="黑体"/>
          <w:color w:val="auto"/>
          <w:sz w:val="28"/>
          <w:szCs w:val="28"/>
          <w:highlight w:val="none"/>
        </w:rPr>
      </w:pPr>
    </w:p>
    <w:p w14:paraId="6F1305FF">
      <w:pPr>
        <w:rPr>
          <w:rFonts w:eastAsia="黑体"/>
          <w:color w:val="auto"/>
          <w:sz w:val="28"/>
          <w:szCs w:val="28"/>
          <w:highlight w:val="none"/>
        </w:rPr>
      </w:pPr>
    </w:p>
    <w:p w14:paraId="21953B04">
      <w:pPr>
        <w:rPr>
          <w:rFonts w:eastAsia="黑体"/>
          <w:color w:val="auto"/>
          <w:sz w:val="28"/>
          <w:szCs w:val="28"/>
          <w:highlight w:val="none"/>
        </w:rPr>
      </w:pPr>
    </w:p>
    <w:p w14:paraId="41ECEF1B">
      <w:pPr>
        <w:rPr>
          <w:rFonts w:eastAsia="黑体"/>
          <w:color w:val="auto"/>
          <w:sz w:val="28"/>
          <w:szCs w:val="28"/>
          <w:highlight w:val="none"/>
        </w:rPr>
      </w:pPr>
    </w:p>
    <w:p w14:paraId="243ACBB8">
      <w:pPr>
        <w:spacing w:line="720" w:lineRule="auto"/>
        <w:rPr>
          <w:rFonts w:eastAsia="黑体"/>
          <w:color w:val="auto"/>
          <w:sz w:val="28"/>
          <w:szCs w:val="28"/>
          <w:highlight w:val="none"/>
        </w:rPr>
      </w:pPr>
    </w:p>
    <w:p w14:paraId="7603A2FC">
      <w:pPr>
        <w:spacing w:line="48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486DFC26">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0124D9EC">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1C56DEC5">
      <w:pPr>
        <w:widowControl/>
        <w:jc w:val="left"/>
        <w:rPr>
          <w:b/>
          <w:color w:val="auto"/>
          <w:sz w:val="24"/>
          <w:highlight w:val="none"/>
        </w:rPr>
      </w:pPr>
      <w:r>
        <w:rPr>
          <w:b/>
          <w:color w:val="auto"/>
          <w:sz w:val="24"/>
          <w:highlight w:val="none"/>
        </w:rPr>
        <w:br w:type="page"/>
      </w:r>
    </w:p>
    <w:p w14:paraId="703F91B0">
      <w:pPr>
        <w:jc w:val="left"/>
        <w:rPr>
          <w:b/>
          <w:color w:val="auto"/>
          <w:sz w:val="24"/>
          <w:highlight w:val="none"/>
        </w:rPr>
      </w:pPr>
      <w:r>
        <w:rPr>
          <w:rFonts w:hint="eastAsia"/>
          <w:b/>
          <w:color w:val="auto"/>
          <w:sz w:val="24"/>
          <w:highlight w:val="none"/>
        </w:rPr>
        <w:t>封面</w:t>
      </w:r>
      <w:r>
        <w:rPr>
          <w:rFonts w:hint="eastAsia" w:ascii="宋体" w:hAnsi="宋体"/>
          <w:b/>
          <w:color w:val="auto"/>
          <w:sz w:val="24"/>
          <w:highlight w:val="none"/>
        </w:rPr>
        <w:t>格式2：</w:t>
      </w:r>
    </w:p>
    <w:p w14:paraId="1638734E">
      <w:pPr>
        <w:spacing w:line="400" w:lineRule="exact"/>
        <w:ind w:right="-1359" w:rightChars="-647" w:firstLine="6726" w:firstLineChars="1861"/>
        <w:jc w:val="left"/>
        <w:rPr>
          <w:rFonts w:ascii="黑体" w:eastAsia="黑体"/>
          <w:b/>
          <w:color w:val="auto"/>
          <w:sz w:val="36"/>
          <w:szCs w:val="36"/>
          <w:highlight w:val="none"/>
        </w:rPr>
      </w:pPr>
      <w:r>
        <w:rPr>
          <w:rFonts w:hint="eastAsia" w:ascii="黑体" w:eastAsia="黑体"/>
          <w:b/>
          <w:color w:val="auto"/>
          <w:sz w:val="36"/>
          <w:szCs w:val="36"/>
          <w:highlight w:val="none"/>
        </w:rPr>
        <w:t>正本或副本</w:t>
      </w:r>
    </w:p>
    <w:p w14:paraId="4FD333BE">
      <w:pPr>
        <w:jc w:val="center"/>
        <w:rPr>
          <w:rFonts w:ascii="宋体"/>
          <w:b/>
          <w:color w:val="auto"/>
          <w:sz w:val="32"/>
          <w:szCs w:val="32"/>
          <w:highlight w:val="none"/>
        </w:rPr>
      </w:pPr>
    </w:p>
    <w:p w14:paraId="5094C9B6">
      <w:pPr>
        <w:jc w:val="center"/>
        <w:rPr>
          <w:rFonts w:ascii="宋体"/>
          <w:b/>
          <w:color w:val="auto"/>
          <w:sz w:val="32"/>
          <w:szCs w:val="32"/>
          <w:highlight w:val="none"/>
        </w:rPr>
      </w:pPr>
    </w:p>
    <w:p w14:paraId="356EFFAA">
      <w:pPr>
        <w:jc w:val="center"/>
        <w:rPr>
          <w:rFonts w:ascii="宋体"/>
          <w:b/>
          <w:color w:val="auto"/>
          <w:sz w:val="32"/>
          <w:szCs w:val="32"/>
          <w:highlight w:val="none"/>
        </w:rPr>
      </w:pPr>
    </w:p>
    <w:p w14:paraId="554F7E7F">
      <w:pPr>
        <w:jc w:val="center"/>
        <w:rPr>
          <w:rFonts w:ascii="宋体"/>
          <w:b/>
          <w:color w:val="auto"/>
          <w:sz w:val="32"/>
          <w:szCs w:val="32"/>
          <w:highlight w:val="none"/>
        </w:rPr>
      </w:pPr>
    </w:p>
    <w:p w14:paraId="0F7DD270">
      <w:pPr>
        <w:jc w:val="center"/>
        <w:rPr>
          <w:b/>
          <w:color w:val="auto"/>
          <w:sz w:val="44"/>
          <w:szCs w:val="44"/>
          <w:highlight w:val="none"/>
        </w:rPr>
      </w:pPr>
      <w:r>
        <w:rPr>
          <w:rFonts w:hint="eastAsia" w:ascii="宋体" w:hAnsi="宋体"/>
          <w:b/>
          <w:color w:val="auto"/>
          <w:sz w:val="44"/>
          <w:szCs w:val="44"/>
          <w:highlight w:val="none"/>
        </w:rPr>
        <w:t>项目名称</w:t>
      </w:r>
    </w:p>
    <w:p w14:paraId="69B4D7F0">
      <w:pPr>
        <w:jc w:val="center"/>
        <w:rPr>
          <w:b/>
          <w:color w:val="auto"/>
          <w:sz w:val="48"/>
          <w:szCs w:val="48"/>
          <w:highlight w:val="none"/>
        </w:rPr>
      </w:pPr>
    </w:p>
    <w:p w14:paraId="7C0C4996">
      <w:pPr>
        <w:rPr>
          <w:rFonts w:eastAsia="黑体"/>
          <w:color w:val="auto"/>
          <w:sz w:val="20"/>
          <w:szCs w:val="20"/>
          <w:highlight w:val="none"/>
        </w:rPr>
      </w:pPr>
    </w:p>
    <w:p w14:paraId="4E2847B2">
      <w:pPr>
        <w:rPr>
          <w:rFonts w:eastAsia="黑体"/>
          <w:color w:val="auto"/>
          <w:sz w:val="20"/>
          <w:szCs w:val="20"/>
          <w:highlight w:val="none"/>
        </w:rPr>
      </w:pPr>
    </w:p>
    <w:p w14:paraId="1B25DC4B">
      <w:pPr>
        <w:rPr>
          <w:rFonts w:eastAsia="黑体"/>
          <w:color w:val="auto"/>
          <w:sz w:val="20"/>
          <w:szCs w:val="20"/>
          <w:highlight w:val="none"/>
        </w:rPr>
      </w:pPr>
    </w:p>
    <w:p w14:paraId="46FF999E">
      <w:pPr>
        <w:rPr>
          <w:rFonts w:eastAsia="黑体"/>
          <w:color w:val="auto"/>
          <w:sz w:val="20"/>
          <w:szCs w:val="20"/>
          <w:highlight w:val="none"/>
        </w:rPr>
      </w:pPr>
    </w:p>
    <w:p w14:paraId="13E7F7BE">
      <w:pPr>
        <w:jc w:val="center"/>
        <w:rPr>
          <w:rFonts w:eastAsia="黑体"/>
          <w:color w:val="auto"/>
          <w:sz w:val="52"/>
          <w:szCs w:val="52"/>
          <w:highlight w:val="none"/>
        </w:rPr>
      </w:pPr>
      <w:r>
        <w:rPr>
          <w:rFonts w:hint="eastAsia" w:eastAsia="黑体"/>
          <w:color w:val="auto"/>
          <w:sz w:val="52"/>
          <w:szCs w:val="52"/>
          <w:highlight w:val="none"/>
        </w:rPr>
        <w:t>技术文件</w:t>
      </w:r>
    </w:p>
    <w:p w14:paraId="0AA5A8A2">
      <w:pPr>
        <w:spacing w:line="720" w:lineRule="auto"/>
        <w:rPr>
          <w:rFonts w:eastAsia="黑体"/>
          <w:color w:val="auto"/>
          <w:sz w:val="28"/>
          <w:szCs w:val="28"/>
          <w:highlight w:val="none"/>
        </w:rPr>
      </w:pPr>
    </w:p>
    <w:p w14:paraId="377C65BD">
      <w:pPr>
        <w:spacing w:line="720" w:lineRule="auto"/>
        <w:rPr>
          <w:rFonts w:eastAsia="黑体"/>
          <w:color w:val="auto"/>
          <w:sz w:val="28"/>
          <w:szCs w:val="28"/>
          <w:highlight w:val="none"/>
        </w:rPr>
      </w:pPr>
    </w:p>
    <w:p w14:paraId="49B1BAB3">
      <w:pPr>
        <w:spacing w:line="720" w:lineRule="auto"/>
        <w:rPr>
          <w:rFonts w:eastAsia="黑体"/>
          <w:color w:val="auto"/>
          <w:sz w:val="28"/>
          <w:szCs w:val="28"/>
          <w:highlight w:val="none"/>
        </w:rPr>
      </w:pPr>
    </w:p>
    <w:p w14:paraId="76BFEF23">
      <w:pPr>
        <w:spacing w:line="720" w:lineRule="auto"/>
        <w:rPr>
          <w:rFonts w:eastAsia="黑体"/>
          <w:color w:val="auto"/>
          <w:sz w:val="28"/>
          <w:szCs w:val="28"/>
          <w:highlight w:val="none"/>
          <w:u w:val="single"/>
        </w:rPr>
      </w:pPr>
      <w:r>
        <w:rPr>
          <w:rFonts w:hint="eastAsia" w:eastAsia="黑体"/>
          <w:color w:val="auto"/>
          <w:sz w:val="28"/>
          <w:szCs w:val="28"/>
          <w:highlight w:val="none"/>
        </w:rPr>
        <w:t>投标人：（盖单位章）</w:t>
      </w:r>
    </w:p>
    <w:p w14:paraId="04A868C3">
      <w:pPr>
        <w:spacing w:line="480" w:lineRule="auto"/>
        <w:rPr>
          <w:rFonts w:eastAsia="黑体"/>
          <w:color w:val="auto"/>
          <w:sz w:val="28"/>
          <w:szCs w:val="28"/>
          <w:highlight w:val="none"/>
        </w:rPr>
      </w:pPr>
      <w:r>
        <w:rPr>
          <w:rFonts w:hint="eastAsia" w:eastAsia="黑体"/>
          <w:color w:val="auto"/>
          <w:sz w:val="28"/>
          <w:szCs w:val="28"/>
          <w:highlight w:val="none"/>
        </w:rPr>
        <w:t>法定代表人或其委托代理人：（签名或盖章）</w:t>
      </w:r>
    </w:p>
    <w:p w14:paraId="3DE4026C">
      <w:pPr>
        <w:autoSpaceDE w:val="0"/>
        <w:autoSpaceDN w:val="0"/>
        <w:adjustRightInd w:val="0"/>
        <w:spacing w:line="480" w:lineRule="auto"/>
        <w:ind w:firstLine="1120" w:firstLineChars="400"/>
        <w:rPr>
          <w:rFonts w:eastAsia="黑体"/>
          <w:color w:val="auto"/>
          <w:sz w:val="28"/>
          <w:szCs w:val="28"/>
          <w:highlight w:val="none"/>
        </w:rPr>
      </w:pPr>
      <w:r>
        <w:rPr>
          <w:rFonts w:hint="eastAsia" w:eastAsia="黑体"/>
          <w:color w:val="auto"/>
          <w:sz w:val="28"/>
          <w:szCs w:val="28"/>
          <w:highlight w:val="none"/>
        </w:rPr>
        <w:t>年  月  日</w:t>
      </w:r>
    </w:p>
    <w:p w14:paraId="3F93CA00">
      <w:pPr>
        <w:pStyle w:val="8"/>
        <w:rPr>
          <w:rFonts w:hint="default"/>
          <w:color w:val="auto"/>
          <w:highlight w:val="none"/>
        </w:rPr>
      </w:pPr>
    </w:p>
    <w:p w14:paraId="7DBC2D69">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72838144">
      <w:pPr>
        <w:spacing w:line="360" w:lineRule="auto"/>
        <w:rPr>
          <w:rFonts w:ascii="宋体" w:hAnsi="宋体" w:eastAsia="宋体" w:cs="宋体"/>
          <w:color w:val="auto"/>
          <w:sz w:val="24"/>
          <w:highlight w:val="none"/>
        </w:rPr>
      </w:pPr>
      <w:r>
        <w:rPr>
          <w:rFonts w:hint="eastAsia" w:ascii="宋体" w:hAnsi="宋体" w:eastAsia="宋体" w:cs="宋体"/>
          <w:color w:val="auto"/>
          <w:sz w:val="24"/>
          <w:highlight w:val="none"/>
        </w:rPr>
        <w:t xml:space="preserve"> </w:t>
      </w:r>
    </w:p>
    <w:p w14:paraId="6909F3C4">
      <w:pPr>
        <w:pStyle w:val="4"/>
        <w:widowControl/>
        <w:spacing w:before="0" w:after="0" w:line="360" w:lineRule="auto"/>
        <w:jc w:val="center"/>
        <w:rPr>
          <w:rFonts w:ascii="黑体" w:hAnsi="宋体" w:cs="黑体"/>
          <w:b/>
          <w:color w:val="auto"/>
          <w:kern w:val="44"/>
          <w:sz w:val="44"/>
          <w:szCs w:val="44"/>
          <w:highlight w:val="none"/>
        </w:rPr>
      </w:pPr>
      <w:bookmarkStart w:id="45" w:name="_Toc374128477"/>
      <w:bookmarkEnd w:id="45"/>
    </w:p>
    <w:p w14:paraId="6CABAE6F">
      <w:pPr>
        <w:pStyle w:val="4"/>
        <w:widowControl/>
        <w:spacing w:before="0" w:after="0" w:line="360" w:lineRule="auto"/>
        <w:jc w:val="center"/>
        <w:rPr>
          <w:rFonts w:ascii="黑体" w:hAnsi="宋体" w:cs="黑体"/>
          <w:b/>
          <w:color w:val="auto"/>
          <w:kern w:val="44"/>
          <w:sz w:val="44"/>
          <w:szCs w:val="44"/>
          <w:highlight w:val="none"/>
        </w:rPr>
      </w:pPr>
    </w:p>
    <w:p w14:paraId="05B979EB">
      <w:pPr>
        <w:pStyle w:val="4"/>
        <w:widowControl/>
        <w:spacing w:before="0" w:after="0" w:line="360" w:lineRule="auto"/>
        <w:jc w:val="center"/>
        <w:rPr>
          <w:rFonts w:ascii="黑体" w:hAnsi="宋体" w:cs="黑体"/>
          <w:b/>
          <w:color w:val="auto"/>
          <w:kern w:val="44"/>
          <w:sz w:val="44"/>
          <w:szCs w:val="44"/>
          <w:highlight w:val="none"/>
        </w:rPr>
      </w:pPr>
    </w:p>
    <w:p w14:paraId="23F0476C">
      <w:pPr>
        <w:pStyle w:val="4"/>
        <w:widowControl/>
        <w:spacing w:before="0" w:after="0" w:line="360" w:lineRule="auto"/>
        <w:jc w:val="center"/>
        <w:rPr>
          <w:rFonts w:ascii="黑体" w:hAnsi="宋体" w:cs="黑体"/>
          <w:b/>
          <w:color w:val="auto"/>
          <w:kern w:val="44"/>
          <w:sz w:val="44"/>
          <w:szCs w:val="44"/>
          <w:highlight w:val="none"/>
        </w:rPr>
      </w:pPr>
    </w:p>
    <w:p w14:paraId="48E35A22">
      <w:pPr>
        <w:pStyle w:val="4"/>
        <w:widowControl/>
        <w:spacing w:before="0" w:after="0" w:line="360" w:lineRule="auto"/>
        <w:jc w:val="center"/>
        <w:rPr>
          <w:rFonts w:ascii="黑体" w:hAnsi="宋体" w:cs="黑体"/>
          <w:b/>
          <w:color w:val="auto"/>
          <w:kern w:val="44"/>
          <w:sz w:val="44"/>
          <w:szCs w:val="44"/>
          <w:highlight w:val="none"/>
        </w:rPr>
      </w:pPr>
      <w:bookmarkStart w:id="46" w:name="_Toc1265"/>
      <w:bookmarkStart w:id="47" w:name="_Toc14259"/>
      <w:r>
        <w:rPr>
          <w:rFonts w:hint="eastAsia" w:ascii="黑体" w:hAnsi="宋体" w:cs="黑体"/>
          <w:b/>
          <w:color w:val="auto"/>
          <w:kern w:val="44"/>
          <w:sz w:val="44"/>
          <w:szCs w:val="44"/>
          <w:highlight w:val="none"/>
        </w:rPr>
        <w:t>第3章 评标办法</w:t>
      </w:r>
      <w:bookmarkEnd w:id="46"/>
      <w:bookmarkEnd w:id="47"/>
    </w:p>
    <w:p w14:paraId="4397C362">
      <w:pPr>
        <w:spacing w:after="120" w:afterLines="50"/>
        <w:jc w:val="center"/>
        <w:rPr>
          <w:rFonts w:eastAsia="黑体"/>
          <w:color w:val="auto"/>
          <w:sz w:val="36"/>
          <w:szCs w:val="36"/>
          <w:highlight w:val="none"/>
        </w:rPr>
      </w:pPr>
      <w:r>
        <w:rPr>
          <w:rFonts w:ascii="Times New Roman" w:hAnsi="Times New Roman" w:eastAsia="黑体" w:cs="Times New Roman"/>
          <w:color w:val="auto"/>
          <w:sz w:val="36"/>
          <w:szCs w:val="36"/>
          <w:highlight w:val="none"/>
        </w:rPr>
        <w:t xml:space="preserve"> </w:t>
      </w:r>
    </w:p>
    <w:p w14:paraId="3EE1BD48">
      <w:pPr>
        <w:spacing w:line="500" w:lineRule="exact"/>
        <w:jc w:val="center"/>
        <w:rPr>
          <w:rFonts w:ascii="Times New Roman" w:hAnsi="Times New Roman" w:eastAsia="宋体" w:cs="Times New Roman"/>
          <w:color w:val="auto"/>
          <w:szCs w:val="21"/>
          <w:highlight w:val="none"/>
        </w:rPr>
        <w:sectPr>
          <w:pgSz w:w="11915" w:h="16840"/>
          <w:pgMar w:top="1247" w:right="1135" w:bottom="1247" w:left="1361" w:header="720" w:footer="720" w:gutter="0"/>
          <w:cols w:space="425" w:num="1"/>
          <w:docGrid w:linePitch="285" w:charSpace="0"/>
        </w:sectPr>
      </w:pPr>
      <w:r>
        <w:rPr>
          <w:rFonts w:ascii="Times New Roman" w:hAnsi="Times New Roman" w:eastAsia="宋体" w:cs="Times New Roman"/>
          <w:color w:val="auto"/>
          <w:szCs w:val="21"/>
          <w:highlight w:val="none"/>
        </w:rPr>
        <w:br w:type="page"/>
      </w:r>
    </w:p>
    <w:p w14:paraId="435CFFF5">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一、前言</w:t>
      </w:r>
    </w:p>
    <w:p w14:paraId="0845062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1.1本项目采取邀请招标选择单位，为保证招标“公开、公平、公正”，根据国家有关工程建设招标投标的法律、法规和方针、政策，制定本评标细则，实行评标的规范化、标准化、科学化。</w:t>
      </w:r>
    </w:p>
    <w:p w14:paraId="7EF6B31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1.2  本评标办法仅适用本次招标。</w:t>
      </w:r>
    </w:p>
    <w:p w14:paraId="203BF950">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1.3  本评标办法的解释和修订权属招标人。</w:t>
      </w:r>
    </w:p>
    <w:p w14:paraId="05BEBFE1">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二、评标依据</w:t>
      </w:r>
    </w:p>
    <w:p w14:paraId="4AF1D2E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评标工作严格执行国家颁布的有关法规，招标文件是投标单位编制投标文件的基础和评标的依据。主要资料和文件包括：</w:t>
      </w:r>
    </w:p>
    <w:p w14:paraId="71CA41D5">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2.1《中华人民共和国民法典》；</w:t>
      </w:r>
    </w:p>
    <w:p w14:paraId="0DCD6AC9">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2.2《中华人民共和国招标投标法》；</w:t>
      </w:r>
    </w:p>
    <w:p w14:paraId="6817773D">
      <w:pPr>
        <w:spacing w:line="500" w:lineRule="exact"/>
        <w:ind w:firstLine="560" w:firstLineChars="200"/>
        <w:jc w:val="left"/>
        <w:rPr>
          <w:rFonts w:hint="eastAsia" w:ascii="仿宋" w:hAnsi="仿宋" w:eastAsia="仿宋" w:cs="仿宋"/>
          <w:color w:val="auto"/>
          <w:sz w:val="28"/>
          <w:szCs w:val="28"/>
          <w:highlight w:val="none"/>
          <w:lang w:eastAsia="zh-CN"/>
        </w:rPr>
      </w:pPr>
      <w:r>
        <w:rPr>
          <w:rFonts w:hint="eastAsia" w:ascii="仿宋" w:hAnsi="仿宋" w:eastAsia="仿宋" w:cs="仿宋"/>
          <w:color w:val="auto"/>
          <w:sz w:val="28"/>
          <w:szCs w:val="28"/>
          <w:highlight w:val="none"/>
        </w:rPr>
        <w:t>2.3《中华人民共和国招标投标法实施条例》</w:t>
      </w:r>
      <w:r>
        <w:rPr>
          <w:rFonts w:hint="eastAsia" w:ascii="仿宋" w:hAnsi="仿宋" w:eastAsia="仿宋" w:cs="仿宋"/>
          <w:color w:val="auto"/>
          <w:sz w:val="28"/>
          <w:szCs w:val="28"/>
          <w:highlight w:val="none"/>
          <w:lang w:eastAsia="zh-CN"/>
        </w:rPr>
        <w:t>；</w:t>
      </w:r>
    </w:p>
    <w:p w14:paraId="18F9ECF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2.4七部委第12号令《评标小组和评标方法暂行规定》；</w:t>
      </w:r>
    </w:p>
    <w:p w14:paraId="18F76D6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2.5《广东省实施〈中华人民共和国招标投标法〉办法》；</w:t>
      </w:r>
    </w:p>
    <w:p w14:paraId="564431AF">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2.6《广东省加强建设工程招标投标监督管理的若干规定》；</w:t>
      </w:r>
    </w:p>
    <w:p w14:paraId="50423D8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2.7本招标项目的招标文件、评标办法及其补充通知；</w:t>
      </w:r>
    </w:p>
    <w:p w14:paraId="7F23FA6F">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2.8投标文件及澄清问题书面资料；</w:t>
      </w:r>
    </w:p>
    <w:p w14:paraId="77EA86B8">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2.9国家、省、市各级行政主管部门颁发的其他有关招投标相关法律法规。</w:t>
      </w:r>
    </w:p>
    <w:p w14:paraId="03FCB3BD">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三、评标人员守则</w:t>
      </w:r>
    </w:p>
    <w:p w14:paraId="213AADB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所有参加评标人员必须遵守国家、地方政府制定的有关工程招标投标的法则、规定，遵守有关工程招标投标的保密制度；如果发现评标专家徇私，违反纪律，则取消其评标资格，并报市公共资源交易中心备案；情节严重，构成犯罪的，由司法机关依法追究其刑事责任。</w:t>
      </w:r>
    </w:p>
    <w:p w14:paraId="667B59FE">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全体参与评标人员：</w:t>
      </w:r>
    </w:p>
    <w:p w14:paraId="3C55B7A0">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必须遵守评标纪律、不得泄密；</w:t>
      </w:r>
    </w:p>
    <w:p w14:paraId="4B965D09">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必须公正、不得循私；</w:t>
      </w:r>
    </w:p>
    <w:p w14:paraId="57BAE5EB">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必须科学、不得草率；</w:t>
      </w:r>
    </w:p>
    <w:p w14:paraId="14F75CC0">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必须客观、不得带有成见；</w:t>
      </w:r>
    </w:p>
    <w:p w14:paraId="2C092E42">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必须平等、不得强加于人；</w:t>
      </w:r>
    </w:p>
    <w:p w14:paraId="098906CC">
      <w:pPr>
        <w:numPr>
          <w:ilvl w:val="0"/>
          <w:numId w:val="2"/>
        </w:numPr>
        <w:spacing w:line="500" w:lineRule="exact"/>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必须严谨、不得随意马虎。</w:t>
      </w:r>
    </w:p>
    <w:p w14:paraId="08DA297A">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四、评标机构</w:t>
      </w:r>
    </w:p>
    <w:p w14:paraId="5533F1A7">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招标人依法组建评标小组。</w:t>
      </w:r>
    </w:p>
    <w:p w14:paraId="035100B9">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五、开标、评标、定标办法</w:t>
      </w:r>
    </w:p>
    <w:p w14:paraId="1F89816C">
      <w:pPr>
        <w:pStyle w:val="8"/>
        <w:widowControl/>
        <w:spacing w:line="500" w:lineRule="exact"/>
        <w:ind w:firstLine="562" w:firstLineChars="200"/>
        <w:rPr>
          <w:rFonts w:hint="default" w:ascii="仿宋" w:hAnsi="仿宋" w:eastAsia="仿宋" w:cs="仿宋"/>
          <w:b/>
          <w:color w:val="auto"/>
          <w:sz w:val="28"/>
          <w:szCs w:val="28"/>
          <w:highlight w:val="none"/>
        </w:rPr>
      </w:pPr>
      <w:r>
        <w:rPr>
          <w:rFonts w:ascii="仿宋" w:hAnsi="仿宋" w:eastAsia="仿宋" w:cs="仿宋"/>
          <w:b/>
          <w:color w:val="auto"/>
          <w:sz w:val="28"/>
          <w:szCs w:val="28"/>
          <w:highlight w:val="none"/>
        </w:rPr>
        <w:t>5.1评标小组</w:t>
      </w:r>
    </w:p>
    <w:p w14:paraId="054E93E4">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5.1.1  评标小组由招标人依法组建的5名专家组成。</w:t>
      </w:r>
    </w:p>
    <w:p w14:paraId="2275E4B0">
      <w:pPr>
        <w:pStyle w:val="8"/>
        <w:widowControl/>
        <w:spacing w:line="500" w:lineRule="exact"/>
        <w:ind w:firstLine="560" w:firstLineChars="200"/>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5.1.2  评标小组推举产生1名评标组长，主持评审工作，评标组长与其他成员有同等表决权。</w:t>
      </w:r>
    </w:p>
    <w:p w14:paraId="05D6C0DA">
      <w:pPr>
        <w:pStyle w:val="8"/>
        <w:widowControl/>
        <w:spacing w:line="500" w:lineRule="exac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 xml:space="preserve"> </w:t>
      </w:r>
    </w:p>
    <w:p w14:paraId="58988823">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5.2    评标原则</w:t>
      </w:r>
    </w:p>
    <w:p w14:paraId="556536B8">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5.2.1  评标小组根据招标文件规定的评标标准和方法，对投标文件进行评审和比较，招标文件中没有规定的标准和方法不得作为评标的依据。</w:t>
      </w:r>
    </w:p>
    <w:p w14:paraId="15FCA22F">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5.2.2  在符合招标文件规定的前提下，评标小组主要对投标文件进行评议。</w:t>
      </w:r>
    </w:p>
    <w:p w14:paraId="325F81E4">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5.2.3  开标、评标过程发现的问题和产生的纠纷，由评标小组负责裁决。裁决前，评标小组应认真阅读招标文件的规定。投标文件中全部符合附件1《符合性审查表》中任一种情形的，为有效标书，否则其投标文件将被否决。若本项目通过符合性审查的投标人不足3名时，应重新招标。</w:t>
      </w:r>
    </w:p>
    <w:p w14:paraId="7CBE6603">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5.2.4  评标讨论过程中，评标小组成员应当对投标文件发表专业、客观、公正的意见，意见不一致的应作进一步核实和讨论。评标小组成员对任何一个投标文件的质疑，应当在讨论或现场讲解时提出，表决结果公布后才提出的质疑，不可作为改变表决结果的依据。</w:t>
      </w:r>
    </w:p>
    <w:p w14:paraId="46315934">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5.2.5  如果少数投标人超越招标文件要求提交了模型、演示动画、特殊规格展示图纸或发生其他特殊情况，评标小组对超越招标文件要求的内容不进行评审，只评审该投标文件符合要求的内容。</w:t>
      </w:r>
    </w:p>
    <w:p w14:paraId="11256BFB">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4C639F31">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5.3    评标办法 采用</w:t>
      </w:r>
      <w:r>
        <w:rPr>
          <w:rFonts w:hint="eastAsia" w:ascii="仿宋" w:hAnsi="仿宋" w:eastAsia="仿宋" w:cs="仿宋"/>
          <w:b/>
          <w:color w:val="auto"/>
          <w:sz w:val="28"/>
          <w:szCs w:val="28"/>
          <w:highlight w:val="none"/>
          <w:u w:val="single"/>
        </w:rPr>
        <w:t>综合评分法评标</w:t>
      </w:r>
    </w:p>
    <w:p w14:paraId="0D935480">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5.3.1  开标评标程序</w:t>
      </w:r>
    </w:p>
    <w:p w14:paraId="6A5F0D0A">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（1）投标人递交投标文件。</w:t>
      </w:r>
    </w:p>
    <w:p w14:paraId="42825C3B">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（2）对投标文件公开开标。</w:t>
      </w:r>
    </w:p>
    <w:p w14:paraId="63EA2F52">
      <w:pPr>
        <w:snapToGrid w:val="0"/>
        <w:spacing w:line="500" w:lineRule="exact"/>
        <w:ind w:firstLine="610" w:firstLineChars="218"/>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（3）对投标文件进行符合性审查，并对通过符合性审查的投标文件进行综合评分。</w:t>
      </w:r>
    </w:p>
    <w:p w14:paraId="4E85938B">
      <w:pPr>
        <w:spacing w:line="500" w:lineRule="exact"/>
        <w:ind w:firstLine="560" w:firstLineChars="200"/>
        <w:rPr>
          <w:rFonts w:ascii="仿宋" w:hAnsi="仿宋" w:eastAsia="仿宋" w:cs="仿宋"/>
          <w:b/>
          <w:color w:val="auto"/>
          <w:sz w:val="28"/>
          <w:szCs w:val="28"/>
          <w:highlight w:val="none"/>
        </w:rPr>
      </w:pPr>
      <w:r>
        <w:rPr>
          <w:rFonts w:hint="eastAsia" w:ascii="仿宋" w:hAnsi="仿宋" w:eastAsia="仿宋" w:cs="仿宋"/>
          <w:color w:val="auto"/>
          <w:sz w:val="28"/>
          <w:szCs w:val="28"/>
          <w:highlight w:val="none"/>
        </w:rPr>
        <w:t>（4）汇总投标人的综合得分，推荐中标候选人并编写评标报告。</w:t>
      </w:r>
    </w:p>
    <w:p w14:paraId="7868BA8F">
      <w:pPr>
        <w:spacing w:line="500" w:lineRule="exact"/>
        <w:ind w:firstLine="560" w:firstLineChars="20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5.3.2  详细评审步骤</w:t>
      </w:r>
    </w:p>
    <w:p w14:paraId="75BF58A9">
      <w:pPr>
        <w:snapToGrid w:val="0"/>
        <w:spacing w:line="500" w:lineRule="exact"/>
        <w:ind w:left="779" w:leftChars="170" w:hanging="422" w:hangingChars="151"/>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 评标小组专家首先按附件1《符合性审查表》对各投标文件进行评审，只有通过符合性审查的投标文件方可进入下一阶段的评审。如果有符合性审查不通过提议，则评标小组成员共同表决，按照少数服从多数的原则决定是否通过符合性审查。</w:t>
      </w:r>
    </w:p>
    <w:p w14:paraId="4C2A32B7">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(b) 评标小组专家计算各投标人的综合得分.</w:t>
      </w:r>
    </w:p>
    <w:p w14:paraId="2B546E2A">
      <w:pPr>
        <w:spacing w:line="500" w:lineRule="exact"/>
        <w:ind w:left="919" w:leftChars="171" w:hanging="560" w:hanging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(c) 评标小组编写、签署评标报告，向招标人推荐综合得分最高的前三名中标候选方案（中标候选人）并标明排列顺序，评标报告由评标小组全体成员签名，对评标结论持有异议的评标小组成员可以书面方式阐述其不同意见和理由。</w:t>
      </w:r>
    </w:p>
    <w:p w14:paraId="326A8DF7">
      <w:pPr>
        <w:spacing w:line="500" w:lineRule="exact"/>
        <w:ind w:firstLine="562" w:firstLineChars="200"/>
        <w:jc w:val="left"/>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5.4   定标</w:t>
      </w:r>
    </w:p>
    <w:p w14:paraId="31AE371B">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5.4.1  招标人在评标小组推荐的候选方案中确定中标方案。但是，招标人认为评标小组推荐的候选方案不能最大限度满足招标文件规定的要求的，依法重新招标。</w:t>
      </w:r>
    </w:p>
    <w:p w14:paraId="3623269A">
      <w:pPr>
        <w:spacing w:line="500" w:lineRule="exact"/>
        <w:ind w:firstLine="560" w:firstLineChars="200"/>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5.4.2  招标人采用下面方法确定中标人：</w:t>
      </w:r>
    </w:p>
    <w:p w14:paraId="53FCEA1B">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□（a）招标人委托评标小组直接确定中标人；</w:t>
      </w:r>
    </w:p>
    <w:p w14:paraId="49CCCEBE">
      <w:pPr>
        <w:spacing w:line="500" w:lineRule="exact"/>
        <w:ind w:left="961" w:hanging="961" w:hangingChars="342"/>
        <w:jc w:val="left"/>
        <w:rPr>
          <w:rFonts w:ascii="仿宋" w:hAnsi="仿宋" w:eastAsia="仿宋" w:cs="仿宋"/>
          <w:color w:val="auto"/>
          <w:sz w:val="28"/>
          <w:szCs w:val="28"/>
          <w:highlight w:val="none"/>
        </w:rPr>
      </w:pPr>
      <w:r>
        <w:rPr>
          <w:rFonts w:hint="eastAsia" w:ascii="仿宋" w:hAnsi="仿宋" w:eastAsia="仿宋" w:cs="仿宋"/>
          <w:b/>
          <w:color w:val="auto"/>
          <w:kern w:val="0"/>
          <w:sz w:val="28"/>
          <w:szCs w:val="28"/>
          <w:highlight w:val="none"/>
        </w:rPr>
        <w:t>√</w:t>
      </w:r>
      <w:r>
        <w:rPr>
          <w:rFonts w:hint="eastAsia" w:ascii="仿宋" w:hAnsi="仿宋" w:eastAsia="仿宋" w:cs="仿宋"/>
          <w:color w:val="auto"/>
          <w:sz w:val="28"/>
          <w:szCs w:val="28"/>
          <w:highlight w:val="none"/>
        </w:rPr>
        <w:t>（b）确定评标小组推荐的排名第一的中标候选人为中标人。如排名第一的中标候选人放弃中标或因招标人拒绝投标人的情形或因不可抗力提出不能履行合同、招标文件规定应当提交履约保证金而在规定的期限内未提交的，或者存在违法行为被有关部门依法查处且其违法行为影响中标结果的，则确定排名第二的中标候选人为中标人。如排名第二的中标候选人也发生上述问题，则确定排名第三的中标候选人为中标人。</w:t>
      </w:r>
    </w:p>
    <w:p w14:paraId="407E56B2">
      <w:pPr>
        <w:spacing w:line="500" w:lineRule="exact"/>
        <w:ind w:left="958" w:hanging="957" w:hangingChars="342"/>
        <w:jc w:val="left"/>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 xml:space="preserve"> </w:t>
      </w:r>
    </w:p>
    <w:p w14:paraId="485A90AE">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5.5  发生下列情形之一的，招标人将重新组织招标：</w:t>
      </w:r>
    </w:p>
    <w:p w14:paraId="2726CD1C">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若本项目经评审有效的投标人不足3名时，本次招标失败，招标人应当依法重新组织招标。</w:t>
      </w:r>
    </w:p>
    <w:p w14:paraId="0CD99EC0">
      <w:pPr>
        <w:spacing w:line="500" w:lineRule="exact"/>
        <w:ind w:firstLine="562" w:firstLineChars="20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5.6    授予合同</w:t>
      </w:r>
    </w:p>
    <w:p w14:paraId="53DBE002">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5.6.1  招标人一般将合同授予中标人，合同在投标有效期或投标人接受的延长期内授出。</w:t>
      </w:r>
    </w:p>
    <w:p w14:paraId="3A31DA18">
      <w:pPr>
        <w:pStyle w:val="8"/>
        <w:widowControl/>
        <w:spacing w:line="500" w:lineRule="exact"/>
        <w:ind w:firstLine="560" w:firstLineChars="200"/>
        <w:jc w:val="left"/>
        <w:rPr>
          <w:rFonts w:hint="default" w:ascii="仿宋" w:hAnsi="仿宋" w:eastAsia="仿宋" w:cs="仿宋"/>
          <w:color w:val="auto"/>
          <w:sz w:val="28"/>
          <w:szCs w:val="28"/>
          <w:highlight w:val="none"/>
        </w:rPr>
      </w:pPr>
      <w:r>
        <w:rPr>
          <w:rFonts w:ascii="仿宋" w:hAnsi="仿宋" w:eastAsia="仿宋" w:cs="仿宋"/>
          <w:color w:val="auto"/>
          <w:sz w:val="28"/>
          <w:szCs w:val="28"/>
          <w:highlight w:val="none"/>
        </w:rPr>
        <w:t>5.6.2  中标人必须签署并执行招标文件规定的合同条件。</w:t>
      </w:r>
    </w:p>
    <w:p w14:paraId="547B9CFD">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六、开标细则</w:t>
      </w:r>
    </w:p>
    <w:p w14:paraId="46CAA6CE">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6.1开标由招标人或招标代理机构主持；</w:t>
      </w:r>
    </w:p>
    <w:p w14:paraId="6D1BD03E">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6.2 由招标人或其推选的代表检查投标文件的密封情况，也可以由招标人委托的公证机构检查并公证；</w:t>
      </w:r>
    </w:p>
    <w:p w14:paraId="260ADFF7">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6.3 投标截止期前，各投标人递交投标文件至招标文件规定的投标地点。有关投标文件提交的事项详见招标文件第一章“投标须知”。</w:t>
      </w:r>
    </w:p>
    <w:p w14:paraId="02F9EC3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6.4 开标时，由招标人或招标代理机构在监督人员的见证下当众拆封，宣读a、投标人名称；b、标书密封情况；c、法定代表人证明及授权委托；d、</w:t>
      </w:r>
      <w:r>
        <w:rPr>
          <w:rFonts w:hint="eastAsia" w:ascii="仿宋" w:hAnsi="仿宋" w:eastAsia="仿宋" w:cs="仿宋"/>
          <w:color w:val="auto"/>
          <w:sz w:val="28"/>
          <w:szCs w:val="28"/>
          <w:highlight w:val="none"/>
          <w:lang w:eastAsia="zh-CN"/>
        </w:rPr>
        <w:t>总监理工程师</w:t>
      </w:r>
      <w:r>
        <w:rPr>
          <w:rFonts w:hint="eastAsia" w:ascii="仿宋" w:hAnsi="仿宋" w:eastAsia="仿宋" w:cs="仿宋"/>
          <w:color w:val="auto"/>
          <w:sz w:val="28"/>
          <w:szCs w:val="28"/>
          <w:highlight w:val="none"/>
        </w:rPr>
        <w:t>名称；e、投标报价等主要内容以及开标记录表中的其他必要内容，并予以记录，记录提交评标小组评审。</w:t>
      </w:r>
    </w:p>
    <w:p w14:paraId="10AF5D18">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6.5  招标人对开标过程进行记录，并存档备查，投标人在开标记录上签字。唱标结束后如未签字确认，则视为对开标结果无异议。</w:t>
      </w:r>
    </w:p>
    <w:p w14:paraId="51FB0E30">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6.6  招标人将上述符合要求的投标文件，送至评标小组进行评审。</w:t>
      </w:r>
    </w:p>
    <w:p w14:paraId="07F61935">
      <w:pPr>
        <w:spacing w:line="500" w:lineRule="exact"/>
        <w:jc w:val="center"/>
        <w:outlineLvl w:val="1"/>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七、评标</w:t>
      </w:r>
    </w:p>
    <w:p w14:paraId="56DC027F">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7.1  评标过程</w:t>
      </w:r>
    </w:p>
    <w:p w14:paraId="328A23F0">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本次招标评标分“符合性审查”、“综合评分”两部分进行评审。收标后，全部评标过程将按以下阶段和步骤进行：</w:t>
      </w:r>
    </w:p>
    <w:p w14:paraId="4F211570">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1）第一步：进行投标文件符合性审查；</w:t>
      </w:r>
    </w:p>
    <w:p w14:paraId="681D08A9">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评标小组依据有关法律、法规和招标文件的规定对投标文件进行评审，若本项目经评审有效的投标人不足3名时，本次招标失败，招标人应当依法重新组织招标。</w:t>
      </w:r>
    </w:p>
    <w:p w14:paraId="65FA865C">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2）第二步：专家对综合评分表进行打分；</w:t>
      </w:r>
    </w:p>
    <w:p w14:paraId="00B15D92">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3）第三步：评标小组完成评标报告，向招标人推荐中标候选人。</w:t>
      </w:r>
    </w:p>
    <w:p w14:paraId="6C140668">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7.2  投标文件的符合性审查</w:t>
      </w:r>
    </w:p>
    <w:p w14:paraId="026ADD2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7.2.1</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根据附件1“符合性审查表”进行评审。投标文件全部列于附件1《符合性审查表》中情形的，为通过符合性审查。否则其投标文件将被否决。如评标小组成员的评审意见不一致时，以评标小组过半数成员的意见作为评标小组对该情形的认定结论。</w:t>
      </w:r>
    </w:p>
    <w:p w14:paraId="37954C14">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7.2.2</w:t>
      </w:r>
      <w:r>
        <w:rPr>
          <w:rFonts w:hint="eastAsia" w:ascii="仿宋" w:hAnsi="仿宋" w:eastAsia="仿宋" w:cs="仿宋"/>
          <w:color w:val="auto"/>
          <w:sz w:val="28"/>
          <w:szCs w:val="28"/>
          <w:highlight w:val="none"/>
        </w:rPr>
        <w:tab/>
      </w:r>
      <w:r>
        <w:rPr>
          <w:rFonts w:hint="eastAsia" w:ascii="仿宋" w:hAnsi="仿宋" w:eastAsia="仿宋" w:cs="仿宋"/>
          <w:color w:val="auto"/>
          <w:sz w:val="28"/>
          <w:szCs w:val="28"/>
          <w:highlight w:val="none"/>
        </w:rPr>
        <w:t>评标小组对所有投标作否决处理的，招标人应当重新招标。</w:t>
      </w:r>
    </w:p>
    <w:p w14:paraId="01988984">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 xml:space="preserve">7.4  计算投标人总得分（满分为100分） </w:t>
      </w:r>
    </w:p>
    <w:p w14:paraId="23290EB7">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7.5  推荐中标候选人</w:t>
      </w:r>
    </w:p>
    <w:p w14:paraId="5CBDC94F">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以上评审完成后，按以下规定推荐第一中标候选人、第二中标候选人和第三中标候选人：</w:t>
      </w:r>
    </w:p>
    <w:p w14:paraId="4E2C0E42">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7.5.1按投标人总得分高低进行先后排序，取评分最高者为第一中标候选人，次高者为第二中标候选人，依次类推。</w:t>
      </w:r>
    </w:p>
    <w:p w14:paraId="357C2861">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7.5.2如果有两个或两个以上的投标人总得分评分相同，则服务报价得分较高的投标人排名优先；如果总得分、服务报价得分均相同的投标文件，则由评标小组采用摇珠方式，确定中标候选人顺序。</w:t>
      </w:r>
    </w:p>
    <w:p w14:paraId="089F91B2">
      <w:pPr>
        <w:snapToGrid w:val="0"/>
        <w:spacing w:line="500" w:lineRule="exact"/>
        <w:ind w:firstLine="422" w:firstLineChars="150"/>
        <w:rPr>
          <w:rFonts w:ascii="仿宋" w:hAnsi="仿宋" w:eastAsia="仿宋" w:cs="仿宋"/>
          <w:b/>
          <w:color w:val="auto"/>
          <w:sz w:val="28"/>
          <w:szCs w:val="28"/>
          <w:highlight w:val="none"/>
        </w:rPr>
      </w:pPr>
      <w:r>
        <w:rPr>
          <w:rFonts w:hint="eastAsia" w:ascii="仿宋" w:hAnsi="仿宋" w:eastAsia="仿宋" w:cs="仿宋"/>
          <w:b/>
          <w:color w:val="auto"/>
          <w:sz w:val="28"/>
          <w:szCs w:val="28"/>
          <w:highlight w:val="none"/>
        </w:rPr>
        <w:t>7.6 确定中标人</w:t>
      </w:r>
    </w:p>
    <w:p w14:paraId="7541B038">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1） 招标人依据评标报告审定本项目的中标人。</w:t>
      </w:r>
    </w:p>
    <w:p w14:paraId="4165735C">
      <w:pPr>
        <w:snapToGrid w:val="0"/>
        <w:spacing w:line="500" w:lineRule="exact"/>
        <w:ind w:firstLine="420" w:firstLineChars="150"/>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2） 虽然经招标人审定为中标人，但在签订合同前的任何时候，招标人、评标专家以及其他人员发现投标人在招标投标过程有弄虚作假行为、虚报资料情况，一经查实，立即取消其中标人资格。</w:t>
      </w:r>
    </w:p>
    <w:p w14:paraId="6A959FAE">
      <w:pPr>
        <w:snapToGrid w:val="0"/>
        <w:spacing w:line="360" w:lineRule="auto"/>
        <w:ind w:firstLine="562" w:firstLineChars="200"/>
        <w:rPr>
          <w:rFonts w:ascii="仿宋" w:hAnsi="仿宋" w:eastAsia="仿宋" w:cs="仿宋"/>
          <w:b/>
          <w:bCs/>
          <w:color w:val="auto"/>
          <w:sz w:val="28"/>
          <w:szCs w:val="28"/>
          <w:highlight w:val="none"/>
        </w:rPr>
      </w:pPr>
      <w:r>
        <w:rPr>
          <w:rFonts w:hint="eastAsia" w:ascii="仿宋" w:hAnsi="仿宋" w:eastAsia="仿宋" w:cs="仿宋"/>
          <w:b/>
          <w:bCs/>
          <w:color w:val="auto"/>
          <w:sz w:val="28"/>
          <w:szCs w:val="28"/>
          <w:highlight w:val="none"/>
        </w:rPr>
        <w:t>7.7招标人将参照以下原则进行本项目中标人的替换：</w:t>
      </w:r>
    </w:p>
    <w:p w14:paraId="236A2CC1">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若中标人在实际工作中服务质量存在问题，未能表现出符合要求的水平，经招标人研究确定，可解除与中标人的合同关系，并按照中标候选人顺序依次选取新的中标人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61E48CA6">
      <w:pPr>
        <w:numPr>
          <w:ilvl w:val="0"/>
          <w:numId w:val="3"/>
        </w:numPr>
        <w:snapToGrid w:val="0"/>
        <w:spacing w:line="360" w:lineRule="auto"/>
        <w:ind w:left="0" w:firstLine="425"/>
        <w:rPr>
          <w:rFonts w:ascii="仿宋" w:hAnsi="仿宋" w:eastAsia="仿宋" w:cs="仿宋"/>
          <w:color w:val="auto"/>
          <w:sz w:val="28"/>
          <w:szCs w:val="28"/>
          <w:highlight w:val="none"/>
        </w:rPr>
      </w:pPr>
      <w:r>
        <w:rPr>
          <w:rFonts w:hint="eastAsia" w:ascii="仿宋" w:hAnsi="仿宋" w:eastAsia="仿宋" w:cs="仿宋"/>
          <w:color w:val="auto"/>
          <w:sz w:val="28"/>
          <w:szCs w:val="28"/>
          <w:highlight w:val="none"/>
        </w:rPr>
        <w:t>当中标人以正式的书面函件形式申请放弃中标资格时，招标人可取消其中标人资格，解除与中标人的合同关系，并按照中标候选人顺序依次选取新的中标人</w:t>
      </w:r>
      <w:r>
        <w:rPr>
          <w:rFonts w:hint="eastAsia" w:ascii="仿宋" w:hAnsi="仿宋" w:eastAsia="仿宋" w:cs="仿宋"/>
          <w:color w:val="auto"/>
          <w:sz w:val="28"/>
          <w:szCs w:val="28"/>
          <w:highlight w:val="none"/>
          <w:lang w:eastAsia="zh-CN"/>
        </w:rPr>
        <w:t>，或重新招标</w:t>
      </w:r>
      <w:r>
        <w:rPr>
          <w:rFonts w:hint="eastAsia" w:ascii="仿宋" w:hAnsi="仿宋" w:eastAsia="仿宋" w:cs="仿宋"/>
          <w:color w:val="auto"/>
          <w:sz w:val="28"/>
          <w:szCs w:val="28"/>
          <w:highlight w:val="none"/>
        </w:rPr>
        <w:t>。</w:t>
      </w:r>
    </w:p>
    <w:p w14:paraId="7B21EC42">
      <w:pPr>
        <w:pStyle w:val="8"/>
        <w:rPr>
          <w:rFonts w:hint="default" w:ascii="仿宋" w:hAnsi="仿宋" w:eastAsia="仿宋" w:cs="仿宋"/>
          <w:color w:val="auto"/>
          <w:sz w:val="28"/>
          <w:szCs w:val="28"/>
          <w:highlight w:val="none"/>
        </w:rPr>
      </w:pPr>
    </w:p>
    <w:p w14:paraId="3AB4C4AF">
      <w:pPr>
        <w:pStyle w:val="8"/>
        <w:rPr>
          <w:rFonts w:hint="default" w:ascii="仿宋" w:hAnsi="仿宋" w:eastAsia="仿宋" w:cs="仿宋"/>
          <w:color w:val="auto"/>
          <w:sz w:val="28"/>
          <w:szCs w:val="28"/>
          <w:highlight w:val="none"/>
        </w:rPr>
      </w:pPr>
    </w:p>
    <w:p w14:paraId="6114DF55">
      <w:pPr>
        <w:snapToGrid w:val="0"/>
        <w:spacing w:line="360" w:lineRule="auto"/>
        <w:rPr>
          <w:rFonts w:ascii="仿宋" w:hAnsi="仿宋" w:eastAsia="仿宋" w:cs="仿宋"/>
          <w:color w:val="auto"/>
          <w:sz w:val="24"/>
          <w:highlight w:val="none"/>
        </w:rPr>
      </w:pPr>
    </w:p>
    <w:p w14:paraId="18CB51DA">
      <w:pP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br w:type="page"/>
      </w:r>
    </w:p>
    <w:p w14:paraId="2B76F4E2">
      <w:pPr>
        <w:snapToGrid w:val="0"/>
        <w:spacing w:line="360" w:lineRule="auto"/>
        <w:ind w:firstLine="663" w:firstLineChars="150"/>
        <w:jc w:val="center"/>
        <w:rPr>
          <w:rFonts w:ascii="黑体" w:hAnsi="宋体" w:cs="黑体"/>
          <w:b/>
          <w:color w:val="auto"/>
          <w:kern w:val="44"/>
          <w:sz w:val="44"/>
          <w:szCs w:val="44"/>
          <w:highlight w:val="none"/>
        </w:rPr>
      </w:pPr>
      <w:r>
        <w:rPr>
          <w:rFonts w:hint="eastAsia" w:ascii="黑体" w:hAnsi="宋体" w:cs="黑体"/>
          <w:b/>
          <w:color w:val="auto"/>
          <w:kern w:val="44"/>
          <w:sz w:val="44"/>
          <w:szCs w:val="44"/>
          <w:highlight w:val="none"/>
        </w:rPr>
        <w:t>第4章 附件</w:t>
      </w:r>
    </w:p>
    <w:p w14:paraId="2D0BB178">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附件1 符合性审查表</w:t>
      </w:r>
    </w:p>
    <w:p w14:paraId="0064F84C">
      <w:pPr>
        <w:pStyle w:val="19"/>
        <w:widowControl/>
        <w:ind w:firstLine="562"/>
        <w:rPr>
          <w:rFonts w:hint="default" w:ascii="仿宋" w:hAnsi="仿宋" w:eastAsia="仿宋" w:cs="仿宋"/>
          <w:b/>
          <w:color w:val="auto"/>
          <w:sz w:val="28"/>
          <w:szCs w:val="28"/>
          <w:highlight w:val="none"/>
          <w:u w:val="single"/>
        </w:rPr>
      </w:pPr>
      <w:bookmarkStart w:id="48" w:name="OLE_LINK3"/>
      <w:bookmarkEnd w:id="48"/>
      <w:r>
        <w:rPr>
          <w:rFonts w:ascii="仿宋" w:hAnsi="仿宋" w:eastAsia="仿宋" w:cs="仿宋"/>
          <w:b/>
          <w:color w:val="auto"/>
          <w:sz w:val="28"/>
          <w:szCs w:val="28"/>
          <w:highlight w:val="none"/>
          <w:u w:val="single"/>
        </w:rPr>
        <w:t>附件2 综合评分表</w:t>
      </w:r>
    </w:p>
    <w:p w14:paraId="30A3D1E9">
      <w:pPr>
        <w:pStyle w:val="19"/>
        <w:widowControl/>
        <w:ind w:firstLine="562"/>
        <w:rPr>
          <w:rFonts w:hint="default" w:ascii="仿宋" w:hAnsi="仿宋" w:eastAsia="仿宋" w:cs="仿宋"/>
          <w:b/>
          <w:color w:val="auto"/>
          <w:sz w:val="28"/>
          <w:szCs w:val="28"/>
          <w:highlight w:val="none"/>
          <w:u w:val="single"/>
        </w:rPr>
      </w:pPr>
      <w:r>
        <w:rPr>
          <w:rFonts w:ascii="仿宋" w:hAnsi="仿宋" w:eastAsia="仿宋" w:cs="仿宋"/>
          <w:b/>
          <w:color w:val="auto"/>
          <w:sz w:val="28"/>
          <w:szCs w:val="28"/>
          <w:highlight w:val="none"/>
          <w:u w:val="single"/>
        </w:rPr>
        <w:t>附件3 投标申请人声明</w:t>
      </w:r>
    </w:p>
    <w:p w14:paraId="4B5F179B">
      <w:pPr>
        <w:snapToGrid w:val="0"/>
        <w:spacing w:line="300" w:lineRule="auto"/>
        <w:outlineLvl w:val="0"/>
        <w:rPr>
          <w:rFonts w:ascii="仿宋" w:hAnsi="仿宋" w:eastAsia="仿宋" w:cs="仿宋"/>
          <w:color w:val="auto"/>
          <w:sz w:val="28"/>
          <w:szCs w:val="28"/>
          <w:highlight w:val="none"/>
        </w:rPr>
      </w:pPr>
      <w:r>
        <w:rPr>
          <w:rFonts w:hint="eastAsia" w:ascii="仿宋" w:hAnsi="仿宋" w:eastAsia="仿宋" w:cs="Times New Roman"/>
          <w:color w:val="auto"/>
          <w:sz w:val="28"/>
          <w:szCs w:val="28"/>
          <w:highlight w:val="none"/>
        </w:rPr>
        <w:br w:type="page"/>
      </w:r>
      <w:bookmarkStart w:id="49" w:name="_Toc14580"/>
      <w:bookmarkStart w:id="50" w:name="_Toc22242"/>
      <w:r>
        <w:rPr>
          <w:rFonts w:hint="eastAsia" w:ascii="仿宋" w:hAnsi="仿宋" w:eastAsia="仿宋" w:cs="仿宋"/>
          <w:color w:val="auto"/>
          <w:sz w:val="28"/>
          <w:szCs w:val="28"/>
          <w:highlight w:val="none"/>
        </w:rPr>
        <w:t>附件1：符合性审查表</w:t>
      </w:r>
      <w:bookmarkEnd w:id="49"/>
      <w:bookmarkEnd w:id="50"/>
      <w:r>
        <w:rPr>
          <w:rFonts w:hint="eastAsia" w:ascii="仿宋" w:hAnsi="仿宋" w:eastAsia="仿宋" w:cs="仿宋"/>
          <w:color w:val="auto"/>
          <w:sz w:val="28"/>
          <w:szCs w:val="28"/>
          <w:highlight w:val="none"/>
        </w:rPr>
        <w:t xml:space="preserve">  </w:t>
      </w:r>
    </w:p>
    <w:p w14:paraId="7CA98862">
      <w:pPr>
        <w:jc w:val="center"/>
        <w:rPr>
          <w:rFonts w:ascii="仿宋" w:hAnsi="仿宋" w:eastAsia="仿宋" w:cs="仿宋"/>
          <w:b/>
          <w:bCs/>
          <w:color w:val="auto"/>
          <w:sz w:val="36"/>
          <w:szCs w:val="36"/>
          <w:highlight w:val="none"/>
        </w:rPr>
      </w:pPr>
      <w:r>
        <w:rPr>
          <w:rFonts w:hint="eastAsia" w:ascii="仿宋" w:hAnsi="仿宋" w:eastAsia="仿宋" w:cs="仿宋"/>
          <w:b/>
          <w:bCs/>
          <w:color w:val="auto"/>
          <w:sz w:val="36"/>
          <w:szCs w:val="36"/>
          <w:highlight w:val="none"/>
        </w:rPr>
        <w:t xml:space="preserve"> 符合性审查表</w:t>
      </w:r>
    </w:p>
    <w:tbl>
      <w:tblPr>
        <w:tblStyle w:val="13"/>
        <w:tblW w:w="8930" w:type="dxa"/>
        <w:tblInd w:w="108" w:type="dxa"/>
        <w:tblLayout w:type="fixed"/>
        <w:tblCellMar>
          <w:top w:w="0" w:type="dxa"/>
          <w:left w:w="108" w:type="dxa"/>
          <w:bottom w:w="0" w:type="dxa"/>
          <w:right w:w="108" w:type="dxa"/>
        </w:tblCellMar>
      </w:tblPr>
      <w:tblGrid>
        <w:gridCol w:w="720"/>
        <w:gridCol w:w="3533"/>
        <w:gridCol w:w="1559"/>
        <w:gridCol w:w="1559"/>
        <w:gridCol w:w="1559"/>
      </w:tblGrid>
      <w:tr w14:paraId="7774C244">
        <w:tblPrEx>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29AF528A">
            <w:pPr>
              <w:spacing w:before="120" w:beforeLines="50" w:after="120" w:afterLines="50" w:line="240" w:lineRule="exact"/>
              <w:ind w:left="-107" w:leftChars="-51" w:firstLine="1"/>
              <w:jc w:val="center"/>
              <w:rPr>
                <w:rFonts w:ascii="仿宋" w:hAnsi="仿宋" w:eastAsia="仿宋" w:cs="仿宋"/>
                <w:b/>
                <w:color w:val="auto"/>
                <w:highlight w:val="none"/>
              </w:rPr>
            </w:pPr>
            <w:r>
              <w:rPr>
                <w:rFonts w:hint="eastAsia" w:ascii="仿宋" w:hAnsi="仿宋" w:eastAsia="仿宋" w:cs="仿宋"/>
                <w:b/>
                <w:color w:val="auto"/>
                <w:szCs w:val="21"/>
                <w:highlight w:val="none"/>
              </w:rPr>
              <w:t>序号</w:t>
            </w:r>
          </w:p>
        </w:tc>
        <w:tc>
          <w:tcPr>
            <w:tcW w:w="3533" w:type="dxa"/>
            <w:tcBorders>
              <w:top w:val="single" w:color="auto" w:sz="4" w:space="0"/>
              <w:left w:val="nil"/>
              <w:bottom w:val="single" w:color="auto" w:sz="4" w:space="0"/>
              <w:right w:val="single" w:color="auto" w:sz="4" w:space="0"/>
              <w:tl2br w:val="single" w:color="auto" w:sz="4" w:space="0"/>
            </w:tcBorders>
            <w:shd w:val="clear" w:color="auto" w:fill="auto"/>
            <w:vAlign w:val="center"/>
          </w:tcPr>
          <w:p w14:paraId="3C60907E">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 xml:space="preserve">   投标人</w:t>
            </w:r>
          </w:p>
          <w:p w14:paraId="0CBC4316">
            <w:pPr>
              <w:spacing w:before="120" w:beforeLines="50" w:after="120" w:afterLines="50" w:line="240" w:lineRule="exact"/>
              <w:ind w:left="105" w:leftChars="50" w:right="105" w:rightChars="50"/>
              <w:jc w:val="center"/>
              <w:rPr>
                <w:rFonts w:ascii="仿宋" w:hAnsi="仿宋" w:eastAsia="仿宋" w:cs="仿宋"/>
                <w:b/>
                <w:color w:val="auto"/>
                <w:highlight w:val="none"/>
              </w:rPr>
            </w:pPr>
          </w:p>
          <w:p w14:paraId="0829459A">
            <w:pPr>
              <w:spacing w:before="120" w:beforeLines="50" w:after="120" w:afterLines="50" w:line="240" w:lineRule="exact"/>
              <w:ind w:left="105" w:leftChars="50" w:right="105" w:rightChars="50"/>
              <w:rPr>
                <w:rFonts w:ascii="仿宋" w:hAnsi="仿宋" w:eastAsia="仿宋" w:cs="仿宋"/>
                <w:b/>
                <w:color w:val="auto"/>
                <w:highlight w:val="none"/>
              </w:rPr>
            </w:pPr>
            <w:r>
              <w:rPr>
                <w:rFonts w:hint="eastAsia" w:ascii="仿宋" w:hAnsi="仿宋" w:eastAsia="仿宋" w:cs="仿宋"/>
                <w:b/>
                <w:color w:val="auto"/>
                <w:szCs w:val="21"/>
                <w:highlight w:val="none"/>
              </w:rPr>
              <w:t>评审项目</w:t>
            </w:r>
          </w:p>
        </w:tc>
        <w:tc>
          <w:tcPr>
            <w:tcW w:w="1559" w:type="dxa"/>
            <w:tcBorders>
              <w:top w:val="single" w:color="auto" w:sz="4" w:space="0"/>
              <w:left w:val="nil"/>
              <w:bottom w:val="single" w:color="auto" w:sz="4" w:space="0"/>
              <w:right w:val="single" w:color="auto" w:sz="4" w:space="0"/>
            </w:tcBorders>
            <w:shd w:val="clear" w:color="auto" w:fill="auto"/>
            <w:vAlign w:val="center"/>
          </w:tcPr>
          <w:p w14:paraId="5C84DC9D">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投标人1</w:t>
            </w:r>
          </w:p>
        </w:tc>
        <w:tc>
          <w:tcPr>
            <w:tcW w:w="1559" w:type="dxa"/>
            <w:tcBorders>
              <w:top w:val="single" w:color="auto" w:sz="4" w:space="0"/>
              <w:left w:val="nil"/>
              <w:bottom w:val="single" w:color="auto" w:sz="4" w:space="0"/>
              <w:right w:val="single" w:color="auto" w:sz="4" w:space="0"/>
            </w:tcBorders>
            <w:shd w:val="clear" w:color="auto" w:fill="auto"/>
            <w:vAlign w:val="center"/>
          </w:tcPr>
          <w:p w14:paraId="4DBAED85">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投标人2</w:t>
            </w:r>
          </w:p>
        </w:tc>
        <w:tc>
          <w:tcPr>
            <w:tcW w:w="1559" w:type="dxa"/>
            <w:tcBorders>
              <w:top w:val="single" w:color="auto" w:sz="4" w:space="0"/>
              <w:left w:val="nil"/>
              <w:bottom w:val="single" w:color="auto" w:sz="4" w:space="0"/>
              <w:right w:val="single" w:color="auto" w:sz="4" w:space="0"/>
            </w:tcBorders>
            <w:shd w:val="clear" w:color="auto" w:fill="auto"/>
            <w:vAlign w:val="center"/>
          </w:tcPr>
          <w:p w14:paraId="52D6A327">
            <w:pPr>
              <w:spacing w:before="120" w:beforeLines="50" w:after="120" w:afterLines="50" w:line="240" w:lineRule="exact"/>
              <w:ind w:left="105" w:leftChars="50" w:right="105" w:rightChars="50"/>
              <w:jc w:val="center"/>
              <w:rPr>
                <w:rFonts w:ascii="仿宋" w:hAnsi="仿宋" w:eastAsia="仿宋" w:cs="仿宋"/>
                <w:b/>
                <w:color w:val="auto"/>
                <w:highlight w:val="none"/>
              </w:rPr>
            </w:pPr>
            <w:r>
              <w:rPr>
                <w:rFonts w:hint="eastAsia" w:ascii="仿宋" w:hAnsi="仿宋" w:eastAsia="仿宋" w:cs="仿宋"/>
                <w:b/>
                <w:color w:val="auto"/>
                <w:szCs w:val="21"/>
                <w:highlight w:val="none"/>
              </w:rPr>
              <w:t>投标人3</w:t>
            </w:r>
          </w:p>
        </w:tc>
      </w:tr>
      <w:tr w14:paraId="04DB2BD5">
        <w:tblPrEx>
          <w:tblCellMar>
            <w:top w:w="0" w:type="dxa"/>
            <w:left w:w="108" w:type="dxa"/>
            <w:bottom w:w="0" w:type="dxa"/>
            <w:right w:w="108" w:type="dxa"/>
          </w:tblCellMar>
        </w:tblPrEx>
        <w:trPr>
          <w:trHeight w:val="1257"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E4C1FFB">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1</w:t>
            </w:r>
          </w:p>
        </w:tc>
        <w:tc>
          <w:tcPr>
            <w:tcW w:w="3533" w:type="dxa"/>
            <w:tcBorders>
              <w:top w:val="single" w:color="auto" w:sz="4" w:space="0"/>
              <w:left w:val="nil"/>
              <w:bottom w:val="single" w:color="auto" w:sz="4" w:space="0"/>
              <w:right w:val="single" w:color="auto" w:sz="4" w:space="0"/>
            </w:tcBorders>
            <w:shd w:val="clear" w:color="auto" w:fill="auto"/>
            <w:vAlign w:val="center"/>
          </w:tcPr>
          <w:p w14:paraId="32D975A8">
            <w:pPr>
              <w:ind w:right="105" w:rightChars="50"/>
              <w:jc w:val="left"/>
              <w:rPr>
                <w:rFonts w:ascii="仿宋" w:hAnsi="仿宋" w:eastAsia="仿宋" w:cs="仿宋"/>
                <w:color w:val="auto"/>
                <w:highlight w:val="none"/>
              </w:rPr>
            </w:pPr>
            <w:r>
              <w:rPr>
                <w:rFonts w:hint="eastAsia" w:ascii="仿宋" w:hAnsi="仿宋" w:eastAsia="仿宋" w:cs="仿宋"/>
                <w:color w:val="auto"/>
                <w:szCs w:val="21"/>
                <w:highlight w:val="none"/>
              </w:rPr>
              <w:t>投标文件中附有有效的法定代表人证明书原件，或由委托代理人签字的投标文件中有法定代表人授权书原件</w:t>
            </w:r>
          </w:p>
        </w:tc>
        <w:tc>
          <w:tcPr>
            <w:tcW w:w="1559" w:type="dxa"/>
            <w:tcBorders>
              <w:top w:val="single" w:color="auto" w:sz="4" w:space="0"/>
              <w:left w:val="nil"/>
              <w:bottom w:val="single" w:color="auto" w:sz="4" w:space="0"/>
              <w:right w:val="single" w:color="auto" w:sz="4" w:space="0"/>
            </w:tcBorders>
            <w:shd w:val="clear" w:color="auto" w:fill="auto"/>
            <w:vAlign w:val="center"/>
          </w:tcPr>
          <w:p w14:paraId="3864443E">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6742887">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3ABA0BB">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3DD6F847">
        <w:tblPrEx>
          <w:tblCellMar>
            <w:top w:w="0" w:type="dxa"/>
            <w:left w:w="108" w:type="dxa"/>
            <w:bottom w:w="0" w:type="dxa"/>
            <w:right w:w="108" w:type="dxa"/>
          </w:tblCellMar>
        </w:tblPrEx>
        <w:trPr>
          <w:trHeight w:val="865"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701643D">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2</w:t>
            </w:r>
          </w:p>
        </w:tc>
        <w:tc>
          <w:tcPr>
            <w:tcW w:w="3533" w:type="dxa"/>
            <w:tcBorders>
              <w:top w:val="single" w:color="auto" w:sz="4" w:space="0"/>
              <w:left w:val="nil"/>
              <w:bottom w:val="single" w:color="auto" w:sz="4" w:space="0"/>
              <w:right w:val="single" w:color="auto" w:sz="4" w:space="0"/>
            </w:tcBorders>
            <w:shd w:val="clear" w:color="auto" w:fill="auto"/>
            <w:vAlign w:val="center"/>
          </w:tcPr>
          <w:p w14:paraId="4801E17A">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rPr>
              <w:t>投标人</w:t>
            </w:r>
            <w:r>
              <w:rPr>
                <w:rFonts w:hint="eastAsia" w:ascii="仿宋" w:hAnsi="仿宋" w:eastAsia="仿宋" w:cs="仿宋"/>
                <w:color w:val="auto"/>
                <w:szCs w:val="21"/>
                <w:highlight w:val="none"/>
                <w:lang w:eastAsia="zh-CN"/>
              </w:rPr>
              <w:t>的单位</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2713A211">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9A0427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4DB446D9">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564FFEA2">
        <w:tblPrEx>
          <w:tblCellMar>
            <w:top w:w="0" w:type="dxa"/>
            <w:left w:w="108" w:type="dxa"/>
            <w:bottom w:w="0" w:type="dxa"/>
            <w:right w:w="108" w:type="dxa"/>
          </w:tblCellMar>
        </w:tblPrEx>
        <w:trPr>
          <w:trHeight w:val="909"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700CC30">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3</w:t>
            </w:r>
          </w:p>
        </w:tc>
        <w:tc>
          <w:tcPr>
            <w:tcW w:w="3533" w:type="dxa"/>
            <w:tcBorders>
              <w:top w:val="single" w:color="auto" w:sz="4" w:space="0"/>
              <w:left w:val="nil"/>
              <w:bottom w:val="single" w:color="auto" w:sz="4" w:space="0"/>
              <w:right w:val="single" w:color="auto" w:sz="4" w:space="0"/>
            </w:tcBorders>
            <w:shd w:val="clear" w:color="auto" w:fill="auto"/>
            <w:vAlign w:val="center"/>
          </w:tcPr>
          <w:p w14:paraId="1F601980">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color w:val="auto"/>
                <w:szCs w:val="21"/>
                <w:highlight w:val="none"/>
                <w:lang w:eastAsia="zh-CN"/>
              </w:rPr>
              <w:t>总监理工程师</w:t>
            </w:r>
            <w:r>
              <w:rPr>
                <w:rFonts w:hint="eastAsia" w:ascii="仿宋" w:hAnsi="仿宋" w:eastAsia="仿宋" w:cs="仿宋"/>
                <w:color w:val="auto"/>
                <w:szCs w:val="21"/>
                <w:highlight w:val="none"/>
              </w:rPr>
              <w:t>资质符合要求</w:t>
            </w:r>
          </w:p>
        </w:tc>
        <w:tc>
          <w:tcPr>
            <w:tcW w:w="1559" w:type="dxa"/>
            <w:tcBorders>
              <w:top w:val="single" w:color="auto" w:sz="4" w:space="0"/>
              <w:left w:val="nil"/>
              <w:bottom w:val="single" w:color="auto" w:sz="4" w:space="0"/>
              <w:right w:val="single" w:color="auto" w:sz="4" w:space="0"/>
            </w:tcBorders>
            <w:shd w:val="clear" w:color="auto" w:fill="auto"/>
            <w:vAlign w:val="center"/>
          </w:tcPr>
          <w:p w14:paraId="500AB8F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7B0F9DD0">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61F109B4">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0D19B603">
        <w:tblPrEx>
          <w:tblCellMar>
            <w:top w:w="0" w:type="dxa"/>
            <w:left w:w="108" w:type="dxa"/>
            <w:bottom w:w="0" w:type="dxa"/>
            <w:right w:w="108" w:type="dxa"/>
          </w:tblCellMar>
        </w:tblPrEx>
        <w:trPr>
          <w:trHeight w:val="963"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03EA54F8">
            <w:pPr>
              <w:spacing w:before="120" w:beforeLines="50" w:after="120" w:afterLines="50" w:line="240" w:lineRule="exact"/>
              <w:ind w:left="-51"/>
              <w:jc w:val="center"/>
              <w:rPr>
                <w:rFonts w:hint="eastAsia" w:ascii="仿宋" w:hAnsi="仿宋" w:eastAsia="仿宋" w:cs="仿宋"/>
                <w:color w:val="auto"/>
                <w:highlight w:val="none"/>
                <w:lang w:eastAsia="zh-CN"/>
              </w:rPr>
            </w:pPr>
            <w:r>
              <w:rPr>
                <w:rFonts w:hint="eastAsia" w:ascii="仿宋" w:hAnsi="仿宋" w:eastAsia="仿宋" w:cs="仿宋"/>
                <w:color w:val="auto"/>
                <w:szCs w:val="21"/>
                <w:highlight w:val="none"/>
                <w:lang w:val="en-US" w:eastAsia="zh-CN"/>
              </w:rPr>
              <w:t>4</w:t>
            </w:r>
          </w:p>
        </w:tc>
        <w:tc>
          <w:tcPr>
            <w:tcW w:w="3533" w:type="dxa"/>
            <w:tcBorders>
              <w:top w:val="single" w:color="auto" w:sz="4" w:space="0"/>
              <w:left w:val="nil"/>
              <w:bottom w:val="single" w:color="auto" w:sz="4" w:space="0"/>
              <w:right w:val="single" w:color="auto" w:sz="4" w:space="0"/>
            </w:tcBorders>
            <w:shd w:val="clear" w:color="auto" w:fill="auto"/>
            <w:vAlign w:val="center"/>
          </w:tcPr>
          <w:p w14:paraId="26FDBAC9">
            <w:pPr>
              <w:spacing w:before="120" w:beforeLines="50" w:after="120" w:afterLines="50"/>
              <w:ind w:right="105" w:rightChars="50" w:firstLine="18" w:firstLineChars="9"/>
              <w:jc w:val="left"/>
              <w:rPr>
                <w:rFonts w:hint="eastAsia" w:ascii="仿宋" w:hAnsi="仿宋" w:eastAsia="仿宋" w:cs="仿宋"/>
                <w:color w:val="auto"/>
                <w:szCs w:val="21"/>
                <w:highlight w:val="none"/>
              </w:rPr>
            </w:pPr>
            <w:r>
              <w:rPr>
                <w:rFonts w:hint="eastAsia" w:ascii="仿宋" w:hAnsi="仿宋" w:eastAsia="仿宋" w:cs="仿宋"/>
                <w:bCs w:val="0"/>
                <w:color w:val="auto"/>
                <w:kern w:val="2"/>
                <w:sz w:val="21"/>
                <w:szCs w:val="21"/>
                <w:highlight w:val="none"/>
                <w:u w:val="none"/>
              </w:rPr>
              <w:t>投标</w:t>
            </w:r>
            <w:r>
              <w:rPr>
                <w:rFonts w:hint="eastAsia" w:ascii="仿宋" w:hAnsi="仿宋" w:eastAsia="仿宋" w:cs="仿宋"/>
                <w:bCs w:val="0"/>
                <w:color w:val="auto"/>
                <w:kern w:val="2"/>
                <w:sz w:val="21"/>
                <w:szCs w:val="21"/>
                <w:highlight w:val="none"/>
                <w:u w:val="none"/>
                <w:lang w:eastAsia="zh-CN"/>
              </w:rPr>
              <w:t>报价不高于招标控制价</w:t>
            </w:r>
          </w:p>
        </w:tc>
        <w:tc>
          <w:tcPr>
            <w:tcW w:w="1559" w:type="dxa"/>
            <w:tcBorders>
              <w:top w:val="single" w:color="auto" w:sz="4" w:space="0"/>
              <w:left w:val="nil"/>
              <w:bottom w:val="single" w:color="auto" w:sz="4" w:space="0"/>
              <w:right w:val="single" w:color="auto" w:sz="4" w:space="0"/>
            </w:tcBorders>
            <w:shd w:val="clear" w:color="auto" w:fill="auto"/>
            <w:vAlign w:val="center"/>
          </w:tcPr>
          <w:p w14:paraId="547AC876">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2AFC5716">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375C8211">
            <w:pPr>
              <w:spacing w:before="120" w:beforeLines="50" w:after="120" w:afterLines="50" w:line="240" w:lineRule="exact"/>
              <w:ind w:left="105" w:leftChars="50" w:right="105" w:rightChars="50"/>
              <w:jc w:val="center"/>
              <w:rPr>
                <w:rFonts w:ascii="仿宋" w:hAnsi="仿宋" w:eastAsia="仿宋" w:cs="仿宋"/>
                <w:color w:val="auto"/>
                <w:highlight w:val="none"/>
              </w:rPr>
            </w:pPr>
          </w:p>
        </w:tc>
      </w:tr>
      <w:tr w14:paraId="3D01E498">
        <w:tblPrEx>
          <w:tblCellMar>
            <w:top w:w="0" w:type="dxa"/>
            <w:left w:w="108" w:type="dxa"/>
            <w:bottom w:w="0" w:type="dxa"/>
            <w:right w:w="108" w:type="dxa"/>
          </w:tblCellMar>
        </w:tblPrEx>
        <w:trPr>
          <w:trHeight w:val="780" w:hRule="atLeast"/>
        </w:trPr>
        <w:tc>
          <w:tcPr>
            <w:tcW w:w="720" w:type="dxa"/>
            <w:tcBorders>
              <w:top w:val="single" w:color="auto" w:sz="4" w:space="0"/>
              <w:left w:val="single" w:color="auto" w:sz="4" w:space="0"/>
              <w:bottom w:val="single" w:color="auto" w:sz="4" w:space="0"/>
              <w:right w:val="single" w:color="auto" w:sz="4" w:space="0"/>
            </w:tcBorders>
            <w:shd w:val="clear" w:color="auto" w:fill="auto"/>
            <w:vAlign w:val="center"/>
          </w:tcPr>
          <w:p w14:paraId="4FFE8643">
            <w:pPr>
              <w:spacing w:before="120" w:beforeLines="50" w:after="120" w:afterLines="50" w:line="240" w:lineRule="exact"/>
              <w:ind w:left="-51"/>
              <w:jc w:val="center"/>
              <w:rPr>
                <w:rFonts w:ascii="仿宋" w:hAnsi="仿宋" w:eastAsia="仿宋" w:cs="仿宋"/>
                <w:color w:val="auto"/>
                <w:highlight w:val="none"/>
              </w:rPr>
            </w:pPr>
          </w:p>
        </w:tc>
        <w:tc>
          <w:tcPr>
            <w:tcW w:w="3533" w:type="dxa"/>
            <w:tcBorders>
              <w:top w:val="single" w:color="auto" w:sz="4" w:space="0"/>
              <w:left w:val="nil"/>
              <w:bottom w:val="single" w:color="auto" w:sz="4" w:space="0"/>
              <w:right w:val="single" w:color="auto" w:sz="4" w:space="0"/>
            </w:tcBorders>
            <w:shd w:val="clear" w:color="auto" w:fill="auto"/>
            <w:vAlign w:val="center"/>
          </w:tcPr>
          <w:p w14:paraId="0F21345E">
            <w:pPr>
              <w:ind w:left="105" w:leftChars="50" w:right="105" w:rightChars="50"/>
              <w:jc w:val="center"/>
              <w:rPr>
                <w:rFonts w:ascii="仿宋" w:hAnsi="仿宋" w:eastAsia="仿宋" w:cs="仿宋"/>
                <w:color w:val="auto"/>
                <w:highlight w:val="none"/>
              </w:rPr>
            </w:pPr>
            <w:r>
              <w:rPr>
                <w:rFonts w:hint="eastAsia" w:ascii="仿宋" w:hAnsi="仿宋" w:eastAsia="仿宋" w:cs="仿宋"/>
                <w:color w:val="auto"/>
                <w:szCs w:val="21"/>
                <w:highlight w:val="none"/>
              </w:rPr>
              <w:t>结论</w:t>
            </w:r>
          </w:p>
        </w:tc>
        <w:tc>
          <w:tcPr>
            <w:tcW w:w="1559" w:type="dxa"/>
            <w:tcBorders>
              <w:top w:val="single" w:color="auto" w:sz="4" w:space="0"/>
              <w:left w:val="nil"/>
              <w:bottom w:val="single" w:color="auto" w:sz="4" w:space="0"/>
              <w:right w:val="single" w:color="auto" w:sz="4" w:space="0"/>
            </w:tcBorders>
            <w:shd w:val="clear" w:color="auto" w:fill="auto"/>
            <w:vAlign w:val="center"/>
          </w:tcPr>
          <w:p w14:paraId="5B0642BE">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59AB76C4">
            <w:pPr>
              <w:spacing w:before="120" w:beforeLines="50" w:after="120" w:afterLines="50" w:line="240" w:lineRule="exact"/>
              <w:ind w:left="105" w:leftChars="50" w:right="105" w:rightChars="50"/>
              <w:jc w:val="center"/>
              <w:rPr>
                <w:rFonts w:ascii="仿宋" w:hAnsi="仿宋" w:eastAsia="仿宋" w:cs="仿宋"/>
                <w:color w:val="auto"/>
                <w:highlight w:val="none"/>
              </w:rPr>
            </w:pPr>
          </w:p>
        </w:tc>
        <w:tc>
          <w:tcPr>
            <w:tcW w:w="1559" w:type="dxa"/>
            <w:tcBorders>
              <w:top w:val="single" w:color="auto" w:sz="4" w:space="0"/>
              <w:left w:val="nil"/>
              <w:bottom w:val="single" w:color="auto" w:sz="4" w:space="0"/>
              <w:right w:val="single" w:color="auto" w:sz="4" w:space="0"/>
            </w:tcBorders>
            <w:shd w:val="clear" w:color="auto" w:fill="auto"/>
          </w:tcPr>
          <w:p w14:paraId="19BD9938">
            <w:pPr>
              <w:spacing w:before="120" w:beforeLines="50" w:after="120" w:afterLines="50" w:line="240" w:lineRule="exact"/>
              <w:ind w:left="105" w:leftChars="50" w:right="105" w:rightChars="50"/>
              <w:jc w:val="center"/>
              <w:rPr>
                <w:rFonts w:ascii="仿宋" w:hAnsi="仿宋" w:eastAsia="仿宋" w:cs="仿宋"/>
                <w:color w:val="auto"/>
                <w:highlight w:val="none"/>
              </w:rPr>
            </w:pPr>
          </w:p>
        </w:tc>
      </w:tr>
    </w:tbl>
    <w:p w14:paraId="561FE01F">
      <w:pPr>
        <w:snapToGrid w:val="0"/>
        <w:spacing w:line="300" w:lineRule="auto"/>
        <w:jc w:val="left"/>
        <w:rPr>
          <w:rFonts w:ascii="仿宋" w:hAnsi="仿宋" w:eastAsia="仿宋" w:cs="Courier New"/>
          <w:color w:val="auto"/>
          <w:sz w:val="24"/>
          <w:highlight w:val="none"/>
        </w:rPr>
      </w:pPr>
      <w:r>
        <w:rPr>
          <w:rFonts w:hint="eastAsia" w:ascii="仿宋" w:hAnsi="仿宋" w:eastAsia="仿宋" w:cs="Courier New"/>
          <w:color w:val="auto"/>
          <w:sz w:val="24"/>
          <w:highlight w:val="none"/>
        </w:rPr>
        <w:t>注：</w:t>
      </w:r>
    </w:p>
    <w:p w14:paraId="272F3FE3">
      <w:pPr>
        <w:snapToGrid w:val="0"/>
        <w:ind w:left="74"/>
        <w:rPr>
          <w:rFonts w:ascii="仿宋" w:hAnsi="仿宋" w:eastAsia="仿宋" w:cs="Courier New"/>
          <w:color w:val="auto"/>
          <w:sz w:val="24"/>
          <w:highlight w:val="none"/>
        </w:rPr>
      </w:pPr>
      <w:r>
        <w:rPr>
          <w:rFonts w:hint="eastAsia" w:ascii="仿宋" w:hAnsi="仿宋" w:eastAsia="仿宋" w:cs="Courier New"/>
          <w:color w:val="auto"/>
          <w:sz w:val="24"/>
          <w:highlight w:val="none"/>
        </w:rPr>
        <w:t>1.符合以上情形打“〇”，不符合以上任一情形打“×”，全部为“〇”结论均为“通过”，否则就为“不通过”。</w:t>
      </w:r>
    </w:p>
    <w:p w14:paraId="36FCA101">
      <w:pPr>
        <w:snapToGrid w:val="0"/>
        <w:spacing w:line="300" w:lineRule="auto"/>
        <w:ind w:firstLine="120" w:firstLineChars="50"/>
        <w:rPr>
          <w:rFonts w:ascii="仿宋" w:hAnsi="仿宋" w:eastAsia="仿宋" w:cs="仿宋"/>
          <w:color w:val="auto"/>
          <w:sz w:val="28"/>
          <w:szCs w:val="28"/>
          <w:highlight w:val="none"/>
        </w:rPr>
      </w:pPr>
      <w:r>
        <w:rPr>
          <w:rFonts w:hint="eastAsia" w:ascii="仿宋" w:hAnsi="仿宋" w:eastAsia="仿宋" w:cs="Courier New"/>
          <w:color w:val="auto"/>
          <w:sz w:val="24"/>
          <w:highlight w:val="none"/>
        </w:rPr>
        <w:t>2.如对本表中某种情形的评审意见不一致时，以专家组过半数成员的意见作为专家组对该情形的认定结论。</w:t>
      </w:r>
      <w:r>
        <w:rPr>
          <w:rFonts w:hint="eastAsia" w:ascii="仿宋" w:hAnsi="仿宋" w:eastAsia="仿宋" w:cs="Courier New"/>
          <w:color w:val="auto"/>
          <w:sz w:val="28"/>
          <w:szCs w:val="28"/>
          <w:highlight w:val="none"/>
        </w:rPr>
        <w:t xml:space="preserve"> </w:t>
      </w:r>
      <w:r>
        <w:rPr>
          <w:rFonts w:hint="eastAsia" w:ascii="仿宋" w:hAnsi="仿宋" w:eastAsia="仿宋" w:cs="仿宋"/>
          <w:color w:val="auto"/>
          <w:sz w:val="28"/>
          <w:szCs w:val="28"/>
          <w:highlight w:val="none"/>
        </w:rPr>
        <w:t xml:space="preserve">    </w:t>
      </w:r>
    </w:p>
    <w:p w14:paraId="0B72D00D">
      <w:pPr>
        <w:snapToGrid w:val="0"/>
        <w:ind w:left="74"/>
        <w:rPr>
          <w:rFonts w:ascii="仿宋" w:hAnsi="仿宋" w:eastAsia="仿宋" w:cs="Courier New"/>
          <w:color w:val="auto"/>
          <w:sz w:val="28"/>
          <w:szCs w:val="28"/>
          <w:highlight w:val="none"/>
        </w:rPr>
      </w:pPr>
      <w:r>
        <w:rPr>
          <w:rFonts w:hint="eastAsia" w:ascii="仿宋" w:hAnsi="仿宋" w:eastAsia="仿宋" w:cs="仿宋"/>
          <w:b/>
          <w:color w:val="auto"/>
          <w:sz w:val="28"/>
          <w:szCs w:val="28"/>
          <w:highlight w:val="none"/>
        </w:rPr>
        <w:t xml:space="preserve"> </w:t>
      </w:r>
      <w:r>
        <w:rPr>
          <w:rFonts w:hint="eastAsia" w:ascii="仿宋" w:hAnsi="仿宋" w:eastAsia="仿宋" w:cs="Courier New"/>
          <w:color w:val="auto"/>
          <w:sz w:val="28"/>
          <w:szCs w:val="28"/>
          <w:highlight w:val="none"/>
        </w:rPr>
        <w:t>评标专家签名：                     日期：</w:t>
      </w:r>
    </w:p>
    <w:p w14:paraId="03D48043">
      <w:pPr>
        <w:snapToGrid w:val="0"/>
        <w:ind w:left="74"/>
        <w:rPr>
          <w:rFonts w:ascii="仿宋" w:hAnsi="仿宋" w:eastAsia="仿宋" w:cs="Courier New"/>
          <w:color w:val="auto"/>
          <w:sz w:val="28"/>
          <w:szCs w:val="28"/>
          <w:highlight w:val="none"/>
        </w:rPr>
      </w:pPr>
    </w:p>
    <w:p w14:paraId="7E6E1008">
      <w:pPr>
        <w:snapToGrid w:val="0"/>
        <w:ind w:left="74"/>
        <w:outlineLvl w:val="0"/>
        <w:rPr>
          <w:rFonts w:ascii="仿宋" w:hAnsi="仿宋" w:eastAsia="仿宋" w:cs="仿宋"/>
          <w:b/>
          <w:color w:val="auto"/>
          <w:sz w:val="24"/>
          <w:highlight w:val="none"/>
        </w:rPr>
        <w:sectPr>
          <w:footerReference r:id="rId4" w:type="default"/>
          <w:pgSz w:w="12240" w:h="15840"/>
          <w:pgMar w:top="1440" w:right="1797" w:bottom="1440" w:left="1797" w:header="720" w:footer="720" w:gutter="0"/>
          <w:cols w:space="425" w:num="1"/>
          <w:docGrid w:linePitch="312" w:charSpace="0"/>
        </w:sectPr>
      </w:pPr>
    </w:p>
    <w:p w14:paraId="311800F3">
      <w:pPr>
        <w:snapToGrid w:val="0"/>
        <w:ind w:left="74"/>
        <w:outlineLvl w:val="0"/>
        <w:rPr>
          <w:rFonts w:ascii="仿宋" w:hAnsi="仿宋" w:eastAsia="仿宋" w:cs="仿宋"/>
          <w:color w:val="auto"/>
          <w:sz w:val="24"/>
          <w:highlight w:val="none"/>
        </w:rPr>
      </w:pPr>
      <w:bookmarkStart w:id="51" w:name="_Toc11456"/>
      <w:bookmarkStart w:id="52" w:name="_Toc27480"/>
      <w:r>
        <w:rPr>
          <w:rFonts w:hint="eastAsia" w:ascii="仿宋" w:hAnsi="仿宋" w:eastAsia="仿宋" w:cs="仿宋"/>
          <w:b/>
          <w:color w:val="auto"/>
          <w:sz w:val="24"/>
          <w:highlight w:val="none"/>
        </w:rPr>
        <w:t>附件2综合评分表</w:t>
      </w:r>
      <w:r>
        <w:rPr>
          <w:rFonts w:hint="eastAsia" w:ascii="仿宋" w:hAnsi="仿宋" w:eastAsia="仿宋" w:cs="仿宋"/>
          <w:color w:val="auto"/>
          <w:sz w:val="24"/>
          <w:highlight w:val="none"/>
        </w:rPr>
        <w:t>（100分）</w:t>
      </w:r>
      <w:bookmarkEnd w:id="51"/>
      <w:bookmarkEnd w:id="52"/>
    </w:p>
    <w:p w14:paraId="23AF12B6">
      <w:pPr>
        <w:snapToGrid w:val="0"/>
        <w:ind w:left="74"/>
        <w:rPr>
          <w:rFonts w:ascii="仿宋" w:hAnsi="仿宋" w:eastAsia="仿宋" w:cs="宋体"/>
          <w:color w:val="auto"/>
          <w:sz w:val="24"/>
          <w:highlight w:val="none"/>
        </w:rPr>
      </w:pPr>
      <w:r>
        <w:rPr>
          <w:rFonts w:hint="eastAsia" w:ascii="仿宋" w:hAnsi="仿宋" w:eastAsia="仿宋" w:cs="宋体"/>
          <w:color w:val="auto"/>
          <w:sz w:val="24"/>
          <w:highlight w:val="none"/>
        </w:rPr>
        <w:t xml:space="preserve"> </w:t>
      </w:r>
    </w:p>
    <w:tbl>
      <w:tblPr>
        <w:tblStyle w:val="13"/>
        <w:tblW w:w="8277"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124"/>
        <w:gridCol w:w="1863"/>
        <w:gridCol w:w="5290"/>
      </w:tblGrid>
      <w:tr w14:paraId="1764E4A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71" w:hRule="atLeast"/>
          <w:jc w:val="center"/>
        </w:trPr>
        <w:tc>
          <w:tcPr>
            <w:tcW w:w="2987" w:type="dxa"/>
            <w:gridSpan w:val="2"/>
            <w:tcBorders>
              <w:top w:val="single" w:color="auto" w:sz="4" w:space="0"/>
              <w:left w:val="single" w:color="auto" w:sz="4" w:space="0"/>
              <w:bottom w:val="single" w:color="auto" w:sz="4" w:space="0"/>
              <w:right w:val="single" w:color="auto" w:sz="4" w:space="0"/>
            </w:tcBorders>
            <w:noWrap w:val="0"/>
            <w:vAlign w:val="center"/>
          </w:tcPr>
          <w:p w14:paraId="25499959">
            <w:pPr>
              <w:spacing w:line="240" w:lineRule="auto"/>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评分因素</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6AC143EB">
            <w:pPr>
              <w:spacing w:line="240" w:lineRule="auto"/>
              <w:jc w:val="center"/>
              <w:rPr>
                <w:rFonts w:hint="eastAsia" w:ascii="宋体" w:hAnsi="宋体" w:cs="宋体"/>
                <w:b/>
                <w:color w:val="auto"/>
                <w:sz w:val="21"/>
                <w:szCs w:val="21"/>
                <w:highlight w:val="none"/>
              </w:rPr>
            </w:pPr>
            <w:r>
              <w:rPr>
                <w:rFonts w:hint="eastAsia" w:ascii="宋体" w:hAnsi="宋体" w:cs="宋体"/>
                <w:b/>
                <w:color w:val="auto"/>
                <w:sz w:val="21"/>
                <w:szCs w:val="21"/>
                <w:highlight w:val="none"/>
              </w:rPr>
              <w:t>评分标准</w:t>
            </w:r>
          </w:p>
        </w:tc>
      </w:tr>
      <w:tr w14:paraId="0763F75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545" w:hRule="atLeast"/>
          <w:jc w:val="center"/>
        </w:trPr>
        <w:tc>
          <w:tcPr>
            <w:tcW w:w="1124" w:type="dxa"/>
            <w:vMerge w:val="restart"/>
            <w:tcBorders>
              <w:right w:val="single" w:color="auto" w:sz="4" w:space="0"/>
            </w:tcBorders>
            <w:noWrap w:val="0"/>
            <w:vAlign w:val="center"/>
          </w:tcPr>
          <w:p w14:paraId="1436EFC7">
            <w:pPr>
              <w:spacing w:line="240" w:lineRule="auto"/>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商务部分</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6</w:t>
            </w:r>
            <w:r>
              <w:rPr>
                <w:rFonts w:hint="eastAsia" w:ascii="宋体" w:hAnsi="宋体" w:cs="宋体"/>
                <w:color w:val="auto"/>
                <w:sz w:val="21"/>
                <w:szCs w:val="21"/>
                <w:highlight w:val="none"/>
              </w:rPr>
              <w:t>0分）</w:t>
            </w:r>
          </w:p>
        </w:tc>
        <w:tc>
          <w:tcPr>
            <w:tcW w:w="1863" w:type="dxa"/>
            <w:tcBorders>
              <w:left w:val="single" w:color="auto" w:sz="4" w:space="0"/>
              <w:right w:val="single" w:color="auto" w:sz="4" w:space="0"/>
            </w:tcBorders>
            <w:noWrap w:val="0"/>
            <w:vAlign w:val="center"/>
          </w:tcPr>
          <w:p w14:paraId="55D29076">
            <w:pPr>
              <w:spacing w:line="240" w:lineRule="auto"/>
              <w:ind w:left="113" w:leftChars="54" w:right="141" w:rightChars="67" w:firstLine="1"/>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企业</w:t>
            </w:r>
            <w:r>
              <w:rPr>
                <w:rFonts w:hint="eastAsia" w:ascii="宋体" w:hAnsi="宋体" w:cs="宋体"/>
                <w:color w:val="auto"/>
                <w:sz w:val="21"/>
                <w:szCs w:val="21"/>
                <w:highlight w:val="none"/>
              </w:rPr>
              <w:t>业绩</w:t>
            </w:r>
          </w:p>
          <w:p w14:paraId="78E8CF20">
            <w:pPr>
              <w:spacing w:line="240" w:lineRule="auto"/>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311A176C">
            <w:pPr>
              <w:spacing w:line="24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lang w:eastAsia="zh-CN"/>
              </w:rPr>
              <w:t>20</w:t>
            </w:r>
            <w:r>
              <w:rPr>
                <w:rFonts w:hint="eastAsia" w:ascii="宋体" w:hAnsi="宋体" w:eastAsia="宋体" w:cs="宋体"/>
                <w:color w:val="auto"/>
                <w:szCs w:val="21"/>
                <w:highlight w:val="none"/>
                <w:lang w:val="en-US" w:eastAsia="zh-CN"/>
              </w:rPr>
              <w:t>21</w:t>
            </w:r>
            <w:r>
              <w:rPr>
                <w:rFonts w:hint="eastAsia" w:ascii="宋体" w:hAnsi="宋体" w:eastAsia="宋体" w:cs="宋体"/>
                <w:color w:val="auto"/>
                <w:szCs w:val="21"/>
                <w:highlight w:val="none"/>
                <w:lang w:eastAsia="zh-CN"/>
              </w:rPr>
              <w:t>年</w:t>
            </w:r>
            <w:r>
              <w:rPr>
                <w:rFonts w:hint="eastAsia" w:ascii="宋体" w:hAnsi="宋体" w:eastAsia="宋体" w:cs="宋体"/>
                <w:color w:val="auto"/>
                <w:szCs w:val="21"/>
                <w:highlight w:val="none"/>
              </w:rPr>
              <w:t>1月1日至今</w:t>
            </w:r>
            <w:r>
              <w:rPr>
                <w:rFonts w:hint="eastAsia" w:ascii="宋体" w:hAnsi="宋体" w:eastAsia="宋体" w:cs="宋体"/>
                <w:color w:val="auto"/>
                <w:szCs w:val="21"/>
                <w:highlight w:val="none"/>
                <w:lang w:eastAsia="zh-CN"/>
              </w:rPr>
              <w:t>独立</w:t>
            </w:r>
            <w:r>
              <w:rPr>
                <w:rFonts w:hint="eastAsia" w:ascii="宋体" w:hAnsi="宋体" w:eastAsia="宋体" w:cs="宋体"/>
                <w:color w:val="auto"/>
                <w:szCs w:val="21"/>
                <w:highlight w:val="none"/>
              </w:rPr>
              <w:t>完成过质量合格的</w:t>
            </w:r>
            <w:r>
              <w:rPr>
                <w:rFonts w:hint="eastAsia" w:ascii="宋体" w:hAnsi="宋体" w:eastAsia="宋体" w:cs="宋体"/>
                <w:color w:val="auto"/>
                <w:szCs w:val="21"/>
                <w:highlight w:val="none"/>
                <w:lang w:eastAsia="zh-CN"/>
              </w:rPr>
              <w:t>类似</w:t>
            </w:r>
            <w:r>
              <w:rPr>
                <w:rFonts w:hint="eastAsia" w:ascii="宋体" w:hAnsi="宋体" w:eastAsia="宋体" w:cs="宋体"/>
                <w:color w:val="auto"/>
                <w:szCs w:val="21"/>
                <w:highlight w:val="none"/>
              </w:rPr>
              <w:t>工程监理</w:t>
            </w:r>
            <w:r>
              <w:rPr>
                <w:rFonts w:hint="eastAsia" w:ascii="宋体" w:hAnsi="宋体" w:eastAsia="宋体" w:cs="宋体"/>
                <w:color w:val="auto"/>
                <w:szCs w:val="21"/>
                <w:highlight w:val="none"/>
                <w:lang w:eastAsia="zh-CN"/>
              </w:rPr>
              <w:t>项目，一项得</w:t>
            </w:r>
            <w:r>
              <w:rPr>
                <w:rFonts w:hint="eastAsia" w:ascii="宋体" w:hAnsi="宋体" w:eastAsia="宋体" w:cs="宋体"/>
                <w:color w:val="auto"/>
                <w:szCs w:val="21"/>
                <w:highlight w:val="none"/>
                <w:lang w:val="en-US" w:eastAsia="zh-CN"/>
              </w:rPr>
              <w:t>1分</w:t>
            </w:r>
            <w:r>
              <w:rPr>
                <w:rFonts w:hint="eastAsia" w:ascii="宋体" w:hAnsi="宋体" w:eastAsia="宋体" w:cs="宋体"/>
                <w:color w:val="auto"/>
                <w:szCs w:val="21"/>
                <w:highlight w:val="none"/>
              </w:rPr>
              <w:t>，最多得</w:t>
            </w:r>
            <w:r>
              <w:rPr>
                <w:rFonts w:hint="eastAsia" w:ascii="宋体" w:hAnsi="宋体" w:eastAsia="宋体" w:cs="宋体"/>
                <w:color w:val="auto"/>
                <w:szCs w:val="21"/>
                <w:highlight w:val="none"/>
                <w:lang w:val="en-US" w:eastAsia="zh-CN"/>
              </w:rPr>
              <w:t>10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tc>
      </w:tr>
      <w:tr w14:paraId="1F00E23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14:paraId="321D032C">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14:paraId="6A5843E8">
            <w:pPr>
              <w:spacing w:line="240" w:lineRule="auto"/>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认证体系（</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3A57F2B3">
            <w:pPr>
              <w:spacing w:line="240" w:lineRule="auto"/>
              <w:ind w:left="0" w:leftChars="0" w:right="0" w:rightChars="0" w:firstLine="0" w:firstLineChars="0"/>
              <w:jc w:val="left"/>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lang w:eastAsia="zh-CN"/>
              </w:rPr>
              <w:t>投标人具有</w:t>
            </w:r>
            <w:r>
              <w:rPr>
                <w:rFonts w:hint="eastAsia" w:ascii="宋体" w:hAnsi="宋体" w:eastAsia="宋体" w:cs="宋体"/>
                <w:color w:val="auto"/>
                <w:sz w:val="21"/>
                <w:szCs w:val="21"/>
                <w:highlight w:val="none"/>
              </w:rPr>
              <w:t>质量管理体系认证证书、环境管理体系认证证书、职业健康安全管理体系认证证书</w:t>
            </w:r>
            <w:r>
              <w:rPr>
                <w:rFonts w:hint="eastAsia" w:ascii="宋体" w:hAnsi="宋体" w:eastAsia="宋体" w:cs="宋体"/>
                <w:color w:val="auto"/>
                <w:sz w:val="21"/>
                <w:szCs w:val="21"/>
                <w:highlight w:val="none"/>
                <w:lang w:eastAsia="zh-CN"/>
              </w:rPr>
              <w:t>、标准化管理活动体系认证证书的，</w:t>
            </w:r>
            <w:r>
              <w:rPr>
                <w:rFonts w:hint="eastAsia" w:ascii="宋体" w:hAnsi="宋体" w:eastAsia="宋体" w:cs="宋体"/>
                <w:color w:val="auto"/>
                <w:sz w:val="21"/>
                <w:szCs w:val="21"/>
                <w:highlight w:val="none"/>
                <w:lang w:val="en-US" w:eastAsia="zh-CN"/>
              </w:rPr>
              <w:t>每有一项得2.5分，最多</w:t>
            </w:r>
            <w:r>
              <w:rPr>
                <w:rFonts w:hint="eastAsia" w:ascii="宋体" w:hAnsi="宋体" w:eastAsia="宋体" w:cs="宋体"/>
                <w:color w:val="auto"/>
                <w:sz w:val="21"/>
                <w:szCs w:val="21"/>
                <w:highlight w:val="none"/>
                <w:lang w:eastAsia="zh-CN"/>
              </w:rPr>
              <w:t>得</w:t>
            </w:r>
            <w:r>
              <w:rPr>
                <w:rFonts w:hint="eastAsia" w:ascii="宋体" w:hAnsi="宋体" w:eastAsia="宋体" w:cs="宋体"/>
                <w:color w:val="auto"/>
                <w:sz w:val="21"/>
                <w:szCs w:val="21"/>
                <w:highlight w:val="none"/>
                <w:lang w:val="en-US" w:eastAsia="zh-CN"/>
              </w:rPr>
              <w:t>10分</w:t>
            </w:r>
            <w:r>
              <w:rPr>
                <w:rFonts w:hint="eastAsia" w:ascii="宋体" w:hAnsi="宋体" w:eastAsia="宋体" w:cs="宋体"/>
                <w:color w:val="auto"/>
                <w:sz w:val="21"/>
                <w:szCs w:val="21"/>
                <w:highlight w:val="none"/>
              </w:rPr>
              <w:t>。</w:t>
            </w:r>
          </w:p>
        </w:tc>
      </w:tr>
      <w:tr w14:paraId="256B6FD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866" w:hRule="atLeast"/>
          <w:jc w:val="center"/>
        </w:trPr>
        <w:tc>
          <w:tcPr>
            <w:tcW w:w="1124" w:type="dxa"/>
            <w:vMerge w:val="continue"/>
            <w:tcBorders>
              <w:right w:val="single" w:color="auto" w:sz="4" w:space="0"/>
            </w:tcBorders>
            <w:noWrap w:val="0"/>
            <w:vAlign w:val="center"/>
          </w:tcPr>
          <w:p w14:paraId="113C43EE">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right w:val="single" w:color="auto" w:sz="4" w:space="0"/>
            </w:tcBorders>
            <w:noWrap w:val="0"/>
            <w:vAlign w:val="center"/>
          </w:tcPr>
          <w:p w14:paraId="3F4ED2FF">
            <w:pPr>
              <w:spacing w:line="240" w:lineRule="auto"/>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纳税信用</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69486F81">
            <w:pPr>
              <w:spacing w:line="240" w:lineRule="auto"/>
              <w:ind w:left="0" w:leftChars="0" w:right="0" w:rightChars="0" w:firstLine="0" w:firstLineChars="0"/>
              <w:jc w:val="left"/>
              <w:rPr>
                <w:rFonts w:hint="eastAsia" w:ascii="宋体" w:hAnsi="宋体" w:eastAsia="宋体" w:cs="宋体"/>
                <w:color w:val="auto"/>
                <w:sz w:val="21"/>
                <w:szCs w:val="21"/>
                <w:highlight w:val="none"/>
                <w:lang w:eastAsia="zh-CN"/>
              </w:rPr>
            </w:pPr>
            <w:r>
              <w:rPr>
                <w:rFonts w:hint="eastAsia" w:ascii="宋体" w:hAnsi="宋体" w:eastAsia="宋体" w:cs="宋体"/>
                <w:color w:val="auto"/>
                <w:sz w:val="21"/>
                <w:szCs w:val="21"/>
                <w:highlight w:val="none"/>
                <w:lang w:eastAsia="zh-CN"/>
              </w:rPr>
              <w:t>投标人（需含</w:t>
            </w:r>
            <w:r>
              <w:rPr>
                <w:rFonts w:hint="eastAsia" w:ascii="宋体" w:hAnsi="宋体" w:eastAsia="宋体" w:cs="宋体"/>
                <w:color w:val="auto"/>
                <w:sz w:val="21"/>
                <w:szCs w:val="21"/>
                <w:highlight w:val="none"/>
                <w:lang w:val="en-US" w:eastAsia="zh-CN"/>
              </w:rPr>
              <w:t>2023年度</w:t>
            </w:r>
            <w:r>
              <w:rPr>
                <w:rFonts w:hint="eastAsia" w:ascii="宋体" w:hAnsi="宋体" w:eastAsia="宋体" w:cs="宋体"/>
                <w:color w:val="auto"/>
                <w:sz w:val="21"/>
                <w:szCs w:val="21"/>
                <w:highlight w:val="none"/>
                <w:lang w:eastAsia="zh-CN"/>
              </w:rPr>
              <w:t>）获得</w:t>
            </w:r>
            <w:r>
              <w:rPr>
                <w:rFonts w:hint="eastAsia" w:ascii="宋体" w:hAnsi="宋体" w:eastAsia="宋体" w:cs="宋体"/>
                <w:color w:val="auto"/>
                <w:sz w:val="21"/>
                <w:szCs w:val="21"/>
                <w:highlight w:val="none"/>
              </w:rPr>
              <w:t>“A级纳税人”称号</w:t>
            </w:r>
            <w:r>
              <w:rPr>
                <w:rFonts w:hint="eastAsia" w:ascii="宋体" w:hAnsi="宋体" w:eastAsia="宋体" w:cs="宋体"/>
                <w:color w:val="auto"/>
                <w:sz w:val="21"/>
                <w:szCs w:val="21"/>
                <w:highlight w:val="none"/>
                <w:lang w:eastAsia="zh-CN"/>
              </w:rPr>
              <w:t>情况：</w:t>
            </w:r>
          </w:p>
          <w:p w14:paraId="1A9532B0">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w:t>
            </w:r>
            <w:r>
              <w:rPr>
                <w:rFonts w:hint="eastAsia" w:ascii="宋体" w:hAnsi="宋体" w:eastAsia="宋体" w:cs="宋体"/>
                <w:color w:val="auto"/>
                <w:sz w:val="21"/>
                <w:szCs w:val="21"/>
                <w:highlight w:val="none"/>
                <w:lang w:eastAsia="zh-CN"/>
              </w:rPr>
              <w:t>连续获得过</w:t>
            </w:r>
            <w:r>
              <w:rPr>
                <w:rFonts w:hint="eastAsia" w:ascii="宋体" w:hAnsi="宋体" w:eastAsia="宋体" w:cs="宋体"/>
                <w:color w:val="auto"/>
                <w:sz w:val="21"/>
                <w:szCs w:val="21"/>
                <w:highlight w:val="none"/>
                <w:lang w:val="en-US" w:eastAsia="zh-CN"/>
              </w:rPr>
              <w:t>5次以上</w:t>
            </w:r>
            <w:r>
              <w:rPr>
                <w:rFonts w:hint="eastAsia" w:ascii="宋体" w:hAnsi="宋体" w:eastAsia="宋体" w:cs="宋体"/>
                <w:color w:val="auto"/>
                <w:sz w:val="21"/>
                <w:szCs w:val="21"/>
                <w:highlight w:val="none"/>
              </w:rPr>
              <w:t>“A级纳税人”称号</w:t>
            </w:r>
            <w:r>
              <w:rPr>
                <w:rFonts w:hint="eastAsia" w:ascii="宋体" w:hAnsi="宋体" w:eastAsia="宋体" w:cs="宋体"/>
                <w:color w:val="auto"/>
                <w:sz w:val="21"/>
                <w:szCs w:val="21"/>
                <w:highlight w:val="none"/>
                <w:lang w:eastAsia="zh-CN"/>
              </w:rPr>
              <w:t>的，得</w:t>
            </w:r>
            <w:r>
              <w:rPr>
                <w:rFonts w:hint="eastAsia" w:ascii="宋体" w:hAnsi="宋体" w:eastAsia="宋体" w:cs="宋体"/>
                <w:color w:val="auto"/>
                <w:sz w:val="21"/>
                <w:szCs w:val="21"/>
                <w:highlight w:val="none"/>
                <w:lang w:val="en-US" w:eastAsia="zh-CN"/>
              </w:rPr>
              <w:t>10分；</w:t>
            </w:r>
          </w:p>
          <w:p w14:paraId="31777E6F">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w:t>
            </w:r>
            <w:r>
              <w:rPr>
                <w:rFonts w:hint="eastAsia" w:ascii="宋体" w:hAnsi="宋体" w:eastAsia="宋体" w:cs="宋体"/>
                <w:color w:val="auto"/>
                <w:sz w:val="21"/>
                <w:szCs w:val="21"/>
                <w:highlight w:val="none"/>
                <w:lang w:eastAsia="zh-CN"/>
              </w:rPr>
              <w:t>连续获得过</w:t>
            </w:r>
            <w:r>
              <w:rPr>
                <w:rFonts w:hint="eastAsia" w:ascii="宋体" w:hAnsi="宋体" w:eastAsia="宋体" w:cs="宋体"/>
                <w:color w:val="auto"/>
                <w:sz w:val="21"/>
                <w:szCs w:val="21"/>
                <w:highlight w:val="none"/>
                <w:lang w:val="en-US" w:eastAsia="zh-CN"/>
              </w:rPr>
              <w:t>4-5次</w:t>
            </w:r>
            <w:r>
              <w:rPr>
                <w:rFonts w:hint="eastAsia" w:ascii="宋体" w:hAnsi="宋体" w:eastAsia="宋体" w:cs="宋体"/>
                <w:color w:val="auto"/>
                <w:sz w:val="21"/>
                <w:szCs w:val="21"/>
                <w:highlight w:val="none"/>
              </w:rPr>
              <w:t>“A级纳税人”称号</w:t>
            </w:r>
            <w:r>
              <w:rPr>
                <w:rFonts w:hint="eastAsia" w:ascii="宋体" w:hAnsi="宋体" w:eastAsia="宋体" w:cs="宋体"/>
                <w:color w:val="auto"/>
                <w:sz w:val="21"/>
                <w:szCs w:val="21"/>
                <w:highlight w:val="none"/>
                <w:lang w:eastAsia="zh-CN"/>
              </w:rPr>
              <w:t>的，得</w:t>
            </w:r>
            <w:r>
              <w:rPr>
                <w:rFonts w:hint="eastAsia" w:ascii="宋体" w:hAnsi="宋体" w:eastAsia="宋体" w:cs="宋体"/>
                <w:color w:val="auto"/>
                <w:sz w:val="21"/>
                <w:szCs w:val="21"/>
                <w:highlight w:val="none"/>
                <w:lang w:val="en-US" w:eastAsia="zh-CN"/>
              </w:rPr>
              <w:t>5分；</w:t>
            </w:r>
          </w:p>
          <w:p w14:paraId="4AB23CF7">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3、</w:t>
            </w:r>
            <w:r>
              <w:rPr>
                <w:rFonts w:hint="eastAsia" w:ascii="宋体" w:hAnsi="宋体" w:eastAsia="宋体" w:cs="宋体"/>
                <w:color w:val="auto"/>
                <w:sz w:val="21"/>
                <w:szCs w:val="21"/>
                <w:highlight w:val="none"/>
                <w:lang w:eastAsia="zh-CN"/>
              </w:rPr>
              <w:t>连续获得过</w:t>
            </w:r>
            <w:r>
              <w:rPr>
                <w:rFonts w:hint="eastAsia" w:ascii="宋体" w:hAnsi="宋体" w:eastAsia="宋体" w:cs="宋体"/>
                <w:color w:val="auto"/>
                <w:sz w:val="21"/>
                <w:szCs w:val="21"/>
                <w:highlight w:val="none"/>
                <w:lang w:val="en-US" w:eastAsia="zh-CN"/>
              </w:rPr>
              <w:t>1-3次</w:t>
            </w:r>
            <w:r>
              <w:rPr>
                <w:rFonts w:hint="eastAsia" w:ascii="宋体" w:hAnsi="宋体" w:eastAsia="宋体" w:cs="宋体"/>
                <w:color w:val="auto"/>
                <w:sz w:val="21"/>
                <w:szCs w:val="21"/>
                <w:highlight w:val="none"/>
              </w:rPr>
              <w:t>“A级纳税人”称号</w:t>
            </w:r>
            <w:r>
              <w:rPr>
                <w:rFonts w:hint="eastAsia" w:ascii="宋体" w:hAnsi="宋体" w:eastAsia="宋体" w:cs="宋体"/>
                <w:color w:val="auto"/>
                <w:sz w:val="21"/>
                <w:szCs w:val="21"/>
                <w:highlight w:val="none"/>
                <w:lang w:eastAsia="zh-CN"/>
              </w:rPr>
              <w:t>的，得</w:t>
            </w:r>
            <w:r>
              <w:rPr>
                <w:rFonts w:hint="eastAsia" w:ascii="宋体" w:hAnsi="宋体" w:eastAsia="宋体" w:cs="宋体"/>
                <w:color w:val="auto"/>
                <w:sz w:val="21"/>
                <w:szCs w:val="21"/>
                <w:highlight w:val="none"/>
                <w:lang w:val="en-US" w:eastAsia="zh-CN"/>
              </w:rPr>
              <w:t>1分；</w:t>
            </w:r>
          </w:p>
          <w:p w14:paraId="170E2634">
            <w:pPr>
              <w:spacing w:line="240" w:lineRule="auto"/>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不具备以上条件不得分。</w:t>
            </w:r>
          </w:p>
          <w:p w14:paraId="3E85EE03">
            <w:pPr>
              <w:spacing w:line="240" w:lineRule="auto"/>
              <w:ind w:left="0" w:leftChars="0" w:right="0" w:rightChars="0" w:firstLine="0" w:firstLineChars="0"/>
              <w:jc w:val="left"/>
              <w:rPr>
                <w:rFonts w:hint="eastAsia" w:ascii="宋体" w:hAnsi="宋体" w:eastAsia="宋体" w:cs="宋体"/>
                <w:color w:val="auto"/>
                <w:sz w:val="21"/>
                <w:szCs w:val="21"/>
                <w:highlight w:val="none"/>
              </w:rPr>
            </w:pPr>
          </w:p>
        </w:tc>
      </w:tr>
      <w:tr w14:paraId="16ED718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14:paraId="52F98986">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tcBorders>
              <w:top w:val="single" w:color="auto" w:sz="4" w:space="0"/>
              <w:left w:val="single" w:color="auto" w:sz="4" w:space="0"/>
              <w:bottom w:val="single" w:color="auto" w:sz="4" w:space="0"/>
              <w:right w:val="single" w:color="auto" w:sz="4" w:space="0"/>
            </w:tcBorders>
            <w:noWrap w:val="0"/>
            <w:vAlign w:val="center"/>
          </w:tcPr>
          <w:p w14:paraId="577A2FB2">
            <w:pPr>
              <w:spacing w:line="240" w:lineRule="auto"/>
              <w:ind w:left="113" w:leftChars="54" w:right="141" w:rightChars="67" w:firstLine="1" w:firstLineChars="0"/>
              <w:jc w:val="left"/>
              <w:rPr>
                <w:rFonts w:hint="eastAsia" w:ascii="宋体" w:hAnsi="宋体" w:cs="宋体"/>
                <w:color w:val="auto"/>
                <w:sz w:val="21"/>
                <w:szCs w:val="21"/>
                <w:highlight w:val="none"/>
              </w:rPr>
            </w:pPr>
            <w:r>
              <w:rPr>
                <w:rFonts w:hint="eastAsia" w:ascii="宋体" w:hAnsi="宋体" w:cs="宋体"/>
                <w:color w:val="auto"/>
                <w:sz w:val="21"/>
                <w:szCs w:val="21"/>
                <w:highlight w:val="none"/>
              </w:rPr>
              <w:t>企业</w:t>
            </w:r>
            <w:r>
              <w:rPr>
                <w:rFonts w:hint="eastAsia" w:ascii="宋体" w:hAnsi="宋体" w:cs="宋体"/>
                <w:color w:val="auto"/>
                <w:sz w:val="21"/>
                <w:szCs w:val="21"/>
                <w:highlight w:val="none"/>
                <w:lang w:eastAsia="zh-CN"/>
              </w:rPr>
              <w:t>技术</w:t>
            </w:r>
            <w:r>
              <w:rPr>
                <w:rFonts w:hint="eastAsia" w:ascii="宋体" w:hAnsi="宋体" w:cs="宋体"/>
                <w:color w:val="auto"/>
                <w:sz w:val="21"/>
                <w:szCs w:val="21"/>
                <w:highlight w:val="none"/>
                <w:lang w:val="en-US" w:eastAsia="zh-CN"/>
              </w:rPr>
              <w:t>力量</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10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right w:val="single" w:color="auto" w:sz="4" w:space="0"/>
            </w:tcBorders>
            <w:noWrap w:val="0"/>
            <w:vAlign w:val="center"/>
          </w:tcPr>
          <w:p w14:paraId="65806823">
            <w:pPr>
              <w:spacing w:line="240" w:lineRule="auto"/>
              <w:ind w:left="0" w:leftChars="0" w:right="0" w:righ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1、投标人具有“高新技术企业”证书</w:t>
            </w:r>
            <w:r>
              <w:rPr>
                <w:rFonts w:hint="eastAsia" w:ascii="宋体" w:hAnsi="宋体" w:eastAsia="宋体" w:cs="宋体"/>
                <w:color w:val="auto"/>
                <w:sz w:val="21"/>
                <w:szCs w:val="21"/>
                <w:highlight w:val="none"/>
              </w:rPr>
              <w:t>的</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得</w:t>
            </w:r>
            <w:r>
              <w:rPr>
                <w:rFonts w:hint="eastAsia" w:ascii="宋体" w:hAnsi="宋体" w:eastAsia="宋体" w:cs="宋体"/>
                <w:color w:val="auto"/>
                <w:sz w:val="21"/>
                <w:szCs w:val="21"/>
                <w:highlight w:val="none"/>
                <w:lang w:val="en-US" w:eastAsia="zh-CN"/>
              </w:rPr>
              <w:t>5</w:t>
            </w:r>
            <w:r>
              <w:rPr>
                <w:rFonts w:hint="eastAsia" w:ascii="宋体" w:hAnsi="宋体" w:eastAsia="宋体" w:cs="宋体"/>
                <w:color w:val="auto"/>
                <w:sz w:val="21"/>
                <w:szCs w:val="21"/>
                <w:highlight w:val="none"/>
              </w:rPr>
              <w:t>分</w:t>
            </w:r>
            <w:r>
              <w:rPr>
                <w:rFonts w:hint="eastAsia" w:ascii="宋体" w:hAnsi="宋体" w:eastAsia="宋体" w:cs="宋体"/>
                <w:color w:val="auto"/>
                <w:sz w:val="21"/>
                <w:szCs w:val="21"/>
                <w:highlight w:val="none"/>
                <w:lang w:val="en-US" w:eastAsia="zh-CN"/>
              </w:rPr>
              <w:t>。</w:t>
            </w:r>
            <w:r>
              <w:rPr>
                <w:rFonts w:hint="eastAsia" w:ascii="宋体" w:hAnsi="宋体" w:eastAsia="宋体" w:cs="宋体"/>
                <w:color w:val="auto"/>
                <w:sz w:val="21"/>
                <w:szCs w:val="21"/>
                <w:highlight w:val="none"/>
              </w:rPr>
              <w:t>没有的不得分</w:t>
            </w:r>
            <w:r>
              <w:rPr>
                <w:rFonts w:hint="eastAsia" w:ascii="宋体" w:hAnsi="宋体" w:eastAsia="宋体" w:cs="宋体"/>
                <w:color w:val="auto"/>
                <w:sz w:val="21"/>
                <w:szCs w:val="21"/>
                <w:highlight w:val="none"/>
                <w:lang w:val="en-US" w:eastAsia="zh-CN"/>
              </w:rPr>
              <w:t>。</w:t>
            </w:r>
          </w:p>
          <w:p w14:paraId="0ED62C81">
            <w:pPr>
              <w:spacing w:line="240" w:lineRule="auto"/>
              <w:ind w:left="0" w:leftChars="0" w:right="0" w:righ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注：须提供有效证书且在有效期内。</w:t>
            </w:r>
            <w:r>
              <w:rPr>
                <w:rFonts w:hint="eastAsia" w:ascii="宋体" w:hAnsi="宋体" w:eastAsia="宋体" w:cs="宋体"/>
                <w:color w:val="auto"/>
                <w:sz w:val="21"/>
                <w:szCs w:val="21"/>
                <w:highlight w:val="none"/>
              </w:rPr>
              <w:br w:type="textWrapping"/>
            </w:r>
            <w:r>
              <w:rPr>
                <w:rFonts w:hint="eastAsia" w:ascii="宋体" w:hAnsi="宋体" w:eastAsia="宋体" w:cs="宋体"/>
                <w:color w:val="auto"/>
                <w:sz w:val="21"/>
                <w:szCs w:val="21"/>
                <w:highlight w:val="none"/>
                <w:lang w:val="en-US" w:eastAsia="zh-CN"/>
              </w:rPr>
              <w:t>2、投标人自2021年1月1日至投标截止时间为止获得过省级（或以上）建筑工程科学技术类奖项的，得5分。没有的不得分。</w:t>
            </w:r>
          </w:p>
          <w:p w14:paraId="42E3C209">
            <w:pPr>
              <w:spacing w:line="240" w:lineRule="auto"/>
              <w:ind w:left="0" w:leftChars="0" w:right="0" w:rightChars="0" w:firstLine="0" w:firstLineChars="0"/>
              <w:jc w:val="left"/>
              <w:rPr>
                <w:rFonts w:hint="eastAsia" w:ascii="宋体" w:hAnsi="宋体" w:eastAsia="宋体" w:cs="宋体"/>
                <w:color w:val="auto"/>
                <w:sz w:val="21"/>
                <w:szCs w:val="21"/>
                <w:highlight w:val="none"/>
              </w:rPr>
            </w:pPr>
          </w:p>
        </w:tc>
      </w:tr>
      <w:tr w14:paraId="221752C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right w:val="single" w:color="auto" w:sz="4" w:space="0"/>
            </w:tcBorders>
            <w:noWrap w:val="0"/>
            <w:vAlign w:val="center"/>
          </w:tcPr>
          <w:p w14:paraId="5CFE04B4">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vMerge w:val="restart"/>
            <w:tcBorders>
              <w:top w:val="single" w:color="auto" w:sz="4" w:space="0"/>
              <w:left w:val="single" w:color="auto" w:sz="4" w:space="0"/>
              <w:right w:val="single" w:color="auto" w:sz="4" w:space="0"/>
            </w:tcBorders>
            <w:noWrap w:val="0"/>
            <w:vAlign w:val="center"/>
          </w:tcPr>
          <w:p w14:paraId="536A7900">
            <w:pPr>
              <w:spacing w:line="240" w:lineRule="auto"/>
              <w:ind w:left="113" w:leftChars="54" w:right="141" w:rightChars="67" w:firstLine="1" w:firstLineChars="0"/>
              <w:jc w:val="left"/>
              <w:rPr>
                <w:rFonts w:hint="eastAsia" w:ascii="宋体" w:hAnsi="宋体" w:cs="宋体" w:eastAsiaTheme="minorEastAsia"/>
                <w:color w:val="auto"/>
                <w:sz w:val="21"/>
                <w:szCs w:val="21"/>
                <w:highlight w:val="none"/>
                <w:lang w:eastAsia="zh-CN"/>
              </w:rPr>
            </w:pPr>
            <w:r>
              <w:rPr>
                <w:rFonts w:hint="eastAsia" w:ascii="宋体" w:hAnsi="宋体" w:cs="宋体"/>
                <w:color w:val="auto"/>
                <w:sz w:val="21"/>
                <w:szCs w:val="21"/>
                <w:highlight w:val="none"/>
                <w:lang w:eastAsia="zh-CN"/>
              </w:rPr>
              <w:t>拟派本项目团队情况（</w:t>
            </w:r>
            <w:r>
              <w:rPr>
                <w:rFonts w:hint="eastAsia" w:ascii="宋体" w:hAnsi="宋体" w:cs="宋体"/>
                <w:color w:val="auto"/>
                <w:sz w:val="21"/>
                <w:szCs w:val="21"/>
                <w:highlight w:val="none"/>
                <w:lang w:val="en-US" w:eastAsia="zh-CN"/>
              </w:rPr>
              <w:t>20分</w:t>
            </w:r>
            <w:r>
              <w:rPr>
                <w:rFonts w:hint="eastAsia" w:ascii="宋体" w:hAnsi="宋体" w:cs="宋体"/>
                <w:color w:val="auto"/>
                <w:sz w:val="21"/>
                <w:szCs w:val="21"/>
                <w:highlight w:val="none"/>
                <w:lang w:eastAsia="zh-CN"/>
              </w:rPr>
              <w:t>）</w:t>
            </w:r>
          </w:p>
        </w:tc>
        <w:tc>
          <w:tcPr>
            <w:tcW w:w="5290" w:type="dxa"/>
            <w:tcBorders>
              <w:top w:val="single" w:color="auto" w:sz="4" w:space="0"/>
              <w:left w:val="single" w:color="auto" w:sz="4" w:space="0"/>
              <w:right w:val="single" w:color="auto" w:sz="4" w:space="0"/>
            </w:tcBorders>
            <w:noWrap w:val="0"/>
            <w:vAlign w:val="center"/>
          </w:tcPr>
          <w:p w14:paraId="2499F55A">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1、总监理工程师：具有工程类高级（或以上）职称的，得10分。</w:t>
            </w:r>
          </w:p>
          <w:p w14:paraId="097A812D">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 w:val="21"/>
                <w:szCs w:val="21"/>
                <w:highlight w:val="none"/>
                <w:lang w:val="en-US" w:eastAsia="zh-CN"/>
              </w:rPr>
              <w:t>注：须提供上述有效的证书原件扫描件，否则不得分。</w:t>
            </w:r>
          </w:p>
        </w:tc>
      </w:tr>
      <w:tr w14:paraId="1304EEFC">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383" w:hRule="atLeast"/>
          <w:jc w:val="center"/>
        </w:trPr>
        <w:tc>
          <w:tcPr>
            <w:tcW w:w="1124" w:type="dxa"/>
            <w:vMerge w:val="continue"/>
            <w:tcBorders>
              <w:bottom w:val="single" w:color="auto" w:sz="4" w:space="0"/>
              <w:right w:val="single" w:color="auto" w:sz="4" w:space="0"/>
            </w:tcBorders>
            <w:noWrap w:val="0"/>
            <w:vAlign w:val="center"/>
          </w:tcPr>
          <w:p w14:paraId="195BA2BA">
            <w:pPr>
              <w:spacing w:line="240" w:lineRule="auto"/>
              <w:ind w:left="113" w:leftChars="54" w:right="141" w:rightChars="67" w:firstLine="1"/>
              <w:jc w:val="center"/>
              <w:rPr>
                <w:rFonts w:hint="eastAsia" w:ascii="宋体" w:hAnsi="宋体" w:cs="宋体"/>
                <w:color w:val="auto"/>
                <w:sz w:val="21"/>
                <w:szCs w:val="21"/>
                <w:highlight w:val="none"/>
              </w:rPr>
            </w:pPr>
          </w:p>
        </w:tc>
        <w:tc>
          <w:tcPr>
            <w:tcW w:w="1863" w:type="dxa"/>
            <w:vMerge w:val="continue"/>
            <w:tcBorders>
              <w:left w:val="single" w:color="auto" w:sz="4" w:space="0"/>
              <w:bottom w:val="single" w:color="auto" w:sz="4" w:space="0"/>
              <w:right w:val="single" w:color="auto" w:sz="4" w:space="0"/>
            </w:tcBorders>
            <w:noWrap w:val="0"/>
            <w:vAlign w:val="center"/>
          </w:tcPr>
          <w:p w14:paraId="233A90A3">
            <w:pPr>
              <w:spacing w:line="240" w:lineRule="auto"/>
              <w:ind w:left="113" w:leftChars="54" w:right="141" w:rightChars="67" w:firstLine="1" w:firstLineChars="0"/>
              <w:jc w:val="left"/>
              <w:rPr>
                <w:rFonts w:hint="eastAsia" w:ascii="宋体" w:hAnsi="宋体" w:cs="宋体"/>
                <w:color w:val="auto"/>
                <w:sz w:val="21"/>
                <w:szCs w:val="21"/>
                <w:highlight w:val="none"/>
              </w:rPr>
            </w:pPr>
          </w:p>
        </w:tc>
        <w:tc>
          <w:tcPr>
            <w:tcW w:w="5290" w:type="dxa"/>
            <w:tcBorders>
              <w:top w:val="single" w:color="auto" w:sz="4" w:space="0"/>
              <w:left w:val="single" w:color="auto" w:sz="4" w:space="0"/>
              <w:right w:val="single" w:color="auto" w:sz="4" w:space="0"/>
            </w:tcBorders>
            <w:noWrap w:val="0"/>
            <w:vAlign w:val="center"/>
          </w:tcPr>
          <w:p w14:paraId="06DD9BE9">
            <w:pPr>
              <w:spacing w:line="240" w:lineRule="auto"/>
              <w:ind w:left="0" w:leftChars="0" w:right="0" w:rightChars="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lang w:val="en-US" w:eastAsia="zh-CN"/>
              </w:rPr>
              <w:t>2、其他主要人员</w:t>
            </w:r>
          </w:p>
          <w:p w14:paraId="69A37E30">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（1）满足本项目监理机构人员配备要求的得6分，不满足不得分。</w:t>
            </w:r>
          </w:p>
          <w:p w14:paraId="2E6635ED">
            <w:pPr>
              <w:spacing w:line="240" w:lineRule="auto"/>
              <w:jc w:val="left"/>
              <w:rPr>
                <w:rFonts w:hint="eastAsia" w:ascii="宋体" w:hAnsi="宋体" w:eastAsia="宋体" w:cs="宋体"/>
                <w:color w:val="auto"/>
                <w:szCs w:val="21"/>
                <w:highlight w:val="none"/>
                <w:lang w:val="en-US" w:eastAsia="zh-CN"/>
              </w:rPr>
            </w:pPr>
            <w:r>
              <w:rPr>
                <w:rFonts w:hint="eastAsia" w:ascii="宋体" w:hAnsi="宋体" w:eastAsia="宋体" w:cs="宋体"/>
                <w:color w:val="auto"/>
                <w:szCs w:val="21"/>
                <w:highlight w:val="none"/>
                <w:lang w:val="en-US" w:eastAsia="zh-CN"/>
              </w:rPr>
              <w:t>（2）在专业监理人员配备中具有注册监理工程师或工程师职称的，每人加2分，最多得4分。</w:t>
            </w:r>
          </w:p>
        </w:tc>
      </w:tr>
      <w:tr w14:paraId="168A10F6">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456" w:hRule="atLeast"/>
          <w:jc w:val="center"/>
        </w:trPr>
        <w:tc>
          <w:tcPr>
            <w:tcW w:w="1124" w:type="dxa"/>
            <w:vMerge w:val="restart"/>
            <w:tcBorders>
              <w:top w:val="single" w:color="auto" w:sz="4" w:space="0"/>
              <w:right w:val="single" w:color="auto" w:sz="4" w:space="0"/>
            </w:tcBorders>
            <w:noWrap w:val="0"/>
            <w:vAlign w:val="center"/>
          </w:tcPr>
          <w:p w14:paraId="70F927D9">
            <w:pPr>
              <w:spacing w:line="240" w:lineRule="auto"/>
              <w:ind w:left="113" w:leftChars="54" w:right="141" w:rightChars="67" w:firstLine="1"/>
              <w:jc w:val="center"/>
              <w:rPr>
                <w:rFonts w:hint="eastAsia" w:ascii="宋体" w:hAnsi="宋体" w:cs="宋体"/>
                <w:color w:val="auto"/>
                <w:sz w:val="21"/>
                <w:szCs w:val="21"/>
                <w:highlight w:val="none"/>
              </w:rPr>
            </w:pPr>
            <w:r>
              <w:rPr>
                <w:rFonts w:hint="eastAsia" w:ascii="宋体" w:hAnsi="宋体" w:cs="宋体"/>
                <w:color w:val="auto"/>
                <w:sz w:val="21"/>
                <w:szCs w:val="21"/>
                <w:highlight w:val="none"/>
                <w:lang w:eastAsia="zh-CN"/>
              </w:rPr>
              <w:t>技术部分（</w:t>
            </w:r>
            <w:r>
              <w:rPr>
                <w:rFonts w:hint="eastAsia" w:ascii="宋体" w:hAnsi="宋体" w:cs="宋体"/>
                <w:color w:val="auto"/>
                <w:sz w:val="21"/>
                <w:szCs w:val="21"/>
                <w:highlight w:val="none"/>
                <w:lang w:val="en-US" w:eastAsia="zh-CN"/>
              </w:rPr>
              <w:t>3</w:t>
            </w:r>
            <w:r>
              <w:rPr>
                <w:rFonts w:hint="eastAsia" w:ascii="宋体" w:hAnsi="宋体" w:cs="宋体"/>
                <w:color w:val="auto"/>
                <w:sz w:val="21"/>
                <w:szCs w:val="21"/>
                <w:highlight w:val="none"/>
              </w:rPr>
              <w:t>0分）</w:t>
            </w:r>
          </w:p>
        </w:tc>
        <w:tc>
          <w:tcPr>
            <w:tcW w:w="1863" w:type="dxa"/>
            <w:tcBorders>
              <w:top w:val="single" w:color="auto" w:sz="4" w:space="0"/>
              <w:left w:val="single" w:color="auto" w:sz="4" w:space="0"/>
              <w:bottom w:val="single" w:color="auto" w:sz="4" w:space="0"/>
              <w:right w:val="single" w:color="auto" w:sz="4" w:space="0"/>
            </w:tcBorders>
            <w:noWrap w:val="0"/>
            <w:vAlign w:val="center"/>
          </w:tcPr>
          <w:p w14:paraId="645B9AAC">
            <w:pPr>
              <w:spacing w:line="240" w:lineRule="auto"/>
              <w:ind w:left="113" w:leftChars="54" w:right="141" w:rightChars="67" w:firstLine="1" w:firstLineChars="0"/>
              <w:jc w:val="left"/>
              <w:rPr>
                <w:rFonts w:hint="eastAsia" w:ascii="宋体" w:hAnsi="宋体" w:cs="宋体"/>
                <w:strike/>
                <w:color w:val="auto"/>
                <w:sz w:val="21"/>
                <w:szCs w:val="21"/>
                <w:highlight w:val="none"/>
              </w:rPr>
            </w:pPr>
            <w:r>
              <w:rPr>
                <w:rFonts w:hint="eastAsia" w:ascii="宋体" w:hAnsi="宋体" w:cs="宋体"/>
                <w:color w:val="auto"/>
                <w:sz w:val="21"/>
                <w:szCs w:val="21"/>
                <w:highlight w:val="none"/>
                <w:lang w:eastAsia="zh-CN"/>
              </w:rPr>
              <w:t>项目实施方案</w:t>
            </w:r>
            <w:r>
              <w:rPr>
                <w:rFonts w:hint="eastAsia" w:ascii="宋体" w:hAnsi="宋体" w:cs="宋体"/>
                <w:color w:val="auto"/>
                <w:sz w:val="21"/>
                <w:szCs w:val="21"/>
                <w:highlight w:val="none"/>
              </w:rPr>
              <w:t>（</w:t>
            </w:r>
            <w:r>
              <w:rPr>
                <w:rFonts w:hint="eastAsia" w:ascii="宋体" w:hAnsi="宋体" w:cs="宋体"/>
                <w:color w:val="auto"/>
                <w:sz w:val="21"/>
                <w:szCs w:val="21"/>
                <w:highlight w:val="none"/>
                <w:lang w:val="en-US" w:eastAsia="zh-CN"/>
              </w:rPr>
              <w:t>30</w:t>
            </w:r>
            <w:r>
              <w:rPr>
                <w:rFonts w:hint="eastAsia" w:ascii="宋体" w:hAnsi="宋体" w:cs="宋体"/>
                <w:color w:val="auto"/>
                <w:sz w:val="21"/>
                <w:szCs w:val="21"/>
                <w:highlight w:val="none"/>
              </w:rPr>
              <w:t>分）</w:t>
            </w:r>
          </w:p>
        </w:tc>
        <w:tc>
          <w:tcPr>
            <w:tcW w:w="5290" w:type="dxa"/>
            <w:tcBorders>
              <w:top w:val="single" w:color="auto" w:sz="4" w:space="0"/>
              <w:left w:val="single" w:color="auto" w:sz="4" w:space="0"/>
              <w:bottom w:val="single" w:color="auto" w:sz="4" w:space="0"/>
              <w:right w:val="single" w:color="auto" w:sz="4" w:space="0"/>
            </w:tcBorders>
            <w:noWrap w:val="0"/>
            <w:vAlign w:val="center"/>
          </w:tcPr>
          <w:p w14:paraId="59BEA602">
            <w:pPr>
              <w:spacing w:line="24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综合评价投标人实施方案</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包括但不限于</w:t>
            </w:r>
            <w:r>
              <w:rPr>
                <w:rFonts w:hint="eastAsia" w:ascii="宋体" w:hAnsi="宋体" w:eastAsia="宋体" w:cs="宋体"/>
                <w:color w:val="auto"/>
                <w:szCs w:val="21"/>
                <w:highlight w:val="none"/>
                <w:lang w:eastAsia="zh-CN"/>
              </w:rPr>
              <w:t>对项目的理解程度、重点难点分析情况，</w:t>
            </w:r>
            <w:r>
              <w:rPr>
                <w:rFonts w:hint="eastAsia" w:ascii="宋体" w:hAnsi="宋体" w:eastAsia="宋体" w:cs="宋体"/>
                <w:color w:val="auto"/>
                <w:szCs w:val="21"/>
                <w:highlight w:val="none"/>
              </w:rPr>
              <w:t>现场作业管理方案及措施、现场工作人员操作规范实施方案等</w:t>
            </w:r>
            <w:r>
              <w:rPr>
                <w:rFonts w:hint="eastAsia" w:ascii="宋体" w:hAnsi="宋体" w:eastAsia="宋体" w:cs="宋体"/>
                <w:color w:val="auto"/>
                <w:szCs w:val="21"/>
                <w:highlight w:val="none"/>
                <w:lang w:eastAsia="zh-CN"/>
              </w:rPr>
              <w:t>，</w:t>
            </w:r>
            <w:r>
              <w:rPr>
                <w:rFonts w:hint="eastAsia" w:ascii="宋体" w:hAnsi="宋体" w:eastAsia="宋体" w:cs="宋体"/>
                <w:color w:val="auto"/>
                <w:szCs w:val="21"/>
                <w:highlight w:val="none"/>
              </w:rPr>
              <w:t>投入本项目机械设备情况：</w:t>
            </w:r>
          </w:p>
          <w:p w14:paraId="0D6328C6">
            <w:pPr>
              <w:spacing w:line="24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1.优：方案内容齐全，措施有效可行、具有针对性，承诺详细具体，能满足本项目需求，得</w:t>
            </w:r>
            <w:r>
              <w:rPr>
                <w:rFonts w:hint="eastAsia" w:ascii="宋体" w:hAnsi="宋体" w:eastAsia="宋体" w:cs="宋体"/>
                <w:color w:val="auto"/>
                <w:szCs w:val="21"/>
                <w:highlight w:val="none"/>
                <w:lang w:val="en-US" w:eastAsia="zh-CN"/>
              </w:rPr>
              <w:t>30</w:t>
            </w:r>
            <w:r>
              <w:rPr>
                <w:rFonts w:hint="eastAsia" w:ascii="宋体" w:hAnsi="宋体" w:eastAsia="宋体" w:cs="宋体"/>
                <w:color w:val="auto"/>
                <w:szCs w:val="21"/>
                <w:highlight w:val="none"/>
              </w:rPr>
              <w:t>分；</w:t>
            </w:r>
          </w:p>
          <w:p w14:paraId="09648446">
            <w:pPr>
              <w:spacing w:line="240" w:lineRule="auto"/>
              <w:jc w:val="left"/>
              <w:rPr>
                <w:rFonts w:ascii="宋体" w:hAnsi="宋体" w:eastAsia="宋体" w:cs="宋体"/>
                <w:color w:val="auto"/>
                <w:szCs w:val="21"/>
                <w:highlight w:val="none"/>
              </w:rPr>
            </w:pPr>
            <w:r>
              <w:rPr>
                <w:rFonts w:hint="eastAsia" w:ascii="宋体" w:hAnsi="宋体" w:eastAsia="宋体" w:cs="宋体"/>
                <w:color w:val="auto"/>
                <w:szCs w:val="21"/>
                <w:highlight w:val="none"/>
              </w:rPr>
              <w:t>2.良：方案内容较齐全，措施较有效可行、具有针对性，承诺较详细具体，基本满足本项目需求，得</w:t>
            </w:r>
            <w:r>
              <w:rPr>
                <w:rFonts w:hint="eastAsia" w:ascii="宋体" w:hAnsi="宋体" w:eastAsia="宋体" w:cs="宋体"/>
                <w:color w:val="auto"/>
                <w:szCs w:val="21"/>
                <w:highlight w:val="none"/>
                <w:lang w:val="en-US" w:eastAsia="zh-CN"/>
              </w:rPr>
              <w:t>20</w:t>
            </w:r>
            <w:r>
              <w:rPr>
                <w:rFonts w:hint="eastAsia" w:ascii="宋体" w:hAnsi="宋体" w:eastAsia="宋体" w:cs="宋体"/>
                <w:color w:val="auto"/>
                <w:szCs w:val="21"/>
                <w:highlight w:val="none"/>
              </w:rPr>
              <w:t>分；</w:t>
            </w:r>
          </w:p>
          <w:p w14:paraId="7579CD1B">
            <w:pPr>
              <w:spacing w:line="240" w:lineRule="auto"/>
              <w:jc w:val="left"/>
              <w:rPr>
                <w:rFonts w:hint="eastAsia" w:ascii="宋体" w:hAnsi="宋体" w:eastAsia="宋体" w:cs="宋体"/>
                <w:color w:val="auto"/>
                <w:szCs w:val="21"/>
                <w:highlight w:val="none"/>
                <w:lang w:eastAsia="zh-CN"/>
              </w:rPr>
            </w:pPr>
            <w:r>
              <w:rPr>
                <w:rFonts w:hint="eastAsia" w:ascii="宋体" w:hAnsi="宋体" w:eastAsia="宋体" w:cs="宋体"/>
                <w:color w:val="auto"/>
                <w:szCs w:val="21"/>
                <w:highlight w:val="none"/>
              </w:rPr>
              <w:t>3.差：方案内容有缺漏，措施较有效可行、针对性一般，承诺较详细，较能满足本项目需求，得</w:t>
            </w:r>
            <w:r>
              <w:rPr>
                <w:rFonts w:hint="eastAsia" w:ascii="宋体" w:hAnsi="宋体" w:eastAsia="宋体" w:cs="宋体"/>
                <w:color w:val="auto"/>
                <w:spacing w:val="0"/>
                <w:szCs w:val="21"/>
                <w:highlight w:val="none"/>
                <w:lang w:val="en-US" w:eastAsia="zh-CN"/>
              </w:rPr>
              <w:t>10</w:t>
            </w:r>
            <w:r>
              <w:rPr>
                <w:rFonts w:hint="eastAsia" w:ascii="宋体" w:hAnsi="宋体" w:eastAsia="宋体" w:cs="宋体"/>
                <w:color w:val="auto"/>
                <w:szCs w:val="21"/>
                <w:highlight w:val="none"/>
              </w:rPr>
              <w:t>分</w:t>
            </w:r>
            <w:r>
              <w:rPr>
                <w:rFonts w:hint="eastAsia" w:ascii="宋体" w:hAnsi="宋体" w:eastAsia="宋体" w:cs="宋体"/>
                <w:color w:val="auto"/>
                <w:szCs w:val="21"/>
                <w:highlight w:val="none"/>
                <w:lang w:eastAsia="zh-CN"/>
              </w:rPr>
              <w:t>。</w:t>
            </w:r>
          </w:p>
          <w:p w14:paraId="4EC4DF46">
            <w:pPr>
              <w:spacing w:line="240" w:lineRule="auto"/>
              <w:ind w:left="0" w:leftChars="0" w:right="0" w:rightChars="0" w:firstLine="0" w:firstLineChars="0"/>
              <w:jc w:val="left"/>
              <w:rPr>
                <w:rFonts w:hint="eastAsia" w:ascii="宋体" w:hAnsi="宋体" w:eastAsia="宋体" w:cs="宋体"/>
                <w:strike w:val="0"/>
                <w:color w:val="auto"/>
                <w:sz w:val="21"/>
                <w:szCs w:val="21"/>
                <w:highlight w:val="none"/>
              </w:rPr>
            </w:pPr>
            <w:r>
              <w:rPr>
                <w:rFonts w:hint="eastAsia" w:ascii="宋体" w:hAnsi="宋体" w:eastAsia="宋体" w:cs="宋体"/>
                <w:color w:val="auto"/>
                <w:szCs w:val="21"/>
                <w:highlight w:val="none"/>
              </w:rPr>
              <w:t>不提供方案不得分。</w:t>
            </w:r>
          </w:p>
        </w:tc>
      </w:tr>
      <w:tr w14:paraId="360F66D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cantSplit/>
          <w:trHeight w:val="656" w:hRule="atLeast"/>
          <w:jc w:val="center"/>
        </w:trPr>
        <w:tc>
          <w:tcPr>
            <w:tcW w:w="2987" w:type="dxa"/>
            <w:gridSpan w:val="2"/>
            <w:tcBorders>
              <w:top w:val="single" w:color="auto" w:sz="4" w:space="0"/>
              <w:bottom w:val="single" w:color="auto" w:sz="4" w:space="0"/>
              <w:right w:val="single" w:color="auto" w:sz="4" w:space="0"/>
            </w:tcBorders>
            <w:noWrap w:val="0"/>
            <w:vAlign w:val="center"/>
          </w:tcPr>
          <w:p w14:paraId="5C2B018C">
            <w:pPr>
              <w:spacing w:line="240" w:lineRule="auto"/>
              <w:ind w:left="113" w:leftChars="54" w:right="141" w:rightChars="67" w:firstLine="1" w:firstLineChars="0"/>
              <w:jc w:val="center"/>
              <w:rPr>
                <w:rFonts w:hint="default" w:ascii="宋体" w:hAnsi="宋体" w:cs="宋体"/>
                <w:color w:val="auto"/>
                <w:sz w:val="21"/>
                <w:szCs w:val="21"/>
                <w:highlight w:val="none"/>
                <w:lang w:val="en-US" w:eastAsia="zh-CN" w:bidi="ar-SA"/>
              </w:rPr>
            </w:pPr>
            <w:r>
              <w:rPr>
                <w:rFonts w:hint="eastAsia" w:ascii="宋体" w:hAnsi="宋体" w:cs="宋体"/>
                <w:color w:val="auto"/>
                <w:sz w:val="21"/>
                <w:szCs w:val="21"/>
                <w:highlight w:val="none"/>
              </w:rPr>
              <w:t>报价得分（</w:t>
            </w:r>
            <w:r>
              <w:rPr>
                <w:rFonts w:hint="eastAsia" w:ascii="宋体" w:hAnsi="宋体" w:cs="宋体"/>
                <w:color w:val="auto"/>
                <w:sz w:val="21"/>
                <w:szCs w:val="21"/>
                <w:highlight w:val="none"/>
                <w:lang w:val="en-US" w:eastAsia="zh-CN"/>
              </w:rPr>
              <w:t>1</w:t>
            </w:r>
            <w:r>
              <w:rPr>
                <w:rFonts w:hint="eastAsia" w:ascii="宋体" w:hAnsi="宋体" w:cs="宋体"/>
                <w:color w:val="auto"/>
                <w:sz w:val="21"/>
                <w:szCs w:val="21"/>
                <w:highlight w:val="none"/>
              </w:rPr>
              <w:t>0分）</w:t>
            </w:r>
          </w:p>
        </w:tc>
        <w:tc>
          <w:tcPr>
            <w:tcW w:w="5290" w:type="dxa"/>
            <w:tcBorders>
              <w:top w:val="single" w:color="auto" w:sz="4" w:space="0"/>
              <w:left w:val="single" w:color="auto" w:sz="4" w:space="0"/>
              <w:bottom w:val="single" w:color="auto" w:sz="4" w:space="0"/>
              <w:right w:val="single" w:color="auto" w:sz="4" w:space="0"/>
            </w:tcBorders>
            <w:noWrap w:val="0"/>
            <w:tcMar>
              <w:left w:w="57" w:type="dxa"/>
              <w:right w:w="57" w:type="dxa"/>
            </w:tcMar>
            <w:vAlign w:val="center"/>
          </w:tcPr>
          <w:p w14:paraId="7CBE8DE9">
            <w:pPr>
              <w:spacing w:line="240" w:lineRule="auto"/>
              <w:ind w:right="141" w:rightChars="67" w:firstLine="0" w:firstLineChars="0"/>
              <w:jc w:val="left"/>
              <w:rPr>
                <w:rFonts w:hint="eastAsia" w:ascii="宋体" w:hAnsi="宋体" w:cs="宋体" w:eastAsiaTheme="minorEastAsia"/>
                <w:color w:val="auto"/>
                <w:szCs w:val="21"/>
                <w:highlight w:val="none"/>
                <w:lang w:eastAsia="zh-CN"/>
              </w:rPr>
            </w:pPr>
            <w:r>
              <w:rPr>
                <w:rFonts w:hint="eastAsia" w:ascii="宋体" w:hAnsi="宋体" w:cs="宋体" w:eastAsiaTheme="minorEastAsia"/>
                <w:color w:val="auto"/>
                <w:szCs w:val="21"/>
                <w:highlight w:val="none"/>
                <w:lang w:eastAsia="zh-CN"/>
              </w:rPr>
              <w:t>若经过符合性审查，（</w:t>
            </w:r>
            <w:r>
              <w:rPr>
                <w:rFonts w:hint="eastAsia" w:ascii="宋体" w:hAnsi="宋体" w:cs="宋体" w:eastAsiaTheme="minorEastAsia"/>
                <w:color w:val="auto"/>
                <w:szCs w:val="21"/>
                <w:highlight w:val="none"/>
                <w:lang w:val="en-US" w:eastAsia="zh-CN"/>
              </w:rPr>
              <w:t>1</w:t>
            </w:r>
            <w:r>
              <w:rPr>
                <w:rFonts w:hint="eastAsia" w:ascii="宋体" w:hAnsi="宋体" w:cs="宋体" w:eastAsiaTheme="minorEastAsia"/>
                <w:color w:val="auto"/>
                <w:szCs w:val="21"/>
                <w:highlight w:val="none"/>
                <w:lang w:eastAsia="zh-CN"/>
              </w:rPr>
              <w:t>）入围投标单位为</w:t>
            </w:r>
            <w:r>
              <w:rPr>
                <w:rFonts w:hint="eastAsia" w:ascii="宋体" w:hAnsi="宋体" w:cs="宋体" w:eastAsiaTheme="minorEastAsia"/>
                <w:color w:val="auto"/>
                <w:szCs w:val="21"/>
                <w:highlight w:val="none"/>
                <w:lang w:val="en-US" w:eastAsia="zh-CN"/>
              </w:rPr>
              <w:t>3至5家的，则</w:t>
            </w:r>
            <w:r>
              <w:rPr>
                <w:rFonts w:hint="eastAsia" w:ascii="宋体" w:hAnsi="宋体" w:cs="宋体" w:eastAsiaTheme="minorEastAsia"/>
                <w:color w:val="auto"/>
                <w:szCs w:val="21"/>
                <w:highlight w:val="none"/>
              </w:rPr>
              <w:t>报价部分以</w:t>
            </w:r>
            <w:r>
              <w:rPr>
                <w:rFonts w:hint="eastAsia" w:ascii="宋体" w:hAnsi="宋体" w:cs="宋体" w:eastAsiaTheme="minorEastAsia"/>
                <w:color w:val="auto"/>
                <w:szCs w:val="21"/>
                <w:highlight w:val="none"/>
                <w:lang w:eastAsia="zh-CN"/>
              </w:rPr>
              <w:t>入围投标</w:t>
            </w:r>
            <w:r>
              <w:rPr>
                <w:rFonts w:hint="eastAsia" w:ascii="宋体" w:hAnsi="宋体" w:cs="宋体" w:eastAsiaTheme="minorEastAsia"/>
                <w:color w:val="auto"/>
                <w:szCs w:val="21"/>
                <w:highlight w:val="none"/>
              </w:rPr>
              <w:t>单位的有效</w:t>
            </w:r>
            <w:r>
              <w:rPr>
                <w:rFonts w:hint="eastAsia" w:ascii="宋体" w:hAnsi="宋体" w:cs="宋体" w:eastAsiaTheme="minorEastAsia"/>
                <w:color w:val="auto"/>
                <w:szCs w:val="21"/>
                <w:highlight w:val="none"/>
                <w:lang w:eastAsia="zh-CN"/>
              </w:rPr>
              <w:t>总</w:t>
            </w:r>
            <w:r>
              <w:rPr>
                <w:rFonts w:hint="eastAsia" w:ascii="宋体" w:hAnsi="宋体" w:cs="宋体" w:eastAsiaTheme="minorEastAsia"/>
                <w:color w:val="auto"/>
                <w:szCs w:val="21"/>
                <w:highlight w:val="none"/>
              </w:rPr>
              <w:t>报价的</w:t>
            </w:r>
            <w:r>
              <w:rPr>
                <w:rFonts w:hint="eastAsia" w:ascii="宋体" w:hAnsi="宋体" w:cs="宋体" w:eastAsiaTheme="minorEastAsia"/>
                <w:color w:val="auto"/>
                <w:szCs w:val="21"/>
                <w:highlight w:val="none"/>
                <w:lang w:eastAsia="zh-CN"/>
              </w:rPr>
              <w:t>算术</w:t>
            </w:r>
            <w:r>
              <w:rPr>
                <w:rFonts w:hint="eastAsia" w:ascii="宋体" w:hAnsi="宋体" w:cs="宋体" w:eastAsiaTheme="minorEastAsia"/>
                <w:color w:val="auto"/>
                <w:szCs w:val="21"/>
                <w:highlight w:val="none"/>
              </w:rPr>
              <w:t>平均</w:t>
            </w:r>
            <w:r>
              <w:rPr>
                <w:rFonts w:hint="eastAsia" w:ascii="宋体" w:hAnsi="宋体" w:cs="宋体" w:eastAsiaTheme="minorEastAsia"/>
                <w:color w:val="auto"/>
                <w:szCs w:val="21"/>
                <w:highlight w:val="none"/>
                <w:lang w:eastAsia="zh-CN"/>
              </w:rPr>
              <w:t>值</w:t>
            </w:r>
            <w:r>
              <w:rPr>
                <w:rFonts w:hint="eastAsia" w:ascii="宋体" w:hAnsi="宋体" w:cs="宋体" w:eastAsiaTheme="minorEastAsia"/>
                <w:color w:val="auto"/>
                <w:szCs w:val="21"/>
                <w:highlight w:val="none"/>
              </w:rPr>
              <w:t>作为基准价</w:t>
            </w:r>
            <w:r>
              <w:rPr>
                <w:rFonts w:hint="eastAsia" w:ascii="宋体" w:hAnsi="宋体" w:cs="宋体" w:eastAsiaTheme="minorEastAsia"/>
                <w:color w:val="auto"/>
                <w:szCs w:val="21"/>
                <w:highlight w:val="none"/>
                <w:lang w:eastAsia="zh-CN"/>
              </w:rPr>
              <w:t>；（</w:t>
            </w:r>
            <w:r>
              <w:rPr>
                <w:rFonts w:hint="eastAsia" w:ascii="宋体" w:hAnsi="宋体" w:cs="宋体" w:eastAsiaTheme="minorEastAsia"/>
                <w:color w:val="auto"/>
                <w:szCs w:val="21"/>
                <w:highlight w:val="none"/>
                <w:lang w:val="en-US" w:eastAsia="zh-CN"/>
              </w:rPr>
              <w:t>2</w:t>
            </w:r>
            <w:r>
              <w:rPr>
                <w:rFonts w:hint="eastAsia" w:ascii="宋体" w:hAnsi="宋体" w:cs="宋体" w:eastAsiaTheme="minorEastAsia"/>
                <w:color w:val="auto"/>
                <w:szCs w:val="21"/>
                <w:highlight w:val="none"/>
                <w:lang w:eastAsia="zh-CN"/>
              </w:rPr>
              <w:t>）入围投标单位为</w:t>
            </w:r>
            <w:r>
              <w:rPr>
                <w:rFonts w:hint="eastAsia" w:ascii="宋体" w:hAnsi="宋体" w:cs="宋体" w:eastAsiaTheme="minorEastAsia"/>
                <w:color w:val="auto"/>
                <w:szCs w:val="21"/>
                <w:highlight w:val="none"/>
                <w:lang w:val="en-US" w:eastAsia="zh-CN"/>
              </w:rPr>
              <w:t>6家或以上的，则去掉一家最高报价、一家最低报价后，</w:t>
            </w:r>
            <w:r>
              <w:rPr>
                <w:rFonts w:hint="eastAsia" w:ascii="宋体" w:hAnsi="宋体" w:cs="宋体" w:eastAsiaTheme="minorEastAsia"/>
                <w:color w:val="auto"/>
                <w:szCs w:val="21"/>
                <w:highlight w:val="none"/>
              </w:rPr>
              <w:t>报价部分以</w:t>
            </w:r>
            <w:r>
              <w:rPr>
                <w:rFonts w:hint="eastAsia" w:ascii="宋体" w:hAnsi="宋体" w:cs="宋体" w:eastAsiaTheme="minorEastAsia"/>
                <w:color w:val="auto"/>
                <w:szCs w:val="21"/>
                <w:highlight w:val="none"/>
                <w:lang w:val="en-US" w:eastAsia="zh-CN"/>
              </w:rPr>
              <w:t>剩余</w:t>
            </w:r>
            <w:r>
              <w:rPr>
                <w:rFonts w:hint="eastAsia" w:ascii="宋体" w:hAnsi="宋体" w:cs="宋体" w:eastAsiaTheme="minorEastAsia"/>
                <w:color w:val="auto"/>
                <w:szCs w:val="21"/>
                <w:highlight w:val="none"/>
                <w:lang w:eastAsia="zh-CN"/>
              </w:rPr>
              <w:t>入围投标</w:t>
            </w:r>
            <w:r>
              <w:rPr>
                <w:rFonts w:hint="eastAsia" w:ascii="宋体" w:hAnsi="宋体" w:cs="宋体" w:eastAsiaTheme="minorEastAsia"/>
                <w:color w:val="auto"/>
                <w:szCs w:val="21"/>
                <w:highlight w:val="none"/>
              </w:rPr>
              <w:t>单位</w:t>
            </w:r>
            <w:r>
              <w:rPr>
                <w:rFonts w:hint="eastAsia" w:ascii="宋体" w:hAnsi="宋体" w:cs="宋体" w:eastAsiaTheme="minorEastAsia"/>
                <w:color w:val="auto"/>
                <w:szCs w:val="21"/>
                <w:highlight w:val="none"/>
                <w:lang w:eastAsia="zh-CN"/>
              </w:rPr>
              <w:t>有效报价的算术</w:t>
            </w:r>
            <w:r>
              <w:rPr>
                <w:rFonts w:hint="eastAsia" w:ascii="宋体" w:hAnsi="宋体" w:cs="宋体" w:eastAsiaTheme="minorEastAsia"/>
                <w:color w:val="auto"/>
                <w:szCs w:val="21"/>
                <w:highlight w:val="none"/>
              </w:rPr>
              <w:t>平均</w:t>
            </w:r>
            <w:r>
              <w:rPr>
                <w:rFonts w:hint="eastAsia" w:ascii="宋体" w:hAnsi="宋体" w:cs="宋体" w:eastAsiaTheme="minorEastAsia"/>
                <w:color w:val="auto"/>
                <w:szCs w:val="21"/>
                <w:highlight w:val="none"/>
                <w:lang w:eastAsia="zh-CN"/>
              </w:rPr>
              <w:t>值</w:t>
            </w:r>
            <w:r>
              <w:rPr>
                <w:rFonts w:hint="eastAsia" w:ascii="宋体" w:hAnsi="宋体" w:cs="宋体" w:eastAsiaTheme="minorEastAsia"/>
                <w:color w:val="auto"/>
                <w:szCs w:val="21"/>
                <w:highlight w:val="none"/>
              </w:rPr>
              <w:t>作为基准价</w:t>
            </w:r>
            <w:r>
              <w:rPr>
                <w:rFonts w:hint="eastAsia" w:ascii="宋体" w:hAnsi="宋体" w:cs="宋体" w:eastAsiaTheme="minorEastAsia"/>
                <w:color w:val="auto"/>
                <w:szCs w:val="21"/>
                <w:highlight w:val="none"/>
                <w:lang w:eastAsia="zh-CN"/>
              </w:rPr>
              <w:t>。</w:t>
            </w:r>
          </w:p>
          <w:p w14:paraId="0FD4E239">
            <w:pPr>
              <w:spacing w:line="240" w:lineRule="auto"/>
              <w:ind w:left="0" w:leftChars="0" w:right="141" w:rightChars="67" w:firstLine="0" w:firstLineChars="0"/>
              <w:jc w:val="left"/>
              <w:rPr>
                <w:rFonts w:hint="eastAsia" w:ascii="宋体" w:hAnsi="宋体" w:eastAsia="宋体" w:cs="宋体"/>
                <w:color w:val="auto"/>
                <w:sz w:val="21"/>
                <w:szCs w:val="21"/>
                <w:highlight w:val="none"/>
                <w:lang w:val="en-US" w:eastAsia="zh-CN" w:bidi="ar-SA"/>
              </w:rPr>
            </w:pPr>
            <w:r>
              <w:rPr>
                <w:rFonts w:hint="eastAsia" w:ascii="宋体" w:hAnsi="宋体" w:cs="宋体" w:eastAsiaTheme="minorEastAsia"/>
                <w:color w:val="auto"/>
                <w:szCs w:val="21"/>
                <w:highlight w:val="none"/>
                <w:lang w:val="en-US" w:eastAsia="zh-CN"/>
              </w:rPr>
              <w:t>投标报价得分以评标基准价作为计算各有效投标报价得分的基础，当有效投标报价等于评标基准价时得10分；</w:t>
            </w:r>
            <w:r>
              <w:rPr>
                <w:rFonts w:hint="eastAsia" w:ascii="宋体" w:hAnsi="宋体" w:cs="宋体" w:eastAsiaTheme="minorEastAsia"/>
                <w:color w:val="auto"/>
                <w:sz w:val="21"/>
                <w:szCs w:val="21"/>
                <w:highlight w:val="none"/>
              </w:rPr>
              <w:t>投标有效报价与评标基准价</w:t>
            </w:r>
            <w:r>
              <w:rPr>
                <w:rFonts w:hint="eastAsia" w:ascii="宋体" w:hAnsi="宋体" w:cs="宋体"/>
                <w:color w:val="auto"/>
                <w:sz w:val="21"/>
                <w:szCs w:val="21"/>
                <w:highlight w:val="none"/>
                <w:lang w:val="en-US" w:eastAsia="zh-CN"/>
              </w:rPr>
              <w:t>相比</w:t>
            </w:r>
            <w:r>
              <w:rPr>
                <w:rFonts w:hint="eastAsia" w:ascii="宋体" w:hAnsi="宋体" w:cs="宋体" w:eastAsiaTheme="minorEastAsia"/>
                <w:color w:val="auto"/>
                <w:sz w:val="21"/>
                <w:szCs w:val="21"/>
                <w:highlight w:val="none"/>
              </w:rPr>
              <w:t>，每上偏1%扣</w:t>
            </w:r>
            <w:r>
              <w:rPr>
                <w:rFonts w:hint="eastAsia" w:ascii="宋体" w:hAnsi="宋体" w:cs="宋体" w:eastAsiaTheme="minorEastAsia"/>
                <w:color w:val="auto"/>
                <w:sz w:val="21"/>
                <w:szCs w:val="21"/>
                <w:highlight w:val="none"/>
                <w:lang w:val="en-US" w:eastAsia="zh-CN"/>
              </w:rPr>
              <w:t>1</w:t>
            </w:r>
            <w:r>
              <w:rPr>
                <w:rFonts w:hint="eastAsia" w:ascii="宋体" w:hAnsi="宋体" w:cs="宋体" w:eastAsiaTheme="minorEastAsia"/>
                <w:color w:val="auto"/>
                <w:sz w:val="21"/>
                <w:szCs w:val="21"/>
                <w:highlight w:val="none"/>
              </w:rPr>
              <w:t>分，下偏1%扣0.</w:t>
            </w:r>
            <w:r>
              <w:rPr>
                <w:rFonts w:hint="eastAsia" w:ascii="宋体" w:hAnsi="宋体" w:cs="宋体" w:eastAsiaTheme="minorEastAsia"/>
                <w:color w:val="auto"/>
                <w:sz w:val="21"/>
                <w:szCs w:val="21"/>
                <w:highlight w:val="none"/>
                <w:lang w:val="en-US" w:eastAsia="zh-CN"/>
              </w:rPr>
              <w:t>5</w:t>
            </w:r>
            <w:r>
              <w:rPr>
                <w:rFonts w:hint="eastAsia" w:ascii="宋体" w:hAnsi="宋体" w:cs="宋体" w:eastAsiaTheme="minorEastAsia"/>
                <w:color w:val="auto"/>
                <w:sz w:val="21"/>
                <w:szCs w:val="21"/>
                <w:highlight w:val="none"/>
              </w:rPr>
              <w:t>分，</w:t>
            </w:r>
            <w:r>
              <w:rPr>
                <w:rFonts w:hint="eastAsia" w:ascii="宋体" w:hAnsi="宋体" w:cs="宋体" w:eastAsiaTheme="minorEastAsia"/>
                <w:color w:val="auto"/>
                <w:sz w:val="21"/>
                <w:szCs w:val="21"/>
                <w:highlight w:val="none"/>
                <w:lang w:eastAsia="zh-CN"/>
              </w:rPr>
              <w:t>中间分值采用插值计算，</w:t>
            </w:r>
            <w:r>
              <w:rPr>
                <w:rFonts w:hint="eastAsia" w:ascii="宋体" w:hAnsi="宋体" w:cs="宋体" w:eastAsiaTheme="minorEastAsia"/>
                <w:color w:val="auto"/>
                <w:sz w:val="21"/>
                <w:szCs w:val="21"/>
                <w:highlight w:val="none"/>
                <w:lang w:val="en-US" w:eastAsia="zh-CN"/>
              </w:rPr>
              <w:t>保留小数点后两位，小数点后第三位采用四舍五入方式</w:t>
            </w:r>
            <w:r>
              <w:rPr>
                <w:rFonts w:hint="eastAsia" w:ascii="宋体" w:hAnsi="宋体" w:eastAsia="宋体" w:cs="宋体"/>
                <w:color w:val="auto"/>
                <w:sz w:val="21"/>
                <w:szCs w:val="21"/>
                <w:highlight w:val="none"/>
                <w:lang w:val="en-US" w:eastAsia="zh-CN"/>
              </w:rPr>
              <w:t>计算，</w:t>
            </w:r>
            <w:r>
              <w:rPr>
                <w:rFonts w:hint="eastAsia" w:ascii="宋体" w:hAnsi="宋体" w:eastAsia="宋体" w:cs="宋体"/>
                <w:color w:val="auto"/>
                <w:sz w:val="21"/>
                <w:szCs w:val="21"/>
                <w:highlight w:val="none"/>
              </w:rPr>
              <w:t>最多扣</w:t>
            </w:r>
            <w:r>
              <w:rPr>
                <w:rFonts w:hint="eastAsia" w:ascii="宋体" w:hAnsi="宋体" w:cs="宋体"/>
                <w:color w:val="auto"/>
                <w:sz w:val="21"/>
                <w:szCs w:val="21"/>
                <w:highlight w:val="none"/>
                <w:lang w:val="en-US" w:eastAsia="zh-CN"/>
              </w:rPr>
              <w:t>1</w:t>
            </w:r>
            <w:r>
              <w:rPr>
                <w:rFonts w:hint="eastAsia" w:ascii="宋体" w:hAnsi="宋体" w:eastAsia="宋体" w:cs="宋体"/>
                <w:color w:val="auto"/>
                <w:sz w:val="21"/>
                <w:szCs w:val="21"/>
                <w:highlight w:val="none"/>
              </w:rPr>
              <w:t>0分</w:t>
            </w:r>
            <w:r>
              <w:rPr>
                <w:rFonts w:hint="eastAsia" w:ascii="宋体" w:hAnsi="宋体" w:eastAsia="宋体" w:cs="宋体"/>
                <w:color w:val="auto"/>
                <w:sz w:val="21"/>
                <w:szCs w:val="21"/>
                <w:highlight w:val="none"/>
                <w:lang w:eastAsia="zh-CN"/>
              </w:rPr>
              <w:t>。</w:t>
            </w:r>
          </w:p>
        </w:tc>
      </w:tr>
    </w:tbl>
    <w:p w14:paraId="2A91E383">
      <w:pPr>
        <w:snapToGrid w:val="0"/>
        <w:ind w:left="74"/>
        <w:rPr>
          <w:rFonts w:ascii="仿宋" w:hAnsi="仿宋" w:eastAsia="仿宋" w:cs="宋体"/>
          <w:color w:val="auto"/>
          <w:sz w:val="24"/>
          <w:highlight w:val="none"/>
        </w:rPr>
      </w:pPr>
    </w:p>
    <w:p w14:paraId="37E015BA">
      <w:pPr>
        <w:pStyle w:val="22"/>
        <w:spacing w:line="340" w:lineRule="exact"/>
        <w:ind w:left="0" w:leftChars="0" w:firstLine="0" w:firstLineChars="0"/>
        <w:rPr>
          <w:rFonts w:hint="eastAsia"/>
          <w:color w:val="auto"/>
          <w:sz w:val="21"/>
          <w:szCs w:val="21"/>
          <w:highlight w:val="none"/>
        </w:rPr>
      </w:pPr>
      <w:r>
        <w:rPr>
          <w:rFonts w:hint="eastAsia"/>
          <w:color w:val="auto"/>
          <w:sz w:val="21"/>
          <w:szCs w:val="21"/>
          <w:highlight w:val="none"/>
        </w:rPr>
        <w:t>说明：</w:t>
      </w:r>
    </w:p>
    <w:p w14:paraId="78455E9F">
      <w:pPr>
        <w:pStyle w:val="22"/>
        <w:numPr>
          <w:ilvl w:val="0"/>
          <w:numId w:val="4"/>
        </w:numPr>
        <w:spacing w:line="340" w:lineRule="exact"/>
        <w:ind w:left="0" w:leftChars="0" w:firstLine="436" w:firstLineChars="200"/>
        <w:rPr>
          <w:rFonts w:hint="eastAsia"/>
          <w:color w:val="auto"/>
          <w:sz w:val="21"/>
          <w:szCs w:val="21"/>
          <w:highlight w:val="none"/>
        </w:rPr>
      </w:pPr>
      <w:r>
        <w:rPr>
          <w:rFonts w:hint="eastAsia"/>
          <w:color w:val="auto"/>
          <w:sz w:val="21"/>
          <w:szCs w:val="21"/>
          <w:highlight w:val="none"/>
          <w:lang w:val="en-US" w:eastAsia="zh-CN"/>
        </w:rPr>
        <w:t>企业类似工程监理业绩是指：市政公用工程监理业绩。</w:t>
      </w:r>
      <w:r>
        <w:rPr>
          <w:rFonts w:hint="eastAsia" w:ascii="Times New Roman" w:hAnsi="Times New Roman" w:eastAsia="宋体" w:cs="Times New Roman"/>
          <w:color w:val="auto"/>
          <w:sz w:val="21"/>
          <w:szCs w:val="21"/>
          <w:highlight w:val="none"/>
        </w:rPr>
        <w:t>需</w:t>
      </w:r>
      <w:r>
        <w:rPr>
          <w:rFonts w:hint="eastAsia" w:ascii="Times New Roman" w:hAnsi="Times New Roman" w:cs="Times New Roman"/>
          <w:color w:val="auto"/>
          <w:sz w:val="21"/>
          <w:szCs w:val="21"/>
          <w:highlight w:val="none"/>
          <w:lang w:eastAsia="zh-CN"/>
        </w:rPr>
        <w:t>同时</w:t>
      </w:r>
      <w:r>
        <w:rPr>
          <w:rFonts w:hint="eastAsia" w:ascii="Times New Roman" w:hAnsi="Times New Roman" w:eastAsia="宋体" w:cs="Times New Roman"/>
          <w:color w:val="auto"/>
          <w:sz w:val="21"/>
          <w:szCs w:val="21"/>
          <w:highlight w:val="none"/>
        </w:rPr>
        <w:t>提供中标通知书或免招标的相关证明、</w:t>
      </w:r>
      <w:r>
        <w:rPr>
          <w:rFonts w:hint="eastAsia" w:ascii="Times New Roman" w:hAnsi="Times New Roman" w:cs="Times New Roman"/>
          <w:color w:val="auto"/>
          <w:sz w:val="21"/>
          <w:szCs w:val="21"/>
          <w:highlight w:val="none"/>
          <w:lang w:eastAsia="zh-CN"/>
        </w:rPr>
        <w:t>施工</w:t>
      </w:r>
      <w:r>
        <w:rPr>
          <w:rFonts w:hint="eastAsia" w:ascii="Times New Roman" w:hAnsi="Times New Roman" w:eastAsia="宋体" w:cs="Times New Roman"/>
          <w:color w:val="auto"/>
          <w:sz w:val="21"/>
          <w:szCs w:val="21"/>
          <w:highlight w:val="none"/>
        </w:rPr>
        <w:t>监理</w:t>
      </w:r>
      <w:r>
        <w:rPr>
          <w:rFonts w:hint="eastAsia"/>
          <w:color w:val="auto"/>
          <w:sz w:val="21"/>
          <w:szCs w:val="21"/>
          <w:highlight w:val="none"/>
        </w:rPr>
        <w:t>合同、竣工验收报告</w:t>
      </w:r>
      <w:r>
        <w:rPr>
          <w:rFonts w:hint="eastAsia"/>
          <w:color w:val="auto"/>
          <w:sz w:val="21"/>
          <w:szCs w:val="21"/>
          <w:highlight w:val="none"/>
          <w:lang w:eastAsia="zh-CN"/>
        </w:rPr>
        <w:t>或竣工验收证明</w:t>
      </w:r>
      <w:r>
        <w:rPr>
          <w:rFonts w:hint="eastAsia"/>
          <w:color w:val="auto"/>
          <w:sz w:val="21"/>
          <w:szCs w:val="21"/>
          <w:highlight w:val="none"/>
        </w:rPr>
        <w:t>，</w:t>
      </w:r>
      <w:r>
        <w:rPr>
          <w:rFonts w:hint="eastAsia"/>
          <w:color w:val="auto"/>
          <w:sz w:val="21"/>
          <w:szCs w:val="21"/>
          <w:highlight w:val="none"/>
          <w:lang w:eastAsia="zh-CN"/>
        </w:rPr>
        <w:t>业绩</w:t>
      </w:r>
      <w:r>
        <w:rPr>
          <w:rFonts w:hint="eastAsia"/>
          <w:color w:val="auto"/>
          <w:sz w:val="21"/>
          <w:szCs w:val="21"/>
          <w:highlight w:val="none"/>
        </w:rPr>
        <w:t>时间以竣工验收报告或竣工验收证明为准</w:t>
      </w:r>
      <w:r>
        <w:rPr>
          <w:rFonts w:hint="eastAsia"/>
          <w:color w:val="auto"/>
          <w:sz w:val="21"/>
          <w:szCs w:val="21"/>
          <w:highlight w:val="none"/>
          <w:lang w:eastAsia="zh-CN"/>
        </w:rPr>
        <w:t>。</w:t>
      </w:r>
    </w:p>
    <w:p w14:paraId="42E2D175">
      <w:pPr>
        <w:pStyle w:val="22"/>
        <w:numPr>
          <w:ilvl w:val="0"/>
          <w:numId w:val="4"/>
        </w:numPr>
        <w:spacing w:line="340" w:lineRule="exact"/>
        <w:ind w:left="0" w:leftChars="0" w:firstLine="436" w:firstLineChars="200"/>
        <w:rPr>
          <w:rFonts w:hint="eastAsia"/>
          <w:color w:val="auto"/>
          <w:sz w:val="21"/>
          <w:szCs w:val="21"/>
          <w:highlight w:val="none"/>
          <w:lang w:eastAsia="zh-CN"/>
        </w:rPr>
      </w:pPr>
      <w:r>
        <w:rPr>
          <w:rFonts w:hint="eastAsia"/>
          <w:color w:val="auto"/>
          <w:sz w:val="21"/>
          <w:szCs w:val="21"/>
          <w:highlight w:val="none"/>
        </w:rPr>
        <w:t>“A级纳税人称号”以“国家税务总局”官网（http://www.chinatax.gov.cn/index.html）查询结果</w:t>
      </w:r>
      <w:r>
        <w:rPr>
          <w:rFonts w:hint="eastAsia"/>
          <w:color w:val="auto"/>
          <w:sz w:val="21"/>
          <w:szCs w:val="21"/>
          <w:highlight w:val="none"/>
          <w:lang w:eastAsia="zh-CN"/>
        </w:rPr>
        <w:t>或纳税信用</w:t>
      </w:r>
      <w:r>
        <w:rPr>
          <w:rFonts w:hint="eastAsia"/>
          <w:color w:val="auto"/>
          <w:sz w:val="21"/>
          <w:szCs w:val="21"/>
          <w:highlight w:val="none"/>
          <w:lang w:val="en-US" w:eastAsia="zh-CN"/>
        </w:rPr>
        <w:t>A级荣誉证书</w:t>
      </w:r>
      <w:r>
        <w:rPr>
          <w:rFonts w:hint="eastAsia"/>
          <w:color w:val="auto"/>
          <w:sz w:val="21"/>
          <w:szCs w:val="21"/>
          <w:highlight w:val="none"/>
        </w:rPr>
        <w:t>为准，纳税人等级只计算投标人自身（不计算投标人的分公司和子公司）。投标人须提供在上述官网</w:t>
      </w:r>
      <w:r>
        <w:rPr>
          <w:rFonts w:hint="eastAsia"/>
          <w:color w:val="auto"/>
          <w:sz w:val="21"/>
          <w:szCs w:val="21"/>
          <w:highlight w:val="none"/>
          <w:lang w:eastAsia="zh-CN"/>
        </w:rPr>
        <w:t>网站</w:t>
      </w:r>
      <w:r>
        <w:rPr>
          <w:rFonts w:hint="eastAsia"/>
          <w:color w:val="auto"/>
          <w:sz w:val="21"/>
          <w:szCs w:val="21"/>
          <w:highlight w:val="none"/>
        </w:rPr>
        <w:t>的</w:t>
      </w:r>
      <w:r>
        <w:rPr>
          <w:rFonts w:hint="eastAsia"/>
          <w:color w:val="auto"/>
          <w:sz w:val="21"/>
          <w:szCs w:val="21"/>
          <w:highlight w:val="none"/>
          <w:lang w:eastAsia="zh-CN"/>
        </w:rPr>
        <w:t>有效</w:t>
      </w:r>
      <w:r>
        <w:rPr>
          <w:rFonts w:hint="eastAsia"/>
          <w:color w:val="auto"/>
          <w:sz w:val="21"/>
          <w:szCs w:val="21"/>
          <w:highlight w:val="none"/>
        </w:rPr>
        <w:t>查询结果网页截图</w:t>
      </w:r>
      <w:r>
        <w:rPr>
          <w:rFonts w:hint="eastAsia"/>
          <w:color w:val="auto"/>
          <w:sz w:val="21"/>
          <w:szCs w:val="21"/>
          <w:highlight w:val="none"/>
          <w:lang w:eastAsia="zh-CN"/>
        </w:rPr>
        <w:t>或证书扫描件</w:t>
      </w:r>
      <w:r>
        <w:rPr>
          <w:rFonts w:hint="eastAsia"/>
          <w:color w:val="auto"/>
          <w:sz w:val="21"/>
          <w:szCs w:val="21"/>
          <w:highlight w:val="none"/>
        </w:rPr>
        <w:t>。</w:t>
      </w:r>
      <w:r>
        <w:rPr>
          <w:rFonts w:hint="eastAsia"/>
          <w:color w:val="auto"/>
          <w:sz w:val="21"/>
          <w:szCs w:val="21"/>
          <w:highlight w:val="none"/>
          <w:lang w:eastAsia="zh-CN"/>
        </w:rPr>
        <w:t>时间以评价年度为准。</w:t>
      </w:r>
    </w:p>
    <w:p w14:paraId="2C572761">
      <w:pPr>
        <w:numPr>
          <w:ilvl w:val="-1"/>
          <w:numId w:val="0"/>
        </w:numPr>
        <w:ind w:firstLine="420" w:firstLineChars="200"/>
        <w:rPr>
          <w:color w:val="auto"/>
          <w:highlight w:val="none"/>
        </w:rPr>
      </w:pPr>
      <w:r>
        <w:rPr>
          <w:rFonts w:hint="eastAsia" w:ascii="宋体" w:hAnsi="宋体" w:cs="宋体"/>
          <w:color w:val="auto"/>
          <w:sz w:val="21"/>
          <w:szCs w:val="21"/>
          <w:highlight w:val="none"/>
          <w:lang w:val="en-US" w:eastAsia="zh-CN"/>
        </w:rPr>
        <w:t>3、 须提供上述证书原件扫描件，否则不得分。</w:t>
      </w:r>
    </w:p>
    <w:p w14:paraId="19DB7F32">
      <w:pPr>
        <w:pStyle w:val="22"/>
        <w:numPr>
          <w:ilvl w:val="-1"/>
          <w:numId w:val="0"/>
        </w:numPr>
        <w:spacing w:line="340" w:lineRule="exact"/>
        <w:ind w:left="420" w:leftChars="200" w:firstLine="0" w:firstLineChars="0"/>
        <w:rPr>
          <w:rFonts w:hint="eastAsia"/>
          <w:color w:val="auto"/>
          <w:sz w:val="21"/>
          <w:szCs w:val="21"/>
          <w:highlight w:val="none"/>
        </w:rPr>
      </w:pPr>
    </w:p>
    <w:p w14:paraId="0E5D215D">
      <w:pPr>
        <w:snapToGrid w:val="0"/>
        <w:ind w:left="74" w:firstLine="420" w:firstLineChars="200"/>
        <w:rPr>
          <w:rFonts w:ascii="仿宋" w:hAnsi="仿宋" w:eastAsia="仿宋" w:cs="仿宋"/>
          <w:color w:val="auto"/>
          <w:szCs w:val="21"/>
          <w:highlight w:val="none"/>
        </w:rPr>
      </w:pPr>
      <w:r>
        <w:rPr>
          <w:rFonts w:hint="eastAsia" w:ascii="宋体" w:hAnsi="宋体" w:cs="宋体"/>
          <w:color w:val="auto"/>
          <w:szCs w:val="18"/>
          <w:highlight w:val="none"/>
        </w:rPr>
        <w:t>本表中所有要求提供的证明资料复印件均需加盖投标人公章。未提供证明资料或提供的证明材料不齐全、不符合要求的，不得分。</w:t>
      </w:r>
    </w:p>
    <w:p w14:paraId="72FA6055">
      <w:pPr>
        <w:snapToGrid w:val="0"/>
        <w:ind w:left="74"/>
        <w:rPr>
          <w:rFonts w:ascii="仿宋" w:hAnsi="仿宋" w:eastAsia="仿宋" w:cs="仿宋"/>
          <w:color w:val="auto"/>
          <w:szCs w:val="21"/>
          <w:highlight w:val="none"/>
        </w:rPr>
      </w:pPr>
    </w:p>
    <w:p w14:paraId="1509D4D4">
      <w:pPr>
        <w:rPr>
          <w:color w:val="auto"/>
          <w:highlight w:val="none"/>
        </w:rPr>
      </w:pPr>
      <w:r>
        <w:rPr>
          <w:rFonts w:hint="eastAsia"/>
          <w:color w:val="auto"/>
          <w:highlight w:val="none"/>
        </w:rPr>
        <w:br w:type="page"/>
      </w:r>
    </w:p>
    <w:p w14:paraId="755BF1C0">
      <w:pPr>
        <w:snapToGrid w:val="0"/>
        <w:spacing w:line="360" w:lineRule="auto"/>
        <w:jc w:val="left"/>
        <w:rPr>
          <w:rFonts w:ascii="宋体" w:hAnsi="宋体"/>
          <w:color w:val="auto"/>
          <w:sz w:val="24"/>
          <w:highlight w:val="none"/>
        </w:rPr>
      </w:pPr>
      <w:r>
        <w:rPr>
          <w:rFonts w:hint="eastAsia" w:ascii="宋体" w:hAnsi="宋体"/>
          <w:color w:val="auto"/>
          <w:sz w:val="24"/>
          <w:highlight w:val="none"/>
        </w:rPr>
        <w:t>附件3：</w:t>
      </w:r>
    </w:p>
    <w:p w14:paraId="04B78846">
      <w:pPr>
        <w:adjustRightInd w:val="0"/>
        <w:snapToGrid w:val="0"/>
        <w:spacing w:line="360" w:lineRule="auto"/>
        <w:jc w:val="center"/>
        <w:outlineLvl w:val="0"/>
        <w:rPr>
          <w:rFonts w:ascii="宋体" w:hAnsi="宋体" w:cs="宋体"/>
          <w:b/>
          <w:color w:val="auto"/>
          <w:sz w:val="28"/>
          <w:szCs w:val="28"/>
          <w:highlight w:val="none"/>
        </w:rPr>
      </w:pPr>
      <w:bookmarkStart w:id="53" w:name="_Toc2521"/>
      <w:r>
        <w:rPr>
          <w:rFonts w:hint="eastAsia" w:ascii="宋体" w:hAnsi="宋体" w:cs="宋体"/>
          <w:b/>
          <w:color w:val="auto"/>
          <w:kern w:val="0"/>
          <w:sz w:val="28"/>
          <w:szCs w:val="28"/>
          <w:highlight w:val="none"/>
        </w:rPr>
        <w:t>投标申请人</w:t>
      </w:r>
      <w:r>
        <w:rPr>
          <w:rFonts w:hint="eastAsia" w:ascii="宋体" w:hAnsi="宋体" w:cs="宋体"/>
          <w:b/>
          <w:color w:val="auto"/>
          <w:sz w:val="28"/>
          <w:szCs w:val="28"/>
          <w:highlight w:val="none"/>
        </w:rPr>
        <w:t>声明</w:t>
      </w:r>
      <w:bookmarkEnd w:id="53"/>
    </w:p>
    <w:p w14:paraId="2E46CC49">
      <w:pPr>
        <w:pStyle w:val="33"/>
        <w:snapToGrid w:val="0"/>
        <w:ind w:firstLine="0"/>
        <w:rPr>
          <w:rFonts w:ascii="宋体" w:hAnsi="宋体" w:eastAsia="宋体"/>
          <w:color w:val="auto"/>
          <w:sz w:val="24"/>
          <w:szCs w:val="24"/>
          <w:highlight w:val="none"/>
        </w:rPr>
      </w:pPr>
      <w:r>
        <w:rPr>
          <w:rFonts w:hint="eastAsia" w:ascii="宋体" w:hAnsi="宋体" w:eastAsia="宋体"/>
          <w:color w:val="auto"/>
          <w:sz w:val="24"/>
          <w:szCs w:val="24"/>
          <w:highlight w:val="none"/>
        </w:rPr>
        <w:t>致</w:t>
      </w:r>
      <w:r>
        <w:rPr>
          <w:rFonts w:hint="eastAsia" w:ascii="宋体" w:hAnsi="宋体" w:eastAsia="宋体"/>
          <w:color w:val="auto"/>
          <w:sz w:val="24"/>
          <w:szCs w:val="24"/>
          <w:highlight w:val="none"/>
          <w:u w:val="single"/>
        </w:rPr>
        <w:t>：</w:t>
      </w:r>
      <w:r>
        <w:rPr>
          <w:rFonts w:hint="eastAsia" w:ascii="宋体" w:hAnsi="宋体" w:eastAsia="宋体"/>
          <w:color w:val="auto"/>
          <w:sz w:val="24"/>
          <w:szCs w:val="24"/>
          <w:highlight w:val="none"/>
          <w:u w:val="single"/>
          <w:lang w:eastAsia="zh-CN"/>
        </w:rPr>
        <w:t>广州南沙旅游发展有限公司</w:t>
      </w:r>
      <w:r>
        <w:rPr>
          <w:rFonts w:hint="eastAsia" w:ascii="宋体" w:hAnsi="宋体" w:eastAsia="宋体"/>
          <w:color w:val="auto"/>
          <w:sz w:val="24"/>
          <w:szCs w:val="24"/>
          <w:highlight w:val="none"/>
          <w:u w:val="single"/>
        </w:rPr>
        <w:t xml:space="preserve">、广州南沙建设维护管理有限公司 </w:t>
      </w:r>
    </w:p>
    <w:p w14:paraId="23A535B2">
      <w:pPr>
        <w:pStyle w:val="33"/>
        <w:snapToGrid w:val="0"/>
        <w:ind w:firstLine="480" w:firstLineChars="200"/>
        <w:rPr>
          <w:rFonts w:ascii="宋体" w:hAnsi="宋体" w:eastAsia="宋体"/>
          <w:color w:val="auto"/>
          <w:sz w:val="24"/>
          <w:szCs w:val="24"/>
          <w:highlight w:val="none"/>
        </w:rPr>
      </w:pPr>
      <w:r>
        <w:rPr>
          <w:rFonts w:hint="eastAsia" w:ascii="宋体" w:hAnsi="宋体" w:eastAsia="宋体"/>
          <w:color w:val="auto"/>
          <w:sz w:val="24"/>
          <w:szCs w:val="24"/>
          <w:highlight w:val="none"/>
        </w:rPr>
        <w:t>本公司就参加</w:t>
      </w:r>
      <w:r>
        <w:rPr>
          <w:rFonts w:hint="eastAsia" w:ascii="宋体" w:hAnsi="宋体" w:eastAsia="宋体"/>
          <w:color w:val="auto"/>
          <w:sz w:val="24"/>
          <w:szCs w:val="24"/>
          <w:highlight w:val="none"/>
          <w:u w:val="single"/>
          <w:lang w:eastAsia="zh-CN"/>
        </w:rPr>
        <w:t>2025年首届粤港澳大湾区灯会活动项目监理</w:t>
      </w:r>
      <w:r>
        <w:rPr>
          <w:rFonts w:hint="eastAsia" w:ascii="宋体" w:hAnsi="宋体" w:eastAsia="宋体"/>
          <w:color w:val="auto"/>
          <w:sz w:val="24"/>
          <w:szCs w:val="24"/>
          <w:highlight w:val="none"/>
        </w:rPr>
        <w:t>投标工作，做出郑重声明：</w:t>
      </w:r>
    </w:p>
    <w:p w14:paraId="59AC2E68">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一、本公司保证投标报名材料及其后提供的一切材料都是真实的。</w:t>
      </w:r>
    </w:p>
    <w:p w14:paraId="197AC29C">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二、本公司保证在本项目投标中不与其他单位围标、串标，不出让投标资格，不向招标人或评标委员会成员行贿。</w:t>
      </w:r>
    </w:p>
    <w:p w14:paraId="6699845C">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三、本公司没有处于被责令停业的状态；没有处于被建设行政主管部门取消投标资格的处罚期内；没有处于财产被接管、冻结、破产的状态；在投标报名截止日期前两年内没有建设行政主管部门已书面认定的重大质量问题；在广州市人民检察院行贿犯罪档案查询结果中，本公司没有在投标报名截止时间前两年内被人民法院判决犯有行贿罪的记录。</w:t>
      </w:r>
    </w:p>
    <w:p w14:paraId="0D89BD20">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四、本公司及其有隶属关系的机构没有参加本项目的招标文件编写、</w:t>
      </w:r>
      <w:r>
        <w:rPr>
          <w:rFonts w:hint="eastAsia" w:ascii="宋体" w:hAnsi="宋体" w:eastAsia="宋体"/>
          <w:color w:val="auto"/>
          <w:sz w:val="24"/>
          <w:szCs w:val="24"/>
          <w:highlight w:val="none"/>
          <w:lang w:eastAsia="zh-CN"/>
        </w:rPr>
        <w:t>设计</w:t>
      </w:r>
      <w:r>
        <w:rPr>
          <w:rFonts w:hint="eastAsia" w:ascii="宋体" w:hAnsi="宋体" w:eastAsia="宋体"/>
          <w:color w:val="auto"/>
          <w:sz w:val="24"/>
          <w:szCs w:val="24"/>
          <w:highlight w:val="none"/>
        </w:rPr>
        <w:t>工作；本公司与承担本招标项目业务的单位没有隶属关系或其他利害关系。</w:t>
      </w:r>
    </w:p>
    <w:p w14:paraId="66B424C2">
      <w:pPr>
        <w:pStyle w:val="33"/>
        <w:adjustRightInd w:val="0"/>
        <w:snapToGrid w:val="0"/>
        <w:rPr>
          <w:rFonts w:ascii="宋体" w:hAnsi="宋体" w:eastAsia="宋体" w:cs="宋体"/>
          <w:color w:val="auto"/>
          <w:sz w:val="24"/>
          <w:szCs w:val="24"/>
          <w:highlight w:val="none"/>
        </w:rPr>
      </w:pPr>
      <w:r>
        <w:rPr>
          <w:rFonts w:hint="eastAsia" w:ascii="宋体" w:hAnsi="宋体" w:eastAsia="宋体" w:cs="宋体"/>
          <w:color w:val="auto"/>
          <w:sz w:val="24"/>
          <w:szCs w:val="24"/>
          <w:highlight w:val="none"/>
        </w:rPr>
        <w:t>五、与本公司单位负责人为同一人或者与本公司存在控股、管理关系的其他单位包括：</w:t>
      </w:r>
      <w:r>
        <w:rPr>
          <w:rFonts w:hint="eastAsia" w:ascii="宋体" w:hAnsi="宋体" w:eastAsia="宋体" w:cs="宋体"/>
          <w:color w:val="auto"/>
          <w:sz w:val="24"/>
          <w:szCs w:val="24"/>
          <w:highlight w:val="none"/>
          <w:u w:val="single"/>
        </w:rPr>
        <w:t xml:space="preserve">         </w:t>
      </w:r>
      <w:r>
        <w:rPr>
          <w:rFonts w:hint="eastAsia" w:ascii="宋体" w:hAnsi="宋体" w:eastAsia="宋体" w:cs="宋体"/>
          <w:color w:val="auto"/>
          <w:sz w:val="24"/>
          <w:szCs w:val="24"/>
          <w:highlight w:val="none"/>
        </w:rPr>
        <w:t>。（注：本条由投标人如实填写，如有，应列出全部满足招标公告资质要求的相关单位的名称；如无，则填写“无”。）</w:t>
      </w:r>
    </w:p>
    <w:p w14:paraId="10F709B6">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本公司违反上述保证，或本声明陈述与事实不符，经查实，本公司愿意接受公开通报，承担由此带来的法律后果，并自愿停止参加广州市行政辖区内的招标投标活动三个月。</w:t>
      </w:r>
    </w:p>
    <w:p w14:paraId="5373255E">
      <w:pPr>
        <w:pStyle w:val="33"/>
        <w:snapToGrid w:val="0"/>
        <w:rPr>
          <w:rFonts w:ascii="宋体" w:hAnsi="宋体" w:eastAsia="宋体"/>
          <w:color w:val="auto"/>
          <w:sz w:val="24"/>
          <w:szCs w:val="24"/>
          <w:highlight w:val="none"/>
        </w:rPr>
      </w:pPr>
      <w:r>
        <w:rPr>
          <w:rFonts w:hint="eastAsia" w:ascii="宋体" w:hAnsi="宋体" w:eastAsia="宋体"/>
          <w:color w:val="auto"/>
          <w:sz w:val="24"/>
          <w:szCs w:val="24"/>
          <w:highlight w:val="none"/>
        </w:rPr>
        <w:t>特此声明！</w:t>
      </w:r>
    </w:p>
    <w:p w14:paraId="5E9A8837">
      <w:pPr>
        <w:pStyle w:val="34"/>
        <w:snapToGrid w:val="0"/>
        <w:ind w:left="0" w:right="0" w:firstLine="2160" w:firstLineChars="900"/>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 xml:space="preserve">声明企业： </w:t>
      </w:r>
      <w:r>
        <w:rPr>
          <w:rFonts w:ascii="宋体" w:hAnsi="宋体" w:eastAsia="宋体"/>
          <w:color w:val="auto"/>
          <w:sz w:val="24"/>
          <w:szCs w:val="24"/>
          <w:highlight w:val="none"/>
        </w:rPr>
        <w:t xml:space="preserve">         </w:t>
      </w:r>
      <w:r>
        <w:rPr>
          <w:rFonts w:hint="eastAsia" w:ascii="宋体" w:hAnsi="宋体" w:eastAsia="宋体"/>
          <w:color w:val="auto"/>
          <w:sz w:val="24"/>
          <w:szCs w:val="24"/>
          <w:highlight w:val="none"/>
        </w:rPr>
        <w:t>(企业公章)</w:t>
      </w:r>
    </w:p>
    <w:p w14:paraId="4C9976D2">
      <w:pPr>
        <w:pStyle w:val="33"/>
        <w:snapToGrid w:val="0"/>
        <w:ind w:firstLine="0"/>
        <w:jc w:val="center"/>
        <w:rPr>
          <w:rFonts w:ascii="宋体" w:hAnsi="宋体" w:eastAsia="宋体"/>
          <w:color w:val="auto"/>
          <w:sz w:val="24"/>
          <w:szCs w:val="24"/>
          <w:highlight w:val="none"/>
        </w:rPr>
      </w:pPr>
      <w:r>
        <w:rPr>
          <w:rFonts w:hint="eastAsia" w:ascii="宋体" w:hAnsi="宋体" w:eastAsia="宋体"/>
          <w:color w:val="auto"/>
          <w:sz w:val="24"/>
          <w:szCs w:val="24"/>
          <w:highlight w:val="none"/>
        </w:rPr>
        <w:t xml:space="preserve">              法定代表人签字：                  </w:t>
      </w:r>
    </w:p>
    <w:p w14:paraId="6F697B5B">
      <w:pPr>
        <w:pStyle w:val="33"/>
        <w:snapToGrid w:val="0"/>
        <w:ind w:firstLine="4080" w:firstLineChars="1700"/>
        <w:jc w:val="right"/>
        <w:rPr>
          <w:color w:val="auto"/>
          <w:sz w:val="24"/>
          <w:szCs w:val="24"/>
          <w:highlight w:val="none"/>
        </w:rPr>
      </w:pPr>
      <w:r>
        <w:rPr>
          <w:rFonts w:hint="eastAsia" w:ascii="宋体" w:hAnsi="宋体" w:eastAsia="宋体"/>
          <w:color w:val="auto"/>
          <w:sz w:val="24"/>
          <w:szCs w:val="24"/>
          <w:highlight w:val="none"/>
        </w:rPr>
        <w:t>年   月   日</w:t>
      </w:r>
    </w:p>
    <w:p w14:paraId="1898A848">
      <w:pPr>
        <w:pStyle w:val="33"/>
        <w:snapToGrid w:val="0"/>
        <w:ind w:firstLine="4080" w:firstLineChars="1700"/>
        <w:jc w:val="right"/>
        <w:rPr>
          <w:color w:val="auto"/>
          <w:sz w:val="24"/>
          <w:szCs w:val="24"/>
          <w:highlight w:val="none"/>
        </w:rPr>
      </w:pPr>
    </w:p>
    <w:p w14:paraId="361E81EC">
      <w:pPr>
        <w:snapToGrid w:val="0"/>
        <w:spacing w:line="360" w:lineRule="auto"/>
        <w:jc w:val="left"/>
        <w:rPr>
          <w:rFonts w:ascii="宋体" w:hAnsi="宋体"/>
          <w:color w:val="auto"/>
          <w:sz w:val="24"/>
          <w:highlight w:val="none"/>
        </w:rPr>
      </w:pPr>
    </w:p>
    <w:p w14:paraId="008EFD12">
      <w:pPr>
        <w:pStyle w:val="8"/>
        <w:rPr>
          <w:rFonts w:hint="default"/>
          <w:color w:val="auto"/>
          <w:highlight w:val="none"/>
        </w:rPr>
      </w:pPr>
    </w:p>
    <w:sectPr>
      <w:pgSz w:w="11906" w:h="16838"/>
      <w:pgMar w:top="1440" w:right="1800" w:bottom="1440" w:left="1800"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8"/>
    <w:family w:val="modern"/>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Calisto MT">
    <w:altName w:val="Segoe Print"/>
    <w:panose1 w:val="02040603050505030304"/>
    <w:charset w:val="00"/>
    <w:family w:val="roman"/>
    <w:pitch w:val="default"/>
    <w:sig w:usb0="00000000" w:usb1="00000000" w:usb2="00000000" w:usb3="00000000" w:csb0="20000001" w:csb1="00000000"/>
  </w:font>
  <w:font w:name="Segoe Print">
    <w:panose1 w:val="02000600000000000000"/>
    <w:charset w:val="00"/>
    <w:family w:val="auto"/>
    <w:pitch w:val="default"/>
    <w:sig w:usb0="0000028F" w:usb1="00000000" w:usb2="00000000" w:usb3="00000000" w:csb0="2000009F" w:csb1="4701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modern"/>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D368BE">
    <w:pPr>
      <w:pStyle w:val="1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0DBA8">
                          <w:pPr>
                            <w:pStyle w:val="1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09A0DBA8">
                    <w:pPr>
                      <w:pStyle w:val="10"/>
                    </w:pPr>
                    <w:r>
                      <w:rPr>
                        <w:rFonts w:hint="eastAsia"/>
                      </w:rPr>
                      <w:fldChar w:fldCharType="begin"/>
                    </w:r>
                    <w:r>
                      <w:rPr>
                        <w:rFonts w:hint="eastAsia"/>
                      </w:rPr>
                      <w:instrText xml:space="preserve"> PAGE  \* MERGEFORMAT </w:instrText>
                    </w:r>
                    <w:r>
                      <w:rPr>
                        <w:rFonts w:hint="eastAsia"/>
                      </w:rPr>
                      <w:fldChar w:fldCharType="separate"/>
                    </w:r>
                    <w:r>
                      <w:t>27</w:t>
                    </w:r>
                    <w:r>
                      <w:rPr>
                        <w:rFonts w:hint="eastAsia"/>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290587">
    <w:pPr>
      <w:pStyle w:val="10"/>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D5C3F12">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0D5C3F12">
                    <w:pPr>
                      <w:pStyle w:val="10"/>
                    </w:pPr>
                    <w:r>
                      <w:rPr>
                        <w:rFonts w:hint="eastAsia"/>
                      </w:rPr>
                      <w:fldChar w:fldCharType="begin"/>
                    </w:r>
                    <w:r>
                      <w:rPr>
                        <w:rFonts w:hint="eastAsia"/>
                      </w:rPr>
                      <w:instrText xml:space="preserve"> PAGE  \* MERGEFORMAT </w:instrText>
                    </w:r>
                    <w:r>
                      <w:rPr>
                        <w:rFonts w:hint="eastAsia"/>
                      </w:rPr>
                      <w:fldChar w:fldCharType="separate"/>
                    </w:r>
                    <w:r>
                      <w:t>39</w:t>
                    </w:r>
                    <w:r>
                      <w:rPr>
                        <w:rFonts w:hint="eastAsia"/>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B7E8B4"/>
    <w:multiLevelType w:val="singleLevel"/>
    <w:tmpl w:val="8DB7E8B4"/>
    <w:lvl w:ilvl="0" w:tentative="0">
      <w:start w:val="1"/>
      <w:numFmt w:val="decimal"/>
      <w:suff w:val="nothing"/>
      <w:lvlText w:val="%1）"/>
      <w:lvlJc w:val="left"/>
      <w:pPr>
        <w:tabs>
          <w:tab w:val="left" w:pos="0"/>
        </w:tabs>
        <w:ind w:left="0" w:firstLine="397"/>
      </w:pPr>
      <w:rPr>
        <w:rFonts w:hint="default" w:ascii="宋体" w:hAnsi="宋体" w:eastAsia="宋体" w:cs="宋体"/>
      </w:rPr>
    </w:lvl>
  </w:abstractNum>
  <w:abstractNum w:abstractNumId="1">
    <w:nsid w:val="CB8718C6"/>
    <w:multiLevelType w:val="singleLevel"/>
    <w:tmpl w:val="CB8718C6"/>
    <w:lvl w:ilvl="0" w:tentative="0">
      <w:start w:val="3"/>
      <w:numFmt w:val="decimal"/>
      <w:suff w:val="nothing"/>
      <w:lvlText w:val="%1、"/>
      <w:lvlJc w:val="left"/>
    </w:lvl>
  </w:abstractNum>
  <w:abstractNum w:abstractNumId="2">
    <w:nsid w:val="2D0D408F"/>
    <w:multiLevelType w:val="singleLevel"/>
    <w:tmpl w:val="2D0D408F"/>
    <w:lvl w:ilvl="0" w:tentative="0">
      <w:start w:val="1"/>
      <w:numFmt w:val="decimal"/>
      <w:suff w:val="nothing"/>
      <w:lvlText w:val="%1、"/>
      <w:lvlJc w:val="left"/>
    </w:lvl>
  </w:abstractNum>
  <w:abstractNum w:abstractNumId="3">
    <w:nsid w:val="61B5240C"/>
    <w:multiLevelType w:val="singleLevel"/>
    <w:tmpl w:val="61B5240C"/>
    <w:lvl w:ilvl="0" w:tentative="0">
      <w:start w:val="1"/>
      <w:numFmt w:val="decimal"/>
      <w:lvlText w:val="%1)"/>
      <w:lvlJc w:val="left"/>
      <w:pPr>
        <w:ind w:left="425" w:hanging="425"/>
      </w:pPr>
      <w:rPr>
        <w:rFonts w:hint="default"/>
      </w:r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oNotDisplayPageBoundaries w:val="1"/>
  <w:embedSystemFonts/>
  <w:trackRevisions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2JjMjg4NjNjMGQ5OWQxMjU2NzFkNWEwMzQxMDU5MzIifQ=="/>
  </w:docVars>
  <w:rsids>
    <w:rsidRoot w:val="3B6D4312"/>
    <w:rsid w:val="0002289A"/>
    <w:rsid w:val="0002557B"/>
    <w:rsid w:val="0005254F"/>
    <w:rsid w:val="000744F3"/>
    <w:rsid w:val="00085D0C"/>
    <w:rsid w:val="00090FF3"/>
    <w:rsid w:val="000B7B0A"/>
    <w:rsid w:val="000E0EC3"/>
    <w:rsid w:val="000F63F4"/>
    <w:rsid w:val="001062CA"/>
    <w:rsid w:val="00134FF9"/>
    <w:rsid w:val="001544AB"/>
    <w:rsid w:val="00164413"/>
    <w:rsid w:val="001921E8"/>
    <w:rsid w:val="001D1F1F"/>
    <w:rsid w:val="001E1021"/>
    <w:rsid w:val="001F66EC"/>
    <w:rsid w:val="002D7B13"/>
    <w:rsid w:val="003B47E8"/>
    <w:rsid w:val="003D0F57"/>
    <w:rsid w:val="0040578E"/>
    <w:rsid w:val="00456C93"/>
    <w:rsid w:val="004B2C05"/>
    <w:rsid w:val="004D6177"/>
    <w:rsid w:val="00524AD0"/>
    <w:rsid w:val="005A19E6"/>
    <w:rsid w:val="0065458C"/>
    <w:rsid w:val="0065720F"/>
    <w:rsid w:val="00697CBD"/>
    <w:rsid w:val="006A18B1"/>
    <w:rsid w:val="006D7EB2"/>
    <w:rsid w:val="007055DD"/>
    <w:rsid w:val="007309C3"/>
    <w:rsid w:val="0073767F"/>
    <w:rsid w:val="00793DB5"/>
    <w:rsid w:val="007A7407"/>
    <w:rsid w:val="007C0AF5"/>
    <w:rsid w:val="007C717F"/>
    <w:rsid w:val="007E14F9"/>
    <w:rsid w:val="007F42A9"/>
    <w:rsid w:val="00802BFD"/>
    <w:rsid w:val="0080751A"/>
    <w:rsid w:val="00841D4A"/>
    <w:rsid w:val="008F47DB"/>
    <w:rsid w:val="008F491E"/>
    <w:rsid w:val="009538E5"/>
    <w:rsid w:val="009B4E73"/>
    <w:rsid w:val="009C14AA"/>
    <w:rsid w:val="009C50DE"/>
    <w:rsid w:val="00A05D0A"/>
    <w:rsid w:val="00A14DC5"/>
    <w:rsid w:val="00A367D2"/>
    <w:rsid w:val="00A81829"/>
    <w:rsid w:val="00A920B1"/>
    <w:rsid w:val="00B11F8D"/>
    <w:rsid w:val="00B21734"/>
    <w:rsid w:val="00B96CE0"/>
    <w:rsid w:val="00BB3D24"/>
    <w:rsid w:val="00CA24DF"/>
    <w:rsid w:val="00D06D88"/>
    <w:rsid w:val="00D0796B"/>
    <w:rsid w:val="00D50CF1"/>
    <w:rsid w:val="00D650B3"/>
    <w:rsid w:val="00D85D6D"/>
    <w:rsid w:val="00DD64C1"/>
    <w:rsid w:val="00DE3299"/>
    <w:rsid w:val="00E14E87"/>
    <w:rsid w:val="00E52FD7"/>
    <w:rsid w:val="00E85F0E"/>
    <w:rsid w:val="00EC3FB8"/>
    <w:rsid w:val="00EE23EE"/>
    <w:rsid w:val="00F15754"/>
    <w:rsid w:val="00F5751A"/>
    <w:rsid w:val="00F72550"/>
    <w:rsid w:val="00FF33A0"/>
    <w:rsid w:val="00FF76D9"/>
    <w:rsid w:val="01443353"/>
    <w:rsid w:val="01583855"/>
    <w:rsid w:val="022F412F"/>
    <w:rsid w:val="02F7533D"/>
    <w:rsid w:val="03562994"/>
    <w:rsid w:val="035A0EDE"/>
    <w:rsid w:val="03C74BB5"/>
    <w:rsid w:val="03CB6D70"/>
    <w:rsid w:val="03D5206B"/>
    <w:rsid w:val="04364A4F"/>
    <w:rsid w:val="043A0F20"/>
    <w:rsid w:val="04754D24"/>
    <w:rsid w:val="04E40895"/>
    <w:rsid w:val="050B0AD1"/>
    <w:rsid w:val="050F7FDE"/>
    <w:rsid w:val="051B7598"/>
    <w:rsid w:val="05577B55"/>
    <w:rsid w:val="056A06BF"/>
    <w:rsid w:val="05F56343"/>
    <w:rsid w:val="062632D2"/>
    <w:rsid w:val="083975B8"/>
    <w:rsid w:val="083B43B1"/>
    <w:rsid w:val="08757A2C"/>
    <w:rsid w:val="08A86F0A"/>
    <w:rsid w:val="09A667E8"/>
    <w:rsid w:val="0A1B1839"/>
    <w:rsid w:val="0ABC5AEC"/>
    <w:rsid w:val="0B093D1A"/>
    <w:rsid w:val="0B372B92"/>
    <w:rsid w:val="0C855B7E"/>
    <w:rsid w:val="0C87037B"/>
    <w:rsid w:val="0CEF0CD8"/>
    <w:rsid w:val="0DEA03BD"/>
    <w:rsid w:val="0E0802A4"/>
    <w:rsid w:val="0E1B10A8"/>
    <w:rsid w:val="0E80564C"/>
    <w:rsid w:val="0EA03B8A"/>
    <w:rsid w:val="0EAC0C18"/>
    <w:rsid w:val="0EB25F9A"/>
    <w:rsid w:val="0F0E1360"/>
    <w:rsid w:val="0F8D0176"/>
    <w:rsid w:val="0FA05580"/>
    <w:rsid w:val="115626A3"/>
    <w:rsid w:val="11E608FC"/>
    <w:rsid w:val="12E86716"/>
    <w:rsid w:val="134D0507"/>
    <w:rsid w:val="14082F52"/>
    <w:rsid w:val="14085DAD"/>
    <w:rsid w:val="14233C6D"/>
    <w:rsid w:val="14452035"/>
    <w:rsid w:val="145B3800"/>
    <w:rsid w:val="147E4E1C"/>
    <w:rsid w:val="15B80929"/>
    <w:rsid w:val="16007AF5"/>
    <w:rsid w:val="163A203A"/>
    <w:rsid w:val="17BF20B0"/>
    <w:rsid w:val="17C17C60"/>
    <w:rsid w:val="17C214C3"/>
    <w:rsid w:val="17E977C8"/>
    <w:rsid w:val="1873680D"/>
    <w:rsid w:val="187D188E"/>
    <w:rsid w:val="18AF3306"/>
    <w:rsid w:val="18F12637"/>
    <w:rsid w:val="1922150A"/>
    <w:rsid w:val="19880595"/>
    <w:rsid w:val="1AB46DAB"/>
    <w:rsid w:val="1B374A18"/>
    <w:rsid w:val="1B6C2995"/>
    <w:rsid w:val="1BC44893"/>
    <w:rsid w:val="1BC65F54"/>
    <w:rsid w:val="1BDF2274"/>
    <w:rsid w:val="1C05708F"/>
    <w:rsid w:val="1C307374"/>
    <w:rsid w:val="1C9203A6"/>
    <w:rsid w:val="1E8832A2"/>
    <w:rsid w:val="1F1C5732"/>
    <w:rsid w:val="1F2D5E39"/>
    <w:rsid w:val="1F37249F"/>
    <w:rsid w:val="1FC2316E"/>
    <w:rsid w:val="20336A96"/>
    <w:rsid w:val="206C021E"/>
    <w:rsid w:val="21325ABC"/>
    <w:rsid w:val="21424D60"/>
    <w:rsid w:val="220D3E3F"/>
    <w:rsid w:val="224A02E7"/>
    <w:rsid w:val="227411DF"/>
    <w:rsid w:val="22803312"/>
    <w:rsid w:val="238E7B64"/>
    <w:rsid w:val="24040FBB"/>
    <w:rsid w:val="24856237"/>
    <w:rsid w:val="24FE116D"/>
    <w:rsid w:val="25053D8A"/>
    <w:rsid w:val="25791876"/>
    <w:rsid w:val="26B94C66"/>
    <w:rsid w:val="26CC7C68"/>
    <w:rsid w:val="26FF6942"/>
    <w:rsid w:val="272B74FA"/>
    <w:rsid w:val="28067A29"/>
    <w:rsid w:val="2865301D"/>
    <w:rsid w:val="28732366"/>
    <w:rsid w:val="28C86C87"/>
    <w:rsid w:val="28D41348"/>
    <w:rsid w:val="28FB65E3"/>
    <w:rsid w:val="2919115F"/>
    <w:rsid w:val="296119D7"/>
    <w:rsid w:val="2A3A7A42"/>
    <w:rsid w:val="2A97100B"/>
    <w:rsid w:val="2B401296"/>
    <w:rsid w:val="2C181352"/>
    <w:rsid w:val="2D0635AD"/>
    <w:rsid w:val="2DDB1EBF"/>
    <w:rsid w:val="2DF963B5"/>
    <w:rsid w:val="2E6961DD"/>
    <w:rsid w:val="2EA67F31"/>
    <w:rsid w:val="2EC40C57"/>
    <w:rsid w:val="2EE433BF"/>
    <w:rsid w:val="2F2E4A11"/>
    <w:rsid w:val="30334755"/>
    <w:rsid w:val="309A6C96"/>
    <w:rsid w:val="311233CC"/>
    <w:rsid w:val="319E2F70"/>
    <w:rsid w:val="324A67B5"/>
    <w:rsid w:val="32DA1944"/>
    <w:rsid w:val="332E1E50"/>
    <w:rsid w:val="339B1F83"/>
    <w:rsid w:val="34375C94"/>
    <w:rsid w:val="34935BA4"/>
    <w:rsid w:val="34A264CA"/>
    <w:rsid w:val="36BA638E"/>
    <w:rsid w:val="36EF52AD"/>
    <w:rsid w:val="3703456E"/>
    <w:rsid w:val="37A26BD4"/>
    <w:rsid w:val="380D685F"/>
    <w:rsid w:val="386E2C1B"/>
    <w:rsid w:val="39290F4A"/>
    <w:rsid w:val="39FC703A"/>
    <w:rsid w:val="3A4968CA"/>
    <w:rsid w:val="3A776CC5"/>
    <w:rsid w:val="3B6D4312"/>
    <w:rsid w:val="3B6E0E96"/>
    <w:rsid w:val="3B7D5E2D"/>
    <w:rsid w:val="3BB9179A"/>
    <w:rsid w:val="3C536A33"/>
    <w:rsid w:val="3CB7521C"/>
    <w:rsid w:val="3CE76215"/>
    <w:rsid w:val="3CFF0303"/>
    <w:rsid w:val="3D3A26A9"/>
    <w:rsid w:val="3D7619F9"/>
    <w:rsid w:val="3D96007A"/>
    <w:rsid w:val="3E1201FF"/>
    <w:rsid w:val="3E512B11"/>
    <w:rsid w:val="3E9F1660"/>
    <w:rsid w:val="3F5F332B"/>
    <w:rsid w:val="3F8502F8"/>
    <w:rsid w:val="3FD704B2"/>
    <w:rsid w:val="3FE0447A"/>
    <w:rsid w:val="405854B3"/>
    <w:rsid w:val="409313F9"/>
    <w:rsid w:val="40CA2819"/>
    <w:rsid w:val="40F706D6"/>
    <w:rsid w:val="412D70FE"/>
    <w:rsid w:val="418C72E5"/>
    <w:rsid w:val="41B70218"/>
    <w:rsid w:val="41EC3A6C"/>
    <w:rsid w:val="42A2655E"/>
    <w:rsid w:val="42E71D47"/>
    <w:rsid w:val="432F3C85"/>
    <w:rsid w:val="436C5E0D"/>
    <w:rsid w:val="43BC29BB"/>
    <w:rsid w:val="43F81159"/>
    <w:rsid w:val="440F6ACF"/>
    <w:rsid w:val="441C3545"/>
    <w:rsid w:val="44631084"/>
    <w:rsid w:val="446A549B"/>
    <w:rsid w:val="44800368"/>
    <w:rsid w:val="460B5EC1"/>
    <w:rsid w:val="46871AD6"/>
    <w:rsid w:val="4735560E"/>
    <w:rsid w:val="47413F22"/>
    <w:rsid w:val="47D55FFA"/>
    <w:rsid w:val="481D5A38"/>
    <w:rsid w:val="487975A7"/>
    <w:rsid w:val="48872B1F"/>
    <w:rsid w:val="48C50C50"/>
    <w:rsid w:val="48E72086"/>
    <w:rsid w:val="494D5092"/>
    <w:rsid w:val="49732ED5"/>
    <w:rsid w:val="499917D4"/>
    <w:rsid w:val="49FD6207"/>
    <w:rsid w:val="4A1079FD"/>
    <w:rsid w:val="4A1D620C"/>
    <w:rsid w:val="4AE21D6F"/>
    <w:rsid w:val="4B8D4B24"/>
    <w:rsid w:val="4BC136D0"/>
    <w:rsid w:val="4BF418E4"/>
    <w:rsid w:val="4C2E17B4"/>
    <w:rsid w:val="4D904DD7"/>
    <w:rsid w:val="4D9C287D"/>
    <w:rsid w:val="4DC53F66"/>
    <w:rsid w:val="4E4F4497"/>
    <w:rsid w:val="4F75768A"/>
    <w:rsid w:val="4FEA2AE8"/>
    <w:rsid w:val="50F25C6E"/>
    <w:rsid w:val="51552F81"/>
    <w:rsid w:val="51AB2104"/>
    <w:rsid w:val="52840C61"/>
    <w:rsid w:val="52A81C17"/>
    <w:rsid w:val="53427976"/>
    <w:rsid w:val="53A63423"/>
    <w:rsid w:val="53CD7A2C"/>
    <w:rsid w:val="54386D63"/>
    <w:rsid w:val="54A36172"/>
    <w:rsid w:val="54B0714A"/>
    <w:rsid w:val="54BC0EE8"/>
    <w:rsid w:val="550D4C07"/>
    <w:rsid w:val="55D41C4B"/>
    <w:rsid w:val="55DC290C"/>
    <w:rsid w:val="594F1692"/>
    <w:rsid w:val="59566C52"/>
    <w:rsid w:val="5A682017"/>
    <w:rsid w:val="5AAA4616"/>
    <w:rsid w:val="5AAF5CCA"/>
    <w:rsid w:val="5AD32383"/>
    <w:rsid w:val="5AD75A27"/>
    <w:rsid w:val="5B6E68B8"/>
    <w:rsid w:val="5B8D6C19"/>
    <w:rsid w:val="5BCE61FA"/>
    <w:rsid w:val="5C7B5930"/>
    <w:rsid w:val="5C9B134E"/>
    <w:rsid w:val="5CE91666"/>
    <w:rsid w:val="5D017965"/>
    <w:rsid w:val="5D580334"/>
    <w:rsid w:val="5D6B1282"/>
    <w:rsid w:val="5DAA1580"/>
    <w:rsid w:val="5DC2572F"/>
    <w:rsid w:val="5E1A6FB5"/>
    <w:rsid w:val="5E754EC0"/>
    <w:rsid w:val="5E7A3CE2"/>
    <w:rsid w:val="5F355496"/>
    <w:rsid w:val="5F881C77"/>
    <w:rsid w:val="5FDC1FC3"/>
    <w:rsid w:val="61A7533B"/>
    <w:rsid w:val="62B2296D"/>
    <w:rsid w:val="62C266BA"/>
    <w:rsid w:val="631A1780"/>
    <w:rsid w:val="636147EE"/>
    <w:rsid w:val="63677EFB"/>
    <w:rsid w:val="63DB6B9E"/>
    <w:rsid w:val="63F47577"/>
    <w:rsid w:val="65B441A4"/>
    <w:rsid w:val="65D74553"/>
    <w:rsid w:val="66373494"/>
    <w:rsid w:val="66591B82"/>
    <w:rsid w:val="666176C6"/>
    <w:rsid w:val="66790C75"/>
    <w:rsid w:val="67A63985"/>
    <w:rsid w:val="684756A2"/>
    <w:rsid w:val="686731DA"/>
    <w:rsid w:val="6898637C"/>
    <w:rsid w:val="68B16D7B"/>
    <w:rsid w:val="68BA7003"/>
    <w:rsid w:val="68C057C9"/>
    <w:rsid w:val="6AA74A1D"/>
    <w:rsid w:val="6AC36D45"/>
    <w:rsid w:val="6AC43339"/>
    <w:rsid w:val="6B735ED1"/>
    <w:rsid w:val="6BE11926"/>
    <w:rsid w:val="6C920572"/>
    <w:rsid w:val="6C9C1458"/>
    <w:rsid w:val="6D5B4E6F"/>
    <w:rsid w:val="6DC31ECB"/>
    <w:rsid w:val="6E4A3E00"/>
    <w:rsid w:val="6E656845"/>
    <w:rsid w:val="6EA64B45"/>
    <w:rsid w:val="6F471F5D"/>
    <w:rsid w:val="710F157A"/>
    <w:rsid w:val="718C3480"/>
    <w:rsid w:val="71BE7433"/>
    <w:rsid w:val="726F354B"/>
    <w:rsid w:val="729606F7"/>
    <w:rsid w:val="72B9765A"/>
    <w:rsid w:val="72F3401B"/>
    <w:rsid w:val="731416B4"/>
    <w:rsid w:val="73712518"/>
    <w:rsid w:val="738E7AB2"/>
    <w:rsid w:val="73972D03"/>
    <w:rsid w:val="73A54F01"/>
    <w:rsid w:val="73DF2037"/>
    <w:rsid w:val="73F47C56"/>
    <w:rsid w:val="74624F7D"/>
    <w:rsid w:val="7546516B"/>
    <w:rsid w:val="756579A1"/>
    <w:rsid w:val="757E5780"/>
    <w:rsid w:val="75AF555B"/>
    <w:rsid w:val="75C126B7"/>
    <w:rsid w:val="76312C11"/>
    <w:rsid w:val="76BF646F"/>
    <w:rsid w:val="76F3488A"/>
    <w:rsid w:val="77281C38"/>
    <w:rsid w:val="778623CF"/>
    <w:rsid w:val="77B27D81"/>
    <w:rsid w:val="781828A1"/>
    <w:rsid w:val="78780B98"/>
    <w:rsid w:val="788E06C1"/>
    <w:rsid w:val="78AA6CAB"/>
    <w:rsid w:val="78D76423"/>
    <w:rsid w:val="79E02BD8"/>
    <w:rsid w:val="7A0E4FD1"/>
    <w:rsid w:val="7A3458D0"/>
    <w:rsid w:val="7A4B048B"/>
    <w:rsid w:val="7A96669D"/>
    <w:rsid w:val="7ACD133D"/>
    <w:rsid w:val="7B667A30"/>
    <w:rsid w:val="7B672810"/>
    <w:rsid w:val="7B681B66"/>
    <w:rsid w:val="7C6B2EC5"/>
    <w:rsid w:val="7D3B567D"/>
    <w:rsid w:val="7DA46C42"/>
    <w:rsid w:val="7E300909"/>
    <w:rsid w:val="7E937282"/>
    <w:rsid w:val="7EC84C80"/>
    <w:rsid w:val="7EF55FF4"/>
    <w:rsid w:val="7F2C666B"/>
    <w:rsid w:val="7F565D15"/>
    <w:rsid w:val="7FEA4922"/>
    <w:rsid w:val="7FED130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semiHidden="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iPriority="0" w:name="annotation text"/>
    <w:lsdException w:qFormat="1" w:unhideWhenUsed="0" w:uiPriority="0" w:semiHidden="0" w:name="header"/>
    <w:lsdException w:qFormat="1" w:unhideWhenUsed="0" w:uiPriority="0"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qFormat="1" w:unhideWhenUsed="0" w:uiPriority="0" w:semiHidden="0" w:name="page number"/>
    <w:lsdException w:uiPriority="0" w:name="endnote reference"/>
    <w:lsdException w:uiPriority="0" w:name="endnote text"/>
    <w:lsdException w:uiPriority="0" w:name="table of authorities"/>
    <w:lsdException w:unhideWhenUsed="0" w:uiPriority="0" w:semiHidden="0" w:name="macro"/>
    <w:lsdException w:uiPriority="0" w:name="toa heading"/>
    <w:lsdException w:uiPriority="0" w:name="List"/>
    <w:lsdException w:unhideWhenUsed="0" w:uiPriority="0" w:semiHidden="0" w:name="List Bullet"/>
    <w:lsdException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uiPriority="0" w:name="Body Text Indent"/>
    <w:lsdException w:uiPriority="0" w:name="List Continue"/>
    <w:lsdException w:uiPriority="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iPriority="0" w:name="Salutation"/>
    <w:lsdException w:uiPriority="0" w:name="Date"/>
    <w:lsdException w:qFormat="1" w:unhideWhenUsed="0" w:uiPriority="0" w:semiHidden="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uiPriority="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4">
    <w:name w:val="heading 1"/>
    <w:basedOn w:val="1"/>
    <w:next w:val="1"/>
    <w:qFormat/>
    <w:uiPriority w:val="0"/>
    <w:pPr>
      <w:keepNext/>
      <w:keepLines/>
      <w:adjustRightInd w:val="0"/>
      <w:spacing w:before="240" w:after="60" w:line="20" w:lineRule="exact"/>
      <w:outlineLvl w:val="0"/>
    </w:pPr>
    <w:rPr>
      <w:rFonts w:ascii="Times New Roman" w:hAnsi="Times New Roman" w:eastAsia="黑体" w:cs="Times New Roman"/>
      <w:color w:val="FF0000"/>
      <w:kern w:val="24"/>
      <w:sz w:val="28"/>
      <w:szCs w:val="28"/>
    </w:rPr>
  </w:style>
  <w:style w:type="paragraph" w:styleId="5">
    <w:name w:val="heading 2"/>
    <w:basedOn w:val="1"/>
    <w:next w:val="1"/>
    <w:semiHidden/>
    <w:unhideWhenUsed/>
    <w:qFormat/>
    <w:uiPriority w:val="0"/>
    <w:pPr>
      <w:keepNext/>
      <w:keepLines/>
      <w:spacing w:before="260" w:after="260" w:line="413" w:lineRule="auto"/>
      <w:outlineLvl w:val="1"/>
    </w:pPr>
    <w:rPr>
      <w:rFonts w:ascii="Arial" w:hAnsi="Arial" w:eastAsia="黑体"/>
      <w:b/>
      <w:sz w:val="32"/>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31"/>
    <w:qFormat/>
    <w:uiPriority w:val="0"/>
    <w:pPr>
      <w:spacing w:beforeAutospacing="1" w:after="120"/>
      <w:ind w:firstLine="420"/>
    </w:pPr>
    <w:rPr>
      <w:rFonts w:ascii="Times New Roman" w:hAnsi="Times New Roman" w:eastAsia="宋体" w:cs="Times New Roman"/>
      <w:szCs w:val="21"/>
    </w:rPr>
  </w:style>
  <w:style w:type="paragraph" w:styleId="3">
    <w:name w:val="Body Text"/>
    <w:basedOn w:val="1"/>
    <w:qFormat/>
    <w:uiPriority w:val="0"/>
  </w:style>
  <w:style w:type="paragraph" w:styleId="6">
    <w:name w:val="Normal Indent"/>
    <w:basedOn w:val="1"/>
    <w:next w:val="1"/>
    <w:qFormat/>
    <w:uiPriority w:val="0"/>
    <w:pPr>
      <w:adjustRightInd w:val="0"/>
      <w:spacing w:line="480" w:lineRule="atLeast"/>
      <w:ind w:firstLine="600"/>
      <w:textAlignment w:val="baseline"/>
    </w:pPr>
    <w:rPr>
      <w:rFonts w:eastAsia="仿宋_GB2312"/>
      <w:kern w:val="0"/>
      <w:sz w:val="30"/>
      <w:szCs w:val="20"/>
    </w:rPr>
  </w:style>
  <w:style w:type="paragraph" w:styleId="7">
    <w:name w:val="annotation text"/>
    <w:basedOn w:val="1"/>
    <w:semiHidden/>
    <w:unhideWhenUsed/>
    <w:qFormat/>
    <w:uiPriority w:val="0"/>
    <w:pPr>
      <w:jc w:val="left"/>
    </w:pPr>
  </w:style>
  <w:style w:type="paragraph" w:styleId="8">
    <w:name w:val="Plain Text"/>
    <w:basedOn w:val="1"/>
    <w:next w:val="1"/>
    <w:link w:val="30"/>
    <w:qFormat/>
    <w:uiPriority w:val="0"/>
    <w:rPr>
      <w:rFonts w:hint="eastAsia" w:ascii="宋体" w:hAnsi="Courier New" w:eastAsia="宋体" w:cs="Times New Roman"/>
      <w:szCs w:val="21"/>
    </w:rPr>
  </w:style>
  <w:style w:type="paragraph" w:styleId="9">
    <w:name w:val="Balloon Text"/>
    <w:basedOn w:val="1"/>
    <w:link w:val="28"/>
    <w:qFormat/>
    <w:uiPriority w:val="0"/>
    <w:rPr>
      <w:sz w:val="18"/>
      <w:szCs w:val="18"/>
    </w:rPr>
  </w:style>
  <w:style w:type="paragraph" w:styleId="10">
    <w:name w:val="footer"/>
    <w:basedOn w:val="1"/>
    <w:link w:val="27"/>
    <w:qFormat/>
    <w:uiPriority w:val="0"/>
    <w:pPr>
      <w:tabs>
        <w:tab w:val="center" w:pos="4153"/>
        <w:tab w:val="right" w:pos="8306"/>
      </w:tabs>
      <w:snapToGrid w:val="0"/>
      <w:jc w:val="left"/>
    </w:pPr>
    <w:rPr>
      <w:sz w:val="18"/>
      <w:szCs w:val="18"/>
    </w:rPr>
  </w:style>
  <w:style w:type="paragraph" w:styleId="11">
    <w:name w:val="header"/>
    <w:basedOn w:val="1"/>
    <w:link w:val="26"/>
    <w:qFormat/>
    <w:uiPriority w:val="0"/>
    <w:pPr>
      <w:pBdr>
        <w:bottom w:val="single" w:color="auto" w:sz="6" w:space="1"/>
      </w:pBdr>
      <w:tabs>
        <w:tab w:val="center" w:pos="4153"/>
        <w:tab w:val="right" w:pos="8306"/>
      </w:tabs>
      <w:snapToGrid w:val="0"/>
      <w:jc w:val="center"/>
    </w:pPr>
    <w:rPr>
      <w:sz w:val="18"/>
      <w:szCs w:val="18"/>
    </w:rPr>
  </w:style>
  <w:style w:type="paragraph" w:styleId="12">
    <w:name w:val="toc 1"/>
    <w:basedOn w:val="1"/>
    <w:next w:val="1"/>
    <w:qFormat/>
    <w:uiPriority w:val="0"/>
    <w:rPr>
      <w:rFonts w:ascii="Times New Roman" w:hAnsi="Times New Roman" w:eastAsia="宋体" w:cs="Times New Roman"/>
      <w:szCs w:val="21"/>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page number"/>
    <w:basedOn w:val="15"/>
    <w:qFormat/>
    <w:uiPriority w:val="0"/>
  </w:style>
  <w:style w:type="character" w:styleId="17">
    <w:name w:val="FollowedHyperlink"/>
    <w:basedOn w:val="15"/>
    <w:qFormat/>
    <w:uiPriority w:val="0"/>
    <w:rPr>
      <w:color w:val="0000FF"/>
      <w:u w:val="single"/>
    </w:rPr>
  </w:style>
  <w:style w:type="character" w:styleId="18">
    <w:name w:val="Hyperlink"/>
    <w:basedOn w:val="15"/>
    <w:qFormat/>
    <w:uiPriority w:val="0"/>
    <w:rPr>
      <w:color w:val="0000FF"/>
      <w:u w:val="single"/>
    </w:rPr>
  </w:style>
  <w:style w:type="paragraph" w:customStyle="1" w:styleId="19">
    <w:name w:val="正文文本缩进 21"/>
    <w:basedOn w:val="1"/>
    <w:qFormat/>
    <w:uiPriority w:val="0"/>
    <w:pPr>
      <w:spacing w:line="360" w:lineRule="auto"/>
      <w:ind w:firstLine="480" w:firstLineChars="200"/>
    </w:pPr>
    <w:rPr>
      <w:rFonts w:hint="eastAsia" w:ascii="宋体" w:hAnsi="宋体" w:eastAsia="宋体" w:cs="Times New Roman"/>
      <w:color w:val="FF0000"/>
      <w:kern w:val="0"/>
      <w:sz w:val="24"/>
    </w:rPr>
  </w:style>
  <w:style w:type="paragraph" w:customStyle="1" w:styleId="20">
    <w:name w:val="章节二"/>
    <w:basedOn w:val="1"/>
    <w:next w:val="1"/>
    <w:qFormat/>
    <w:uiPriority w:val="0"/>
    <w:pPr>
      <w:topLinePunct/>
      <w:adjustRightInd w:val="0"/>
      <w:snapToGrid w:val="0"/>
      <w:spacing w:beforeLines="50" w:afterAutospacing="1"/>
      <w:jc w:val="center"/>
      <w:outlineLvl w:val="1"/>
    </w:pPr>
    <w:rPr>
      <w:rFonts w:ascii="Times New Roman" w:hAnsi="Times New Roman" w:eastAsia="黑体" w:cs="Times New Roman"/>
      <w:b/>
      <w:spacing w:val="4"/>
      <w:kern w:val="0"/>
      <w:sz w:val="30"/>
      <w:szCs w:val="30"/>
    </w:rPr>
  </w:style>
  <w:style w:type="paragraph" w:customStyle="1" w:styleId="21">
    <w:name w:val="列出段落1"/>
    <w:basedOn w:val="1"/>
    <w:qFormat/>
    <w:uiPriority w:val="0"/>
    <w:pPr>
      <w:ind w:firstLine="420" w:firstLineChars="200"/>
    </w:pPr>
    <w:rPr>
      <w:rFonts w:ascii="Calibri" w:hAnsi="Calibri" w:eastAsia="宋体" w:cs="Times New Roman"/>
      <w:szCs w:val="21"/>
    </w:rPr>
  </w:style>
  <w:style w:type="paragraph" w:customStyle="1" w:styleId="22">
    <w:name w:val="文一"/>
    <w:basedOn w:val="1"/>
    <w:qFormat/>
    <w:uiPriority w:val="0"/>
    <w:pPr>
      <w:topLinePunct/>
      <w:adjustRightInd w:val="0"/>
      <w:snapToGrid w:val="0"/>
      <w:spacing w:line="360" w:lineRule="auto"/>
      <w:ind w:firstLine="200" w:firstLineChars="200"/>
    </w:pPr>
    <w:rPr>
      <w:rFonts w:ascii="Times New Roman" w:hAnsi="Times New Roman" w:eastAsia="宋体" w:cs="Times New Roman"/>
      <w:spacing w:val="4"/>
      <w:kern w:val="0"/>
      <w:sz w:val="24"/>
    </w:rPr>
  </w:style>
  <w:style w:type="character" w:customStyle="1" w:styleId="23">
    <w:name w:val="10"/>
    <w:basedOn w:val="15"/>
    <w:qFormat/>
    <w:uiPriority w:val="0"/>
    <w:rPr>
      <w:rFonts w:hint="default" w:ascii="Times New Roman" w:hAnsi="Times New Roman" w:cs="Times New Roman"/>
    </w:rPr>
  </w:style>
  <w:style w:type="character" w:customStyle="1" w:styleId="24">
    <w:name w:val="15"/>
    <w:basedOn w:val="15"/>
    <w:qFormat/>
    <w:uiPriority w:val="0"/>
    <w:rPr>
      <w:rFonts w:hint="default" w:ascii="Times New Roman" w:hAnsi="Times New Roman" w:cs="Times New Roman"/>
    </w:rPr>
  </w:style>
  <w:style w:type="character" w:customStyle="1" w:styleId="25">
    <w:name w:val="16"/>
    <w:basedOn w:val="15"/>
    <w:qFormat/>
    <w:uiPriority w:val="0"/>
    <w:rPr>
      <w:rFonts w:hint="default" w:ascii="Times New Roman" w:hAnsi="Times New Roman" w:cs="Times New Roman"/>
      <w:color w:val="0000FF"/>
      <w:u w:val="single"/>
    </w:rPr>
  </w:style>
  <w:style w:type="character" w:customStyle="1" w:styleId="26">
    <w:name w:val="页眉 Char"/>
    <w:basedOn w:val="15"/>
    <w:link w:val="11"/>
    <w:qFormat/>
    <w:uiPriority w:val="0"/>
    <w:rPr>
      <w:rFonts w:asciiTheme="minorHAnsi" w:hAnsiTheme="minorHAnsi" w:eastAsiaTheme="minorEastAsia" w:cstheme="minorBidi"/>
      <w:kern w:val="2"/>
      <w:sz w:val="18"/>
      <w:szCs w:val="18"/>
    </w:rPr>
  </w:style>
  <w:style w:type="character" w:customStyle="1" w:styleId="27">
    <w:name w:val="页脚 Char"/>
    <w:basedOn w:val="15"/>
    <w:link w:val="10"/>
    <w:qFormat/>
    <w:uiPriority w:val="0"/>
    <w:rPr>
      <w:rFonts w:asciiTheme="minorHAnsi" w:hAnsiTheme="minorHAnsi" w:eastAsiaTheme="minorEastAsia" w:cstheme="minorBidi"/>
      <w:kern w:val="2"/>
      <w:sz w:val="18"/>
      <w:szCs w:val="18"/>
    </w:rPr>
  </w:style>
  <w:style w:type="character" w:customStyle="1" w:styleId="28">
    <w:name w:val="批注框文本 Char"/>
    <w:basedOn w:val="15"/>
    <w:link w:val="9"/>
    <w:qFormat/>
    <w:uiPriority w:val="0"/>
    <w:rPr>
      <w:rFonts w:asciiTheme="minorHAnsi" w:hAnsiTheme="minorHAnsi" w:eastAsiaTheme="minorEastAsia" w:cstheme="minorBidi"/>
      <w:kern w:val="2"/>
      <w:sz w:val="18"/>
      <w:szCs w:val="18"/>
    </w:rPr>
  </w:style>
  <w:style w:type="paragraph" w:customStyle="1" w:styleId="29">
    <w:name w:val="WPSOffice手动目录 1"/>
    <w:qFormat/>
    <w:uiPriority w:val="0"/>
    <w:rPr>
      <w:rFonts w:ascii="Times New Roman" w:hAnsi="Times New Roman" w:eastAsia="宋体" w:cs="Times New Roman"/>
      <w:lang w:val="en-US" w:eastAsia="zh-CN" w:bidi="ar-SA"/>
    </w:rPr>
  </w:style>
  <w:style w:type="character" w:customStyle="1" w:styleId="30">
    <w:name w:val="纯文本 Char"/>
    <w:link w:val="8"/>
    <w:qFormat/>
    <w:uiPriority w:val="0"/>
    <w:rPr>
      <w:rFonts w:ascii="宋体" w:hAnsi="Courier New"/>
      <w:kern w:val="2"/>
      <w:sz w:val="21"/>
      <w:szCs w:val="21"/>
    </w:rPr>
  </w:style>
  <w:style w:type="character" w:customStyle="1" w:styleId="31">
    <w:name w:val="正文首行缩进 Char"/>
    <w:basedOn w:val="15"/>
    <w:link w:val="2"/>
    <w:qFormat/>
    <w:uiPriority w:val="0"/>
    <w:rPr>
      <w:kern w:val="2"/>
      <w:sz w:val="21"/>
      <w:szCs w:val="21"/>
    </w:rPr>
  </w:style>
  <w:style w:type="paragraph" w:styleId="32">
    <w:name w:val="List Paragraph"/>
    <w:basedOn w:val="1"/>
    <w:unhideWhenUsed/>
    <w:qFormat/>
    <w:uiPriority w:val="99"/>
    <w:pPr>
      <w:ind w:firstLine="420" w:firstLineChars="200"/>
    </w:pPr>
  </w:style>
  <w:style w:type="paragraph" w:customStyle="1" w:styleId="33">
    <w:name w:val="公文正文"/>
    <w:qFormat/>
    <w:uiPriority w:val="0"/>
    <w:pPr>
      <w:widowControl w:val="0"/>
      <w:spacing w:line="360" w:lineRule="auto"/>
      <w:ind w:firstLine="629"/>
      <w:jc w:val="both"/>
    </w:pPr>
    <w:rPr>
      <w:rFonts w:ascii="仿宋_GB2312" w:hAnsi="Calisto MT" w:eastAsia="仿宋_GB2312" w:cs="Times New Roman"/>
      <w:color w:val="000000"/>
      <w:sz w:val="32"/>
      <w:szCs w:val="22"/>
      <w:lang w:val="en-US" w:eastAsia="zh-CN" w:bidi="ar-SA"/>
    </w:rPr>
  </w:style>
  <w:style w:type="paragraph" w:customStyle="1" w:styleId="34">
    <w:name w:val="发文落款"/>
    <w:basedOn w:val="33"/>
    <w:qFormat/>
    <w:uiPriority w:val="0"/>
    <w:pPr>
      <w:ind w:left="4094" w:right="607" w:firstLine="0"/>
      <w:jc w:val="center"/>
    </w:pPr>
  </w:style>
  <w:style w:type="paragraph" w:customStyle="1" w:styleId="35">
    <w:name w:val="样式 小四 行距: 1.5 倍行距"/>
    <w:basedOn w:val="1"/>
    <w:qFormat/>
    <w:uiPriority w:val="0"/>
    <w:pPr>
      <w:ind w:firstLine="480"/>
    </w:pPr>
    <w:rPr>
      <w:rFonts w:cs="宋体"/>
    </w:rPr>
  </w:style>
  <w:style w:type="paragraph" w:customStyle="1" w:styleId="36">
    <w:name w:val="表格文字"/>
    <w:basedOn w:val="1"/>
    <w:qFormat/>
    <w:uiPriority w:val="0"/>
    <w:pPr>
      <w:spacing w:before="25" w:after="25"/>
      <w:jc w:val="left"/>
    </w:pPr>
    <w:rPr>
      <w:bCs/>
      <w:spacing w:val="10"/>
      <w:kern w:val="0"/>
      <w:sz w:val="24"/>
    </w:rPr>
  </w:style>
</w:styles>
</file>

<file path=word/_rels/document.xml.rels><?xml version="1.0" encoding="UTF-8" standalone="yes"?>
<Relationships xmlns="http://schemas.openxmlformats.org/package/2006/relationships"><Relationship Id="rId9"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D.tmp.png" TargetMode="External"/><Relationship Id="rId8" Type="http://schemas.openxmlformats.org/officeDocument/2006/relationships/image" Target="media/image2.png"/><Relationship Id="rId7" Type="http://schemas.openxmlformats.org/officeDocument/2006/relationships/image" Target="file:///d:\Documents\../../Microsoft/Windows/Microsoft/Windows/Microsoft/Windows/Microsoft/Windows/Microsoft/Windows/Microsoft/Windows/Temporary%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Internet%252525252525252525252525252525252525252525252525252525252525252525252525252525252525252525252525252525252525252525252525252525252525252525252525252525252525252525252525252525252525252525252525252525252525252525252525252525252525252525252525252525252525252525252525252525252525252520Files/ksohtml/wpsC1CC.tmp.png" TargetMode="External"/><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39</Pages>
  <Words>10782</Words>
  <Characters>11446</Characters>
  <Lines>139</Lines>
  <Paragraphs>39</Paragraphs>
  <TotalTime>0</TotalTime>
  <ScaleCrop>false</ScaleCrop>
  <LinksUpToDate>false</LinksUpToDate>
  <CharactersWithSpaces>12152</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2022-07-22T06:29:00Z</dcterms:created>
  <dc:creator>李晓晨</dc:creator>
  <cp:lastModifiedBy>Lenovo</cp:lastModifiedBy>
  <cp:lastPrinted>2020-07-23T07:52:00Z</cp:lastPrinted>
  <dcterms:modified xsi:type="dcterms:W3CDTF">2024-12-16T09:42:34Z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AA4CD1E778D4460ABD2331C7BD39833D_13</vt:lpwstr>
  </property>
</Properties>
</file>