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CDED4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广州南沙综合保税区加工区污水站运营项目</w:t>
      </w:r>
    </w:p>
    <w:p w14:paraId="434BC731">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eastAsia="zh-CN"/>
        </w:rPr>
        <w:t>邀请</w:t>
      </w:r>
      <w:r>
        <w:rPr>
          <w:rFonts w:hint="eastAsia" w:ascii="方正小标宋简体" w:hAnsi="方正小标宋简体" w:eastAsia="方正小标宋简体" w:cs="方正小标宋简体"/>
          <w:sz w:val="44"/>
          <w:szCs w:val="44"/>
          <w:highlight w:val="none"/>
        </w:rPr>
        <w:t>招标文件</w:t>
      </w:r>
    </w:p>
    <w:p w14:paraId="1EB13A87">
      <w:pPr>
        <w:keepNext w:val="0"/>
        <w:keepLines w:val="0"/>
        <w:jc w:val="center"/>
        <w:outlineLvl w:val="0"/>
        <w:rPr>
          <w:rFonts w:hint="eastAsia" w:ascii="方正小标宋简体" w:hAnsi="方正小标宋简体" w:eastAsia="方正小标宋简体" w:cs="方正小标宋简体"/>
          <w:b w:val="0"/>
          <w:sz w:val="44"/>
          <w:szCs w:val="44"/>
          <w:highlight w:val="none"/>
          <w:lang w:val="en-US" w:eastAsia="zh-CN"/>
        </w:rPr>
      </w:pPr>
      <w:r>
        <w:rPr>
          <w:rFonts w:hint="default" w:ascii="方正小标宋简体" w:hAnsi="方正小标宋简体" w:eastAsia="方正小标宋简体" w:cs="方正小标宋简体"/>
          <w:b w:val="0"/>
          <w:sz w:val="44"/>
          <w:szCs w:val="44"/>
          <w:highlight w:val="none"/>
          <w:lang w:val="en-US" w:eastAsia="zh-CN"/>
        </w:rPr>
        <w:t>第一部分 投标邀请</w:t>
      </w:r>
    </w:p>
    <w:p w14:paraId="605675E9">
      <w:pPr>
        <w:pStyle w:val="16"/>
        <w:keepNext w:val="0"/>
        <w:keepLines w:val="0"/>
        <w:pageBreakBefore w:val="0"/>
        <w:widowControl w:val="0"/>
        <w:kinsoku/>
        <w:wordWrap/>
        <w:overflowPunct/>
        <w:topLinePunct w:val="0"/>
        <w:autoSpaceDE/>
        <w:autoSpaceDN/>
        <w:bidi w:val="0"/>
        <w:adjustRightInd/>
        <w:spacing w:line="560" w:lineRule="exact"/>
        <w:ind w:left="0" w:leftChars="0"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一、项目概况</w:t>
      </w:r>
    </w:p>
    <w:p w14:paraId="7F58E73B">
      <w:pPr>
        <w:pStyle w:val="16"/>
        <w:keepNext w:val="0"/>
        <w:keepLines w:val="0"/>
        <w:pageBreakBefore w:val="0"/>
        <w:widowControl w:val="0"/>
        <w:kinsoku/>
        <w:wordWrap/>
        <w:overflowPunct/>
        <w:topLinePunct w:val="0"/>
        <w:autoSpaceDE/>
        <w:autoSpaceDN/>
        <w:bidi w:val="0"/>
        <w:adjustRightInd/>
        <w:spacing w:line="560" w:lineRule="exact"/>
        <w:ind w:left="0" w:leftChars="0"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一</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项目名称：广州南沙综合保税区加工区污水站运营项目</w:t>
      </w:r>
    </w:p>
    <w:p w14:paraId="74E51C0E">
      <w:pPr>
        <w:pStyle w:val="16"/>
        <w:keepNext w:val="0"/>
        <w:keepLines w:val="0"/>
        <w:pageBreakBefore w:val="0"/>
        <w:widowControl w:val="0"/>
        <w:kinsoku/>
        <w:wordWrap/>
        <w:overflowPunct/>
        <w:topLinePunct w:val="0"/>
        <w:autoSpaceDE/>
        <w:autoSpaceDN/>
        <w:bidi w:val="0"/>
        <w:adjustRightInd/>
        <w:spacing w:line="560" w:lineRule="exact"/>
        <w:ind w:firstLine="64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二</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项目地点：广州市南沙区万顷沙镇九涌半广州南沙综合保税区加工区</w:t>
      </w:r>
      <w:r>
        <w:rPr>
          <w:rFonts w:hint="eastAsia" w:ascii="仿宋_GB2312" w:hAnsi="仿宋_GB2312" w:eastAsia="仿宋_GB2312" w:cs="仿宋_GB2312"/>
          <w:sz w:val="32"/>
          <w:szCs w:val="32"/>
          <w:highlight w:val="none"/>
          <w:lang w:eastAsia="zh-CN"/>
        </w:rPr>
        <w:t>内</w:t>
      </w:r>
    </w:p>
    <w:p w14:paraId="486C95CD">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三</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项目内容：负责加工区污水站日常运营、管理和维护。</w:t>
      </w:r>
    </w:p>
    <w:p w14:paraId="66E01896">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bCs/>
          <w:sz w:val="32"/>
          <w:szCs w:val="32"/>
          <w:highlight w:val="none"/>
        </w:rPr>
      </w:pPr>
      <w:r>
        <w:rPr>
          <w:rFonts w:hint="eastAsia" w:ascii="仿宋_GB2312" w:hAnsi="仿宋_GB2312" w:eastAsia="仿宋_GB2312" w:cs="仿宋_GB2312"/>
          <w:b w:val="0"/>
          <w:bCs/>
          <w:sz w:val="32"/>
          <w:szCs w:val="32"/>
          <w:highlight w:val="none"/>
          <w:lang w:eastAsia="zh-CN"/>
        </w:rPr>
        <w:t>（</w:t>
      </w:r>
      <w:r>
        <w:rPr>
          <w:rFonts w:hint="eastAsia" w:ascii="仿宋_GB2312" w:hAnsi="仿宋_GB2312" w:eastAsia="仿宋_GB2312" w:cs="仿宋_GB2312"/>
          <w:b w:val="0"/>
          <w:bCs/>
          <w:sz w:val="32"/>
          <w:szCs w:val="32"/>
          <w:highlight w:val="none"/>
          <w:lang w:val="en-US" w:eastAsia="zh-CN"/>
        </w:rPr>
        <w:t>四</w:t>
      </w:r>
      <w:r>
        <w:rPr>
          <w:rFonts w:hint="eastAsia" w:ascii="仿宋_GB2312" w:hAnsi="仿宋_GB2312" w:eastAsia="仿宋_GB2312" w:cs="仿宋_GB2312"/>
          <w:b w:val="0"/>
          <w:bCs/>
          <w:sz w:val="32"/>
          <w:szCs w:val="32"/>
          <w:highlight w:val="none"/>
          <w:lang w:eastAsia="zh-CN"/>
        </w:rPr>
        <w:t>）</w:t>
      </w:r>
      <w:r>
        <w:rPr>
          <w:rFonts w:hint="eastAsia" w:ascii="仿宋_GB2312" w:hAnsi="仿宋_GB2312" w:eastAsia="仿宋_GB2312" w:cs="仿宋_GB2312"/>
          <w:b w:val="0"/>
          <w:bCs/>
          <w:sz w:val="32"/>
          <w:szCs w:val="32"/>
          <w:highlight w:val="none"/>
        </w:rPr>
        <w:t>项目要求：详见</w:t>
      </w:r>
      <w:r>
        <w:rPr>
          <w:rFonts w:hint="eastAsia" w:ascii="仿宋_GB2312" w:hAnsi="仿宋_GB2312" w:eastAsia="仿宋_GB2312" w:cs="仿宋_GB2312"/>
          <w:b w:val="0"/>
          <w:bCs/>
          <w:sz w:val="32"/>
          <w:szCs w:val="32"/>
          <w:highlight w:val="none"/>
          <w:lang w:val="en-US" w:eastAsia="zh-CN"/>
        </w:rPr>
        <w:t>招标文件“第二部分</w:t>
      </w:r>
      <w:r>
        <w:rPr>
          <w:rFonts w:hint="eastAsia" w:ascii="仿宋_GB2312" w:hAnsi="仿宋_GB2312" w:eastAsia="仿宋_GB2312" w:cs="仿宋_GB2312"/>
          <w:b w:val="0"/>
          <w:bCs/>
          <w:sz w:val="32"/>
          <w:szCs w:val="32"/>
          <w:highlight w:val="none"/>
        </w:rPr>
        <w:t>项目需求书</w:t>
      </w:r>
      <w:r>
        <w:rPr>
          <w:rFonts w:hint="eastAsia" w:ascii="仿宋_GB2312" w:hAnsi="仿宋_GB2312" w:eastAsia="仿宋_GB2312" w:cs="仿宋_GB2312"/>
          <w:b w:val="0"/>
          <w:bCs/>
          <w:sz w:val="32"/>
          <w:szCs w:val="32"/>
          <w:highlight w:val="none"/>
          <w:lang w:eastAsia="zh-CN"/>
        </w:rPr>
        <w:t>”</w:t>
      </w:r>
      <w:r>
        <w:rPr>
          <w:rFonts w:hint="eastAsia" w:ascii="仿宋_GB2312" w:hAnsi="仿宋_GB2312" w:eastAsia="仿宋_GB2312" w:cs="仿宋_GB2312"/>
          <w:b w:val="0"/>
          <w:bCs/>
          <w:sz w:val="32"/>
          <w:szCs w:val="32"/>
          <w:highlight w:val="none"/>
        </w:rPr>
        <w:t>。</w:t>
      </w:r>
    </w:p>
    <w:p w14:paraId="447721EA">
      <w:pPr>
        <w:keepNext w:val="0"/>
        <w:keepLines w:val="0"/>
        <w:pageBreakBefore w:val="0"/>
        <w:widowControl w:val="0"/>
        <w:tabs>
          <w:tab w:val="left" w:pos="1140"/>
        </w:tabs>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五</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项目期限：</w:t>
      </w:r>
      <w:r>
        <w:rPr>
          <w:rFonts w:hint="eastAsia" w:ascii="仿宋_GB2312" w:hAnsi="仿宋_GB2312" w:eastAsia="仿宋_GB2312" w:cs="仿宋_GB2312"/>
          <w:b w:val="0"/>
          <w:kern w:val="2"/>
          <w:sz w:val="32"/>
          <w:szCs w:val="32"/>
          <w:highlight w:val="none"/>
          <w:lang w:val="en-US" w:eastAsia="zh-CN" w:bidi="ar-SA"/>
        </w:rPr>
        <w:t>1年</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b w:val="0"/>
          <w:kern w:val="2"/>
          <w:sz w:val="32"/>
          <w:szCs w:val="32"/>
          <w:highlight w:val="none"/>
          <w:lang w:val="en-US" w:eastAsia="zh-CN" w:bidi="ar-SA"/>
        </w:rPr>
        <w:t>自</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highlight w:val="none"/>
        </w:rPr>
        <w:t>月1</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日至202</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highlight w:val="none"/>
        </w:rPr>
        <w:t>日</w:t>
      </w:r>
      <w:r>
        <w:rPr>
          <w:rFonts w:hint="eastAsia" w:ascii="仿宋_GB2312" w:hAnsi="仿宋_GB2312" w:eastAsia="仿宋_GB2312" w:cs="仿宋_GB2312"/>
          <w:sz w:val="32"/>
          <w:szCs w:val="32"/>
          <w:highlight w:val="none"/>
          <w:lang w:eastAsia="zh-CN"/>
        </w:rPr>
        <w:t>止</w:t>
      </w:r>
      <w:r>
        <w:rPr>
          <w:rFonts w:hint="eastAsia" w:ascii="仿宋_GB2312" w:hAnsi="仿宋_GB2312" w:eastAsia="仿宋_GB2312" w:cs="仿宋_GB2312"/>
          <w:sz w:val="32"/>
          <w:szCs w:val="32"/>
          <w:highlight w:val="none"/>
        </w:rPr>
        <w:t>。</w:t>
      </w:r>
    </w:p>
    <w:p w14:paraId="16C4A5FF">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二、招标人信息</w:t>
      </w:r>
    </w:p>
    <w:p w14:paraId="6F29AF27">
      <w:pPr>
        <w:pStyle w:val="16"/>
        <w:keepNext w:val="0"/>
        <w:keepLines w:val="0"/>
        <w:pageBreakBefore w:val="0"/>
        <w:widowControl w:val="0"/>
        <w:kinsoku/>
        <w:wordWrap/>
        <w:overflowPunct/>
        <w:topLinePunct w:val="0"/>
        <w:autoSpaceDE/>
        <w:autoSpaceDN/>
        <w:bidi w:val="0"/>
        <w:adjustRightInd/>
        <w:spacing w:line="560" w:lineRule="exact"/>
        <w:ind w:left="0" w:leftChars="0"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一</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招标人：广州南沙口岸服务有限公司</w:t>
      </w:r>
    </w:p>
    <w:p w14:paraId="4C77AED2">
      <w:pPr>
        <w:pStyle w:val="16"/>
        <w:keepNext w:val="0"/>
        <w:keepLines w:val="0"/>
        <w:pageBreakBefore w:val="0"/>
        <w:widowControl w:val="0"/>
        <w:kinsoku/>
        <w:wordWrap/>
        <w:overflowPunct/>
        <w:topLinePunct w:val="0"/>
        <w:autoSpaceDE/>
        <w:autoSpaceDN/>
        <w:bidi w:val="0"/>
        <w:adjustRightInd/>
        <w:spacing w:line="560" w:lineRule="exact"/>
        <w:ind w:firstLine="64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二</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地址：</w:t>
      </w:r>
      <w:r>
        <w:rPr>
          <w:rFonts w:hint="eastAsia" w:ascii="仿宋_GB2312" w:hAnsi="仿宋_GB2312" w:eastAsia="仿宋_GB2312" w:cs="仿宋_GB2312"/>
          <w:sz w:val="32"/>
          <w:szCs w:val="32"/>
          <w:highlight w:val="none"/>
          <w:lang w:val="en-US" w:eastAsia="zh-CN"/>
        </w:rPr>
        <w:t>广州市南沙区龙穴岛龙穴大道中13号口岸大厦18楼</w:t>
      </w:r>
    </w:p>
    <w:p w14:paraId="4B42882B">
      <w:pPr>
        <w:pStyle w:val="16"/>
        <w:keepNext w:val="0"/>
        <w:keepLines w:val="0"/>
        <w:pageBreakBefore w:val="0"/>
        <w:widowControl w:val="0"/>
        <w:kinsoku/>
        <w:wordWrap/>
        <w:overflowPunct/>
        <w:topLinePunct w:val="0"/>
        <w:autoSpaceDE/>
        <w:autoSpaceDN/>
        <w:bidi w:val="0"/>
        <w:adjustRightInd/>
        <w:spacing w:line="560" w:lineRule="exact"/>
        <w:ind w:firstLine="64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三</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联系人：</w:t>
      </w:r>
      <w:r>
        <w:rPr>
          <w:rFonts w:hint="eastAsia" w:ascii="仿宋_GB2312" w:hAnsi="仿宋_GB2312" w:eastAsia="仿宋_GB2312" w:cs="仿宋_GB2312"/>
          <w:sz w:val="32"/>
          <w:szCs w:val="32"/>
          <w:highlight w:val="none"/>
          <w:lang w:eastAsia="zh-CN"/>
        </w:rPr>
        <w:t>涂先生</w:t>
      </w:r>
    </w:p>
    <w:p w14:paraId="4D2C0875">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四</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电话：13</w:t>
      </w:r>
      <w:r>
        <w:rPr>
          <w:rFonts w:hint="eastAsia" w:ascii="仿宋_GB2312" w:hAnsi="仿宋_GB2312" w:eastAsia="仿宋_GB2312" w:cs="仿宋_GB2312"/>
          <w:sz w:val="32"/>
          <w:szCs w:val="32"/>
          <w:highlight w:val="none"/>
          <w:lang w:val="en-US" w:eastAsia="zh-CN"/>
        </w:rPr>
        <w:t>922289689</w:t>
      </w:r>
    </w:p>
    <w:p w14:paraId="1F6B5F90">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三、投标人资格要求</w:t>
      </w:r>
    </w:p>
    <w:p w14:paraId="3628F3E5">
      <w:pPr>
        <w:keepNext w:val="0"/>
        <w:keepLines w:val="0"/>
        <w:pageBreakBefore w:val="0"/>
        <w:widowControl w:val="0"/>
        <w:kinsoku/>
        <w:wordWrap/>
        <w:overflowPunct/>
        <w:topLinePunct w:val="0"/>
        <w:autoSpaceDE/>
        <w:autoSpaceDN/>
        <w:bidi w:val="0"/>
        <w:adjustRightInd/>
        <w:spacing w:line="560" w:lineRule="exact"/>
        <w:ind w:firstLine="640" w:firstLineChars="200"/>
        <w:jc w:val="lef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一</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投标人必须是具有独立承担民事责任能力的在中华人民共和国境内注册的法人，提供有效的营业执照或法人登记证书复印件。</w:t>
      </w:r>
    </w:p>
    <w:p w14:paraId="665AF2A8">
      <w:pPr>
        <w:pStyle w:val="7"/>
        <w:ind w:firstLine="640" w:firstLineChars="200"/>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二）有依法缴纳税收和社会保障资金的良好记录：提供《资格声明函》。</w:t>
      </w:r>
    </w:p>
    <w:p w14:paraId="0DDB88F2">
      <w:pPr>
        <w:pStyle w:val="7"/>
        <w:ind w:firstLine="640" w:firstLineChars="200"/>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（三）具有良好的商业信誉和健全的财务会计制度：提供《资格声明函》。</w:t>
      </w:r>
    </w:p>
    <w:p w14:paraId="6E348C3A">
      <w:pPr>
        <w:pStyle w:val="8"/>
        <w:spacing w:before="0" w:after="0"/>
        <w:ind w:firstLine="640" w:firstLineChars="200"/>
        <w:jc w:val="both"/>
        <w:outlineLvl w:val="9"/>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（四）具备</w:t>
      </w:r>
      <w:r>
        <w:rPr>
          <w:rFonts w:hint="eastAsia" w:ascii="仿宋_GB2312" w:hAnsi="仿宋_GB2312" w:eastAsia="仿宋_GB2312" w:cs="仿宋_GB2312"/>
          <w:b w:val="0"/>
          <w:highlight w:val="none"/>
        </w:rPr>
        <w:t>履行合同所必需的设备和专业技术能力</w:t>
      </w:r>
      <w:r>
        <w:rPr>
          <w:rFonts w:hint="eastAsia" w:ascii="仿宋_GB2312" w:hAnsi="仿宋_GB2312" w:eastAsia="仿宋_GB2312" w:cs="仿宋_GB2312"/>
          <w:b w:val="0"/>
          <w:sz w:val="32"/>
          <w:szCs w:val="32"/>
          <w:highlight w:val="none"/>
          <w:lang w:val="en-US" w:eastAsia="zh-CN"/>
        </w:rPr>
        <w:t>：提供《资格声明函》。</w:t>
      </w:r>
    </w:p>
    <w:p w14:paraId="3378E5F4">
      <w:pPr>
        <w:pStyle w:val="8"/>
        <w:spacing w:before="0" w:after="0"/>
        <w:ind w:firstLine="640" w:firstLineChars="200"/>
        <w:jc w:val="both"/>
        <w:outlineLvl w:val="9"/>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（五）具备法律、法规规定的其他条件：提供《资格声明函》。</w:t>
      </w:r>
    </w:p>
    <w:p w14:paraId="50543E30">
      <w:pPr>
        <w:pStyle w:val="8"/>
        <w:spacing w:before="0" w:after="0"/>
        <w:ind w:firstLine="640" w:firstLineChars="200"/>
        <w:jc w:val="both"/>
        <w:outlineLvl w:val="9"/>
        <w:rPr>
          <w:rFonts w:hint="default" w:ascii="仿宋_GB2312" w:hAnsi="仿宋_GB2312" w:eastAsia="仿宋_GB2312" w:cs="仿宋_GB2312"/>
          <w:b w:val="0"/>
          <w:highlight w:val="none"/>
          <w:lang w:val="en-US" w:eastAsia="zh-CN"/>
        </w:rPr>
      </w:pPr>
      <w:r>
        <w:rPr>
          <w:rFonts w:hint="eastAsia" w:ascii="仿宋_GB2312" w:hAnsi="仿宋_GB2312" w:eastAsia="仿宋_GB2312" w:cs="仿宋_GB2312"/>
          <w:b w:val="0"/>
          <w:sz w:val="32"/>
          <w:szCs w:val="32"/>
          <w:highlight w:val="none"/>
          <w:lang w:val="en-US" w:eastAsia="zh-CN"/>
        </w:rPr>
        <w:t>（六）投标截止时间前最近三年内没有骗取中标、严重违约、出现质量不过关等问题：提供《资格声明函》。</w:t>
      </w:r>
    </w:p>
    <w:p w14:paraId="1EAC39AA">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四、投标报价</w:t>
      </w:r>
    </w:p>
    <w:p w14:paraId="0ACFC275">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val="en-US" w:eastAsia="zh-CN"/>
        </w:rPr>
        <w:t>本项目</w:t>
      </w:r>
      <w:r>
        <w:rPr>
          <w:rFonts w:hint="eastAsia" w:ascii="仿宋_GB2312" w:hAnsi="仿宋_GB2312" w:eastAsia="仿宋_GB2312" w:cs="仿宋_GB2312"/>
          <w:b w:val="0"/>
          <w:sz w:val="32"/>
          <w:szCs w:val="32"/>
          <w:highlight w:val="none"/>
        </w:rPr>
        <w:t>最高限价</w:t>
      </w:r>
      <w:r>
        <w:rPr>
          <w:rFonts w:hint="eastAsia" w:ascii="仿宋_GB2312" w:hAnsi="仿宋_GB2312" w:eastAsia="仿宋_GB2312" w:cs="仿宋_GB2312"/>
          <w:b w:val="0"/>
          <w:sz w:val="32"/>
          <w:szCs w:val="32"/>
          <w:highlight w:val="none"/>
          <w:lang w:val="en-US" w:eastAsia="zh-CN"/>
        </w:rPr>
        <w:t>20</w:t>
      </w:r>
      <w:r>
        <w:rPr>
          <w:rFonts w:hint="eastAsia" w:ascii="仿宋_GB2312" w:hAnsi="仿宋_GB2312" w:eastAsia="仿宋_GB2312" w:cs="仿宋_GB2312"/>
          <w:b w:val="0"/>
          <w:sz w:val="32"/>
          <w:szCs w:val="32"/>
          <w:highlight w:val="none"/>
        </w:rPr>
        <w:t>万元/年</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含税）</w:t>
      </w:r>
      <w:r>
        <w:rPr>
          <w:rFonts w:hint="eastAsia" w:ascii="仿宋_GB2312" w:hAnsi="仿宋_GB2312" w:eastAsia="仿宋_GB2312" w:cs="仿宋_GB2312"/>
          <w:b w:val="0"/>
          <w:sz w:val="32"/>
          <w:szCs w:val="32"/>
          <w:highlight w:val="none"/>
        </w:rPr>
        <w:t>，超过该报价视为</w:t>
      </w:r>
      <w:r>
        <w:rPr>
          <w:rFonts w:hint="eastAsia" w:ascii="仿宋_GB2312" w:hAnsi="仿宋_GB2312" w:eastAsia="仿宋_GB2312" w:cs="仿宋_GB2312"/>
          <w:b w:val="0"/>
          <w:sz w:val="32"/>
          <w:szCs w:val="32"/>
          <w:highlight w:val="none"/>
          <w:lang w:val="en-US" w:eastAsia="zh-Hans"/>
        </w:rPr>
        <w:t>无效投标</w:t>
      </w:r>
      <w:r>
        <w:rPr>
          <w:rFonts w:hint="eastAsia" w:ascii="仿宋_GB2312" w:hAnsi="仿宋_GB2312" w:eastAsia="仿宋_GB2312" w:cs="仿宋_GB2312"/>
          <w:b w:val="0"/>
          <w:sz w:val="32"/>
          <w:szCs w:val="32"/>
          <w:highlight w:val="none"/>
        </w:rPr>
        <w:t>。</w:t>
      </w:r>
    </w:p>
    <w:p w14:paraId="4481CF03">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五、投标方式</w:t>
      </w:r>
    </w:p>
    <w:p w14:paraId="6D806E08">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rPr>
        <w:t>采用密封报价，在招标人要求</w:t>
      </w:r>
      <w:r>
        <w:rPr>
          <w:rFonts w:hint="eastAsia" w:ascii="仿宋_GB2312" w:hAnsi="仿宋_GB2312" w:eastAsia="仿宋_GB2312" w:cs="仿宋_GB2312"/>
          <w:b w:val="0"/>
          <w:sz w:val="32"/>
          <w:szCs w:val="32"/>
          <w:highlight w:val="none"/>
          <w:lang w:val="en-US" w:eastAsia="zh-CN"/>
        </w:rPr>
        <w:t>的投标</w:t>
      </w:r>
      <w:r>
        <w:rPr>
          <w:rFonts w:hint="eastAsia" w:ascii="仿宋_GB2312" w:hAnsi="仿宋_GB2312" w:eastAsia="仿宋_GB2312" w:cs="仿宋_GB2312"/>
          <w:b w:val="0"/>
          <w:sz w:val="32"/>
          <w:szCs w:val="32"/>
          <w:highlight w:val="none"/>
        </w:rPr>
        <w:t>截止时间</w:t>
      </w:r>
      <w:r>
        <w:rPr>
          <w:rFonts w:hint="eastAsia" w:ascii="仿宋_GB2312" w:hAnsi="仿宋_GB2312" w:eastAsia="仿宋_GB2312" w:cs="仿宋_GB2312"/>
          <w:b w:val="0"/>
          <w:sz w:val="32"/>
          <w:szCs w:val="32"/>
          <w:highlight w:val="none"/>
          <w:lang w:val="en-US" w:eastAsia="zh-CN"/>
        </w:rPr>
        <w:t>前</w:t>
      </w:r>
      <w:r>
        <w:rPr>
          <w:rFonts w:hint="eastAsia" w:ascii="仿宋_GB2312" w:hAnsi="仿宋_GB2312" w:eastAsia="仿宋_GB2312" w:cs="仿宋_GB2312"/>
          <w:b w:val="0"/>
          <w:sz w:val="32"/>
          <w:szCs w:val="32"/>
          <w:highlight w:val="none"/>
        </w:rPr>
        <w:t>递交投标文件。</w:t>
      </w:r>
    </w:p>
    <w:p w14:paraId="75CC8695">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六、投标文件的组成</w:t>
      </w:r>
    </w:p>
    <w:p w14:paraId="4437CDB0">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rPr>
        <w:t>投标人需提供下列</w:t>
      </w:r>
      <w:r>
        <w:rPr>
          <w:rFonts w:hint="eastAsia" w:ascii="仿宋_GB2312" w:hAnsi="仿宋_GB2312" w:eastAsia="仿宋_GB2312" w:cs="仿宋_GB2312"/>
          <w:b w:val="0"/>
          <w:sz w:val="32"/>
          <w:szCs w:val="32"/>
          <w:highlight w:val="none"/>
          <w:lang w:val="en-US" w:eastAsia="zh-CN"/>
        </w:rPr>
        <w:t>资料</w:t>
      </w:r>
      <w:r>
        <w:rPr>
          <w:rFonts w:hint="eastAsia" w:ascii="仿宋_GB2312" w:hAnsi="仿宋_GB2312" w:eastAsia="仿宋_GB2312" w:cs="仿宋_GB2312"/>
          <w:b w:val="0"/>
          <w:sz w:val="32"/>
          <w:szCs w:val="32"/>
          <w:highlight w:val="none"/>
        </w:rPr>
        <w:t>，密封好并加盖公章：</w:t>
      </w:r>
    </w:p>
    <w:p w14:paraId="324FA2F2">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一</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投标函</w:t>
      </w:r>
    </w:p>
    <w:p w14:paraId="61E8A067">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b w:val="0"/>
          <w:bCs/>
          <w:kern w:val="2"/>
          <w:sz w:val="32"/>
          <w:szCs w:val="32"/>
          <w:highlight w:val="none"/>
          <w:lang w:val="en-US" w:eastAsia="zh-CN" w:bidi="ar-SA"/>
        </w:rPr>
      </w:pPr>
      <w:r>
        <w:rPr>
          <w:rFonts w:hint="eastAsia" w:ascii="仿宋_GB2312" w:hAnsi="仿宋_GB2312" w:eastAsia="仿宋_GB2312" w:cs="仿宋_GB2312"/>
          <w:b w:val="0"/>
          <w:bCs/>
          <w:kern w:val="2"/>
          <w:sz w:val="32"/>
          <w:szCs w:val="32"/>
          <w:highlight w:val="none"/>
          <w:lang w:val="en-US" w:eastAsia="zh-CN" w:bidi="ar-SA"/>
        </w:rPr>
        <w:t>（二）资格声明函</w:t>
      </w:r>
    </w:p>
    <w:p w14:paraId="0EF24B49">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bCs/>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三</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bCs/>
          <w:kern w:val="2"/>
          <w:sz w:val="32"/>
          <w:szCs w:val="32"/>
          <w:highlight w:val="none"/>
          <w:lang w:val="en-US" w:eastAsia="zh-CN" w:bidi="ar-SA"/>
        </w:rPr>
        <w:t>关联性承诺函</w:t>
      </w:r>
    </w:p>
    <w:p w14:paraId="04BF78ED">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四</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资质证明文件：有效的营业执</w:t>
      </w:r>
      <w:r>
        <w:rPr>
          <w:rFonts w:hint="eastAsia" w:ascii="仿宋_GB2312" w:hAnsi="仿宋_GB2312" w:eastAsia="仿宋_GB2312" w:cs="仿宋_GB2312"/>
          <w:b w:val="0"/>
          <w:bCs w:val="0"/>
          <w:sz w:val="32"/>
          <w:szCs w:val="32"/>
          <w:highlight w:val="none"/>
        </w:rPr>
        <w:t>照或法人登记证书</w:t>
      </w:r>
      <w:r>
        <w:rPr>
          <w:rFonts w:hint="eastAsia" w:ascii="仿宋_GB2312" w:hAnsi="仿宋_GB2312" w:eastAsia="仿宋_GB2312" w:cs="仿宋_GB2312"/>
          <w:b w:val="0"/>
          <w:sz w:val="32"/>
          <w:szCs w:val="32"/>
          <w:highlight w:val="none"/>
        </w:rPr>
        <w:t>复印件、法定代表人</w:t>
      </w:r>
      <w:r>
        <w:rPr>
          <w:rFonts w:hint="eastAsia" w:ascii="仿宋_GB2312" w:hAnsi="仿宋_GB2312" w:eastAsia="仿宋_GB2312" w:cs="仿宋_GB2312"/>
          <w:b w:val="0"/>
          <w:sz w:val="32"/>
          <w:szCs w:val="32"/>
          <w:highlight w:val="none"/>
          <w:lang w:val="en-US" w:eastAsia="zh-CN"/>
        </w:rPr>
        <w:t>证明书、</w:t>
      </w:r>
      <w:r>
        <w:rPr>
          <w:rFonts w:hint="eastAsia" w:ascii="仿宋_GB2312" w:hAnsi="仿宋_GB2312" w:eastAsia="仿宋_GB2312" w:cs="仿宋_GB2312"/>
          <w:b w:val="0"/>
          <w:sz w:val="32"/>
          <w:szCs w:val="32"/>
          <w:highlight w:val="none"/>
        </w:rPr>
        <w:t>法定代表人身份证复印件、法定代表人授权委托书、受委托人身份证复印件</w:t>
      </w:r>
    </w:p>
    <w:p w14:paraId="24F70EEC">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lang w:eastAsia="zh-CN"/>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五</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报价明细表</w:t>
      </w:r>
    </w:p>
    <w:p w14:paraId="5BCCCD27">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lang w:eastAsia="zh-CN"/>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六）</w:t>
      </w:r>
      <w:r>
        <w:rPr>
          <w:rFonts w:hint="eastAsia" w:ascii="仿宋_GB2312" w:hAnsi="仿宋_GB2312" w:eastAsia="仿宋_GB2312" w:cs="仿宋_GB2312"/>
          <w:b w:val="0"/>
          <w:sz w:val="32"/>
          <w:szCs w:val="32"/>
          <w:highlight w:val="none"/>
          <w:lang w:eastAsia="zh-CN"/>
        </w:rPr>
        <w:t>同类型业绩证明材料</w:t>
      </w:r>
    </w:p>
    <w:p w14:paraId="0770A6E0">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七）</w:t>
      </w:r>
      <w:r>
        <w:rPr>
          <w:rFonts w:hint="eastAsia" w:ascii="仿宋_GB2312" w:hAnsi="仿宋_GB2312" w:eastAsia="仿宋_GB2312" w:cs="仿宋_GB2312"/>
          <w:b w:val="0"/>
          <w:sz w:val="32"/>
          <w:szCs w:val="32"/>
          <w:highlight w:val="none"/>
        </w:rPr>
        <w:t>项目运营方案</w:t>
      </w:r>
    </w:p>
    <w:p w14:paraId="3746288B">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七、评标方法</w:t>
      </w:r>
    </w:p>
    <w:p w14:paraId="314F59B3">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一</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开标由招标人自行组织，开标时投标人不需到场参加。</w:t>
      </w:r>
    </w:p>
    <w:p w14:paraId="495F6DB5">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二</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开标时，由招标人员检查投标文件的密封情况，经确认无误后拆封。</w:t>
      </w:r>
    </w:p>
    <w:p w14:paraId="20BB9A64">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三</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资格、</w:t>
      </w:r>
      <w:r>
        <w:rPr>
          <w:rFonts w:hint="eastAsia" w:ascii="仿宋_GB2312" w:hAnsi="仿宋_GB2312" w:eastAsia="仿宋_GB2312" w:cs="仿宋_GB2312"/>
          <w:b w:val="0"/>
          <w:sz w:val="32"/>
          <w:szCs w:val="32"/>
          <w:highlight w:val="none"/>
        </w:rPr>
        <w:t>符合性审查</w:t>
      </w:r>
    </w:p>
    <w:p w14:paraId="5F35F32F">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rPr>
        <w:t>评标</w:t>
      </w:r>
      <w:r>
        <w:rPr>
          <w:rFonts w:hint="eastAsia" w:ascii="仿宋_GB2312" w:hAnsi="仿宋_GB2312" w:eastAsia="仿宋_GB2312" w:cs="仿宋_GB2312"/>
          <w:b w:val="0"/>
          <w:sz w:val="32"/>
          <w:szCs w:val="32"/>
          <w:highlight w:val="none"/>
          <w:lang w:val="en-US" w:eastAsia="zh-CN"/>
        </w:rPr>
        <w:t>小组按招标文件规定的审查标准</w:t>
      </w:r>
      <w:r>
        <w:rPr>
          <w:rFonts w:hint="eastAsia" w:ascii="仿宋_GB2312" w:hAnsi="仿宋_GB2312" w:eastAsia="仿宋_GB2312" w:cs="仿宋_GB2312"/>
          <w:b w:val="0"/>
          <w:sz w:val="32"/>
          <w:szCs w:val="32"/>
          <w:highlight w:val="none"/>
        </w:rPr>
        <w:t>对</w:t>
      </w:r>
      <w:r>
        <w:rPr>
          <w:rFonts w:hint="eastAsia" w:ascii="仿宋_GB2312" w:hAnsi="仿宋_GB2312" w:eastAsia="仿宋_GB2312" w:cs="仿宋_GB2312"/>
          <w:b w:val="0"/>
          <w:sz w:val="32"/>
          <w:szCs w:val="32"/>
          <w:highlight w:val="none"/>
          <w:lang w:val="en-US" w:eastAsia="zh-CN"/>
        </w:rPr>
        <w:t>投标人递交的</w:t>
      </w:r>
      <w:r>
        <w:rPr>
          <w:rFonts w:hint="eastAsia" w:ascii="仿宋_GB2312" w:hAnsi="仿宋_GB2312" w:eastAsia="仿宋_GB2312" w:cs="仿宋_GB2312"/>
          <w:b w:val="0"/>
          <w:sz w:val="32"/>
          <w:szCs w:val="32"/>
          <w:highlight w:val="none"/>
        </w:rPr>
        <w:t>投标文件进行</w:t>
      </w:r>
      <w:r>
        <w:rPr>
          <w:rFonts w:hint="eastAsia" w:ascii="仿宋_GB2312" w:hAnsi="仿宋_GB2312" w:eastAsia="仿宋_GB2312" w:cs="仿宋_GB2312"/>
          <w:b w:val="0"/>
          <w:sz w:val="32"/>
          <w:szCs w:val="32"/>
          <w:highlight w:val="none"/>
          <w:lang w:val="en-US" w:eastAsia="zh-CN"/>
        </w:rPr>
        <w:t>资格、符合</w:t>
      </w:r>
      <w:r>
        <w:rPr>
          <w:rFonts w:hint="eastAsia" w:ascii="仿宋_GB2312" w:hAnsi="仿宋_GB2312" w:eastAsia="仿宋_GB2312" w:cs="仿宋_GB2312"/>
          <w:b w:val="0"/>
          <w:sz w:val="32"/>
          <w:szCs w:val="32"/>
          <w:highlight w:val="none"/>
        </w:rPr>
        <w:t>性审查，若符合要求，则进入</w:t>
      </w:r>
      <w:r>
        <w:rPr>
          <w:rFonts w:hint="default" w:ascii="仿宋_GB2312" w:hAnsi="仿宋_GB2312" w:eastAsia="仿宋_GB2312" w:cs="仿宋_GB2312"/>
          <w:b w:val="0"/>
          <w:sz w:val="32"/>
          <w:szCs w:val="32"/>
          <w:highlight w:val="none"/>
          <w:lang w:val="en-US"/>
        </w:rPr>
        <w:t>下一阶段评审</w:t>
      </w:r>
      <w:r>
        <w:rPr>
          <w:rFonts w:hint="eastAsia" w:ascii="仿宋_GB2312" w:hAnsi="仿宋_GB2312" w:eastAsia="仿宋_GB2312" w:cs="仿宋_GB2312"/>
          <w:b w:val="0"/>
          <w:sz w:val="32"/>
          <w:szCs w:val="32"/>
          <w:highlight w:val="none"/>
        </w:rPr>
        <w:t>；若不符合要求，则不得进入下一阶段评审。</w:t>
      </w:r>
    </w:p>
    <w:p w14:paraId="7DCBCCA6">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四</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本项目采用综合评</w:t>
      </w:r>
      <w:r>
        <w:rPr>
          <w:rFonts w:hint="default" w:ascii="仿宋_GB2312" w:hAnsi="仿宋_GB2312" w:eastAsia="仿宋_GB2312" w:cs="仿宋_GB2312"/>
          <w:b w:val="0"/>
          <w:sz w:val="32"/>
          <w:szCs w:val="32"/>
          <w:highlight w:val="none"/>
          <w:lang w:val="en-US" w:eastAsia="zh-CN"/>
        </w:rPr>
        <w:t>审</w:t>
      </w:r>
      <w:r>
        <w:rPr>
          <w:rFonts w:hint="eastAsia" w:ascii="仿宋_GB2312" w:hAnsi="仿宋_GB2312" w:eastAsia="仿宋_GB2312" w:cs="仿宋_GB2312"/>
          <w:b w:val="0"/>
          <w:sz w:val="32"/>
          <w:szCs w:val="32"/>
          <w:highlight w:val="none"/>
        </w:rPr>
        <w:t>法，综合考虑价格、</w:t>
      </w:r>
      <w:r>
        <w:rPr>
          <w:rFonts w:hint="eastAsia" w:ascii="仿宋_GB2312" w:hAnsi="仿宋_GB2312" w:eastAsia="仿宋_GB2312" w:cs="仿宋_GB2312"/>
          <w:b w:val="0"/>
          <w:sz w:val="32"/>
          <w:szCs w:val="32"/>
          <w:highlight w:val="none"/>
          <w:lang w:val="en-US" w:eastAsia="zh-CN"/>
        </w:rPr>
        <w:t>污水处理</w:t>
      </w:r>
      <w:r>
        <w:rPr>
          <w:rFonts w:hint="eastAsia" w:ascii="仿宋_GB2312" w:hAnsi="仿宋_GB2312" w:eastAsia="仿宋_GB2312" w:cs="仿宋_GB2312"/>
          <w:b w:val="0"/>
          <w:sz w:val="32"/>
          <w:szCs w:val="32"/>
          <w:highlight w:val="none"/>
        </w:rPr>
        <w:t>技术符合度、</w:t>
      </w:r>
      <w:r>
        <w:rPr>
          <w:rFonts w:hint="eastAsia" w:ascii="仿宋_GB2312" w:hAnsi="仿宋_GB2312" w:eastAsia="仿宋_GB2312" w:cs="仿宋_GB2312"/>
          <w:b w:val="0"/>
          <w:sz w:val="32"/>
          <w:szCs w:val="32"/>
          <w:highlight w:val="none"/>
          <w:lang w:val="en-US" w:eastAsia="zh-CN"/>
        </w:rPr>
        <w:t>项目运营</w:t>
      </w:r>
      <w:r>
        <w:rPr>
          <w:rFonts w:hint="eastAsia" w:ascii="仿宋_GB2312" w:hAnsi="仿宋_GB2312" w:eastAsia="仿宋_GB2312" w:cs="仿宋_GB2312"/>
          <w:b w:val="0"/>
          <w:sz w:val="32"/>
          <w:szCs w:val="32"/>
          <w:highlight w:val="none"/>
        </w:rPr>
        <w:t>方案、业绩条件等，</w:t>
      </w:r>
      <w:r>
        <w:rPr>
          <w:rFonts w:hint="eastAsia" w:ascii="仿宋_GB2312" w:hAnsi="仿宋_GB2312" w:eastAsia="仿宋_GB2312" w:cs="仿宋_GB2312"/>
          <w:b w:val="0"/>
          <w:sz w:val="32"/>
          <w:szCs w:val="32"/>
          <w:highlight w:val="none"/>
          <w:lang w:val="en-US" w:eastAsia="zh-CN"/>
        </w:rPr>
        <w:t>对</w:t>
      </w:r>
      <w:r>
        <w:rPr>
          <w:rFonts w:hint="eastAsia" w:ascii="仿宋_GB2312" w:hAnsi="仿宋_GB2312" w:eastAsia="仿宋_GB2312" w:cs="仿宋_GB2312"/>
          <w:b w:val="0"/>
          <w:sz w:val="32"/>
          <w:szCs w:val="32"/>
          <w:highlight w:val="none"/>
        </w:rPr>
        <w:t>通过符合性审查的投标人按</w:t>
      </w:r>
      <w:r>
        <w:rPr>
          <w:rFonts w:hint="eastAsia" w:ascii="仿宋_GB2312" w:hAnsi="仿宋_GB2312" w:eastAsia="仿宋_GB2312" w:cs="仿宋_GB2312"/>
          <w:b w:val="0"/>
          <w:sz w:val="32"/>
          <w:szCs w:val="32"/>
          <w:highlight w:val="none"/>
          <w:lang w:val="en-US" w:eastAsia="zh-CN"/>
        </w:rPr>
        <w:t>招标文件的评分标准</w:t>
      </w:r>
      <w:r>
        <w:rPr>
          <w:rFonts w:hint="eastAsia" w:ascii="仿宋_GB2312" w:hAnsi="仿宋_GB2312" w:eastAsia="仿宋_GB2312" w:cs="仿宋_GB2312"/>
          <w:b w:val="0"/>
          <w:sz w:val="32"/>
          <w:szCs w:val="32"/>
          <w:highlight w:val="none"/>
        </w:rPr>
        <w:t>（见附</w:t>
      </w:r>
      <w:r>
        <w:rPr>
          <w:rFonts w:hint="eastAsia" w:ascii="仿宋_GB2312" w:hAnsi="仿宋_GB2312" w:eastAsia="仿宋_GB2312" w:cs="仿宋_GB2312"/>
          <w:b w:val="0"/>
          <w:sz w:val="32"/>
          <w:szCs w:val="32"/>
          <w:highlight w:val="none"/>
          <w:lang w:val="en-US" w:eastAsia="zh-CN"/>
        </w:rPr>
        <w:t>件2</w:t>
      </w:r>
      <w:r>
        <w:rPr>
          <w:rFonts w:hint="eastAsia" w:ascii="仿宋_GB2312" w:hAnsi="仿宋_GB2312" w:eastAsia="仿宋_GB2312" w:cs="仿宋_GB2312"/>
          <w:b w:val="0"/>
          <w:sz w:val="32"/>
          <w:szCs w:val="32"/>
          <w:highlight w:val="none"/>
        </w:rPr>
        <w:t>《综合评</w:t>
      </w:r>
      <w:r>
        <w:rPr>
          <w:rFonts w:hint="default" w:ascii="仿宋_GB2312" w:hAnsi="仿宋_GB2312" w:eastAsia="仿宋_GB2312" w:cs="仿宋_GB2312"/>
          <w:b w:val="0"/>
          <w:sz w:val="32"/>
          <w:szCs w:val="32"/>
          <w:highlight w:val="none"/>
          <w:lang w:val="en-US" w:eastAsia="zh-CN"/>
        </w:rPr>
        <w:t>审</w:t>
      </w:r>
      <w:r>
        <w:rPr>
          <w:rFonts w:hint="eastAsia" w:ascii="仿宋_GB2312" w:hAnsi="仿宋_GB2312" w:eastAsia="仿宋_GB2312" w:cs="仿宋_GB2312"/>
          <w:b w:val="0"/>
          <w:sz w:val="32"/>
          <w:szCs w:val="32"/>
          <w:highlight w:val="none"/>
        </w:rPr>
        <w:t>法评分标准》）</w:t>
      </w:r>
      <w:r>
        <w:rPr>
          <w:rFonts w:hint="eastAsia" w:ascii="仿宋_GB2312" w:hAnsi="仿宋_GB2312" w:eastAsia="仿宋_GB2312" w:cs="仿宋_GB2312"/>
          <w:b w:val="0"/>
          <w:sz w:val="32"/>
          <w:szCs w:val="32"/>
          <w:highlight w:val="none"/>
          <w:lang w:val="en-US" w:eastAsia="zh-CN"/>
        </w:rPr>
        <w:t>综合评审，得</w:t>
      </w:r>
      <w:r>
        <w:rPr>
          <w:rFonts w:hint="eastAsia" w:ascii="仿宋_GB2312" w:hAnsi="仿宋_GB2312" w:eastAsia="仿宋_GB2312" w:cs="仿宋_GB2312"/>
          <w:b w:val="0"/>
          <w:sz w:val="32"/>
          <w:szCs w:val="32"/>
          <w:highlight w:val="none"/>
        </w:rPr>
        <w:t>出</w:t>
      </w:r>
      <w:r>
        <w:rPr>
          <w:rFonts w:hint="eastAsia" w:ascii="仿宋_GB2312" w:hAnsi="仿宋_GB2312" w:eastAsia="仿宋_GB2312" w:cs="仿宋_GB2312"/>
          <w:b w:val="0"/>
          <w:sz w:val="32"/>
          <w:szCs w:val="32"/>
          <w:highlight w:val="none"/>
          <w:lang w:val="en-US" w:eastAsia="zh-CN"/>
        </w:rPr>
        <w:t>投标人</w:t>
      </w:r>
      <w:r>
        <w:rPr>
          <w:rFonts w:hint="eastAsia" w:ascii="仿宋_GB2312" w:hAnsi="仿宋_GB2312" w:eastAsia="仿宋_GB2312" w:cs="仿宋_GB2312"/>
          <w:b w:val="0"/>
          <w:sz w:val="32"/>
          <w:szCs w:val="32"/>
          <w:highlight w:val="none"/>
        </w:rPr>
        <w:t>综合评分。评标</w:t>
      </w:r>
      <w:r>
        <w:rPr>
          <w:rFonts w:hint="eastAsia" w:ascii="仿宋_GB2312" w:hAnsi="仿宋_GB2312" w:eastAsia="仿宋_GB2312" w:cs="仿宋_GB2312"/>
          <w:b w:val="0"/>
          <w:sz w:val="32"/>
          <w:szCs w:val="32"/>
          <w:highlight w:val="none"/>
          <w:lang w:val="en-US" w:eastAsia="zh-CN"/>
        </w:rPr>
        <w:t>小组</w:t>
      </w:r>
      <w:r>
        <w:rPr>
          <w:rFonts w:hint="eastAsia" w:ascii="仿宋_GB2312" w:hAnsi="仿宋_GB2312" w:eastAsia="仿宋_GB2312" w:cs="仿宋_GB2312"/>
          <w:b w:val="0"/>
          <w:sz w:val="32"/>
          <w:szCs w:val="32"/>
          <w:highlight w:val="none"/>
        </w:rPr>
        <w:t>将按 “公正、公平、诚信、科学、择优”的原则，根据评标办法，对投标文件进行认真评审，完成评标报告；向招标人报告评审意见，推荐综合得分由高至低排序的前1～3名为第一中标候选人、第二中标候选人、第三中标候选人（得分相同时，投标总价低者优先）。</w:t>
      </w:r>
    </w:p>
    <w:p w14:paraId="38942F67">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五</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投标人不得以低于成本的报价投标，若报价明显低于其成本（报价低于</w:t>
      </w:r>
      <w:r>
        <w:rPr>
          <w:rFonts w:hint="eastAsia" w:ascii="仿宋_GB2312" w:hAnsi="仿宋_GB2312" w:eastAsia="仿宋_GB2312" w:cs="仿宋_GB2312"/>
          <w:b w:val="0"/>
          <w:sz w:val="32"/>
          <w:szCs w:val="32"/>
          <w:highlight w:val="none"/>
          <w:lang w:val="en-US" w:eastAsia="zh-CN"/>
        </w:rPr>
        <w:t>最高限价的</w:t>
      </w:r>
      <w:r>
        <w:rPr>
          <w:rFonts w:hint="eastAsia" w:ascii="仿宋_GB2312" w:hAnsi="仿宋_GB2312" w:eastAsia="仿宋_GB2312" w:cs="仿宋_GB2312"/>
          <w:b w:val="0"/>
          <w:sz w:val="32"/>
          <w:szCs w:val="32"/>
          <w:highlight w:val="none"/>
        </w:rPr>
        <w:t>80%），投标人应作出合理说明，如果评标小组发现投标人的报价明显低于其他投标报价，使得其投标报价可能低于其个别成本的，将要求该投标人作书面说明并提供相关证明材料。投标人不能合理说明或不能提供相关证明材料的，评标小组将认定该投标人以低于成本报价投标，其投标作无效投标处理。</w:t>
      </w:r>
    </w:p>
    <w:p w14:paraId="699CD6EC">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六</w:t>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rPr>
        <w:t>招标人有权利拒</w:t>
      </w:r>
      <w:r>
        <w:rPr>
          <w:rFonts w:hint="eastAsia" w:ascii="仿宋_GB2312" w:hAnsi="仿宋_GB2312" w:eastAsia="仿宋_GB2312" w:cs="仿宋_GB2312"/>
          <w:b w:val="0"/>
          <w:sz w:val="32"/>
          <w:szCs w:val="32"/>
          <w:highlight w:val="none"/>
          <w:lang w:val="en-US" w:eastAsia="zh-CN"/>
        </w:rPr>
        <w:t>收</w:t>
      </w:r>
      <w:r>
        <w:rPr>
          <w:rFonts w:hint="eastAsia" w:ascii="仿宋_GB2312" w:hAnsi="仿宋_GB2312" w:eastAsia="仿宋_GB2312" w:cs="仿宋_GB2312"/>
          <w:b w:val="0"/>
          <w:sz w:val="32"/>
          <w:szCs w:val="32"/>
          <w:highlight w:val="none"/>
        </w:rPr>
        <w:t>在</w:t>
      </w:r>
      <w:r>
        <w:rPr>
          <w:rFonts w:hint="eastAsia" w:ascii="仿宋_GB2312" w:hAnsi="仿宋_GB2312" w:eastAsia="仿宋_GB2312" w:cs="仿宋_GB2312"/>
          <w:b w:val="0"/>
          <w:sz w:val="32"/>
          <w:szCs w:val="32"/>
          <w:highlight w:val="none"/>
          <w:lang w:val="en-US" w:eastAsia="zh-CN"/>
        </w:rPr>
        <w:t>投标</w:t>
      </w:r>
      <w:r>
        <w:rPr>
          <w:rFonts w:hint="eastAsia" w:ascii="仿宋_GB2312" w:hAnsi="仿宋_GB2312" w:eastAsia="仿宋_GB2312" w:cs="仿宋_GB2312"/>
          <w:b w:val="0"/>
          <w:sz w:val="32"/>
          <w:szCs w:val="32"/>
          <w:highlight w:val="none"/>
        </w:rPr>
        <w:t>截止</w:t>
      </w:r>
      <w:r>
        <w:rPr>
          <w:rFonts w:hint="eastAsia" w:ascii="仿宋_GB2312" w:hAnsi="仿宋_GB2312" w:eastAsia="仿宋_GB2312" w:cs="仿宋_GB2312"/>
          <w:b w:val="0"/>
          <w:sz w:val="32"/>
          <w:szCs w:val="32"/>
          <w:highlight w:val="none"/>
          <w:lang w:val="en-US" w:eastAsia="zh-CN"/>
        </w:rPr>
        <w:t>时间</w:t>
      </w:r>
      <w:r>
        <w:rPr>
          <w:rFonts w:hint="eastAsia" w:ascii="仿宋_GB2312" w:hAnsi="仿宋_GB2312" w:eastAsia="仿宋_GB2312" w:cs="仿宋_GB2312"/>
          <w:b w:val="0"/>
          <w:sz w:val="32"/>
          <w:szCs w:val="32"/>
          <w:highlight w:val="none"/>
        </w:rPr>
        <w:t>后</w:t>
      </w:r>
      <w:r>
        <w:rPr>
          <w:rFonts w:hint="eastAsia" w:ascii="仿宋_GB2312" w:hAnsi="仿宋_GB2312" w:eastAsia="仿宋_GB2312" w:cs="仿宋_GB2312"/>
          <w:b w:val="0"/>
          <w:sz w:val="32"/>
          <w:szCs w:val="32"/>
          <w:highlight w:val="none"/>
          <w:lang w:val="en-US" w:eastAsia="zh-CN"/>
        </w:rPr>
        <w:t>递交</w:t>
      </w:r>
      <w:r>
        <w:rPr>
          <w:rFonts w:hint="eastAsia" w:ascii="仿宋_GB2312" w:hAnsi="仿宋_GB2312" w:eastAsia="仿宋_GB2312" w:cs="仿宋_GB2312"/>
          <w:b w:val="0"/>
          <w:sz w:val="32"/>
          <w:szCs w:val="32"/>
          <w:highlight w:val="none"/>
        </w:rPr>
        <w:t>的任何投标书。</w:t>
      </w:r>
    </w:p>
    <w:p w14:paraId="43357168">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rPr>
      </w:pPr>
      <w:r>
        <w:rPr>
          <w:rFonts w:hint="eastAsia" w:ascii="黑体" w:hAnsi="黑体" w:eastAsia="黑体" w:cs="黑体"/>
          <w:b w:val="0"/>
          <w:bCs/>
          <w:sz w:val="32"/>
          <w:szCs w:val="32"/>
          <w:highlight w:val="none"/>
        </w:rPr>
        <w:t>八、</w:t>
      </w:r>
      <w:r>
        <w:rPr>
          <w:rFonts w:hint="eastAsia" w:ascii="黑体" w:hAnsi="黑体" w:eastAsia="黑体" w:cs="黑体"/>
          <w:b w:val="0"/>
          <w:bCs/>
          <w:sz w:val="32"/>
          <w:szCs w:val="32"/>
          <w:highlight w:val="none"/>
          <w:lang w:val="en-US" w:eastAsia="zh-CN"/>
        </w:rPr>
        <w:t>招标</w:t>
      </w:r>
      <w:r>
        <w:rPr>
          <w:rFonts w:hint="eastAsia" w:ascii="黑体" w:hAnsi="黑体" w:eastAsia="黑体" w:cs="黑体"/>
          <w:b w:val="0"/>
          <w:bCs/>
          <w:sz w:val="32"/>
          <w:szCs w:val="32"/>
          <w:highlight w:val="none"/>
        </w:rPr>
        <w:t>信息发布及结果公告网站</w:t>
      </w:r>
    </w:p>
    <w:p w14:paraId="47B65EB2">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lang w:eastAsia="zh-CN"/>
        </w:rPr>
      </w:pPr>
      <w:bookmarkStart w:id="0" w:name="_Hlk101642174"/>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一</w:t>
      </w:r>
      <w:r>
        <w:rPr>
          <w:rFonts w:hint="eastAsia" w:ascii="仿宋_GB2312" w:hAnsi="仿宋_GB2312" w:eastAsia="仿宋_GB2312" w:cs="仿宋_GB2312"/>
          <w:b w:val="0"/>
          <w:sz w:val="32"/>
          <w:szCs w:val="32"/>
          <w:highlight w:val="none"/>
          <w:lang w:eastAsia="zh-CN"/>
        </w:rPr>
        <w:t>）广州南沙资产经营</w:t>
      </w:r>
      <w:r>
        <w:rPr>
          <w:rFonts w:hint="eastAsia" w:ascii="仿宋_GB2312" w:hAnsi="仿宋_GB2312" w:eastAsia="仿宋_GB2312" w:cs="仿宋_GB2312"/>
          <w:b w:val="0"/>
          <w:sz w:val="32"/>
          <w:szCs w:val="32"/>
          <w:highlight w:val="none"/>
          <w:lang w:val="en-US" w:eastAsia="zh-CN"/>
        </w:rPr>
        <w:t>集团</w:t>
      </w:r>
      <w:r>
        <w:rPr>
          <w:rFonts w:hint="eastAsia" w:ascii="仿宋_GB2312" w:hAnsi="仿宋_GB2312" w:eastAsia="仿宋_GB2312" w:cs="仿宋_GB2312"/>
          <w:b w:val="0"/>
          <w:sz w:val="32"/>
          <w:szCs w:val="32"/>
          <w:highlight w:val="none"/>
          <w:lang w:eastAsia="zh-CN"/>
        </w:rPr>
        <w:t>有限公司网（</w:t>
      </w:r>
      <w:r>
        <w:rPr>
          <w:rFonts w:hint="eastAsia" w:ascii="仿宋_GB2312" w:hAnsi="仿宋_GB2312" w:eastAsia="仿宋_GB2312" w:cs="仿宋_GB2312"/>
          <w:b w:val="0"/>
          <w:sz w:val="32"/>
          <w:szCs w:val="32"/>
          <w:highlight w:val="none"/>
          <w:lang w:eastAsia="zh-CN"/>
        </w:rPr>
        <w:fldChar w:fldCharType="begin"/>
      </w:r>
      <w:r>
        <w:rPr>
          <w:rFonts w:hint="eastAsia" w:ascii="仿宋_GB2312" w:hAnsi="仿宋_GB2312" w:eastAsia="仿宋_GB2312" w:cs="仿宋_GB2312"/>
          <w:b w:val="0"/>
          <w:sz w:val="32"/>
          <w:szCs w:val="32"/>
          <w:highlight w:val="none"/>
          <w:lang w:eastAsia="zh-CN"/>
        </w:rPr>
        <w:instrText xml:space="preserve"> HYPERLINK "http://www.gdzbtb.gov.cn/" </w:instrText>
      </w:r>
      <w:r>
        <w:rPr>
          <w:rFonts w:hint="eastAsia" w:ascii="仿宋_GB2312" w:hAnsi="仿宋_GB2312" w:eastAsia="仿宋_GB2312" w:cs="仿宋_GB2312"/>
          <w:b w:val="0"/>
          <w:sz w:val="32"/>
          <w:szCs w:val="32"/>
          <w:highlight w:val="none"/>
          <w:lang w:eastAsia="zh-CN"/>
        </w:rPr>
        <w:fldChar w:fldCharType="separate"/>
      </w:r>
      <w:r>
        <w:rPr>
          <w:rFonts w:hint="eastAsia" w:ascii="仿宋_GB2312" w:hAnsi="仿宋_GB2312" w:eastAsia="仿宋_GB2312" w:cs="仿宋_GB2312"/>
          <w:b w:val="0"/>
          <w:sz w:val="32"/>
          <w:szCs w:val="32"/>
          <w:highlight w:val="none"/>
          <w:lang w:eastAsia="zh-CN"/>
        </w:rPr>
        <w:t>http://www.gnao.com.cn/</w:t>
      </w:r>
      <w:r>
        <w:rPr>
          <w:rFonts w:hint="eastAsia" w:ascii="仿宋_GB2312" w:hAnsi="仿宋_GB2312" w:eastAsia="仿宋_GB2312" w:cs="仿宋_GB2312"/>
          <w:b w:val="0"/>
          <w:sz w:val="32"/>
          <w:szCs w:val="32"/>
          <w:highlight w:val="none"/>
          <w:lang w:eastAsia="zh-CN"/>
        </w:rPr>
        <w:fldChar w:fldCharType="end"/>
      </w:r>
      <w:r>
        <w:rPr>
          <w:rFonts w:hint="eastAsia" w:ascii="仿宋_GB2312" w:hAnsi="仿宋_GB2312" w:eastAsia="仿宋_GB2312" w:cs="仿宋_GB2312"/>
          <w:b w:val="0"/>
          <w:sz w:val="32"/>
          <w:szCs w:val="32"/>
          <w:highlight w:val="none"/>
          <w:lang w:eastAsia="zh-CN"/>
        </w:rPr>
        <w:t>）。招标公告及文件的修改、补充以广州南沙资产经营集团有限公司网为准。</w:t>
      </w:r>
    </w:p>
    <w:p w14:paraId="311CAFD6">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二</w:t>
      </w:r>
      <w:r>
        <w:rPr>
          <w:rFonts w:hint="eastAsia" w:ascii="仿宋_GB2312" w:hAnsi="仿宋_GB2312" w:eastAsia="仿宋_GB2312" w:cs="仿宋_GB2312"/>
          <w:b w:val="0"/>
          <w:sz w:val="32"/>
          <w:szCs w:val="32"/>
          <w:highlight w:val="none"/>
          <w:lang w:eastAsia="zh-CN"/>
        </w:rPr>
        <w:t>）招</w:t>
      </w:r>
      <w:r>
        <w:rPr>
          <w:rFonts w:hint="eastAsia" w:ascii="仿宋_GB2312" w:hAnsi="仿宋_GB2312" w:eastAsia="仿宋_GB2312" w:cs="仿宋_GB2312"/>
          <w:b w:val="0"/>
          <w:sz w:val="32"/>
          <w:szCs w:val="32"/>
          <w:highlight w:val="none"/>
          <w:lang w:val="en-US" w:eastAsia="zh-CN"/>
        </w:rPr>
        <w:t>标文件获取方式：</w:t>
      </w:r>
      <w:r>
        <w:rPr>
          <w:rFonts w:hint="eastAsia" w:ascii="仿宋_GB2312" w:hAnsi="仿宋_GB2312" w:eastAsia="仿宋_GB2312" w:cs="仿宋_GB2312"/>
          <w:b w:val="0"/>
          <w:sz w:val="32"/>
          <w:szCs w:val="32"/>
          <w:highlight w:val="none"/>
          <w:lang w:eastAsia="zh-CN"/>
        </w:rPr>
        <w:t>广州南沙资产经营</w:t>
      </w:r>
      <w:r>
        <w:rPr>
          <w:rFonts w:hint="eastAsia" w:ascii="仿宋_GB2312" w:hAnsi="仿宋_GB2312" w:eastAsia="仿宋_GB2312" w:cs="仿宋_GB2312"/>
          <w:b w:val="0"/>
          <w:sz w:val="32"/>
          <w:szCs w:val="32"/>
          <w:highlight w:val="none"/>
          <w:lang w:val="en-US" w:eastAsia="zh-CN"/>
        </w:rPr>
        <w:t>集团</w:t>
      </w:r>
      <w:r>
        <w:rPr>
          <w:rFonts w:hint="eastAsia" w:ascii="仿宋_GB2312" w:hAnsi="仿宋_GB2312" w:eastAsia="仿宋_GB2312" w:cs="仿宋_GB2312"/>
          <w:b w:val="0"/>
          <w:sz w:val="32"/>
          <w:szCs w:val="32"/>
          <w:highlight w:val="none"/>
          <w:lang w:eastAsia="zh-CN"/>
        </w:rPr>
        <w:t>有限公司网（</w:t>
      </w:r>
      <w:r>
        <w:rPr>
          <w:rFonts w:hint="eastAsia" w:ascii="仿宋_GB2312" w:hAnsi="仿宋_GB2312" w:eastAsia="仿宋_GB2312" w:cs="仿宋_GB2312"/>
          <w:b w:val="0"/>
          <w:sz w:val="32"/>
          <w:szCs w:val="32"/>
          <w:highlight w:val="none"/>
          <w:lang w:eastAsia="zh-CN"/>
        </w:rPr>
        <w:fldChar w:fldCharType="begin"/>
      </w:r>
      <w:r>
        <w:rPr>
          <w:rFonts w:hint="eastAsia" w:ascii="仿宋_GB2312" w:hAnsi="仿宋_GB2312" w:eastAsia="仿宋_GB2312" w:cs="仿宋_GB2312"/>
          <w:b w:val="0"/>
          <w:sz w:val="32"/>
          <w:szCs w:val="32"/>
          <w:highlight w:val="none"/>
          <w:lang w:eastAsia="zh-CN"/>
        </w:rPr>
        <w:instrText xml:space="preserve"> HYPERLINK "http://www.gdzbtb.gov.cn/" </w:instrText>
      </w:r>
      <w:r>
        <w:rPr>
          <w:rFonts w:hint="eastAsia" w:ascii="仿宋_GB2312" w:hAnsi="仿宋_GB2312" w:eastAsia="仿宋_GB2312" w:cs="仿宋_GB2312"/>
          <w:b w:val="0"/>
          <w:sz w:val="32"/>
          <w:szCs w:val="32"/>
          <w:highlight w:val="none"/>
          <w:lang w:eastAsia="zh-CN"/>
        </w:rPr>
        <w:fldChar w:fldCharType="separate"/>
      </w:r>
      <w:r>
        <w:rPr>
          <w:rFonts w:hint="eastAsia" w:ascii="仿宋_GB2312" w:hAnsi="仿宋_GB2312" w:eastAsia="仿宋_GB2312" w:cs="仿宋_GB2312"/>
          <w:b w:val="0"/>
          <w:sz w:val="32"/>
          <w:szCs w:val="32"/>
          <w:highlight w:val="none"/>
          <w:lang w:eastAsia="zh-CN"/>
        </w:rPr>
        <w:t>http://www.gnao.com.cn/</w:t>
      </w:r>
      <w:r>
        <w:rPr>
          <w:rFonts w:hint="eastAsia" w:ascii="仿宋_GB2312" w:hAnsi="仿宋_GB2312" w:eastAsia="仿宋_GB2312" w:cs="仿宋_GB2312"/>
          <w:b w:val="0"/>
          <w:sz w:val="32"/>
          <w:szCs w:val="32"/>
          <w:highlight w:val="none"/>
          <w:lang w:eastAsia="zh-CN"/>
        </w:rPr>
        <w:fldChar w:fldCharType="end"/>
      </w: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w:t>
      </w:r>
    </w:p>
    <w:bookmarkEnd w:id="0"/>
    <w:p w14:paraId="1EBA86F2">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sz w:val="32"/>
          <w:szCs w:val="32"/>
          <w:highlight w:val="none"/>
          <w:lang w:val="en-US" w:eastAsia="zh-CN"/>
        </w:rPr>
        <w:t>九、投标文件</w:t>
      </w:r>
    </w:p>
    <w:p w14:paraId="7A8BECF8">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投标文件一式叁份，并标注“正本”和“副本”，其中正本壹份，副本贰份。正本和副本有差异时，以正本为准。投标文件必须密封包装，封套标明如下字样并盖章：</w:t>
      </w:r>
    </w:p>
    <w:tbl>
      <w:tblPr>
        <w:tblStyle w:val="12"/>
        <w:tblW w:w="7665" w:type="dxa"/>
        <w:tblInd w:w="1368" w:type="dxa"/>
        <w:shd w:val="clear" w:color="auto" w:fill="E6E6E6"/>
        <w:tblLayout w:type="fixed"/>
        <w:tblCellMar>
          <w:top w:w="0" w:type="dxa"/>
          <w:left w:w="108" w:type="dxa"/>
          <w:bottom w:w="0" w:type="dxa"/>
          <w:right w:w="108" w:type="dxa"/>
        </w:tblCellMar>
      </w:tblPr>
      <w:tblGrid>
        <w:gridCol w:w="7665"/>
      </w:tblGrid>
      <w:tr w14:paraId="4ECA07F4">
        <w:tblPrEx>
          <w:shd w:val="clear" w:color="auto" w:fill="E6E6E6"/>
          <w:tblCellMar>
            <w:top w:w="0" w:type="dxa"/>
            <w:left w:w="108" w:type="dxa"/>
            <w:bottom w:w="0" w:type="dxa"/>
            <w:right w:w="108" w:type="dxa"/>
          </w:tblCellMar>
        </w:tblPrEx>
        <w:trPr>
          <w:trHeight w:val="462" w:hRule="atLeast"/>
        </w:trPr>
        <w:tc>
          <w:tcPr>
            <w:tcW w:w="7665" w:type="dxa"/>
            <w:shd w:val="clear" w:color="auto" w:fill="E6E6E6"/>
          </w:tcPr>
          <w:p w14:paraId="5F5DDB83">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收件人：广州南沙口岸服务有限公司</w:t>
            </w:r>
          </w:p>
          <w:p w14:paraId="609C060A">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项目名称：</w:t>
            </w:r>
            <w:r>
              <w:rPr>
                <w:rFonts w:hint="eastAsia" w:ascii="仿宋_GB2312" w:hAnsi="仿宋_GB2312" w:eastAsia="仿宋_GB2312" w:cs="仿宋_GB2312"/>
                <w:sz w:val="32"/>
                <w:szCs w:val="32"/>
                <w:highlight w:val="none"/>
                <w:lang w:val="en-US" w:eastAsia="zh-CN"/>
              </w:rPr>
              <w:t>广州</w:t>
            </w:r>
            <w:r>
              <w:rPr>
                <w:rFonts w:hint="eastAsia" w:ascii="仿宋_GB2312" w:hAnsi="仿宋_GB2312" w:eastAsia="仿宋_GB2312" w:cs="仿宋_GB2312"/>
                <w:sz w:val="32"/>
                <w:szCs w:val="32"/>
                <w:highlight w:val="none"/>
              </w:rPr>
              <w:t>南沙综合保税区加工区</w:t>
            </w:r>
            <w:r>
              <w:rPr>
                <w:rFonts w:hint="eastAsia" w:ascii="仿宋_GB2312" w:hAnsi="仿宋_GB2312" w:eastAsia="仿宋_GB2312" w:cs="仿宋_GB2312"/>
                <w:sz w:val="32"/>
                <w:szCs w:val="32"/>
                <w:highlight w:val="none"/>
                <w:lang w:val="en-US" w:eastAsia="zh-CN"/>
              </w:rPr>
              <w:t>污水站运营</w:t>
            </w:r>
            <w:r>
              <w:rPr>
                <w:rFonts w:hint="eastAsia" w:ascii="仿宋_GB2312" w:hAnsi="仿宋_GB2312" w:eastAsia="仿宋_GB2312" w:cs="仿宋_GB2312"/>
                <w:sz w:val="32"/>
                <w:szCs w:val="32"/>
                <w:highlight w:val="none"/>
              </w:rPr>
              <w:t>项目</w:t>
            </w:r>
          </w:p>
          <w:p w14:paraId="6090251D">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投标人名称：</w:t>
            </w:r>
          </w:p>
          <w:p w14:paraId="1137143C">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投标人地址、联系人、电话：</w:t>
            </w:r>
          </w:p>
          <w:p w14:paraId="191CE2C5">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在    年   月   日    时   分前不得开启(</w:t>
            </w:r>
            <w:r>
              <w:rPr>
                <w:rFonts w:hint="eastAsia" w:ascii="仿宋_GB2312" w:hAnsi="仿宋_GB2312" w:eastAsia="仿宋_GB2312" w:cs="仿宋_GB2312"/>
                <w:sz w:val="32"/>
                <w:szCs w:val="32"/>
                <w:highlight w:val="none"/>
                <w:lang w:val="en-US" w:eastAsia="zh-CN"/>
              </w:rPr>
              <w:t>投标</w:t>
            </w:r>
            <w:r>
              <w:rPr>
                <w:rFonts w:hint="eastAsia" w:ascii="仿宋_GB2312" w:hAnsi="仿宋_GB2312" w:eastAsia="仿宋_GB2312" w:cs="仿宋_GB2312"/>
                <w:sz w:val="32"/>
                <w:szCs w:val="32"/>
                <w:highlight w:val="none"/>
              </w:rPr>
              <w:t>截止时间)</w:t>
            </w:r>
          </w:p>
        </w:tc>
      </w:tr>
    </w:tbl>
    <w:p w14:paraId="435672BF">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sz w:val="32"/>
          <w:szCs w:val="32"/>
          <w:highlight w:val="none"/>
          <w:lang w:val="en-US" w:eastAsia="zh-CN"/>
        </w:rPr>
        <w:t>十、投标文件递交</w:t>
      </w:r>
    </w:p>
    <w:p w14:paraId="1DFADDDE">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投标截止时间：2025年5月28日9时0分</w:t>
      </w:r>
    </w:p>
    <w:p w14:paraId="5768AC85">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递交方式：现场递交或邮寄递交</w:t>
      </w:r>
    </w:p>
    <w:p w14:paraId="348F3CBE">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地址：广州市南沙区龙穴岛龙穴大道中13号口岸大厦18楼</w:t>
      </w:r>
    </w:p>
    <w:p w14:paraId="20AEF6D2">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联系人：涂先生</w:t>
      </w:r>
    </w:p>
    <w:p w14:paraId="749DE4B0">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电话：13922289689</w:t>
      </w:r>
    </w:p>
    <w:p w14:paraId="54A058C6">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sz w:val="32"/>
          <w:szCs w:val="32"/>
          <w:highlight w:val="none"/>
          <w:lang w:val="en-US" w:eastAsia="zh-CN"/>
        </w:rPr>
        <w:t>十一、开标时间</w:t>
      </w:r>
    </w:p>
    <w:p w14:paraId="52E60724">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（一）开标时间：2025年5月28日10时0分</w:t>
      </w:r>
    </w:p>
    <w:p w14:paraId="660002F3">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（二）开标地点：广州市南沙区龙穴岛口岸大厦18楼多功能会议室。</w:t>
      </w:r>
    </w:p>
    <w:p w14:paraId="7C8C26FB">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sz w:val="32"/>
          <w:szCs w:val="32"/>
          <w:highlight w:val="none"/>
          <w:lang w:val="en-US" w:eastAsia="zh-CN"/>
        </w:rPr>
        <w:t>十二、付款方式</w:t>
      </w:r>
    </w:p>
    <w:p w14:paraId="3769C0EA">
      <w:pPr>
        <w:pStyle w:val="7"/>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b w:val="0"/>
          <w:kern w:val="2"/>
          <w:sz w:val="32"/>
          <w:szCs w:val="32"/>
          <w:highlight w:val="yellow"/>
          <w:lang w:val="en-US" w:eastAsia="zh-CN" w:bidi="ar-SA"/>
        </w:rPr>
      </w:pPr>
      <w:r>
        <w:rPr>
          <w:rFonts w:hint="eastAsia" w:ascii="仿宋_GB2312" w:hAnsi="仿宋_GB2312" w:eastAsia="仿宋_GB2312" w:cs="仿宋_GB2312"/>
          <w:b w:val="0"/>
          <w:kern w:val="2"/>
          <w:sz w:val="32"/>
          <w:szCs w:val="32"/>
          <w:highlight w:val="none"/>
          <w:lang w:val="en-US" w:eastAsia="zh-CN" w:bidi="ar-SA"/>
        </w:rPr>
        <w:t>服务费每三个月支付一次，具体金额按合同约定。</w:t>
      </w:r>
    </w:p>
    <w:p w14:paraId="5C058D87">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sz w:val="32"/>
          <w:szCs w:val="32"/>
          <w:highlight w:val="none"/>
          <w:lang w:val="en-US" w:eastAsia="zh-CN"/>
        </w:rPr>
        <w:t>十三、其他事项</w:t>
      </w:r>
    </w:p>
    <w:p w14:paraId="59824CC8">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1.投标人如需到现场查勘或了解项目情况，请于</w:t>
      </w:r>
      <w:r>
        <w:rPr>
          <w:rFonts w:hint="eastAsia" w:ascii="仿宋_GB2312" w:hAnsi="仿宋_GB2312" w:eastAsia="仿宋_GB2312" w:cs="仿宋_GB2312"/>
          <w:sz w:val="32"/>
          <w:szCs w:val="32"/>
          <w:highlight w:val="none"/>
          <w:lang w:val="en-US" w:eastAsia="zh-CN"/>
        </w:rPr>
        <w:t>2025年5月27日12时0分前到场。现场联系人：李善恩，电话：13533388240。</w:t>
      </w:r>
    </w:p>
    <w:p w14:paraId="61BD8A99">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2.招标人对本次招标活动及相关的文件资料拥有最终的解释权。</w:t>
      </w:r>
    </w:p>
    <w:p w14:paraId="537C1886">
      <w:pPr>
        <w:pStyle w:val="7"/>
        <w:keepNext w:val="0"/>
        <w:keepLines w:val="0"/>
        <w:pageBreakBefore w:val="0"/>
        <w:widowControl w:val="0"/>
        <w:kinsoku/>
        <w:wordWrap/>
        <w:overflowPunct/>
        <w:topLinePunct w:val="0"/>
        <w:autoSpaceDE/>
        <w:autoSpaceDN/>
        <w:bidi w:val="0"/>
        <w:adjustRightInd/>
        <w:spacing w:line="560" w:lineRule="exact"/>
        <w:textAlignment w:val="auto"/>
        <w:rPr>
          <w:highlight w:val="none"/>
        </w:rPr>
      </w:pPr>
    </w:p>
    <w:p w14:paraId="23597F36">
      <w:pPr>
        <w:keepNext w:val="0"/>
        <w:keepLines w:val="0"/>
        <w:pageBreakBefore w:val="0"/>
        <w:widowControl w:val="0"/>
        <w:kinsoku/>
        <w:wordWrap/>
        <w:overflowPunct/>
        <w:topLinePunct w:val="0"/>
        <w:autoSpaceDE/>
        <w:autoSpaceDN/>
        <w:bidi w:val="0"/>
        <w:adjustRightInd/>
        <w:spacing w:line="560" w:lineRule="exact"/>
        <w:ind w:right="641" w:firstLine="643"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b/>
          <w:bCs/>
          <w:sz w:val="32"/>
          <w:szCs w:val="32"/>
          <w:highlight w:val="none"/>
        </w:rPr>
        <w:t>附件</w:t>
      </w:r>
      <w:r>
        <w:rPr>
          <w:rFonts w:hint="eastAsia" w:ascii="仿宋" w:hAnsi="仿宋" w:eastAsia="仿宋" w:cstheme="minorEastAsia"/>
          <w:b/>
          <w:bCs/>
          <w:sz w:val="32"/>
          <w:szCs w:val="32"/>
          <w:highlight w:val="none"/>
        </w:rPr>
        <w:t>：</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b w:val="0"/>
          <w:kern w:val="2"/>
          <w:sz w:val="32"/>
          <w:szCs w:val="32"/>
          <w:highlight w:val="none"/>
          <w:lang w:val="en-US" w:eastAsia="zh-CN" w:bidi="ar-SA"/>
        </w:rPr>
        <w:t>资格、符合性审查表</w:t>
      </w:r>
    </w:p>
    <w:p w14:paraId="39A35389">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 xml:space="preserve">          2.综合评审法评分标准</w:t>
      </w:r>
    </w:p>
    <w:p w14:paraId="5A80CC98">
      <w:pPr>
        <w:keepNext w:val="0"/>
        <w:keepLines w:val="0"/>
        <w:pageBreakBefore w:val="0"/>
        <w:widowControl w:val="0"/>
        <w:kinsoku/>
        <w:wordWrap/>
        <w:overflowPunct/>
        <w:topLinePunct w:val="0"/>
        <w:autoSpaceDE/>
        <w:autoSpaceDN/>
        <w:bidi w:val="0"/>
        <w:adjustRightInd/>
        <w:spacing w:line="560" w:lineRule="exact"/>
        <w:ind w:firstLine="1600" w:firstLineChars="500"/>
        <w:textAlignment w:val="auto"/>
        <w:rPr>
          <w:rFonts w:hint="default"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3.合同样本</w:t>
      </w:r>
    </w:p>
    <w:p w14:paraId="14CBFFB2">
      <w:pPr>
        <w:keepNext w:val="0"/>
        <w:keepLines w:val="0"/>
        <w:pageBreakBefore w:val="0"/>
        <w:widowControl w:val="0"/>
        <w:kinsoku/>
        <w:wordWrap/>
        <w:overflowPunct/>
        <w:topLinePunct w:val="0"/>
        <w:autoSpaceDE/>
        <w:autoSpaceDN/>
        <w:bidi w:val="0"/>
        <w:adjustRightInd/>
        <w:spacing w:line="560" w:lineRule="exact"/>
        <w:ind w:right="641"/>
        <w:jc w:val="righ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广州南沙口岸服务有限公司</w:t>
      </w:r>
    </w:p>
    <w:p w14:paraId="29B14EAE">
      <w:pPr>
        <w:keepNext w:val="0"/>
        <w:keepLines w:val="0"/>
        <w:pageBreakBefore w:val="0"/>
        <w:widowControl w:val="0"/>
        <w:kinsoku/>
        <w:wordWrap/>
        <w:overflowPunct/>
        <w:topLinePunct w:val="0"/>
        <w:autoSpaceDE/>
        <w:autoSpaceDN/>
        <w:bidi w:val="0"/>
        <w:adjustRightInd/>
        <w:spacing w:line="560" w:lineRule="exact"/>
        <w:ind w:right="641"/>
        <w:jc w:val="righ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22</w:t>
      </w:r>
      <w:bookmarkStart w:id="23" w:name="_GoBack"/>
      <w:bookmarkEnd w:id="23"/>
      <w:r>
        <w:rPr>
          <w:rFonts w:hint="eastAsia" w:ascii="仿宋_GB2312" w:hAnsi="仿宋_GB2312" w:eastAsia="仿宋_GB2312" w:cs="仿宋_GB2312"/>
          <w:sz w:val="32"/>
          <w:szCs w:val="32"/>
          <w:highlight w:val="none"/>
        </w:rPr>
        <w:t>日</w:t>
      </w:r>
      <w:bookmarkStart w:id="1" w:name="_Toc410197440"/>
    </w:p>
    <w:p w14:paraId="49BA4061">
      <w:pPr>
        <w:spacing w:line="240" w:lineRule="auto"/>
        <w:jc w:val="left"/>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br w:type="page"/>
      </w:r>
    </w:p>
    <w:p w14:paraId="365A24D6">
      <w:pPr>
        <w:widowControl/>
        <w:jc w:val="left"/>
        <w:outlineLvl w:val="1"/>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w:t>
      </w:r>
      <w:r>
        <w:rPr>
          <w:rFonts w:hint="eastAsia" w:ascii="仿宋_GB2312" w:hAnsi="仿宋_GB2312" w:eastAsia="仿宋_GB2312" w:cs="仿宋_GB2312"/>
          <w:sz w:val="32"/>
          <w:szCs w:val="32"/>
          <w:highlight w:val="none"/>
          <w:lang w:val="en-US" w:eastAsia="zh-CN"/>
        </w:rPr>
        <w:t>1：资格、符合性审查表</w:t>
      </w:r>
    </w:p>
    <w:p w14:paraId="33BF4E52">
      <w:pPr>
        <w:spacing w:line="360" w:lineRule="auto"/>
        <w:jc w:val="center"/>
        <w:outlineLvl w:val="9"/>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val="en-US" w:eastAsia="zh-CN"/>
        </w:rPr>
        <w:t>资格、</w:t>
      </w:r>
      <w:r>
        <w:rPr>
          <w:rFonts w:hint="eastAsia" w:ascii="方正小标宋简体" w:hAnsi="方正小标宋简体" w:eastAsia="方正小标宋简体" w:cs="方正小标宋简体"/>
          <w:sz w:val="44"/>
          <w:szCs w:val="44"/>
          <w:highlight w:val="none"/>
        </w:rPr>
        <w:t>符合性审查表</w:t>
      </w:r>
    </w:p>
    <w:tbl>
      <w:tblPr>
        <w:tblStyle w:val="12"/>
        <w:tblW w:w="9349" w:type="dxa"/>
        <w:jc w:val="center"/>
        <w:tblLayout w:type="fixed"/>
        <w:tblCellMar>
          <w:top w:w="15" w:type="dxa"/>
          <w:left w:w="15" w:type="dxa"/>
          <w:bottom w:w="15" w:type="dxa"/>
          <w:right w:w="15" w:type="dxa"/>
        </w:tblCellMar>
      </w:tblPr>
      <w:tblGrid>
        <w:gridCol w:w="9349"/>
      </w:tblGrid>
      <w:tr w14:paraId="2AB9A477">
        <w:tblPrEx>
          <w:tblCellMar>
            <w:top w:w="15" w:type="dxa"/>
            <w:left w:w="15" w:type="dxa"/>
            <w:bottom w:w="15" w:type="dxa"/>
            <w:right w:w="15" w:type="dxa"/>
          </w:tblCellMar>
        </w:tblPrEx>
        <w:trPr>
          <w:trHeight w:val="1199" w:hRule="atLeast"/>
          <w:jc w:val="center"/>
        </w:trPr>
        <w:tc>
          <w:tcPr>
            <w:tcW w:w="9349" w:type="dxa"/>
            <w:vAlign w:val="center"/>
          </w:tcPr>
          <w:p w14:paraId="7268F95C">
            <w:pPr>
              <w:spacing w:line="560" w:lineRule="exact"/>
              <w:jc w:val="left"/>
              <w:rPr>
                <w:rFonts w:hint="eastAsia" w:ascii="仿宋" w:hAnsi="仿宋" w:eastAsia="仿宋" w:cs="仿宋"/>
                <w:sz w:val="32"/>
                <w:szCs w:val="32"/>
                <w:highlight w:val="none"/>
              </w:rPr>
            </w:pPr>
            <w:r>
              <w:rPr>
                <w:rFonts w:hint="eastAsia" w:ascii="黑体" w:hAnsi="黑体" w:eastAsia="黑体" w:cs="黑体"/>
                <w:sz w:val="32"/>
                <w:szCs w:val="32"/>
                <w:highlight w:val="none"/>
              </w:rPr>
              <w:t>项目名称：广州南沙综合保税区加工区污水站</w:t>
            </w:r>
            <w:r>
              <w:rPr>
                <w:rFonts w:hint="eastAsia" w:ascii="黑体" w:hAnsi="黑体" w:eastAsia="黑体" w:cs="黑体"/>
                <w:sz w:val="32"/>
                <w:szCs w:val="32"/>
                <w:highlight w:val="none"/>
                <w:lang w:val="en-US" w:eastAsia="zh-CN"/>
              </w:rPr>
              <w:t>运营</w:t>
            </w:r>
            <w:r>
              <w:rPr>
                <w:rFonts w:hint="eastAsia" w:ascii="黑体" w:hAnsi="黑体" w:eastAsia="黑体" w:cs="黑体"/>
                <w:sz w:val="32"/>
                <w:szCs w:val="32"/>
                <w:highlight w:val="none"/>
              </w:rPr>
              <w:t>项目</w:t>
            </w:r>
          </w:p>
        </w:tc>
      </w:tr>
    </w:tbl>
    <w:tbl>
      <w:tblPr>
        <w:tblStyle w:val="13"/>
        <w:tblW w:w="8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4584"/>
        <w:gridCol w:w="661"/>
        <w:gridCol w:w="708"/>
        <w:gridCol w:w="851"/>
        <w:gridCol w:w="992"/>
      </w:tblGrid>
      <w:tr w14:paraId="0D4D1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46" w:type="dxa"/>
          </w:tcPr>
          <w:p w14:paraId="5E955821">
            <w:pPr>
              <w:widowControl/>
              <w:numPr>
                <w:ilvl w:val="255"/>
                <w:numId w:val="0"/>
              </w:numPr>
              <w:jc w:val="center"/>
              <w:rPr>
                <w:rFonts w:hint="eastAsia" w:ascii="仿宋" w:hAnsi="仿宋" w:eastAsia="仿宋" w:cs="仿宋"/>
                <w:color w:val="000000"/>
                <w:kern w:val="0"/>
                <w:sz w:val="32"/>
                <w:szCs w:val="32"/>
                <w:highlight w:val="none"/>
                <w:lang w:bidi="ar"/>
              </w:rPr>
            </w:pPr>
            <w:r>
              <w:rPr>
                <w:rFonts w:hint="eastAsia" w:ascii="仿宋" w:hAnsi="仿宋" w:eastAsia="仿宋" w:cs="仿宋"/>
                <w:color w:val="000000"/>
                <w:kern w:val="0"/>
                <w:sz w:val="32"/>
                <w:szCs w:val="32"/>
                <w:highlight w:val="none"/>
                <w:lang w:bidi="ar"/>
              </w:rPr>
              <mc:AlternateContent>
                <mc:Choice Requires="wps">
                  <w:drawing>
                    <wp:anchor distT="0" distB="0" distL="114300" distR="114300" simplePos="0" relativeHeight="251660288" behindDoc="0" locked="0" layoutInCell="1" allowOverlap="1">
                      <wp:simplePos x="0" y="0"/>
                      <wp:positionH relativeFrom="column">
                        <wp:posOffset>481330</wp:posOffset>
                      </wp:positionH>
                      <wp:positionV relativeFrom="paragraph">
                        <wp:posOffset>49530</wp:posOffset>
                      </wp:positionV>
                      <wp:extent cx="2883535" cy="713740"/>
                      <wp:effectExtent l="1270" t="4445" r="12700" b="19050"/>
                      <wp:wrapNone/>
                      <wp:docPr id="3" name="直接连接符 3"/>
                      <wp:cNvGraphicFramePr/>
                      <a:graphic xmlns:a="http://schemas.openxmlformats.org/drawingml/2006/main">
                        <a:graphicData uri="http://schemas.microsoft.com/office/word/2010/wordprocessingShape">
                          <wps:wsp>
                            <wps:cNvCnPr/>
                            <wps:spPr>
                              <a:xfrm>
                                <a:off x="0" y="0"/>
                                <a:ext cx="2883535" cy="713740"/>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37.9pt;margin-top:3.9pt;height:56.2pt;width:227.05pt;z-index:251660288;mso-width-relative:page;mso-height-relative:page;" filled="f" stroked="t" coordsize="21600,21600" o:gfxdata="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sdPqJ&#10;1gAAAAgBAAAPAAAAAAAAAAEAIAAAACIAAABkcnMvZG93bnJldi54bWxQSwECFAAUAAAACACHTuJA&#10;qPEy0OoBAAC2AwAADgAAAAAAAAABACAAAAAlAQAAZHJzL2Uyb0RvYy54bWxQSwUGAAAAAAYABgBZ&#10;AQAAgQUAAAAA&#10;">
                      <v:fill on="f" focussize="0,0"/>
                      <v:stroke weight="0.5pt" color="#000000 [3213]" miterlimit="8" joinstyle="miter"/>
                      <v:imagedata o:title=""/>
                      <o:lock v:ext="edit" aspectratio="f"/>
                    </v:line>
                  </w:pict>
                </mc:Fallback>
              </mc:AlternateContent>
            </w:r>
            <w:r>
              <w:rPr>
                <w:rFonts w:hint="eastAsia" w:ascii="仿宋" w:hAnsi="仿宋" w:eastAsia="仿宋" w:cs="仿宋"/>
                <w:color w:val="000000"/>
                <w:kern w:val="0"/>
                <w:sz w:val="32"/>
                <w:szCs w:val="32"/>
                <w:highlight w:val="none"/>
                <w:lang w:bidi="ar"/>
              </w:rPr>
              <w:t>序号</w:t>
            </w:r>
          </w:p>
        </w:tc>
        <w:tc>
          <w:tcPr>
            <w:tcW w:w="4584" w:type="dxa"/>
          </w:tcPr>
          <w:p w14:paraId="4133346A">
            <w:pPr>
              <w:tabs>
                <w:tab w:val="left" w:pos="720"/>
              </w:tabs>
              <w:snapToGrid w:val="0"/>
              <w:ind w:firstLine="2240" w:firstLineChars="800"/>
              <w:rPr>
                <w:rFonts w:cs="仿宋_GB2312" w:asciiTheme="minorEastAsia" w:hAnsiTheme="minorEastAsia" w:eastAsiaTheme="minorEastAsia"/>
                <w:color w:val="000000"/>
                <w:sz w:val="28"/>
                <w:szCs w:val="28"/>
                <w:highlight w:val="none"/>
              </w:rPr>
            </w:pPr>
            <w:r>
              <w:rPr>
                <w:rFonts w:hint="eastAsia" w:cs="仿宋_GB2312" w:asciiTheme="minorEastAsia" w:hAnsiTheme="minorEastAsia" w:eastAsiaTheme="minorEastAsia"/>
                <w:color w:val="000000"/>
                <w:sz w:val="28"/>
                <w:szCs w:val="28"/>
                <w:highlight w:val="none"/>
              </w:rPr>
              <w:t>投标人名称</w:t>
            </w:r>
          </w:p>
          <w:p w14:paraId="19C7B884">
            <w:pPr>
              <w:widowControl/>
              <w:numPr>
                <w:ilvl w:val="255"/>
                <w:numId w:val="0"/>
              </w:numPr>
              <w:ind w:firstLine="3200" w:firstLineChars="1000"/>
              <w:jc w:val="left"/>
              <w:rPr>
                <w:rFonts w:hint="eastAsia" w:ascii="仿宋" w:hAnsi="仿宋" w:eastAsia="仿宋" w:cs="仿宋"/>
                <w:color w:val="000000"/>
                <w:kern w:val="0"/>
                <w:sz w:val="32"/>
                <w:szCs w:val="32"/>
                <w:highlight w:val="none"/>
                <w:lang w:bidi="ar"/>
              </w:rPr>
            </w:pPr>
          </w:p>
          <w:p w14:paraId="25DC9966">
            <w:pPr>
              <w:widowControl/>
              <w:numPr>
                <w:ilvl w:val="255"/>
                <w:numId w:val="0"/>
              </w:numPr>
              <w:jc w:val="left"/>
              <w:rPr>
                <w:rFonts w:hint="eastAsia" w:ascii="仿宋" w:hAnsi="仿宋" w:eastAsia="仿宋" w:cs="仿宋"/>
                <w:color w:val="000000"/>
                <w:kern w:val="0"/>
                <w:sz w:val="32"/>
                <w:szCs w:val="32"/>
                <w:highlight w:val="none"/>
                <w:lang w:bidi="ar"/>
              </w:rPr>
            </w:pPr>
            <w:r>
              <w:rPr>
                <w:rFonts w:hint="eastAsia" w:ascii="仿宋" w:hAnsi="仿宋" w:eastAsia="仿宋" w:cs="仿宋"/>
                <w:color w:val="000000"/>
                <w:kern w:val="0"/>
                <w:sz w:val="32"/>
                <w:szCs w:val="32"/>
                <w:highlight w:val="none"/>
                <w:lang w:val="en-US" w:eastAsia="zh-CN" w:bidi="ar"/>
              </w:rPr>
              <w:t>审查</w:t>
            </w:r>
            <w:r>
              <w:rPr>
                <w:rFonts w:hint="eastAsia" w:ascii="仿宋" w:hAnsi="仿宋" w:eastAsia="仿宋" w:cs="仿宋"/>
                <w:color w:val="000000"/>
                <w:kern w:val="0"/>
                <w:sz w:val="32"/>
                <w:szCs w:val="32"/>
                <w:highlight w:val="none"/>
                <w:lang w:bidi="ar"/>
              </w:rPr>
              <w:t xml:space="preserve">项目 </w:t>
            </w:r>
          </w:p>
        </w:tc>
        <w:tc>
          <w:tcPr>
            <w:tcW w:w="661" w:type="dxa"/>
            <w:vAlign w:val="center"/>
          </w:tcPr>
          <w:p w14:paraId="11A1E330">
            <w:pPr>
              <w:widowControl/>
              <w:numPr>
                <w:ilvl w:val="255"/>
                <w:numId w:val="0"/>
              </w:numPr>
              <w:jc w:val="center"/>
              <w:rPr>
                <w:rFonts w:hint="eastAsia" w:ascii="仿宋" w:hAnsi="仿宋" w:eastAsia="仿宋" w:cs="仿宋"/>
                <w:color w:val="000000"/>
                <w:kern w:val="0"/>
                <w:sz w:val="32"/>
                <w:szCs w:val="32"/>
                <w:highlight w:val="none"/>
                <w:lang w:val="en-US" w:eastAsia="zh-CN" w:bidi="ar"/>
              </w:rPr>
            </w:pPr>
            <w:r>
              <w:rPr>
                <w:rFonts w:hint="eastAsia" w:ascii="仿宋" w:hAnsi="仿宋" w:eastAsia="仿宋" w:cs="仿宋"/>
                <w:color w:val="000000"/>
                <w:kern w:val="0"/>
                <w:sz w:val="32"/>
                <w:szCs w:val="32"/>
                <w:highlight w:val="none"/>
                <w:lang w:val="en-US" w:eastAsia="zh-CN" w:bidi="ar"/>
              </w:rPr>
              <w:t>A</w:t>
            </w:r>
          </w:p>
        </w:tc>
        <w:tc>
          <w:tcPr>
            <w:tcW w:w="708" w:type="dxa"/>
            <w:vAlign w:val="center"/>
          </w:tcPr>
          <w:p w14:paraId="06FFB410">
            <w:pPr>
              <w:widowControl/>
              <w:numPr>
                <w:ilvl w:val="255"/>
                <w:numId w:val="0"/>
              </w:numPr>
              <w:jc w:val="center"/>
              <w:rPr>
                <w:rFonts w:hint="eastAsia" w:ascii="仿宋" w:hAnsi="仿宋" w:eastAsia="仿宋" w:cs="仿宋"/>
                <w:color w:val="000000"/>
                <w:kern w:val="0"/>
                <w:sz w:val="32"/>
                <w:szCs w:val="32"/>
                <w:highlight w:val="none"/>
                <w:lang w:val="en-US" w:eastAsia="zh-CN" w:bidi="ar"/>
              </w:rPr>
            </w:pPr>
            <w:r>
              <w:rPr>
                <w:rFonts w:hint="eastAsia" w:ascii="仿宋" w:hAnsi="仿宋" w:eastAsia="仿宋" w:cs="仿宋"/>
                <w:color w:val="000000"/>
                <w:kern w:val="0"/>
                <w:sz w:val="32"/>
                <w:szCs w:val="32"/>
                <w:highlight w:val="none"/>
                <w:lang w:val="en-US" w:eastAsia="zh-CN" w:bidi="ar"/>
              </w:rPr>
              <w:t>B</w:t>
            </w:r>
          </w:p>
        </w:tc>
        <w:tc>
          <w:tcPr>
            <w:tcW w:w="851" w:type="dxa"/>
            <w:vAlign w:val="center"/>
          </w:tcPr>
          <w:p w14:paraId="2AA6C07A">
            <w:pPr>
              <w:widowControl/>
              <w:numPr>
                <w:ilvl w:val="255"/>
                <w:numId w:val="0"/>
              </w:numPr>
              <w:jc w:val="center"/>
              <w:rPr>
                <w:rFonts w:hint="eastAsia" w:ascii="仿宋" w:hAnsi="仿宋" w:eastAsia="仿宋" w:cs="仿宋"/>
                <w:color w:val="000000"/>
                <w:kern w:val="0"/>
                <w:sz w:val="32"/>
                <w:szCs w:val="32"/>
                <w:highlight w:val="none"/>
                <w:lang w:val="en-US" w:eastAsia="zh-CN" w:bidi="ar"/>
              </w:rPr>
            </w:pPr>
            <w:r>
              <w:rPr>
                <w:rFonts w:hint="eastAsia" w:ascii="仿宋" w:hAnsi="仿宋" w:eastAsia="仿宋" w:cs="仿宋"/>
                <w:color w:val="000000"/>
                <w:kern w:val="0"/>
                <w:sz w:val="32"/>
                <w:szCs w:val="32"/>
                <w:highlight w:val="none"/>
                <w:lang w:val="en-US" w:eastAsia="zh-CN" w:bidi="ar"/>
              </w:rPr>
              <w:t>C</w:t>
            </w:r>
          </w:p>
        </w:tc>
        <w:tc>
          <w:tcPr>
            <w:tcW w:w="992" w:type="dxa"/>
            <w:vAlign w:val="center"/>
          </w:tcPr>
          <w:p w14:paraId="6D798C59">
            <w:pPr>
              <w:widowControl/>
              <w:numPr>
                <w:ilvl w:val="255"/>
                <w:numId w:val="0"/>
              </w:numPr>
              <w:jc w:val="center"/>
              <w:rPr>
                <w:rFonts w:hint="eastAsia" w:ascii="仿宋" w:hAnsi="仿宋" w:eastAsia="仿宋" w:cs="仿宋"/>
                <w:color w:val="000000"/>
                <w:kern w:val="0"/>
                <w:sz w:val="32"/>
                <w:szCs w:val="32"/>
                <w:highlight w:val="none"/>
                <w:lang w:val="en-US" w:eastAsia="zh-CN" w:bidi="ar"/>
              </w:rPr>
            </w:pPr>
            <w:r>
              <w:rPr>
                <w:rFonts w:hint="eastAsia" w:ascii="仿宋" w:hAnsi="仿宋" w:eastAsia="仿宋" w:cs="仿宋"/>
                <w:color w:val="000000"/>
                <w:kern w:val="0"/>
                <w:sz w:val="32"/>
                <w:szCs w:val="32"/>
                <w:highlight w:val="none"/>
                <w:lang w:val="en-US" w:eastAsia="zh-CN" w:bidi="ar"/>
              </w:rPr>
              <w:t>D</w:t>
            </w:r>
          </w:p>
        </w:tc>
      </w:tr>
      <w:tr w14:paraId="1EC0A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46" w:type="dxa"/>
          </w:tcPr>
          <w:p w14:paraId="16737439">
            <w:pPr>
              <w:widowControl/>
              <w:numPr>
                <w:ilvl w:val="255"/>
                <w:numId w:val="0"/>
              </w:numPr>
              <w:jc w:val="center"/>
              <w:rPr>
                <w:rFonts w:hint="default" w:ascii="仿宋" w:hAnsi="仿宋" w:eastAsia="仿宋" w:cs="仿宋"/>
                <w:color w:val="000000"/>
                <w:kern w:val="0"/>
                <w:sz w:val="32"/>
                <w:szCs w:val="32"/>
                <w:highlight w:val="none"/>
                <w:lang w:val="en-US" w:eastAsia="zh-CN" w:bidi="ar"/>
              </w:rPr>
            </w:pPr>
            <w:r>
              <w:rPr>
                <w:rFonts w:hint="eastAsia" w:ascii="仿宋" w:hAnsi="仿宋" w:eastAsia="仿宋" w:cs="仿宋"/>
                <w:color w:val="000000"/>
                <w:kern w:val="0"/>
                <w:sz w:val="32"/>
                <w:szCs w:val="32"/>
                <w:highlight w:val="none"/>
                <w:lang w:val="en-US" w:eastAsia="zh-CN" w:bidi="ar"/>
              </w:rPr>
              <w:t>1</w:t>
            </w:r>
          </w:p>
        </w:tc>
        <w:tc>
          <w:tcPr>
            <w:tcW w:w="4584" w:type="dxa"/>
          </w:tcPr>
          <w:p w14:paraId="5C31575D">
            <w:pPr>
              <w:widowControl/>
              <w:numPr>
                <w:ilvl w:val="255"/>
                <w:numId w:val="0"/>
              </w:numPr>
              <w:jc w:val="left"/>
              <w:rPr>
                <w:rFonts w:hint="eastAsia" w:ascii="仿宋_GB2312" w:hAnsi="仿宋_GB2312" w:eastAsia="仿宋_GB2312" w:cs="仿宋_GB2312"/>
                <w:color w:val="000000"/>
                <w:kern w:val="0"/>
                <w:sz w:val="28"/>
                <w:szCs w:val="28"/>
                <w:highlight w:val="none"/>
                <w:lang w:val="en-US" w:eastAsia="zh-CN" w:bidi="ar"/>
              </w:rPr>
            </w:pPr>
            <w:r>
              <w:rPr>
                <w:rFonts w:hint="eastAsia" w:ascii="仿宋_GB2312" w:hAnsi="仿宋_GB2312" w:eastAsia="仿宋_GB2312" w:cs="仿宋_GB2312"/>
                <w:color w:val="000000"/>
                <w:kern w:val="0"/>
                <w:sz w:val="28"/>
                <w:szCs w:val="28"/>
                <w:highlight w:val="none"/>
                <w:lang w:val="en-US" w:eastAsia="zh-CN" w:bidi="ar"/>
              </w:rPr>
              <w:t>资格性审查：</w:t>
            </w:r>
          </w:p>
          <w:p w14:paraId="7B8A1CEE">
            <w:pPr>
              <w:pStyle w:val="7"/>
              <w:spacing w:beforeLines="0" w:afterLines="0"/>
              <w:ind w:firstLine="0" w:firstLineChars="0"/>
              <w:rPr>
                <w:rFonts w:hint="eastAsia" w:ascii="仿宋_GB2312" w:hAnsi="仿宋_GB2312" w:eastAsia="仿宋_GB2312" w:cs="仿宋_GB2312"/>
                <w:b w:val="0"/>
                <w:color w:val="000000"/>
                <w:kern w:val="0"/>
                <w:sz w:val="28"/>
                <w:szCs w:val="28"/>
                <w:highlight w:val="none"/>
                <w:lang w:val="en-US" w:eastAsia="zh-CN" w:bidi="ar"/>
              </w:rPr>
            </w:pPr>
            <w:r>
              <w:rPr>
                <w:rFonts w:hint="eastAsia" w:ascii="仿宋_GB2312" w:hAnsi="仿宋_GB2312" w:eastAsia="仿宋_GB2312" w:cs="仿宋_GB2312"/>
                <w:b w:val="0"/>
                <w:color w:val="000000"/>
                <w:kern w:val="0"/>
                <w:sz w:val="28"/>
                <w:szCs w:val="28"/>
                <w:highlight w:val="none"/>
                <w:lang w:eastAsia="zh-CN" w:bidi="ar"/>
              </w:rPr>
              <w:t>（</w:t>
            </w:r>
            <w:r>
              <w:rPr>
                <w:rFonts w:hint="eastAsia" w:ascii="仿宋_GB2312" w:hAnsi="仿宋_GB2312" w:eastAsia="仿宋_GB2312" w:cs="仿宋_GB2312"/>
                <w:b w:val="0"/>
                <w:color w:val="000000"/>
                <w:kern w:val="0"/>
                <w:sz w:val="28"/>
                <w:szCs w:val="28"/>
                <w:highlight w:val="none"/>
                <w:lang w:val="en-US" w:eastAsia="zh-CN" w:bidi="ar"/>
              </w:rPr>
              <w:t>1）有依法缴纳税收和社会保障资金的良好记录：提供《资格声明函》。</w:t>
            </w:r>
          </w:p>
          <w:p w14:paraId="0CB6E747">
            <w:pPr>
              <w:pStyle w:val="7"/>
              <w:spacing w:beforeLines="0" w:afterLines="0"/>
              <w:ind w:firstLine="0" w:firstLineChars="0"/>
              <w:rPr>
                <w:rFonts w:hint="eastAsia" w:ascii="仿宋_GB2312" w:hAnsi="仿宋_GB2312" w:eastAsia="仿宋_GB2312" w:cs="仿宋_GB2312"/>
                <w:b w:val="0"/>
                <w:color w:val="000000"/>
                <w:kern w:val="0"/>
                <w:sz w:val="28"/>
                <w:szCs w:val="28"/>
                <w:highlight w:val="none"/>
                <w:lang w:val="en-US" w:eastAsia="zh-CN" w:bidi="ar"/>
              </w:rPr>
            </w:pPr>
            <w:r>
              <w:rPr>
                <w:rFonts w:hint="eastAsia" w:ascii="仿宋_GB2312" w:hAnsi="仿宋_GB2312" w:eastAsia="仿宋_GB2312" w:cs="仿宋_GB2312"/>
                <w:b w:val="0"/>
                <w:color w:val="000000"/>
                <w:kern w:val="0"/>
                <w:sz w:val="28"/>
                <w:szCs w:val="28"/>
                <w:highlight w:val="none"/>
                <w:lang w:val="en-US" w:eastAsia="zh-CN" w:bidi="ar"/>
              </w:rPr>
              <w:t>（2）具有良好的商业信誉和健全的财务会计制度：提供《资格声明函》。</w:t>
            </w:r>
          </w:p>
          <w:p w14:paraId="520EC4AA">
            <w:pPr>
              <w:pStyle w:val="8"/>
              <w:spacing w:before="0" w:beforeLines="0" w:after="0" w:afterLines="0"/>
              <w:ind w:firstLine="0" w:firstLineChars="0"/>
              <w:jc w:val="both"/>
              <w:outlineLvl w:val="9"/>
              <w:rPr>
                <w:rFonts w:hint="eastAsia" w:ascii="仿宋_GB2312" w:hAnsi="仿宋_GB2312" w:eastAsia="仿宋_GB2312" w:cs="仿宋_GB2312"/>
                <w:b w:val="0"/>
                <w:color w:val="000000"/>
                <w:kern w:val="0"/>
                <w:sz w:val="28"/>
                <w:szCs w:val="28"/>
                <w:highlight w:val="none"/>
                <w:lang w:val="en-US" w:eastAsia="zh-CN" w:bidi="ar"/>
              </w:rPr>
            </w:pPr>
            <w:r>
              <w:rPr>
                <w:rFonts w:hint="eastAsia" w:ascii="仿宋_GB2312" w:hAnsi="仿宋_GB2312" w:eastAsia="仿宋_GB2312" w:cs="仿宋_GB2312"/>
                <w:b w:val="0"/>
                <w:color w:val="000000"/>
                <w:kern w:val="0"/>
                <w:sz w:val="28"/>
                <w:szCs w:val="28"/>
                <w:highlight w:val="none"/>
                <w:lang w:val="en-US" w:eastAsia="zh-CN" w:bidi="ar"/>
              </w:rPr>
              <w:t>（3）具备</w:t>
            </w:r>
            <w:r>
              <w:rPr>
                <w:rFonts w:hint="eastAsia" w:ascii="仿宋_GB2312" w:hAnsi="仿宋_GB2312" w:eastAsia="仿宋_GB2312" w:cs="仿宋_GB2312"/>
                <w:b w:val="0"/>
                <w:color w:val="000000"/>
                <w:kern w:val="0"/>
                <w:sz w:val="28"/>
                <w:szCs w:val="28"/>
                <w:highlight w:val="none"/>
                <w:lang w:bidi="ar"/>
              </w:rPr>
              <w:t>履行合同所必需的设备和专业技术能力</w:t>
            </w:r>
            <w:r>
              <w:rPr>
                <w:rFonts w:hint="eastAsia" w:ascii="仿宋_GB2312" w:hAnsi="仿宋_GB2312" w:eastAsia="仿宋_GB2312" w:cs="仿宋_GB2312"/>
                <w:b w:val="0"/>
                <w:color w:val="000000"/>
                <w:kern w:val="0"/>
                <w:sz w:val="28"/>
                <w:szCs w:val="28"/>
                <w:highlight w:val="none"/>
                <w:lang w:val="en-US" w:eastAsia="zh-CN" w:bidi="ar"/>
              </w:rPr>
              <w:t>：提供《资格声明函》。</w:t>
            </w:r>
          </w:p>
          <w:p w14:paraId="2655A0A0">
            <w:pPr>
              <w:pStyle w:val="8"/>
              <w:spacing w:before="0" w:beforeLines="0" w:after="0" w:afterLines="0"/>
              <w:ind w:firstLine="0" w:firstLineChars="0"/>
              <w:jc w:val="both"/>
              <w:outlineLvl w:val="9"/>
              <w:rPr>
                <w:rFonts w:hint="eastAsia" w:ascii="仿宋_GB2312" w:hAnsi="仿宋_GB2312" w:eastAsia="仿宋_GB2312" w:cs="仿宋_GB2312"/>
                <w:b w:val="0"/>
                <w:color w:val="000000"/>
                <w:kern w:val="0"/>
                <w:sz w:val="28"/>
                <w:szCs w:val="28"/>
                <w:highlight w:val="none"/>
                <w:lang w:val="en-US" w:eastAsia="zh-CN" w:bidi="ar"/>
              </w:rPr>
            </w:pPr>
            <w:r>
              <w:rPr>
                <w:rFonts w:hint="eastAsia" w:ascii="仿宋_GB2312" w:hAnsi="仿宋_GB2312" w:eastAsia="仿宋_GB2312" w:cs="仿宋_GB2312"/>
                <w:b w:val="0"/>
                <w:color w:val="000000"/>
                <w:kern w:val="0"/>
                <w:sz w:val="28"/>
                <w:szCs w:val="28"/>
                <w:highlight w:val="none"/>
                <w:lang w:val="en-US" w:eastAsia="zh-CN" w:bidi="ar"/>
              </w:rPr>
              <w:t>（4）具备法律、法规规定的其他条件：提供《资格声明函》。</w:t>
            </w:r>
          </w:p>
          <w:p w14:paraId="7917271F">
            <w:pPr>
              <w:pStyle w:val="2"/>
              <w:spacing w:before="0" w:after="0"/>
              <w:rPr>
                <w:rFonts w:hint="default"/>
                <w:lang w:val="en-US" w:eastAsia="zh-CN"/>
              </w:rPr>
            </w:pPr>
            <w:r>
              <w:rPr>
                <w:rFonts w:hint="eastAsia" w:ascii="仿宋_GB2312" w:hAnsi="仿宋_GB2312" w:eastAsia="仿宋_GB2312" w:cs="仿宋_GB2312"/>
                <w:b w:val="0"/>
                <w:color w:val="000000"/>
                <w:kern w:val="0"/>
                <w:sz w:val="28"/>
                <w:szCs w:val="28"/>
                <w:highlight w:val="none"/>
                <w:lang w:val="en-US" w:eastAsia="zh-CN" w:bidi="ar"/>
              </w:rPr>
              <w:t>（5）投标截止时间前最近三年内没有骗取中标、严重违约、出现质量不过关等问题：提供《资格声明函》。</w:t>
            </w:r>
          </w:p>
        </w:tc>
        <w:tc>
          <w:tcPr>
            <w:tcW w:w="661" w:type="dxa"/>
            <w:vAlign w:val="center"/>
          </w:tcPr>
          <w:p w14:paraId="02D41F4C">
            <w:pPr>
              <w:widowControl/>
              <w:numPr>
                <w:ilvl w:val="255"/>
                <w:numId w:val="0"/>
              </w:numPr>
              <w:jc w:val="center"/>
              <w:rPr>
                <w:rFonts w:hint="eastAsia" w:ascii="仿宋" w:hAnsi="仿宋" w:eastAsia="仿宋" w:cs="仿宋"/>
                <w:color w:val="000000"/>
                <w:kern w:val="0"/>
                <w:sz w:val="32"/>
                <w:szCs w:val="32"/>
                <w:highlight w:val="none"/>
                <w:lang w:val="en-US" w:eastAsia="zh-CN" w:bidi="ar"/>
              </w:rPr>
            </w:pPr>
          </w:p>
        </w:tc>
        <w:tc>
          <w:tcPr>
            <w:tcW w:w="708" w:type="dxa"/>
            <w:vAlign w:val="center"/>
          </w:tcPr>
          <w:p w14:paraId="6DBC019F">
            <w:pPr>
              <w:widowControl/>
              <w:numPr>
                <w:ilvl w:val="255"/>
                <w:numId w:val="0"/>
              </w:numPr>
              <w:jc w:val="center"/>
              <w:rPr>
                <w:rFonts w:hint="eastAsia" w:ascii="仿宋" w:hAnsi="仿宋" w:eastAsia="仿宋" w:cs="仿宋"/>
                <w:color w:val="000000"/>
                <w:kern w:val="0"/>
                <w:sz w:val="32"/>
                <w:szCs w:val="32"/>
                <w:highlight w:val="none"/>
                <w:lang w:val="en-US" w:eastAsia="zh-CN" w:bidi="ar"/>
              </w:rPr>
            </w:pPr>
          </w:p>
        </w:tc>
        <w:tc>
          <w:tcPr>
            <w:tcW w:w="851" w:type="dxa"/>
            <w:vAlign w:val="center"/>
          </w:tcPr>
          <w:p w14:paraId="68C25659">
            <w:pPr>
              <w:widowControl/>
              <w:numPr>
                <w:ilvl w:val="255"/>
                <w:numId w:val="0"/>
              </w:numPr>
              <w:jc w:val="center"/>
              <w:rPr>
                <w:rFonts w:hint="eastAsia" w:ascii="仿宋" w:hAnsi="仿宋" w:eastAsia="仿宋" w:cs="仿宋"/>
                <w:color w:val="000000"/>
                <w:kern w:val="0"/>
                <w:sz w:val="32"/>
                <w:szCs w:val="32"/>
                <w:highlight w:val="none"/>
                <w:lang w:val="en-US" w:eastAsia="zh-CN" w:bidi="ar"/>
              </w:rPr>
            </w:pPr>
          </w:p>
        </w:tc>
        <w:tc>
          <w:tcPr>
            <w:tcW w:w="992" w:type="dxa"/>
            <w:vAlign w:val="center"/>
          </w:tcPr>
          <w:p w14:paraId="038D6068">
            <w:pPr>
              <w:widowControl/>
              <w:numPr>
                <w:ilvl w:val="255"/>
                <w:numId w:val="0"/>
              </w:numPr>
              <w:jc w:val="center"/>
              <w:rPr>
                <w:rFonts w:hint="eastAsia" w:ascii="仿宋" w:hAnsi="仿宋" w:eastAsia="仿宋" w:cs="仿宋"/>
                <w:color w:val="000000"/>
                <w:kern w:val="0"/>
                <w:sz w:val="32"/>
                <w:szCs w:val="32"/>
                <w:highlight w:val="none"/>
                <w:lang w:val="en-US" w:eastAsia="zh-CN" w:bidi="ar"/>
              </w:rPr>
            </w:pPr>
          </w:p>
        </w:tc>
      </w:tr>
      <w:tr w14:paraId="262B9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46" w:type="dxa"/>
            <w:vAlign w:val="center"/>
          </w:tcPr>
          <w:p w14:paraId="0F74D063">
            <w:pPr>
              <w:widowControl/>
              <w:numPr>
                <w:ilvl w:val="255"/>
                <w:numId w:val="0"/>
              </w:numPr>
              <w:jc w:val="center"/>
              <w:rPr>
                <w:rFonts w:hint="eastAsia" w:ascii="仿宋_GB2312" w:hAnsi="仿宋_GB2312" w:eastAsia="仿宋_GB2312" w:cs="仿宋_GB2312"/>
                <w:color w:val="000000"/>
                <w:kern w:val="0"/>
                <w:sz w:val="28"/>
                <w:szCs w:val="28"/>
                <w:highlight w:val="none"/>
                <w:lang w:val="en-US" w:eastAsia="zh-CN" w:bidi="ar"/>
              </w:rPr>
            </w:pPr>
            <w:r>
              <w:rPr>
                <w:rFonts w:hint="eastAsia" w:ascii="仿宋_GB2312" w:hAnsi="仿宋_GB2312" w:eastAsia="仿宋_GB2312" w:cs="仿宋_GB2312"/>
                <w:color w:val="000000"/>
                <w:kern w:val="0"/>
                <w:sz w:val="28"/>
                <w:szCs w:val="28"/>
                <w:highlight w:val="none"/>
                <w:lang w:val="en-US" w:eastAsia="zh-CN" w:bidi="ar"/>
              </w:rPr>
              <w:t>2</w:t>
            </w:r>
          </w:p>
        </w:tc>
        <w:tc>
          <w:tcPr>
            <w:tcW w:w="4584" w:type="dxa"/>
          </w:tcPr>
          <w:p w14:paraId="6FCA498B">
            <w:pPr>
              <w:widowControl/>
              <w:numPr>
                <w:ilvl w:val="255"/>
                <w:numId w:val="0"/>
              </w:numPr>
              <w:bidi w:val="0"/>
              <w:spacing w:line="240" w:lineRule="auto"/>
              <w:jc w:val="left"/>
              <w:rPr>
                <w:rFonts w:hint="eastAsia" w:ascii="仿宋_GB2312" w:hAnsi="仿宋_GB2312" w:eastAsia="仿宋_GB2312" w:cs="仿宋_GB2312"/>
                <w:color w:val="000000"/>
                <w:kern w:val="0"/>
                <w:sz w:val="28"/>
                <w:szCs w:val="28"/>
                <w:highlight w:val="none"/>
                <w:lang w:val="en-US" w:eastAsia="zh-CN" w:bidi="ar"/>
              </w:rPr>
            </w:pPr>
            <w:r>
              <w:rPr>
                <w:rFonts w:hint="eastAsia" w:ascii="仿宋_GB2312" w:hAnsi="仿宋_GB2312" w:eastAsia="仿宋_GB2312" w:cs="仿宋_GB2312"/>
                <w:color w:val="000000"/>
                <w:kern w:val="0"/>
                <w:sz w:val="28"/>
                <w:szCs w:val="28"/>
                <w:highlight w:val="none"/>
                <w:lang w:eastAsia="zh-CN" w:bidi="ar"/>
              </w:rPr>
              <w:t>关联性</w:t>
            </w:r>
            <w:r>
              <w:rPr>
                <w:rFonts w:hint="eastAsia" w:ascii="仿宋_GB2312" w:hAnsi="仿宋_GB2312" w:eastAsia="仿宋_GB2312" w:cs="仿宋_GB2312"/>
                <w:color w:val="000000"/>
                <w:kern w:val="0"/>
                <w:sz w:val="28"/>
                <w:szCs w:val="28"/>
                <w:highlight w:val="none"/>
                <w:lang w:val="en-US" w:eastAsia="zh-CN" w:bidi="ar"/>
              </w:rPr>
              <w:t>审查：</w:t>
            </w:r>
          </w:p>
          <w:p w14:paraId="66E6CCE0">
            <w:pPr>
              <w:widowControl/>
              <w:numPr>
                <w:ilvl w:val="255"/>
                <w:numId w:val="0"/>
              </w:numPr>
              <w:bidi w:val="0"/>
              <w:spacing w:line="240" w:lineRule="auto"/>
              <w:jc w:val="left"/>
              <w:rPr>
                <w:rFonts w:hint="eastAsia" w:ascii="仿宋_GB2312" w:hAnsi="仿宋_GB2312" w:eastAsia="仿宋_GB2312" w:cs="仿宋_GB2312"/>
                <w:color w:val="000000"/>
                <w:kern w:val="0"/>
                <w:sz w:val="28"/>
                <w:szCs w:val="28"/>
                <w:highlight w:val="none"/>
                <w:lang w:val="en-US" w:eastAsia="zh-CN" w:bidi="ar"/>
              </w:rPr>
            </w:pPr>
            <w:r>
              <w:rPr>
                <w:rFonts w:hint="eastAsia" w:ascii="仿宋_GB2312" w:hAnsi="仿宋_GB2312" w:eastAsia="仿宋_GB2312" w:cs="仿宋_GB2312"/>
                <w:color w:val="000000"/>
                <w:kern w:val="0"/>
                <w:sz w:val="28"/>
                <w:szCs w:val="28"/>
                <w:highlight w:val="none"/>
                <w:lang w:val="en-US" w:eastAsia="zh-CN" w:bidi="ar"/>
              </w:rPr>
              <w:t>（1）承诺与其他投标人之间不存在任何关联关系，不存在围标、串标等其他影响公平、公正招标的情形，提供《关联性承诺函》。</w:t>
            </w:r>
          </w:p>
          <w:p w14:paraId="44344A4F">
            <w:pPr>
              <w:widowControl/>
              <w:numPr>
                <w:ilvl w:val="255"/>
                <w:numId w:val="0"/>
              </w:numPr>
              <w:spacing w:line="240" w:lineRule="auto"/>
              <w:jc w:val="left"/>
              <w:rPr>
                <w:rFonts w:hint="eastAsia" w:ascii="仿宋_GB2312" w:hAnsi="仿宋_GB2312" w:eastAsia="仿宋_GB2312" w:cs="仿宋_GB2312"/>
                <w:color w:val="000000"/>
                <w:kern w:val="0"/>
                <w:sz w:val="28"/>
                <w:szCs w:val="28"/>
                <w:highlight w:val="none"/>
                <w:lang w:bidi="ar"/>
              </w:rPr>
            </w:pPr>
            <w:r>
              <w:rPr>
                <w:rFonts w:hint="eastAsia" w:ascii="仿宋_GB2312" w:hAnsi="仿宋_GB2312" w:eastAsia="仿宋_GB2312" w:cs="仿宋_GB2312"/>
                <w:color w:val="000000"/>
                <w:kern w:val="0"/>
                <w:sz w:val="28"/>
                <w:szCs w:val="28"/>
                <w:highlight w:val="none"/>
                <w:lang w:val="en-US" w:eastAsia="zh-CN" w:bidi="ar"/>
              </w:rPr>
              <w:t>（2）投标人关联性情况（经审查与其他投标人之间不存在关联关系）。</w:t>
            </w:r>
          </w:p>
        </w:tc>
        <w:tc>
          <w:tcPr>
            <w:tcW w:w="661" w:type="dxa"/>
          </w:tcPr>
          <w:p w14:paraId="6B83F7C2">
            <w:pPr>
              <w:widowControl/>
              <w:numPr>
                <w:ilvl w:val="255"/>
                <w:numId w:val="0"/>
              </w:numPr>
              <w:jc w:val="left"/>
              <w:rPr>
                <w:rFonts w:hint="eastAsia" w:ascii="仿宋" w:hAnsi="仿宋" w:eastAsia="仿宋" w:cs="仿宋"/>
                <w:color w:val="000000"/>
                <w:kern w:val="0"/>
                <w:sz w:val="32"/>
                <w:szCs w:val="32"/>
                <w:highlight w:val="none"/>
                <w:lang w:bidi="ar"/>
              </w:rPr>
            </w:pPr>
          </w:p>
        </w:tc>
        <w:tc>
          <w:tcPr>
            <w:tcW w:w="708" w:type="dxa"/>
            <w:tcBorders>
              <w:bottom w:val="single" w:color="auto" w:sz="4" w:space="0"/>
            </w:tcBorders>
          </w:tcPr>
          <w:p w14:paraId="54AAE982">
            <w:pPr>
              <w:widowControl/>
              <w:numPr>
                <w:ilvl w:val="255"/>
                <w:numId w:val="0"/>
              </w:numPr>
              <w:jc w:val="left"/>
              <w:rPr>
                <w:rFonts w:hint="eastAsia" w:ascii="仿宋" w:hAnsi="仿宋" w:eastAsia="仿宋" w:cs="仿宋"/>
                <w:color w:val="000000"/>
                <w:kern w:val="0"/>
                <w:sz w:val="32"/>
                <w:szCs w:val="32"/>
                <w:highlight w:val="none"/>
                <w:lang w:bidi="ar"/>
              </w:rPr>
            </w:pPr>
          </w:p>
        </w:tc>
        <w:tc>
          <w:tcPr>
            <w:tcW w:w="851" w:type="dxa"/>
          </w:tcPr>
          <w:p w14:paraId="03E0E115">
            <w:pPr>
              <w:widowControl/>
              <w:numPr>
                <w:ilvl w:val="255"/>
                <w:numId w:val="0"/>
              </w:numPr>
              <w:jc w:val="left"/>
              <w:rPr>
                <w:rFonts w:hint="eastAsia" w:ascii="仿宋" w:hAnsi="仿宋" w:eastAsia="仿宋" w:cs="仿宋"/>
                <w:color w:val="000000"/>
                <w:kern w:val="0"/>
                <w:sz w:val="32"/>
                <w:szCs w:val="32"/>
                <w:highlight w:val="none"/>
                <w:lang w:bidi="ar"/>
              </w:rPr>
            </w:pPr>
          </w:p>
        </w:tc>
        <w:tc>
          <w:tcPr>
            <w:tcW w:w="992" w:type="dxa"/>
          </w:tcPr>
          <w:p w14:paraId="71E1C8B3">
            <w:pPr>
              <w:widowControl/>
              <w:numPr>
                <w:ilvl w:val="255"/>
                <w:numId w:val="0"/>
              </w:numPr>
              <w:jc w:val="left"/>
              <w:rPr>
                <w:rFonts w:hint="eastAsia" w:ascii="仿宋" w:hAnsi="仿宋" w:eastAsia="仿宋" w:cs="仿宋"/>
                <w:color w:val="000000"/>
                <w:kern w:val="0"/>
                <w:sz w:val="32"/>
                <w:szCs w:val="32"/>
                <w:highlight w:val="none"/>
                <w:lang w:bidi="ar"/>
              </w:rPr>
            </w:pPr>
          </w:p>
        </w:tc>
      </w:tr>
      <w:tr w14:paraId="756DF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46" w:type="dxa"/>
            <w:vAlign w:val="center"/>
          </w:tcPr>
          <w:p w14:paraId="3F6670DA">
            <w:pPr>
              <w:widowControl/>
              <w:numPr>
                <w:ilvl w:val="255"/>
                <w:numId w:val="0"/>
              </w:numPr>
              <w:jc w:val="center"/>
              <w:rPr>
                <w:rFonts w:hint="eastAsia" w:ascii="仿宋" w:hAnsi="仿宋" w:eastAsia="仿宋_GB2312" w:cs="仿宋"/>
                <w:color w:val="000000"/>
                <w:kern w:val="0"/>
                <w:sz w:val="28"/>
                <w:szCs w:val="28"/>
                <w:highlight w:val="none"/>
                <w:lang w:eastAsia="zh-CN" w:bidi="ar"/>
              </w:rPr>
            </w:pPr>
            <w:r>
              <w:rPr>
                <w:rFonts w:hint="eastAsia" w:ascii="仿宋_GB2312" w:hAnsi="仿宋_GB2312" w:eastAsia="仿宋_GB2312" w:cs="仿宋_GB2312"/>
                <w:color w:val="000000"/>
                <w:kern w:val="0"/>
                <w:sz w:val="28"/>
                <w:szCs w:val="28"/>
                <w:highlight w:val="none"/>
                <w:lang w:val="en-US" w:eastAsia="zh-CN" w:bidi="ar"/>
              </w:rPr>
              <w:t>3</w:t>
            </w:r>
          </w:p>
        </w:tc>
        <w:tc>
          <w:tcPr>
            <w:tcW w:w="4584" w:type="dxa"/>
            <w:vAlign w:val="center"/>
          </w:tcPr>
          <w:p w14:paraId="52DE5A1D">
            <w:pPr>
              <w:widowControl/>
              <w:numPr>
                <w:ilvl w:val="255"/>
                <w:numId w:val="0"/>
              </w:numPr>
              <w:jc w:val="both"/>
              <w:rPr>
                <w:rFonts w:hint="default" w:ascii="仿宋_GB2312" w:hAnsi="仿宋_GB2312" w:eastAsia="仿宋_GB2312" w:cs="仿宋_GB2312"/>
                <w:color w:val="000000"/>
                <w:kern w:val="0"/>
                <w:sz w:val="28"/>
                <w:szCs w:val="28"/>
                <w:highlight w:val="none"/>
                <w:lang w:eastAsia="zh-CN" w:bidi="ar"/>
              </w:rPr>
            </w:pPr>
            <w:r>
              <w:rPr>
                <w:rFonts w:hint="default" w:ascii="仿宋_GB2312" w:hAnsi="仿宋_GB2312" w:eastAsia="仿宋_GB2312" w:cs="仿宋_GB2312"/>
                <w:color w:val="000000"/>
                <w:kern w:val="0"/>
                <w:sz w:val="28"/>
                <w:szCs w:val="28"/>
                <w:highlight w:val="none"/>
                <w:lang w:bidi="ar"/>
              </w:rPr>
              <w:t>投标文件密封合格且加盖公章</w:t>
            </w:r>
            <w:r>
              <w:rPr>
                <w:rFonts w:hint="default" w:ascii="仿宋_GB2312" w:hAnsi="仿宋_GB2312" w:eastAsia="仿宋_GB2312" w:cs="仿宋_GB2312"/>
                <w:color w:val="000000"/>
                <w:kern w:val="0"/>
                <w:sz w:val="28"/>
                <w:szCs w:val="28"/>
                <w:highlight w:val="none"/>
                <w:lang w:eastAsia="zh-CN" w:bidi="ar"/>
              </w:rPr>
              <w:t>。</w:t>
            </w:r>
          </w:p>
        </w:tc>
        <w:tc>
          <w:tcPr>
            <w:tcW w:w="661" w:type="dxa"/>
          </w:tcPr>
          <w:p w14:paraId="49225E93">
            <w:pPr>
              <w:widowControl/>
              <w:numPr>
                <w:ilvl w:val="255"/>
                <w:numId w:val="0"/>
              </w:numPr>
              <w:jc w:val="left"/>
              <w:rPr>
                <w:rFonts w:hint="eastAsia" w:ascii="仿宋" w:hAnsi="仿宋" w:eastAsia="仿宋" w:cs="仿宋"/>
                <w:color w:val="000000"/>
                <w:kern w:val="0"/>
                <w:sz w:val="32"/>
                <w:szCs w:val="32"/>
                <w:highlight w:val="none"/>
                <w:lang w:bidi="ar"/>
              </w:rPr>
            </w:pPr>
          </w:p>
        </w:tc>
        <w:tc>
          <w:tcPr>
            <w:tcW w:w="708" w:type="dxa"/>
            <w:tcBorders>
              <w:bottom w:val="single" w:color="auto" w:sz="4" w:space="0"/>
            </w:tcBorders>
          </w:tcPr>
          <w:p w14:paraId="741949EC">
            <w:pPr>
              <w:widowControl/>
              <w:numPr>
                <w:ilvl w:val="255"/>
                <w:numId w:val="0"/>
              </w:numPr>
              <w:jc w:val="left"/>
              <w:rPr>
                <w:rFonts w:hint="eastAsia" w:ascii="仿宋" w:hAnsi="仿宋" w:eastAsia="仿宋" w:cs="仿宋"/>
                <w:color w:val="000000"/>
                <w:kern w:val="0"/>
                <w:sz w:val="32"/>
                <w:szCs w:val="32"/>
                <w:highlight w:val="none"/>
                <w:lang w:bidi="ar"/>
              </w:rPr>
            </w:pPr>
          </w:p>
        </w:tc>
        <w:tc>
          <w:tcPr>
            <w:tcW w:w="851" w:type="dxa"/>
          </w:tcPr>
          <w:p w14:paraId="1538908B">
            <w:pPr>
              <w:widowControl/>
              <w:numPr>
                <w:ilvl w:val="255"/>
                <w:numId w:val="0"/>
              </w:numPr>
              <w:jc w:val="left"/>
              <w:rPr>
                <w:rFonts w:hint="eastAsia" w:ascii="仿宋" w:hAnsi="仿宋" w:eastAsia="仿宋" w:cs="仿宋"/>
                <w:color w:val="000000"/>
                <w:kern w:val="0"/>
                <w:sz w:val="32"/>
                <w:szCs w:val="32"/>
                <w:highlight w:val="none"/>
                <w:lang w:bidi="ar"/>
              </w:rPr>
            </w:pPr>
          </w:p>
        </w:tc>
        <w:tc>
          <w:tcPr>
            <w:tcW w:w="992" w:type="dxa"/>
          </w:tcPr>
          <w:p w14:paraId="02FBA35C">
            <w:pPr>
              <w:widowControl/>
              <w:numPr>
                <w:ilvl w:val="255"/>
                <w:numId w:val="0"/>
              </w:numPr>
              <w:jc w:val="left"/>
              <w:rPr>
                <w:rFonts w:hint="eastAsia" w:ascii="仿宋" w:hAnsi="仿宋" w:eastAsia="仿宋" w:cs="仿宋"/>
                <w:color w:val="000000"/>
                <w:kern w:val="0"/>
                <w:sz w:val="32"/>
                <w:szCs w:val="32"/>
                <w:highlight w:val="none"/>
                <w:lang w:bidi="ar"/>
              </w:rPr>
            </w:pPr>
          </w:p>
        </w:tc>
      </w:tr>
      <w:tr w14:paraId="2029A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46" w:type="dxa"/>
            <w:vAlign w:val="center"/>
          </w:tcPr>
          <w:p w14:paraId="4CD235F5">
            <w:pPr>
              <w:widowControl/>
              <w:numPr>
                <w:ilvl w:val="255"/>
                <w:numId w:val="0"/>
              </w:numPr>
              <w:jc w:val="center"/>
              <w:rPr>
                <w:rFonts w:hint="eastAsia" w:ascii="仿宋" w:hAnsi="仿宋" w:eastAsia="仿宋_GB2312" w:cs="仿宋"/>
                <w:color w:val="000000"/>
                <w:kern w:val="0"/>
                <w:sz w:val="28"/>
                <w:szCs w:val="28"/>
                <w:highlight w:val="none"/>
                <w:lang w:eastAsia="zh-CN" w:bidi="ar"/>
              </w:rPr>
            </w:pPr>
            <w:r>
              <w:rPr>
                <w:rFonts w:hint="eastAsia" w:ascii="仿宋_GB2312" w:hAnsi="仿宋_GB2312" w:eastAsia="仿宋_GB2312" w:cs="仿宋_GB2312"/>
                <w:color w:val="000000"/>
                <w:kern w:val="0"/>
                <w:sz w:val="28"/>
                <w:szCs w:val="28"/>
                <w:highlight w:val="none"/>
                <w:lang w:val="en-US" w:eastAsia="zh-CN" w:bidi="ar"/>
              </w:rPr>
              <w:t>4</w:t>
            </w:r>
          </w:p>
        </w:tc>
        <w:tc>
          <w:tcPr>
            <w:tcW w:w="4584" w:type="dxa"/>
          </w:tcPr>
          <w:p w14:paraId="75063016">
            <w:pPr>
              <w:widowControl/>
              <w:numPr>
                <w:ilvl w:val="255"/>
                <w:numId w:val="0"/>
              </w:numPr>
              <w:spacing w:line="240" w:lineRule="auto"/>
              <w:jc w:val="both"/>
              <w:rPr>
                <w:rFonts w:hint="eastAsia" w:ascii="仿宋" w:hAnsi="仿宋" w:eastAsia="仿宋" w:cs="仿宋"/>
                <w:color w:val="000000"/>
                <w:kern w:val="0"/>
                <w:sz w:val="28"/>
                <w:szCs w:val="28"/>
                <w:highlight w:val="none"/>
                <w:lang w:val="en-US" w:eastAsia="zh-CN" w:bidi="ar"/>
              </w:rPr>
            </w:pPr>
            <w:r>
              <w:rPr>
                <w:rFonts w:hint="eastAsia" w:ascii="仿宋_GB2312" w:hAnsi="仿宋_GB2312" w:eastAsia="仿宋_GB2312" w:cs="仿宋_GB2312"/>
                <w:color w:val="000000"/>
                <w:kern w:val="0"/>
                <w:sz w:val="28"/>
                <w:szCs w:val="28"/>
                <w:highlight w:val="none"/>
                <w:lang w:bidi="ar"/>
              </w:rPr>
              <w:t>投标文件中具备有效的营业执照或法人登记证书复印件、法定代表人证明书原件，或由法定代表人签署的法定代表人授权委托书原件</w:t>
            </w:r>
            <w:r>
              <w:rPr>
                <w:rFonts w:hint="eastAsia" w:ascii="仿宋_GB2312" w:hAnsi="仿宋_GB2312" w:eastAsia="仿宋_GB2312" w:cs="仿宋_GB2312"/>
                <w:color w:val="000000"/>
                <w:kern w:val="0"/>
                <w:sz w:val="28"/>
                <w:szCs w:val="28"/>
                <w:highlight w:val="none"/>
                <w:lang w:eastAsia="zh-CN" w:bidi="ar"/>
              </w:rPr>
              <w:t>。</w:t>
            </w:r>
          </w:p>
        </w:tc>
        <w:tc>
          <w:tcPr>
            <w:tcW w:w="661" w:type="dxa"/>
          </w:tcPr>
          <w:p w14:paraId="7DBC2C82">
            <w:pPr>
              <w:widowControl/>
              <w:numPr>
                <w:ilvl w:val="255"/>
                <w:numId w:val="0"/>
              </w:numPr>
              <w:jc w:val="left"/>
              <w:rPr>
                <w:rFonts w:hint="eastAsia" w:ascii="仿宋" w:hAnsi="仿宋" w:eastAsia="仿宋" w:cs="仿宋"/>
                <w:color w:val="000000"/>
                <w:kern w:val="0"/>
                <w:sz w:val="32"/>
                <w:szCs w:val="32"/>
                <w:highlight w:val="none"/>
                <w:lang w:bidi="ar"/>
              </w:rPr>
            </w:pPr>
          </w:p>
        </w:tc>
        <w:tc>
          <w:tcPr>
            <w:tcW w:w="708" w:type="dxa"/>
            <w:tcBorders>
              <w:bottom w:val="single" w:color="auto" w:sz="4" w:space="0"/>
            </w:tcBorders>
          </w:tcPr>
          <w:p w14:paraId="3269CB1E">
            <w:pPr>
              <w:widowControl/>
              <w:numPr>
                <w:ilvl w:val="255"/>
                <w:numId w:val="0"/>
              </w:numPr>
              <w:jc w:val="left"/>
              <w:rPr>
                <w:rFonts w:hint="eastAsia" w:ascii="仿宋" w:hAnsi="仿宋" w:eastAsia="仿宋" w:cs="仿宋"/>
                <w:color w:val="000000"/>
                <w:kern w:val="0"/>
                <w:sz w:val="32"/>
                <w:szCs w:val="32"/>
                <w:highlight w:val="none"/>
                <w:lang w:bidi="ar"/>
              </w:rPr>
            </w:pPr>
          </w:p>
        </w:tc>
        <w:tc>
          <w:tcPr>
            <w:tcW w:w="851" w:type="dxa"/>
          </w:tcPr>
          <w:p w14:paraId="7D32BACC">
            <w:pPr>
              <w:widowControl/>
              <w:numPr>
                <w:ilvl w:val="255"/>
                <w:numId w:val="0"/>
              </w:numPr>
              <w:jc w:val="left"/>
              <w:rPr>
                <w:rFonts w:hint="eastAsia" w:ascii="仿宋" w:hAnsi="仿宋" w:eastAsia="仿宋" w:cs="仿宋"/>
                <w:color w:val="000000"/>
                <w:kern w:val="0"/>
                <w:sz w:val="32"/>
                <w:szCs w:val="32"/>
                <w:highlight w:val="none"/>
                <w:lang w:bidi="ar"/>
              </w:rPr>
            </w:pPr>
          </w:p>
        </w:tc>
        <w:tc>
          <w:tcPr>
            <w:tcW w:w="992" w:type="dxa"/>
          </w:tcPr>
          <w:p w14:paraId="59702D54">
            <w:pPr>
              <w:widowControl/>
              <w:numPr>
                <w:ilvl w:val="255"/>
                <w:numId w:val="0"/>
              </w:numPr>
              <w:jc w:val="left"/>
              <w:rPr>
                <w:rFonts w:hint="eastAsia" w:ascii="仿宋" w:hAnsi="仿宋" w:eastAsia="仿宋" w:cs="仿宋"/>
                <w:color w:val="000000"/>
                <w:kern w:val="0"/>
                <w:sz w:val="32"/>
                <w:szCs w:val="32"/>
                <w:highlight w:val="none"/>
                <w:lang w:bidi="ar"/>
              </w:rPr>
            </w:pPr>
          </w:p>
        </w:tc>
      </w:tr>
      <w:tr w14:paraId="3F737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846" w:type="dxa"/>
            <w:vAlign w:val="center"/>
          </w:tcPr>
          <w:p w14:paraId="2C351D19">
            <w:pPr>
              <w:widowControl/>
              <w:numPr>
                <w:ilvl w:val="255"/>
                <w:numId w:val="0"/>
              </w:numPr>
              <w:jc w:val="center"/>
              <w:rPr>
                <w:rFonts w:hint="eastAsia" w:ascii="仿宋" w:hAnsi="仿宋" w:eastAsia="仿宋" w:cs="仿宋"/>
                <w:color w:val="000000"/>
                <w:kern w:val="0"/>
                <w:sz w:val="28"/>
                <w:szCs w:val="28"/>
                <w:highlight w:val="none"/>
                <w:lang w:eastAsia="zh-CN" w:bidi="ar"/>
              </w:rPr>
            </w:pPr>
            <w:r>
              <w:rPr>
                <w:rFonts w:hint="eastAsia" w:ascii="仿宋_GB2312" w:hAnsi="仿宋_GB2312" w:eastAsia="仿宋_GB2312" w:cs="仿宋_GB2312"/>
                <w:color w:val="000000"/>
                <w:kern w:val="0"/>
                <w:sz w:val="28"/>
                <w:szCs w:val="28"/>
                <w:highlight w:val="none"/>
                <w:lang w:val="en-US" w:eastAsia="zh-CN" w:bidi="ar"/>
              </w:rPr>
              <w:t>5</w:t>
            </w:r>
          </w:p>
        </w:tc>
        <w:tc>
          <w:tcPr>
            <w:tcW w:w="4584" w:type="dxa"/>
          </w:tcPr>
          <w:p w14:paraId="4884910A">
            <w:pPr>
              <w:widowControl/>
              <w:numPr>
                <w:ilvl w:val="255"/>
                <w:numId w:val="0"/>
              </w:numPr>
              <w:spacing w:line="240" w:lineRule="auto"/>
              <w:jc w:val="left"/>
              <w:rPr>
                <w:rFonts w:hint="eastAsia" w:ascii="仿宋" w:hAnsi="仿宋" w:eastAsia="仿宋" w:cs="仿宋"/>
                <w:color w:val="000000"/>
                <w:kern w:val="0"/>
                <w:sz w:val="28"/>
                <w:szCs w:val="28"/>
                <w:highlight w:val="none"/>
                <w:lang w:bidi="ar"/>
              </w:rPr>
            </w:pPr>
            <w:r>
              <w:rPr>
                <w:rFonts w:hint="eastAsia" w:ascii="仿宋_GB2312" w:hAnsi="仿宋_GB2312" w:eastAsia="仿宋_GB2312" w:cs="仿宋_GB2312"/>
                <w:b w:val="0"/>
                <w:sz w:val="28"/>
                <w:szCs w:val="28"/>
                <w:highlight w:val="none"/>
                <w:lang w:val="en-US" w:eastAsia="zh-CN"/>
              </w:rPr>
              <w:t>投标报价不超</w:t>
            </w:r>
            <w:r>
              <w:rPr>
                <w:rFonts w:hint="eastAsia" w:ascii="仿宋_GB2312" w:hAnsi="仿宋_GB2312" w:eastAsia="仿宋_GB2312" w:cs="仿宋_GB2312"/>
                <w:b w:val="0"/>
                <w:sz w:val="28"/>
                <w:szCs w:val="28"/>
                <w:highlight w:val="none"/>
              </w:rPr>
              <w:t>最高限价</w:t>
            </w:r>
            <w:r>
              <w:rPr>
                <w:rFonts w:hint="eastAsia" w:ascii="仿宋_GB2312" w:hAnsi="仿宋_GB2312" w:eastAsia="仿宋_GB2312" w:cs="仿宋_GB2312"/>
                <w:b w:val="0"/>
                <w:sz w:val="28"/>
                <w:szCs w:val="28"/>
                <w:highlight w:val="none"/>
                <w:lang w:val="en-US" w:eastAsia="zh-CN"/>
              </w:rPr>
              <w:t>20</w:t>
            </w:r>
            <w:r>
              <w:rPr>
                <w:rFonts w:hint="eastAsia" w:ascii="仿宋_GB2312" w:hAnsi="仿宋_GB2312" w:eastAsia="仿宋_GB2312" w:cs="仿宋_GB2312"/>
                <w:b w:val="0"/>
                <w:sz w:val="28"/>
                <w:szCs w:val="28"/>
                <w:highlight w:val="none"/>
              </w:rPr>
              <w:t>万元/年</w:t>
            </w:r>
            <w:r>
              <w:rPr>
                <w:rFonts w:hint="eastAsia" w:ascii="仿宋_GB2312" w:hAnsi="仿宋_GB2312" w:eastAsia="仿宋_GB2312" w:cs="仿宋_GB2312"/>
                <w:b w:val="0"/>
                <w:sz w:val="28"/>
                <w:szCs w:val="28"/>
                <w:highlight w:val="none"/>
                <w:lang w:eastAsia="zh-CN"/>
              </w:rPr>
              <w:t>（</w:t>
            </w:r>
            <w:r>
              <w:rPr>
                <w:rFonts w:hint="eastAsia" w:ascii="仿宋_GB2312" w:hAnsi="仿宋_GB2312" w:eastAsia="仿宋_GB2312" w:cs="仿宋_GB2312"/>
                <w:b w:val="0"/>
                <w:sz w:val="28"/>
                <w:szCs w:val="28"/>
                <w:highlight w:val="none"/>
                <w:lang w:val="en-US" w:eastAsia="zh-CN"/>
              </w:rPr>
              <w:t>含税）</w:t>
            </w:r>
            <w:r>
              <w:rPr>
                <w:rFonts w:hint="eastAsia" w:ascii="仿宋_GB2312" w:hAnsi="仿宋_GB2312" w:eastAsia="仿宋_GB2312" w:cs="仿宋_GB2312"/>
                <w:color w:val="000000"/>
                <w:kern w:val="0"/>
                <w:sz w:val="28"/>
                <w:szCs w:val="28"/>
                <w:highlight w:val="none"/>
                <w:lang w:bidi="ar"/>
              </w:rPr>
              <w:t>。</w:t>
            </w:r>
          </w:p>
        </w:tc>
        <w:tc>
          <w:tcPr>
            <w:tcW w:w="661" w:type="dxa"/>
          </w:tcPr>
          <w:p w14:paraId="41DFDC12">
            <w:pPr>
              <w:widowControl/>
              <w:numPr>
                <w:ilvl w:val="255"/>
                <w:numId w:val="0"/>
              </w:numPr>
              <w:jc w:val="left"/>
              <w:rPr>
                <w:rFonts w:hint="eastAsia" w:ascii="仿宋" w:hAnsi="仿宋" w:eastAsia="仿宋" w:cs="仿宋"/>
                <w:color w:val="000000"/>
                <w:kern w:val="0"/>
                <w:sz w:val="32"/>
                <w:szCs w:val="32"/>
                <w:highlight w:val="none"/>
                <w:lang w:bidi="ar"/>
              </w:rPr>
            </w:pPr>
          </w:p>
        </w:tc>
        <w:tc>
          <w:tcPr>
            <w:tcW w:w="708" w:type="dxa"/>
          </w:tcPr>
          <w:p w14:paraId="057EEB87">
            <w:pPr>
              <w:widowControl/>
              <w:numPr>
                <w:ilvl w:val="255"/>
                <w:numId w:val="0"/>
              </w:numPr>
              <w:jc w:val="left"/>
              <w:rPr>
                <w:rFonts w:hint="eastAsia" w:ascii="仿宋" w:hAnsi="仿宋" w:eastAsia="仿宋" w:cs="仿宋"/>
                <w:color w:val="000000"/>
                <w:kern w:val="0"/>
                <w:sz w:val="32"/>
                <w:szCs w:val="32"/>
                <w:highlight w:val="none"/>
                <w:lang w:bidi="ar"/>
              </w:rPr>
            </w:pPr>
          </w:p>
        </w:tc>
        <w:tc>
          <w:tcPr>
            <w:tcW w:w="851" w:type="dxa"/>
          </w:tcPr>
          <w:p w14:paraId="7FDDAEBA">
            <w:pPr>
              <w:widowControl/>
              <w:numPr>
                <w:ilvl w:val="255"/>
                <w:numId w:val="0"/>
              </w:numPr>
              <w:jc w:val="left"/>
              <w:rPr>
                <w:rFonts w:hint="eastAsia" w:ascii="仿宋" w:hAnsi="仿宋" w:eastAsia="仿宋" w:cs="仿宋"/>
                <w:color w:val="000000"/>
                <w:kern w:val="0"/>
                <w:sz w:val="32"/>
                <w:szCs w:val="32"/>
                <w:highlight w:val="none"/>
                <w:lang w:bidi="ar"/>
              </w:rPr>
            </w:pPr>
          </w:p>
        </w:tc>
        <w:tc>
          <w:tcPr>
            <w:tcW w:w="992" w:type="dxa"/>
          </w:tcPr>
          <w:p w14:paraId="7574BA62">
            <w:pPr>
              <w:widowControl/>
              <w:numPr>
                <w:ilvl w:val="255"/>
                <w:numId w:val="0"/>
              </w:numPr>
              <w:jc w:val="left"/>
              <w:rPr>
                <w:rFonts w:hint="eastAsia" w:ascii="仿宋" w:hAnsi="仿宋" w:eastAsia="仿宋" w:cs="仿宋"/>
                <w:color w:val="000000"/>
                <w:kern w:val="0"/>
                <w:sz w:val="32"/>
                <w:szCs w:val="32"/>
                <w:highlight w:val="none"/>
                <w:lang w:bidi="ar"/>
              </w:rPr>
            </w:pPr>
          </w:p>
        </w:tc>
      </w:tr>
      <w:tr w14:paraId="27248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846" w:type="dxa"/>
            <w:vAlign w:val="center"/>
          </w:tcPr>
          <w:p w14:paraId="7ACB37C1">
            <w:pPr>
              <w:widowControl/>
              <w:numPr>
                <w:ilvl w:val="255"/>
                <w:numId w:val="0"/>
              </w:numPr>
              <w:jc w:val="center"/>
              <w:rPr>
                <w:rFonts w:hint="eastAsia" w:ascii="仿宋" w:hAnsi="仿宋" w:eastAsia="仿宋" w:cs="仿宋"/>
                <w:color w:val="000000"/>
                <w:kern w:val="0"/>
                <w:sz w:val="28"/>
                <w:szCs w:val="28"/>
                <w:highlight w:val="none"/>
                <w:lang w:eastAsia="zh-CN" w:bidi="ar"/>
              </w:rPr>
            </w:pPr>
            <w:r>
              <w:rPr>
                <w:rFonts w:hint="eastAsia" w:ascii="仿宋_GB2312" w:hAnsi="仿宋_GB2312" w:eastAsia="仿宋_GB2312" w:cs="仿宋_GB2312"/>
                <w:color w:val="000000"/>
                <w:kern w:val="0"/>
                <w:sz w:val="28"/>
                <w:szCs w:val="28"/>
                <w:highlight w:val="none"/>
                <w:lang w:val="en-US" w:eastAsia="zh-CN" w:bidi="ar"/>
              </w:rPr>
              <w:t>6</w:t>
            </w:r>
          </w:p>
        </w:tc>
        <w:tc>
          <w:tcPr>
            <w:tcW w:w="4584" w:type="dxa"/>
          </w:tcPr>
          <w:p w14:paraId="73D94F08">
            <w:pPr>
              <w:widowControl/>
              <w:numPr>
                <w:ilvl w:val="255"/>
                <w:numId w:val="0"/>
              </w:numPr>
              <w:spacing w:line="240" w:lineRule="auto"/>
              <w:jc w:val="left"/>
              <w:rPr>
                <w:rFonts w:hint="eastAsia" w:ascii="仿宋" w:hAnsi="仿宋" w:eastAsia="仿宋" w:cs="仿宋"/>
                <w:color w:val="000000"/>
                <w:kern w:val="0"/>
                <w:sz w:val="28"/>
                <w:szCs w:val="28"/>
                <w:highlight w:val="none"/>
                <w:lang w:bidi="ar"/>
              </w:rPr>
            </w:pPr>
            <w:r>
              <w:rPr>
                <w:rFonts w:hint="eastAsia" w:ascii="仿宋_GB2312" w:hAnsi="仿宋_GB2312" w:eastAsia="仿宋_GB2312" w:cs="仿宋_GB2312"/>
                <w:color w:val="000000"/>
                <w:kern w:val="0"/>
                <w:sz w:val="28"/>
                <w:szCs w:val="28"/>
                <w:highlight w:val="none"/>
                <w:lang w:bidi="ar"/>
              </w:rPr>
              <w:t>评审结论</w:t>
            </w:r>
            <w:r>
              <w:rPr>
                <w:rFonts w:hint="eastAsia" w:ascii="仿宋_GB2312" w:hAnsi="仿宋_GB2312" w:eastAsia="仿宋_GB2312" w:cs="仿宋_GB2312"/>
                <w:b w:val="0"/>
                <w:bCs w:val="0"/>
                <w:color w:val="auto"/>
                <w:sz w:val="28"/>
                <w:szCs w:val="28"/>
                <w:highlight w:val="none"/>
                <w:lang w:val="en-US" w:eastAsia="zh-CN"/>
              </w:rPr>
              <w:t>（通过/不通过）</w:t>
            </w:r>
            <w:r>
              <w:rPr>
                <w:rFonts w:hint="eastAsia" w:ascii="仿宋_GB2312" w:hAnsi="仿宋_GB2312" w:eastAsia="仿宋_GB2312" w:cs="仿宋_GB2312"/>
                <w:color w:val="auto"/>
                <w:kern w:val="2"/>
                <w:sz w:val="28"/>
                <w:szCs w:val="28"/>
                <w:highlight w:val="none"/>
                <w:lang w:bidi="ar"/>
              </w:rPr>
              <w:t>。</w:t>
            </w:r>
          </w:p>
        </w:tc>
        <w:tc>
          <w:tcPr>
            <w:tcW w:w="661" w:type="dxa"/>
          </w:tcPr>
          <w:p w14:paraId="6E49CEA3">
            <w:pPr>
              <w:widowControl/>
              <w:numPr>
                <w:ilvl w:val="255"/>
                <w:numId w:val="0"/>
              </w:numPr>
              <w:jc w:val="left"/>
              <w:rPr>
                <w:rFonts w:hint="eastAsia" w:ascii="仿宋" w:hAnsi="仿宋" w:eastAsia="仿宋" w:cs="仿宋"/>
                <w:color w:val="000000"/>
                <w:kern w:val="0"/>
                <w:sz w:val="32"/>
                <w:szCs w:val="32"/>
                <w:highlight w:val="none"/>
                <w:lang w:bidi="ar"/>
              </w:rPr>
            </w:pPr>
          </w:p>
        </w:tc>
        <w:tc>
          <w:tcPr>
            <w:tcW w:w="708" w:type="dxa"/>
          </w:tcPr>
          <w:p w14:paraId="14952726">
            <w:pPr>
              <w:widowControl/>
              <w:numPr>
                <w:ilvl w:val="255"/>
                <w:numId w:val="0"/>
              </w:numPr>
              <w:jc w:val="left"/>
              <w:rPr>
                <w:rFonts w:hint="eastAsia" w:ascii="仿宋" w:hAnsi="仿宋" w:eastAsia="仿宋" w:cs="仿宋"/>
                <w:color w:val="000000"/>
                <w:kern w:val="0"/>
                <w:sz w:val="32"/>
                <w:szCs w:val="32"/>
                <w:highlight w:val="none"/>
                <w:lang w:bidi="ar"/>
              </w:rPr>
            </w:pPr>
          </w:p>
        </w:tc>
        <w:tc>
          <w:tcPr>
            <w:tcW w:w="851" w:type="dxa"/>
          </w:tcPr>
          <w:p w14:paraId="58DCECD1">
            <w:pPr>
              <w:widowControl/>
              <w:numPr>
                <w:ilvl w:val="255"/>
                <w:numId w:val="0"/>
              </w:numPr>
              <w:jc w:val="left"/>
              <w:rPr>
                <w:rFonts w:hint="eastAsia" w:ascii="仿宋" w:hAnsi="仿宋" w:eastAsia="仿宋" w:cs="仿宋"/>
                <w:color w:val="000000"/>
                <w:kern w:val="0"/>
                <w:sz w:val="32"/>
                <w:szCs w:val="32"/>
                <w:highlight w:val="none"/>
                <w:lang w:bidi="ar"/>
              </w:rPr>
            </w:pPr>
          </w:p>
        </w:tc>
        <w:tc>
          <w:tcPr>
            <w:tcW w:w="992" w:type="dxa"/>
          </w:tcPr>
          <w:p w14:paraId="7940F945">
            <w:pPr>
              <w:widowControl/>
              <w:numPr>
                <w:ilvl w:val="255"/>
                <w:numId w:val="0"/>
              </w:numPr>
              <w:jc w:val="left"/>
              <w:rPr>
                <w:rFonts w:hint="eastAsia" w:ascii="仿宋" w:hAnsi="仿宋" w:eastAsia="仿宋" w:cs="仿宋"/>
                <w:color w:val="000000"/>
                <w:kern w:val="0"/>
                <w:sz w:val="32"/>
                <w:szCs w:val="32"/>
                <w:highlight w:val="none"/>
                <w:lang w:bidi="ar"/>
              </w:rPr>
            </w:pPr>
          </w:p>
        </w:tc>
      </w:tr>
    </w:tbl>
    <w:p w14:paraId="0C4E4338">
      <w:pPr>
        <w:keepNext w:val="0"/>
        <w:keepLines w:val="0"/>
        <w:pageBreakBefore w:val="0"/>
        <w:widowControl/>
        <w:numPr>
          <w:ilvl w:val="255"/>
          <w:numId w:val="0"/>
        </w:numPr>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注：1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每一项目符合的打“○”，不符合的打“×”；</w:t>
      </w:r>
    </w:p>
    <w:p w14:paraId="3554081F">
      <w:pPr>
        <w:keepNext w:val="0"/>
        <w:keepLines w:val="0"/>
        <w:pageBreakBefore w:val="0"/>
        <w:widowControl/>
        <w:numPr>
          <w:ilvl w:val="255"/>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表中全部条件满足为通过。</w:t>
      </w:r>
    </w:p>
    <w:p w14:paraId="2FE5C2D6">
      <w:pPr>
        <w:keepNext w:val="0"/>
        <w:keepLines w:val="0"/>
        <w:pageBreakBefore w:val="0"/>
        <w:widowControl/>
        <w:numPr>
          <w:ilvl w:val="255"/>
          <w:numId w:val="0"/>
        </w:numPr>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highlight w:val="none"/>
          <w:lang w:val="en-US" w:eastAsia="zh-CN"/>
        </w:rPr>
      </w:pPr>
    </w:p>
    <w:p w14:paraId="125ED4DD">
      <w:pPr>
        <w:keepNext w:val="0"/>
        <w:keepLines w:val="0"/>
        <w:pageBreakBefore w:val="0"/>
        <w:widowControl/>
        <w:numPr>
          <w:ilvl w:val="255"/>
          <w:numId w:val="0"/>
        </w:numPr>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评审人员</w:t>
      </w:r>
      <w:r>
        <w:rPr>
          <w:rFonts w:hint="eastAsia" w:ascii="仿宋_GB2312" w:hAnsi="仿宋_GB2312" w:eastAsia="仿宋_GB2312" w:cs="仿宋_GB2312"/>
          <w:sz w:val="32"/>
          <w:szCs w:val="32"/>
          <w:highlight w:val="none"/>
        </w:rPr>
        <w:t xml:space="preserve">签名：            </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rPr>
        <w:t xml:space="preserve">日期：  年  月  日  </w:t>
      </w:r>
    </w:p>
    <w:p w14:paraId="4CF7DC02">
      <w:pPr>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br w:type="page"/>
      </w:r>
    </w:p>
    <w:p w14:paraId="3E97B70D">
      <w:pPr>
        <w:outlineLvl w:val="1"/>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附件</w:t>
      </w: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lang w:eastAsia="zh-CN"/>
        </w:rPr>
        <w:t>：综合评审法评分标准</w:t>
      </w:r>
    </w:p>
    <w:p w14:paraId="424E19AB">
      <w:pPr>
        <w:spacing w:line="360" w:lineRule="auto"/>
        <w:jc w:val="center"/>
        <w:rPr>
          <w:rFonts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综合评</w:t>
      </w:r>
      <w:r>
        <w:rPr>
          <w:rFonts w:hint="eastAsia" w:ascii="方正小标宋简体" w:hAnsi="方正小标宋简体" w:eastAsia="方正小标宋简体" w:cs="方正小标宋简体"/>
          <w:sz w:val="44"/>
          <w:szCs w:val="44"/>
          <w:highlight w:val="none"/>
          <w:lang w:val="en-US" w:eastAsia="zh-CN"/>
        </w:rPr>
        <w:t>审</w:t>
      </w:r>
      <w:r>
        <w:rPr>
          <w:rFonts w:hint="eastAsia" w:ascii="方正小标宋简体" w:hAnsi="方正小标宋简体" w:eastAsia="方正小标宋简体" w:cs="方正小标宋简体"/>
          <w:sz w:val="44"/>
          <w:szCs w:val="44"/>
          <w:highlight w:val="none"/>
        </w:rPr>
        <w:t>法评分标准</w:t>
      </w:r>
    </w:p>
    <w:p w14:paraId="06337638">
      <w:pPr>
        <w:pStyle w:val="16"/>
        <w:spacing w:line="360" w:lineRule="auto"/>
        <w:ind w:left="0" w:leftChars="0" w:firstLine="0" w:firstLineChars="0"/>
        <w:jc w:val="left"/>
        <w:rPr>
          <w:rFonts w:hint="eastAsia" w:ascii="仿宋_GB2312" w:hAnsi="仿宋_GB2312" w:eastAsia="仿宋_GB2312" w:cs="仿宋_GB2312"/>
          <w:sz w:val="32"/>
          <w:szCs w:val="32"/>
          <w:highlight w:val="none"/>
        </w:rPr>
      </w:pPr>
      <w:r>
        <w:rPr>
          <w:rFonts w:hint="eastAsia" w:ascii="黑体" w:hAnsi="黑体" w:eastAsia="黑体" w:cs="黑体"/>
          <w:sz w:val="32"/>
          <w:szCs w:val="32"/>
          <w:highlight w:val="none"/>
        </w:rPr>
        <w:t>项目名称：广州南沙综合保税区加工区污水站</w:t>
      </w:r>
      <w:r>
        <w:rPr>
          <w:rFonts w:hint="eastAsia" w:ascii="黑体" w:hAnsi="黑体" w:eastAsia="黑体" w:cs="黑体"/>
          <w:sz w:val="32"/>
          <w:szCs w:val="32"/>
          <w:highlight w:val="none"/>
          <w:lang w:eastAsia="zh-CN"/>
        </w:rPr>
        <w:t>运营</w:t>
      </w:r>
      <w:r>
        <w:rPr>
          <w:rFonts w:hint="eastAsia" w:ascii="黑体" w:hAnsi="黑体" w:eastAsia="黑体" w:cs="黑体"/>
          <w:sz w:val="32"/>
          <w:szCs w:val="32"/>
          <w:highlight w:val="none"/>
        </w:rPr>
        <w:t>项目</w:t>
      </w:r>
    </w:p>
    <w:tbl>
      <w:tblPr>
        <w:tblStyle w:val="12"/>
        <w:tblW w:w="10500" w:type="dxa"/>
        <w:tblInd w:w="-14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44"/>
        <w:gridCol w:w="730"/>
        <w:gridCol w:w="456"/>
        <w:gridCol w:w="7342"/>
        <w:gridCol w:w="728"/>
      </w:tblGrid>
      <w:tr w14:paraId="2C5A9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244"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5796C097">
            <w:pPr>
              <w:keepNext w:val="0"/>
              <w:keepLines w:val="0"/>
              <w:widowControl/>
              <w:suppressLineNumbers w:val="0"/>
              <w:ind w:firstLineChars="100"/>
              <w:jc w:val="both"/>
              <w:textAlignment w:val="center"/>
              <w:rPr>
                <w:rFonts w:ascii="仿宋_GB2312" w:hAnsi="宋体" w:eastAsia="仿宋_GB2312" w:cs="仿宋_GB2312"/>
                <w:i w:val="0"/>
                <w:iCs w:val="0"/>
                <w:color w:val="000000"/>
                <w:sz w:val="24"/>
                <w:szCs w:val="24"/>
                <w:highlight w:val="none"/>
                <w:u w:val="none"/>
              </w:rPr>
            </w:pPr>
            <w:r>
              <w:rPr>
                <w:rFonts w:hint="eastAsia" w:ascii="仿宋_GB2312" w:hAnsi="宋体" w:eastAsia="仿宋_GB2312" w:cs="仿宋_GB2312"/>
                <w:i w:val="0"/>
                <w:iCs w:val="0"/>
                <w:color w:val="000000"/>
                <w:kern w:val="0"/>
                <w:sz w:val="24"/>
                <w:szCs w:val="24"/>
                <w:highlight w:val="none"/>
                <w:u w:val="none"/>
                <w:lang w:val="en-US" w:eastAsia="zh-CN" w:bidi="ar"/>
              </w:rPr>
              <w:t>组成</w:t>
            </w:r>
          </w:p>
        </w:tc>
        <w:tc>
          <w:tcPr>
            <w:tcW w:w="730" w:type="dxa"/>
            <w:tcBorders>
              <w:top w:val="single" w:color="000000" w:sz="8" w:space="0"/>
              <w:left w:val="single" w:color="000000" w:sz="8" w:space="0"/>
              <w:bottom w:val="nil"/>
              <w:right w:val="single" w:color="000000" w:sz="8" w:space="0"/>
            </w:tcBorders>
            <w:shd w:val="clear" w:color="auto" w:fill="auto"/>
            <w:vAlign w:val="center"/>
          </w:tcPr>
          <w:p w14:paraId="2B53B779">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highlight w:val="none"/>
                <w:u w:val="none"/>
              </w:rPr>
            </w:pPr>
            <w:r>
              <w:rPr>
                <w:rFonts w:hint="eastAsia" w:ascii="仿宋_GB2312" w:hAnsi="宋体" w:eastAsia="仿宋_GB2312" w:cs="仿宋_GB2312"/>
                <w:i w:val="0"/>
                <w:iCs w:val="0"/>
                <w:color w:val="000000"/>
                <w:kern w:val="0"/>
                <w:sz w:val="24"/>
                <w:szCs w:val="24"/>
                <w:highlight w:val="none"/>
                <w:u w:val="none"/>
                <w:lang w:val="en-US" w:eastAsia="zh-CN" w:bidi="ar"/>
              </w:rPr>
              <w:t>评审</w:t>
            </w:r>
          </w:p>
        </w:tc>
        <w:tc>
          <w:tcPr>
            <w:tcW w:w="45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29E1BB31">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highlight w:val="none"/>
                <w:u w:val="none"/>
              </w:rPr>
            </w:pPr>
            <w:r>
              <w:rPr>
                <w:rFonts w:hint="eastAsia" w:ascii="仿宋_GB2312" w:hAnsi="宋体" w:eastAsia="仿宋_GB2312" w:cs="仿宋_GB2312"/>
                <w:i w:val="0"/>
                <w:iCs w:val="0"/>
                <w:color w:val="000000"/>
                <w:kern w:val="0"/>
                <w:sz w:val="24"/>
                <w:szCs w:val="24"/>
                <w:highlight w:val="none"/>
                <w:u w:val="none"/>
                <w:lang w:val="en-US" w:eastAsia="zh-CN" w:bidi="ar"/>
              </w:rPr>
              <w:t>分值</w:t>
            </w:r>
          </w:p>
        </w:tc>
        <w:tc>
          <w:tcPr>
            <w:tcW w:w="7342"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443899E">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highlight w:val="none"/>
                <w:u w:val="none"/>
              </w:rPr>
            </w:pPr>
            <w:r>
              <w:rPr>
                <w:rFonts w:hint="eastAsia" w:ascii="仿宋_GB2312" w:hAnsi="宋体" w:eastAsia="仿宋_GB2312" w:cs="仿宋_GB2312"/>
                <w:i w:val="0"/>
                <w:iCs w:val="0"/>
                <w:color w:val="000000"/>
                <w:kern w:val="0"/>
                <w:sz w:val="24"/>
                <w:szCs w:val="24"/>
                <w:highlight w:val="none"/>
                <w:u w:val="none"/>
                <w:lang w:val="en-US" w:eastAsia="zh-CN" w:bidi="ar"/>
              </w:rPr>
              <w:t>评分标准</w:t>
            </w:r>
          </w:p>
        </w:tc>
        <w:tc>
          <w:tcPr>
            <w:tcW w:w="72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4B7E4BB">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highlight w:val="none"/>
                <w:u w:val="none"/>
              </w:rPr>
            </w:pPr>
            <w:r>
              <w:rPr>
                <w:rFonts w:hint="eastAsia" w:ascii="仿宋_GB2312" w:hAnsi="宋体" w:eastAsia="仿宋_GB2312" w:cs="仿宋_GB2312"/>
                <w:i w:val="0"/>
                <w:iCs w:val="0"/>
                <w:color w:val="000000"/>
                <w:kern w:val="0"/>
                <w:sz w:val="24"/>
                <w:szCs w:val="24"/>
                <w:highlight w:val="none"/>
                <w:u w:val="none"/>
                <w:lang w:val="en-US" w:eastAsia="zh-CN" w:bidi="ar"/>
              </w:rPr>
              <w:t>评分</w:t>
            </w:r>
          </w:p>
        </w:tc>
      </w:tr>
      <w:tr w14:paraId="71CF9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10DE358">
            <w:pPr>
              <w:jc w:val="both"/>
              <w:rPr>
                <w:rFonts w:hint="eastAsia" w:ascii="仿宋_GB2312" w:hAnsi="宋体" w:eastAsia="仿宋_GB2312" w:cs="仿宋_GB2312"/>
                <w:i w:val="0"/>
                <w:iCs w:val="0"/>
                <w:color w:val="000000"/>
                <w:sz w:val="24"/>
                <w:szCs w:val="24"/>
                <w:highlight w:val="none"/>
                <w:u w:val="none"/>
              </w:rPr>
            </w:pPr>
          </w:p>
        </w:tc>
        <w:tc>
          <w:tcPr>
            <w:tcW w:w="730" w:type="dxa"/>
            <w:tcBorders>
              <w:top w:val="nil"/>
              <w:left w:val="single" w:color="000000" w:sz="8" w:space="0"/>
              <w:bottom w:val="single" w:color="000000" w:sz="8" w:space="0"/>
              <w:right w:val="single" w:color="000000" w:sz="8" w:space="0"/>
            </w:tcBorders>
            <w:shd w:val="clear" w:color="auto" w:fill="auto"/>
            <w:vAlign w:val="center"/>
          </w:tcPr>
          <w:p w14:paraId="12872B1A">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highlight w:val="none"/>
                <w:u w:val="none"/>
              </w:rPr>
            </w:pPr>
            <w:r>
              <w:rPr>
                <w:rFonts w:hint="eastAsia" w:ascii="仿宋_GB2312" w:hAnsi="宋体" w:eastAsia="仿宋_GB2312" w:cs="仿宋_GB2312"/>
                <w:i w:val="0"/>
                <w:iCs w:val="0"/>
                <w:color w:val="000000"/>
                <w:kern w:val="0"/>
                <w:sz w:val="24"/>
                <w:szCs w:val="24"/>
                <w:highlight w:val="none"/>
                <w:u w:val="none"/>
                <w:lang w:val="en-US" w:eastAsia="zh-CN" w:bidi="ar"/>
              </w:rPr>
              <w:t>项目</w:t>
            </w:r>
          </w:p>
        </w:tc>
        <w:tc>
          <w:tcPr>
            <w:tcW w:w="45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54BF7CF">
            <w:pPr>
              <w:jc w:val="center"/>
              <w:rPr>
                <w:rFonts w:hint="eastAsia" w:ascii="仿宋_GB2312" w:hAnsi="宋体" w:eastAsia="仿宋_GB2312" w:cs="仿宋_GB2312"/>
                <w:i w:val="0"/>
                <w:iCs w:val="0"/>
                <w:color w:val="000000"/>
                <w:sz w:val="24"/>
                <w:szCs w:val="24"/>
                <w:highlight w:val="none"/>
                <w:u w:val="none"/>
              </w:rPr>
            </w:pPr>
          </w:p>
        </w:tc>
        <w:tc>
          <w:tcPr>
            <w:tcW w:w="7342"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54E3DD0">
            <w:pPr>
              <w:jc w:val="center"/>
              <w:rPr>
                <w:rFonts w:hint="eastAsia" w:ascii="仿宋_GB2312" w:hAnsi="宋体" w:eastAsia="仿宋_GB2312" w:cs="仿宋_GB2312"/>
                <w:i w:val="0"/>
                <w:iCs w:val="0"/>
                <w:color w:val="000000"/>
                <w:sz w:val="24"/>
                <w:szCs w:val="24"/>
                <w:highlight w:val="none"/>
                <w:u w:val="none"/>
              </w:rPr>
            </w:pPr>
          </w:p>
        </w:tc>
        <w:tc>
          <w:tcPr>
            <w:tcW w:w="72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2A026E5">
            <w:pPr>
              <w:jc w:val="center"/>
              <w:rPr>
                <w:rFonts w:hint="eastAsia" w:ascii="仿宋_GB2312" w:hAnsi="宋体" w:eastAsia="仿宋_GB2312" w:cs="仿宋_GB2312"/>
                <w:i w:val="0"/>
                <w:iCs w:val="0"/>
                <w:color w:val="000000"/>
                <w:sz w:val="24"/>
                <w:szCs w:val="24"/>
                <w:highlight w:val="none"/>
                <w:u w:val="none"/>
              </w:rPr>
            </w:pPr>
          </w:p>
        </w:tc>
      </w:tr>
      <w:tr w14:paraId="4F400D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244"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138137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商务部分（50分）</w:t>
            </w:r>
          </w:p>
        </w:tc>
        <w:tc>
          <w:tcPr>
            <w:tcW w:w="730" w:type="dxa"/>
            <w:vMerge w:val="restart"/>
            <w:tcBorders>
              <w:top w:val="single" w:color="000000" w:sz="8" w:space="0"/>
              <w:left w:val="nil"/>
              <w:bottom w:val="single" w:color="000000" w:sz="8" w:space="0"/>
              <w:right w:val="nil"/>
            </w:tcBorders>
            <w:shd w:val="clear" w:color="auto" w:fill="auto"/>
            <w:noWrap/>
            <w:vAlign w:val="center"/>
          </w:tcPr>
          <w:p w14:paraId="2F3FF62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同类业绩</w:t>
            </w:r>
          </w:p>
        </w:tc>
        <w:tc>
          <w:tcPr>
            <w:tcW w:w="45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4E3EBED7">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rPr>
            </w:pPr>
            <w:r>
              <w:rPr>
                <w:rFonts w:hint="eastAsia" w:ascii="宋体" w:hAnsi="宋体" w:eastAsia="宋体" w:cs="宋体"/>
                <w:i w:val="0"/>
                <w:iCs w:val="0"/>
                <w:color w:val="000000"/>
                <w:kern w:val="0"/>
                <w:sz w:val="22"/>
                <w:szCs w:val="22"/>
                <w:highlight w:val="none"/>
                <w:u w:val="none"/>
                <w:lang w:val="en-US" w:eastAsia="zh-CN" w:bidi="ar"/>
              </w:rPr>
              <w:t>20</w:t>
            </w:r>
          </w:p>
        </w:tc>
        <w:tc>
          <w:tcPr>
            <w:tcW w:w="7342" w:type="dxa"/>
            <w:tcBorders>
              <w:top w:val="nil"/>
              <w:left w:val="nil"/>
              <w:bottom w:val="nil"/>
              <w:right w:val="nil"/>
            </w:tcBorders>
            <w:shd w:val="clear" w:color="auto" w:fill="auto"/>
            <w:noWrap/>
            <w:vAlign w:val="center"/>
          </w:tcPr>
          <w:p w14:paraId="7C614A65">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投标人自2021年1月1日（以合同签订时间为准）至投标截止日止，完成过类似污（废）水处理运营项目，本项累计最高得20分：</w:t>
            </w:r>
          </w:p>
        </w:tc>
        <w:tc>
          <w:tcPr>
            <w:tcW w:w="728"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02785F36">
            <w:pPr>
              <w:jc w:val="center"/>
              <w:rPr>
                <w:rFonts w:hint="eastAsia" w:ascii="宋体" w:hAnsi="宋体" w:eastAsia="宋体" w:cs="宋体"/>
                <w:i w:val="0"/>
                <w:iCs w:val="0"/>
                <w:color w:val="000000"/>
                <w:sz w:val="22"/>
                <w:szCs w:val="22"/>
                <w:highlight w:val="none"/>
                <w:u w:val="none"/>
              </w:rPr>
            </w:pPr>
          </w:p>
        </w:tc>
      </w:tr>
      <w:tr w14:paraId="2AD63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BA3B748">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single" w:color="000000" w:sz="8" w:space="0"/>
              <w:left w:val="nil"/>
              <w:bottom w:val="single" w:color="000000" w:sz="8" w:space="0"/>
              <w:right w:val="nil"/>
            </w:tcBorders>
            <w:shd w:val="clear" w:color="auto" w:fill="auto"/>
            <w:noWrap/>
            <w:vAlign w:val="center"/>
          </w:tcPr>
          <w:p w14:paraId="7442DA60">
            <w:pPr>
              <w:jc w:val="center"/>
              <w:rPr>
                <w:rFonts w:hint="eastAsia" w:ascii="宋体" w:hAnsi="宋体" w:eastAsia="宋体" w:cs="宋体"/>
                <w:i w:val="0"/>
                <w:iCs w:val="0"/>
                <w:color w:val="000000"/>
                <w:sz w:val="22"/>
                <w:szCs w:val="22"/>
                <w:highlight w:val="none"/>
                <w:u w:val="none"/>
              </w:rPr>
            </w:pPr>
          </w:p>
        </w:tc>
        <w:tc>
          <w:tcPr>
            <w:tcW w:w="45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6501003">
            <w:pPr>
              <w:jc w:val="center"/>
              <w:rPr>
                <w:rFonts w:hint="eastAsia" w:ascii="宋体" w:hAnsi="宋体" w:eastAsia="宋体" w:cs="宋体"/>
                <w:i w:val="0"/>
                <w:iCs w:val="0"/>
                <w:color w:val="000000"/>
                <w:sz w:val="22"/>
                <w:szCs w:val="22"/>
                <w:highlight w:val="none"/>
                <w:u w:val="none"/>
              </w:rPr>
            </w:pPr>
          </w:p>
        </w:tc>
        <w:tc>
          <w:tcPr>
            <w:tcW w:w="7342" w:type="dxa"/>
            <w:tcBorders>
              <w:top w:val="nil"/>
              <w:left w:val="nil"/>
              <w:bottom w:val="nil"/>
              <w:right w:val="nil"/>
            </w:tcBorders>
            <w:shd w:val="clear" w:color="auto" w:fill="auto"/>
            <w:noWrap/>
            <w:vAlign w:val="center"/>
          </w:tcPr>
          <w:p w14:paraId="50916DA4">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（1）每提供一个日运营处理规模300吨及以上的运营服务项目业绩的得4分，本小项最高得20分。</w:t>
            </w:r>
          </w:p>
        </w:tc>
        <w:tc>
          <w:tcPr>
            <w:tcW w:w="728"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2856EE6">
            <w:pPr>
              <w:jc w:val="center"/>
              <w:rPr>
                <w:rFonts w:hint="eastAsia" w:ascii="宋体" w:hAnsi="宋体" w:eastAsia="宋体" w:cs="宋体"/>
                <w:i w:val="0"/>
                <w:iCs w:val="0"/>
                <w:color w:val="000000"/>
                <w:sz w:val="22"/>
                <w:szCs w:val="22"/>
                <w:highlight w:val="none"/>
                <w:u w:val="none"/>
              </w:rPr>
            </w:pPr>
          </w:p>
        </w:tc>
      </w:tr>
      <w:tr w14:paraId="057641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D73B8D5">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single" w:color="000000" w:sz="8" w:space="0"/>
              <w:left w:val="nil"/>
              <w:bottom w:val="single" w:color="000000" w:sz="8" w:space="0"/>
              <w:right w:val="nil"/>
            </w:tcBorders>
            <w:shd w:val="clear" w:color="auto" w:fill="auto"/>
            <w:noWrap/>
            <w:vAlign w:val="center"/>
          </w:tcPr>
          <w:p w14:paraId="4DDF254E">
            <w:pPr>
              <w:jc w:val="center"/>
              <w:rPr>
                <w:rFonts w:hint="eastAsia" w:ascii="宋体" w:hAnsi="宋体" w:eastAsia="宋体" w:cs="宋体"/>
                <w:i w:val="0"/>
                <w:iCs w:val="0"/>
                <w:color w:val="000000"/>
                <w:sz w:val="22"/>
                <w:szCs w:val="22"/>
                <w:highlight w:val="none"/>
                <w:u w:val="none"/>
              </w:rPr>
            </w:pPr>
          </w:p>
        </w:tc>
        <w:tc>
          <w:tcPr>
            <w:tcW w:w="45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5D40F68">
            <w:pPr>
              <w:jc w:val="center"/>
              <w:rPr>
                <w:rFonts w:hint="eastAsia" w:ascii="宋体" w:hAnsi="宋体" w:eastAsia="宋体" w:cs="宋体"/>
                <w:i w:val="0"/>
                <w:iCs w:val="0"/>
                <w:color w:val="000000"/>
                <w:sz w:val="22"/>
                <w:szCs w:val="22"/>
                <w:highlight w:val="none"/>
                <w:u w:val="none"/>
              </w:rPr>
            </w:pPr>
          </w:p>
        </w:tc>
        <w:tc>
          <w:tcPr>
            <w:tcW w:w="7342" w:type="dxa"/>
            <w:tcBorders>
              <w:top w:val="nil"/>
              <w:left w:val="nil"/>
              <w:bottom w:val="nil"/>
              <w:right w:val="nil"/>
            </w:tcBorders>
            <w:shd w:val="clear" w:color="auto" w:fill="auto"/>
            <w:noWrap/>
            <w:vAlign w:val="center"/>
          </w:tcPr>
          <w:p w14:paraId="739DC43B">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（2）每提供一个日运营处理规模300吨以下，100吨及以上的运营服务项目业绩的得2分，本小项最高得10分。</w:t>
            </w:r>
          </w:p>
        </w:tc>
        <w:tc>
          <w:tcPr>
            <w:tcW w:w="728"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328E8A88">
            <w:pPr>
              <w:jc w:val="center"/>
              <w:rPr>
                <w:rFonts w:hint="eastAsia" w:ascii="宋体" w:hAnsi="宋体" w:eastAsia="宋体" w:cs="宋体"/>
                <w:i w:val="0"/>
                <w:iCs w:val="0"/>
                <w:color w:val="000000"/>
                <w:sz w:val="22"/>
                <w:szCs w:val="22"/>
                <w:highlight w:val="none"/>
                <w:u w:val="none"/>
              </w:rPr>
            </w:pPr>
          </w:p>
        </w:tc>
      </w:tr>
      <w:tr w14:paraId="6E1BA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02F033D">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single" w:color="000000" w:sz="8" w:space="0"/>
              <w:left w:val="nil"/>
              <w:bottom w:val="single" w:color="000000" w:sz="8" w:space="0"/>
              <w:right w:val="nil"/>
            </w:tcBorders>
            <w:shd w:val="clear" w:color="auto" w:fill="auto"/>
            <w:noWrap/>
            <w:vAlign w:val="center"/>
          </w:tcPr>
          <w:p w14:paraId="1D568FBD">
            <w:pPr>
              <w:jc w:val="center"/>
              <w:rPr>
                <w:rFonts w:hint="eastAsia" w:ascii="宋体" w:hAnsi="宋体" w:eastAsia="宋体" w:cs="宋体"/>
                <w:i w:val="0"/>
                <w:iCs w:val="0"/>
                <w:color w:val="000000"/>
                <w:sz w:val="22"/>
                <w:szCs w:val="22"/>
                <w:highlight w:val="none"/>
                <w:u w:val="none"/>
              </w:rPr>
            </w:pPr>
          </w:p>
        </w:tc>
        <w:tc>
          <w:tcPr>
            <w:tcW w:w="45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3093904E">
            <w:pPr>
              <w:jc w:val="center"/>
              <w:rPr>
                <w:rFonts w:hint="eastAsia" w:ascii="宋体" w:hAnsi="宋体" w:eastAsia="宋体" w:cs="宋体"/>
                <w:i w:val="0"/>
                <w:iCs w:val="0"/>
                <w:color w:val="000000"/>
                <w:sz w:val="22"/>
                <w:szCs w:val="22"/>
                <w:highlight w:val="none"/>
                <w:u w:val="none"/>
              </w:rPr>
            </w:pPr>
          </w:p>
        </w:tc>
        <w:tc>
          <w:tcPr>
            <w:tcW w:w="7342" w:type="dxa"/>
            <w:tcBorders>
              <w:top w:val="nil"/>
              <w:left w:val="nil"/>
              <w:bottom w:val="nil"/>
              <w:right w:val="nil"/>
            </w:tcBorders>
            <w:shd w:val="clear" w:color="auto" w:fill="auto"/>
            <w:noWrap/>
            <w:vAlign w:val="center"/>
          </w:tcPr>
          <w:p w14:paraId="062CE1C9">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说明：1.需提供项目合同或中标通知书扫描件并加盖公章。2.不满足上述情况的或未按要求提供证明材料的不得分。</w:t>
            </w:r>
          </w:p>
        </w:tc>
        <w:tc>
          <w:tcPr>
            <w:tcW w:w="728"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BF5232E">
            <w:pPr>
              <w:jc w:val="center"/>
              <w:rPr>
                <w:rFonts w:hint="eastAsia" w:ascii="宋体" w:hAnsi="宋体" w:eastAsia="宋体" w:cs="宋体"/>
                <w:i w:val="0"/>
                <w:iCs w:val="0"/>
                <w:color w:val="000000"/>
                <w:sz w:val="22"/>
                <w:szCs w:val="22"/>
                <w:highlight w:val="none"/>
                <w:u w:val="none"/>
              </w:rPr>
            </w:pPr>
          </w:p>
        </w:tc>
      </w:tr>
      <w:tr w14:paraId="244F68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3A013BC">
            <w:pPr>
              <w:jc w:val="center"/>
              <w:rPr>
                <w:rFonts w:hint="eastAsia" w:ascii="宋体" w:hAnsi="宋体" w:eastAsia="宋体" w:cs="宋体"/>
                <w:i w:val="0"/>
                <w:iCs w:val="0"/>
                <w:color w:val="000000"/>
                <w:sz w:val="24"/>
                <w:szCs w:val="24"/>
                <w:highlight w:val="none"/>
                <w:u w:val="none"/>
              </w:rPr>
            </w:pPr>
          </w:p>
        </w:tc>
        <w:tc>
          <w:tcPr>
            <w:tcW w:w="730" w:type="dxa"/>
            <w:vMerge w:val="restart"/>
            <w:tcBorders>
              <w:top w:val="single" w:color="000000" w:sz="8" w:space="0"/>
              <w:left w:val="nil"/>
              <w:bottom w:val="single" w:color="000000" w:sz="8" w:space="0"/>
              <w:right w:val="single" w:color="000000" w:sz="8" w:space="0"/>
            </w:tcBorders>
            <w:shd w:val="clear" w:color="auto" w:fill="auto"/>
            <w:vAlign w:val="center"/>
          </w:tcPr>
          <w:p w14:paraId="40D948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技术人员</w:t>
            </w:r>
          </w:p>
        </w:tc>
        <w:tc>
          <w:tcPr>
            <w:tcW w:w="45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F15D08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7342" w:type="dxa"/>
            <w:tcBorders>
              <w:top w:val="single" w:color="000000" w:sz="8" w:space="0"/>
              <w:left w:val="single" w:color="000000" w:sz="8" w:space="0"/>
              <w:bottom w:val="nil"/>
              <w:right w:val="single" w:color="000000" w:sz="8" w:space="0"/>
            </w:tcBorders>
            <w:shd w:val="clear" w:color="auto" w:fill="auto"/>
            <w:vAlign w:val="center"/>
          </w:tcPr>
          <w:p w14:paraId="0600CBF7">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（1）拟派驻的技术人员具有由人社部门（或其他具备职称评定资格的单位或机构）颁发的环境类专业高级工程师职称证书的，每提供1个得3分，本项最高得6分。</w:t>
            </w:r>
          </w:p>
        </w:tc>
        <w:tc>
          <w:tcPr>
            <w:tcW w:w="72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5319D8A1">
            <w:pPr>
              <w:jc w:val="left"/>
              <w:rPr>
                <w:rFonts w:hint="eastAsia" w:ascii="宋体" w:hAnsi="宋体" w:eastAsia="宋体" w:cs="宋体"/>
                <w:i w:val="0"/>
                <w:iCs w:val="0"/>
                <w:color w:val="000000"/>
                <w:sz w:val="24"/>
                <w:szCs w:val="24"/>
                <w:highlight w:val="none"/>
                <w:u w:val="none"/>
              </w:rPr>
            </w:pPr>
          </w:p>
        </w:tc>
      </w:tr>
      <w:tr w14:paraId="13DDB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E6B543F">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single" w:color="000000" w:sz="8" w:space="0"/>
              <w:left w:val="nil"/>
              <w:bottom w:val="single" w:color="000000" w:sz="8" w:space="0"/>
              <w:right w:val="single" w:color="000000" w:sz="8" w:space="0"/>
            </w:tcBorders>
            <w:shd w:val="clear" w:color="auto" w:fill="auto"/>
            <w:vAlign w:val="center"/>
          </w:tcPr>
          <w:p w14:paraId="481E9878">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B6BB734">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2653DB26">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（2）没有提供不得分。</w:t>
            </w:r>
          </w:p>
        </w:tc>
        <w:tc>
          <w:tcPr>
            <w:tcW w:w="72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7B01352">
            <w:pPr>
              <w:jc w:val="left"/>
              <w:rPr>
                <w:rFonts w:hint="eastAsia" w:ascii="宋体" w:hAnsi="宋体" w:eastAsia="宋体" w:cs="宋体"/>
                <w:i w:val="0"/>
                <w:iCs w:val="0"/>
                <w:color w:val="000000"/>
                <w:sz w:val="24"/>
                <w:szCs w:val="24"/>
                <w:highlight w:val="none"/>
                <w:u w:val="none"/>
              </w:rPr>
            </w:pPr>
          </w:p>
        </w:tc>
      </w:tr>
      <w:tr w14:paraId="5FD59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7D272C5">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single" w:color="000000" w:sz="8" w:space="0"/>
              <w:left w:val="nil"/>
              <w:bottom w:val="single" w:color="000000" w:sz="8" w:space="0"/>
              <w:right w:val="single" w:color="000000" w:sz="8" w:space="0"/>
            </w:tcBorders>
            <w:shd w:val="clear" w:color="auto" w:fill="auto"/>
            <w:vAlign w:val="center"/>
          </w:tcPr>
          <w:p w14:paraId="55182B77">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C54943E">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single" w:color="auto" w:sz="4" w:space="0"/>
              <w:right w:val="single" w:color="000000" w:sz="8" w:space="0"/>
            </w:tcBorders>
            <w:shd w:val="clear" w:color="auto" w:fill="auto"/>
            <w:vAlign w:val="center"/>
          </w:tcPr>
          <w:p w14:paraId="7CCC4285">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说明：以上需提供人员职称证书复印件，同时提供投标人为其缴纳的开标时间前近一年内任意六个月的社保证明（开标当月不算），加盖投标人公章。未提供上述资料的或所提供的证明资料不符合要求的，则相应评分项不予得分。</w:t>
            </w:r>
          </w:p>
        </w:tc>
        <w:tc>
          <w:tcPr>
            <w:tcW w:w="72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C36FD8F">
            <w:pPr>
              <w:jc w:val="left"/>
              <w:rPr>
                <w:rFonts w:hint="eastAsia" w:ascii="宋体" w:hAnsi="宋体" w:eastAsia="宋体" w:cs="宋体"/>
                <w:i w:val="0"/>
                <w:iCs w:val="0"/>
                <w:color w:val="000000"/>
                <w:sz w:val="24"/>
                <w:szCs w:val="24"/>
                <w:highlight w:val="none"/>
                <w:u w:val="none"/>
              </w:rPr>
            </w:pPr>
          </w:p>
        </w:tc>
      </w:tr>
      <w:tr w14:paraId="52D60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23FE00F">
            <w:pPr>
              <w:jc w:val="center"/>
              <w:rPr>
                <w:rFonts w:hint="eastAsia" w:ascii="宋体" w:hAnsi="宋体" w:eastAsia="宋体" w:cs="宋体"/>
                <w:i w:val="0"/>
                <w:iCs w:val="0"/>
                <w:color w:val="000000"/>
                <w:sz w:val="24"/>
                <w:szCs w:val="24"/>
                <w:highlight w:val="none"/>
                <w:u w:val="none"/>
              </w:rPr>
            </w:pPr>
          </w:p>
        </w:tc>
        <w:tc>
          <w:tcPr>
            <w:tcW w:w="730" w:type="dxa"/>
            <w:vMerge w:val="restart"/>
            <w:tcBorders>
              <w:top w:val="nil"/>
              <w:left w:val="nil"/>
              <w:bottom w:val="single" w:color="000000" w:sz="8" w:space="0"/>
              <w:right w:val="single" w:color="000000" w:sz="8" w:space="0"/>
            </w:tcBorders>
            <w:shd w:val="clear" w:color="auto" w:fill="auto"/>
            <w:vAlign w:val="center"/>
          </w:tcPr>
          <w:p w14:paraId="6B71D12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运营管理团队的素质和完备程度</w:t>
            </w:r>
          </w:p>
        </w:tc>
        <w:tc>
          <w:tcPr>
            <w:tcW w:w="456" w:type="dxa"/>
            <w:vMerge w:val="restart"/>
            <w:tcBorders>
              <w:top w:val="nil"/>
              <w:left w:val="single" w:color="000000" w:sz="8" w:space="0"/>
              <w:bottom w:val="single" w:color="000000" w:sz="8" w:space="0"/>
              <w:right w:val="single" w:color="auto" w:sz="4" w:space="0"/>
            </w:tcBorders>
            <w:shd w:val="clear" w:color="auto" w:fill="auto"/>
            <w:vAlign w:val="center"/>
          </w:tcPr>
          <w:p w14:paraId="5331F7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7342" w:type="dxa"/>
            <w:tcBorders>
              <w:top w:val="single" w:color="auto" w:sz="4" w:space="0"/>
              <w:left w:val="single" w:color="auto" w:sz="4" w:space="0"/>
              <w:bottom w:val="nil"/>
              <w:right w:val="single" w:color="auto" w:sz="4" w:space="0"/>
            </w:tcBorders>
            <w:shd w:val="clear" w:color="auto" w:fill="auto"/>
            <w:vAlign w:val="center"/>
          </w:tcPr>
          <w:p w14:paraId="3BF02C24">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根据投标人对本项目运营管理团队投入的人员力量进行评价：</w:t>
            </w:r>
          </w:p>
        </w:tc>
        <w:tc>
          <w:tcPr>
            <w:tcW w:w="728" w:type="dxa"/>
            <w:vMerge w:val="restart"/>
            <w:tcBorders>
              <w:top w:val="nil"/>
              <w:left w:val="single" w:color="auto" w:sz="4" w:space="0"/>
              <w:bottom w:val="single" w:color="000000" w:sz="8" w:space="0"/>
              <w:right w:val="single" w:color="000000" w:sz="8" w:space="0"/>
            </w:tcBorders>
            <w:shd w:val="clear" w:color="auto" w:fill="auto"/>
            <w:vAlign w:val="center"/>
          </w:tcPr>
          <w:p w14:paraId="442DFB19">
            <w:pPr>
              <w:jc w:val="both"/>
              <w:rPr>
                <w:rFonts w:hint="eastAsia" w:ascii="宋体" w:hAnsi="宋体" w:eastAsia="宋体" w:cs="宋体"/>
                <w:i w:val="0"/>
                <w:iCs w:val="0"/>
                <w:color w:val="000000"/>
                <w:sz w:val="24"/>
                <w:szCs w:val="24"/>
                <w:highlight w:val="none"/>
                <w:u w:val="none"/>
              </w:rPr>
            </w:pPr>
          </w:p>
        </w:tc>
      </w:tr>
      <w:tr w14:paraId="21AA3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30C5345">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62A4A7DA">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auto" w:sz="4" w:space="0"/>
            </w:tcBorders>
            <w:shd w:val="clear" w:color="auto" w:fill="auto"/>
            <w:vAlign w:val="center"/>
          </w:tcPr>
          <w:p w14:paraId="6C3F5CC5">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auto" w:sz="4" w:space="0"/>
              <w:bottom w:val="nil"/>
              <w:right w:val="single" w:color="auto" w:sz="4" w:space="0"/>
            </w:tcBorders>
            <w:shd w:val="clear" w:color="auto" w:fill="auto"/>
            <w:vAlign w:val="center"/>
          </w:tcPr>
          <w:p w14:paraId="6941B288">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（1）投入的化验检测人员1名，①具有中级（或四级）及以上化学检验员职业技能证书的，得2分；②具有初级（或五级）化学检验员职业技能证书的，得1分；本小项最高得2分。</w:t>
            </w:r>
          </w:p>
        </w:tc>
        <w:tc>
          <w:tcPr>
            <w:tcW w:w="728" w:type="dxa"/>
            <w:vMerge w:val="continue"/>
            <w:tcBorders>
              <w:top w:val="nil"/>
              <w:left w:val="single" w:color="auto" w:sz="4" w:space="0"/>
              <w:bottom w:val="single" w:color="000000" w:sz="8" w:space="0"/>
              <w:right w:val="single" w:color="000000" w:sz="8" w:space="0"/>
            </w:tcBorders>
            <w:shd w:val="clear" w:color="auto" w:fill="auto"/>
            <w:vAlign w:val="center"/>
          </w:tcPr>
          <w:p w14:paraId="2F64135D">
            <w:pPr>
              <w:jc w:val="both"/>
              <w:rPr>
                <w:rFonts w:hint="eastAsia" w:ascii="宋体" w:hAnsi="宋体" w:eastAsia="宋体" w:cs="宋体"/>
                <w:i w:val="0"/>
                <w:iCs w:val="0"/>
                <w:color w:val="000000"/>
                <w:sz w:val="24"/>
                <w:szCs w:val="24"/>
                <w:highlight w:val="none"/>
                <w:u w:val="none"/>
              </w:rPr>
            </w:pPr>
          </w:p>
        </w:tc>
      </w:tr>
      <w:tr w14:paraId="21E36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D10175D">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049E0532">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2F2B427D">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79DAAF10">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（2）投入的现场工艺操作人员2名，①具有中级（或四级）及以上工业废水处理工职业技能证书的，一个得2分，最高4分；②具有初级（或五级）工业废水处理工职业技能证书的，一个得 1分，最高2分；本小项最高得4分。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29602096">
            <w:pPr>
              <w:jc w:val="both"/>
              <w:rPr>
                <w:rFonts w:hint="eastAsia" w:ascii="宋体" w:hAnsi="宋体" w:eastAsia="宋体" w:cs="宋体"/>
                <w:i w:val="0"/>
                <w:iCs w:val="0"/>
                <w:color w:val="000000"/>
                <w:sz w:val="24"/>
                <w:szCs w:val="24"/>
                <w:highlight w:val="none"/>
                <w:u w:val="none"/>
              </w:rPr>
            </w:pPr>
          </w:p>
        </w:tc>
      </w:tr>
      <w:tr w14:paraId="5302D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3E57E91">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0CCA12DC">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361BD143">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0D8A04E2">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（3）投入的固废处理工1名，①具有中级（或四级）及以上固体废物处理工职业技能证书的，得2分；②具有初级（或五级）固体废物处理工职业技能证书的，得1分；本小项最高得2分。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2DD9EFB1">
            <w:pPr>
              <w:jc w:val="both"/>
              <w:rPr>
                <w:rFonts w:hint="eastAsia" w:ascii="宋体" w:hAnsi="宋体" w:eastAsia="宋体" w:cs="宋体"/>
                <w:i w:val="0"/>
                <w:iCs w:val="0"/>
                <w:color w:val="000000"/>
                <w:sz w:val="24"/>
                <w:szCs w:val="24"/>
                <w:highlight w:val="none"/>
                <w:u w:val="none"/>
              </w:rPr>
            </w:pPr>
          </w:p>
        </w:tc>
      </w:tr>
      <w:tr w14:paraId="20854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D49C737">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780DF5A3">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28D72AFE">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4AA7C187">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（4）设备技术管理团队配备有1名机械专业中级及以上工程师职称或自动控制专业中级及以上工程师职称的，得2分。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0AF3ACD0">
            <w:pPr>
              <w:jc w:val="both"/>
              <w:rPr>
                <w:rFonts w:hint="eastAsia" w:ascii="宋体" w:hAnsi="宋体" w:eastAsia="宋体" w:cs="宋体"/>
                <w:i w:val="0"/>
                <w:iCs w:val="0"/>
                <w:color w:val="000000"/>
                <w:sz w:val="24"/>
                <w:szCs w:val="24"/>
                <w:highlight w:val="none"/>
                <w:u w:val="none"/>
              </w:rPr>
            </w:pPr>
          </w:p>
        </w:tc>
      </w:tr>
      <w:tr w14:paraId="073F2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C158365">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345A01EB">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1C9BAC49">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single" w:color="000000" w:sz="8" w:space="0"/>
              <w:right w:val="single" w:color="000000" w:sz="8" w:space="0"/>
            </w:tcBorders>
            <w:shd w:val="clear" w:color="auto" w:fill="auto"/>
            <w:vAlign w:val="center"/>
          </w:tcPr>
          <w:p w14:paraId="4971E66E">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说明：所有人员须按要求提供对应的职称证书或资格证书或岗位证书或有效的职业培训合格证复印件，同时提供投标人为其缴纳的开标前近一年内任意六个月的社保证明（开标当月不算），加盖投标人公章。未提供上述资料的或所提供的证明资料不符合要求的，则相应评分项不予得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0691D3EF">
            <w:pPr>
              <w:jc w:val="both"/>
              <w:rPr>
                <w:rFonts w:hint="eastAsia" w:ascii="宋体" w:hAnsi="宋体" w:eastAsia="宋体" w:cs="宋体"/>
                <w:i w:val="0"/>
                <w:iCs w:val="0"/>
                <w:color w:val="000000"/>
                <w:sz w:val="24"/>
                <w:szCs w:val="24"/>
                <w:highlight w:val="none"/>
                <w:u w:val="none"/>
              </w:rPr>
            </w:pPr>
          </w:p>
        </w:tc>
      </w:tr>
      <w:tr w14:paraId="12371D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386F7749">
            <w:pPr>
              <w:jc w:val="center"/>
              <w:rPr>
                <w:rFonts w:hint="eastAsia" w:ascii="宋体" w:hAnsi="宋体" w:eastAsia="宋体" w:cs="宋体"/>
                <w:i w:val="0"/>
                <w:iCs w:val="0"/>
                <w:color w:val="000000"/>
                <w:sz w:val="24"/>
                <w:szCs w:val="24"/>
                <w:highlight w:val="none"/>
                <w:u w:val="none"/>
              </w:rPr>
            </w:pPr>
          </w:p>
        </w:tc>
        <w:tc>
          <w:tcPr>
            <w:tcW w:w="730" w:type="dxa"/>
            <w:vMerge w:val="restart"/>
            <w:tcBorders>
              <w:top w:val="nil"/>
              <w:left w:val="nil"/>
              <w:bottom w:val="single" w:color="000000" w:sz="8" w:space="0"/>
              <w:right w:val="single" w:color="000000" w:sz="8" w:space="0"/>
            </w:tcBorders>
            <w:shd w:val="clear" w:color="auto" w:fill="auto"/>
            <w:vAlign w:val="center"/>
          </w:tcPr>
          <w:p w14:paraId="1FD720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认证证书</w:t>
            </w:r>
          </w:p>
        </w:tc>
        <w:tc>
          <w:tcPr>
            <w:tcW w:w="456" w:type="dxa"/>
            <w:vMerge w:val="restart"/>
            <w:tcBorders>
              <w:top w:val="nil"/>
              <w:left w:val="single" w:color="000000" w:sz="8" w:space="0"/>
              <w:bottom w:val="single" w:color="000000" w:sz="8" w:space="0"/>
              <w:right w:val="single" w:color="000000" w:sz="8" w:space="0"/>
            </w:tcBorders>
            <w:shd w:val="clear" w:color="auto" w:fill="auto"/>
            <w:vAlign w:val="center"/>
          </w:tcPr>
          <w:p w14:paraId="30876FC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7342" w:type="dxa"/>
            <w:tcBorders>
              <w:top w:val="nil"/>
              <w:left w:val="single" w:color="000000" w:sz="8" w:space="0"/>
              <w:bottom w:val="nil"/>
              <w:right w:val="single" w:color="000000" w:sz="8" w:space="0"/>
            </w:tcBorders>
            <w:shd w:val="clear" w:color="auto" w:fill="auto"/>
            <w:vAlign w:val="center"/>
          </w:tcPr>
          <w:p w14:paraId="554F871B">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具备在有效期内的质量管理体系认证证书、环境管理体系认证证书、职业健康管理体系认证证书且认证范围包含污水处理设施运行相关内容的：</w:t>
            </w:r>
          </w:p>
        </w:tc>
        <w:tc>
          <w:tcPr>
            <w:tcW w:w="728" w:type="dxa"/>
            <w:vMerge w:val="restart"/>
            <w:tcBorders>
              <w:top w:val="nil"/>
              <w:left w:val="single" w:color="000000" w:sz="8" w:space="0"/>
              <w:bottom w:val="single" w:color="000000" w:sz="8" w:space="0"/>
              <w:right w:val="single" w:color="000000" w:sz="8" w:space="0"/>
            </w:tcBorders>
            <w:shd w:val="clear" w:color="auto" w:fill="auto"/>
            <w:vAlign w:val="center"/>
          </w:tcPr>
          <w:p w14:paraId="4DF4B8F7">
            <w:pPr>
              <w:jc w:val="both"/>
              <w:rPr>
                <w:rFonts w:hint="eastAsia" w:ascii="宋体" w:hAnsi="宋体" w:eastAsia="宋体" w:cs="宋体"/>
                <w:i w:val="0"/>
                <w:iCs w:val="0"/>
                <w:color w:val="000000"/>
                <w:sz w:val="24"/>
                <w:szCs w:val="24"/>
                <w:highlight w:val="none"/>
                <w:u w:val="none"/>
              </w:rPr>
            </w:pPr>
          </w:p>
        </w:tc>
      </w:tr>
      <w:tr w14:paraId="2DE0F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BE4C2CD">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2F423362">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5F1033A3">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5440EC87">
            <w:pPr>
              <w:keepNext w:val="0"/>
              <w:keepLines w:val="0"/>
              <w:widowControl/>
              <w:numPr>
                <w:ilvl w:val="0"/>
                <w:numId w:val="1"/>
              </w:numPr>
              <w:suppressLineNumbers w:val="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以上三个认证证书同时具备且均在有效期的，得8分；</w:t>
            </w:r>
          </w:p>
          <w:p w14:paraId="1598F0B4">
            <w:pPr>
              <w:keepNext w:val="0"/>
              <w:keepLines w:val="0"/>
              <w:widowControl/>
              <w:numPr>
                <w:ilvl w:val="-1"/>
                <w:numId w:val="0"/>
              </w:numPr>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（2）同时具备两个且均在有效期的，得5分；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090874EF">
            <w:pPr>
              <w:jc w:val="both"/>
              <w:rPr>
                <w:rFonts w:hint="eastAsia" w:ascii="宋体" w:hAnsi="宋体" w:eastAsia="宋体" w:cs="宋体"/>
                <w:i w:val="0"/>
                <w:iCs w:val="0"/>
                <w:color w:val="000000"/>
                <w:sz w:val="24"/>
                <w:szCs w:val="24"/>
                <w:highlight w:val="none"/>
                <w:u w:val="none"/>
              </w:rPr>
            </w:pPr>
          </w:p>
        </w:tc>
      </w:tr>
      <w:tr w14:paraId="6F874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E1CB6D4">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4F727016">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6ABD3186">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5A6BC04F">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（3）具备一个且在有效期的得3分；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4AA26A18">
            <w:pPr>
              <w:jc w:val="both"/>
              <w:rPr>
                <w:rFonts w:hint="eastAsia" w:ascii="宋体" w:hAnsi="宋体" w:eastAsia="宋体" w:cs="宋体"/>
                <w:i w:val="0"/>
                <w:iCs w:val="0"/>
                <w:color w:val="000000"/>
                <w:sz w:val="24"/>
                <w:szCs w:val="24"/>
                <w:highlight w:val="none"/>
                <w:u w:val="none"/>
              </w:rPr>
            </w:pPr>
          </w:p>
        </w:tc>
      </w:tr>
      <w:tr w14:paraId="6E00E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4DD034F">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30384D9A">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479CFB10">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4EC86808">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（4）没有提供不得分。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0902D9D8">
            <w:pPr>
              <w:jc w:val="both"/>
              <w:rPr>
                <w:rFonts w:hint="eastAsia" w:ascii="宋体" w:hAnsi="宋体" w:eastAsia="宋体" w:cs="宋体"/>
                <w:i w:val="0"/>
                <w:iCs w:val="0"/>
                <w:color w:val="000000"/>
                <w:sz w:val="24"/>
                <w:szCs w:val="24"/>
                <w:highlight w:val="none"/>
                <w:u w:val="none"/>
              </w:rPr>
            </w:pPr>
          </w:p>
        </w:tc>
      </w:tr>
      <w:tr w14:paraId="46ECD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5"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626617A">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nil"/>
              <w:bottom w:val="single" w:color="000000" w:sz="8" w:space="0"/>
              <w:right w:val="single" w:color="000000" w:sz="8" w:space="0"/>
            </w:tcBorders>
            <w:shd w:val="clear" w:color="auto" w:fill="auto"/>
            <w:vAlign w:val="center"/>
          </w:tcPr>
          <w:p w14:paraId="0C94F916">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5C81971D">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single" w:color="000000" w:sz="8" w:space="0"/>
              <w:right w:val="single" w:color="000000" w:sz="8" w:space="0"/>
            </w:tcBorders>
            <w:shd w:val="clear" w:color="auto" w:fill="auto"/>
            <w:vAlign w:val="center"/>
          </w:tcPr>
          <w:p w14:paraId="251541B6">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说明：提供有效期内的证书复印件或者扫描件及全国认证认可信息公共服务平台（</w:t>
            </w:r>
            <w:r>
              <w:rPr>
                <w:rFonts w:hint="eastAsia" w:ascii="宋体" w:hAnsi="宋体" w:eastAsia="宋体" w:cs="宋体"/>
                <w:color w:val="000000"/>
                <w:kern w:val="0"/>
                <w:sz w:val="24"/>
                <w:szCs w:val="24"/>
                <w:highlight w:val="none"/>
                <w:u w:val="none"/>
                <w:lang w:val="en-US" w:eastAsia="zh-CN" w:bidi="ar"/>
              </w:rPr>
              <w:t>http://cx.cnca.cn/</w:t>
            </w:r>
            <w:r>
              <w:rPr>
                <w:rFonts w:hint="eastAsia" w:ascii="宋体" w:hAnsi="宋体" w:eastAsia="宋体" w:cs="宋体"/>
                <w:i w:val="0"/>
                <w:iCs w:val="0"/>
                <w:color w:val="000000"/>
                <w:kern w:val="0"/>
                <w:sz w:val="24"/>
                <w:szCs w:val="24"/>
                <w:highlight w:val="none"/>
                <w:u w:val="none"/>
                <w:lang w:val="en-US" w:eastAsia="zh-CN" w:bidi="ar"/>
              </w:rPr>
              <w:t>）查询结果为有效状态的截图加盖投标人公章作为评审依据，未按要求提供或提供材料不齐全不得分。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7F17CD32">
            <w:pPr>
              <w:jc w:val="both"/>
              <w:rPr>
                <w:rFonts w:hint="eastAsia" w:ascii="宋体" w:hAnsi="宋体" w:eastAsia="宋体" w:cs="宋体"/>
                <w:i w:val="0"/>
                <w:iCs w:val="0"/>
                <w:color w:val="000000"/>
                <w:sz w:val="24"/>
                <w:szCs w:val="24"/>
                <w:highlight w:val="none"/>
                <w:u w:val="none"/>
              </w:rPr>
            </w:pPr>
          </w:p>
        </w:tc>
      </w:tr>
      <w:tr w14:paraId="0865D8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124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5E1D37A">
            <w:pPr>
              <w:jc w:val="center"/>
              <w:rPr>
                <w:rFonts w:hint="eastAsia" w:ascii="宋体" w:hAnsi="宋体" w:eastAsia="宋体" w:cs="宋体"/>
                <w:i w:val="0"/>
                <w:iCs w:val="0"/>
                <w:color w:val="000000"/>
                <w:sz w:val="24"/>
                <w:szCs w:val="24"/>
                <w:highlight w:val="none"/>
                <w:u w:val="none"/>
              </w:rPr>
            </w:pPr>
          </w:p>
        </w:tc>
        <w:tc>
          <w:tcPr>
            <w:tcW w:w="730" w:type="dxa"/>
            <w:vMerge w:val="restart"/>
            <w:tcBorders>
              <w:top w:val="nil"/>
              <w:left w:val="nil"/>
              <w:bottom w:val="single" w:color="000000" w:sz="8" w:space="0"/>
              <w:right w:val="single" w:color="000000" w:sz="8" w:space="0"/>
            </w:tcBorders>
            <w:shd w:val="clear" w:color="auto" w:fill="auto"/>
            <w:vAlign w:val="center"/>
          </w:tcPr>
          <w:p w14:paraId="07D031D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企业技术实力</w:t>
            </w:r>
          </w:p>
        </w:tc>
        <w:tc>
          <w:tcPr>
            <w:tcW w:w="456" w:type="dxa"/>
            <w:vMerge w:val="restart"/>
            <w:tcBorders>
              <w:top w:val="nil"/>
              <w:left w:val="single" w:color="000000" w:sz="8" w:space="0"/>
              <w:bottom w:val="single" w:color="000000" w:sz="8" w:space="0"/>
              <w:right w:val="single" w:color="000000" w:sz="8" w:space="0"/>
            </w:tcBorders>
            <w:shd w:val="clear" w:color="auto" w:fill="auto"/>
            <w:vAlign w:val="center"/>
          </w:tcPr>
          <w:p w14:paraId="116287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7342" w:type="dxa"/>
            <w:tcBorders>
              <w:top w:val="nil"/>
              <w:left w:val="single" w:color="000000" w:sz="8" w:space="0"/>
              <w:bottom w:val="nil"/>
              <w:right w:val="single" w:color="000000" w:sz="8" w:space="0"/>
            </w:tcBorders>
            <w:shd w:val="clear" w:color="auto" w:fill="auto"/>
            <w:vAlign w:val="center"/>
          </w:tcPr>
          <w:p w14:paraId="2BE6F560">
            <w:pPr>
              <w:keepNext w:val="0"/>
              <w:keepLines w:val="0"/>
              <w:widowControl/>
              <w:numPr>
                <w:ilvl w:val="-1"/>
                <w:numId w:val="0"/>
              </w:numPr>
              <w:suppressLineNumbers w:val="0"/>
              <w:jc w:val="both"/>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投标人①完成过类似污（废）水处理工程或污（废）水处理运营服务项目，且该工程或项目获得生态环境部门、住建部门或其认可的专业协会（如中国环境保护产业协会、广东省环保产业协会等）颁发的环境类优秀示范工程证书的，每提供一个得3分，本小项最高得6分。②完成过类似污（废）水处理运营服务项目，且提供该项目合同期内经具备 CMA 资质的第三方检测机构出具的出水水质达标检测报告的，并提供获得业主单位出具的运维服务满意度评价（需附业主盖章证明）的，每提供一个得1分，本小项最高得2分。本项最高得6分。没有或不提供不得分。</w:t>
            </w:r>
          </w:p>
          <w:p w14:paraId="1936F016">
            <w:pPr>
              <w:keepNext w:val="0"/>
              <w:keepLines w:val="0"/>
              <w:widowControl/>
              <w:numPr>
                <w:ilvl w:val="-1"/>
                <w:numId w:val="0"/>
              </w:numPr>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说明：1.评分项①需提供项目合同复印件、证书复印件并加盖公章。2.评分项②需提供合同复印件、项目合同期内经有资质的第三方检测机构出具的带CMA标志的出水水质达标检测报告复印件、评价项目合同甲方或甲方项目主管部门盖章的评价文件复印件并加盖公章。3.不满足上述情况的或未按要求提供证明材料的不得分。</w:t>
            </w:r>
          </w:p>
        </w:tc>
        <w:tc>
          <w:tcPr>
            <w:tcW w:w="728" w:type="dxa"/>
            <w:vMerge w:val="restart"/>
            <w:tcBorders>
              <w:top w:val="nil"/>
              <w:left w:val="single" w:color="000000" w:sz="8" w:space="0"/>
              <w:bottom w:val="single" w:color="000000" w:sz="8" w:space="0"/>
              <w:right w:val="single" w:color="000000" w:sz="8" w:space="0"/>
            </w:tcBorders>
            <w:shd w:val="clear" w:color="auto" w:fill="auto"/>
            <w:vAlign w:val="center"/>
          </w:tcPr>
          <w:p w14:paraId="28A80199">
            <w:pPr>
              <w:jc w:val="both"/>
              <w:rPr>
                <w:rFonts w:hint="eastAsia" w:ascii="宋体" w:hAnsi="宋体" w:eastAsia="宋体" w:cs="宋体"/>
                <w:i w:val="0"/>
                <w:iCs w:val="0"/>
                <w:color w:val="000000"/>
                <w:sz w:val="24"/>
                <w:szCs w:val="24"/>
                <w:highlight w:val="none"/>
                <w:u w:val="none"/>
              </w:rPr>
            </w:pPr>
          </w:p>
        </w:tc>
      </w:tr>
      <w:tr w14:paraId="5663C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1244" w:type="dxa"/>
            <w:vMerge w:val="restart"/>
            <w:tcBorders>
              <w:top w:val="nil"/>
              <w:left w:val="single" w:color="000000" w:sz="8" w:space="0"/>
              <w:bottom w:val="single" w:color="000000" w:sz="8" w:space="0"/>
              <w:right w:val="single" w:color="000000" w:sz="8" w:space="0"/>
            </w:tcBorders>
            <w:shd w:val="clear" w:color="auto" w:fill="auto"/>
            <w:vAlign w:val="center"/>
          </w:tcPr>
          <w:p w14:paraId="423E44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技术部分（20分）</w:t>
            </w:r>
          </w:p>
        </w:tc>
        <w:tc>
          <w:tcPr>
            <w:tcW w:w="730" w:type="dxa"/>
            <w:vMerge w:val="restart"/>
            <w:tcBorders>
              <w:top w:val="nil"/>
              <w:left w:val="single" w:color="000000" w:sz="8" w:space="0"/>
              <w:bottom w:val="single" w:color="000000" w:sz="8" w:space="0"/>
              <w:right w:val="single" w:color="000000" w:sz="8" w:space="0"/>
            </w:tcBorders>
            <w:shd w:val="clear" w:color="auto" w:fill="auto"/>
            <w:vAlign w:val="center"/>
          </w:tcPr>
          <w:p w14:paraId="2350F8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整体运营服务方案</w:t>
            </w:r>
          </w:p>
        </w:tc>
        <w:tc>
          <w:tcPr>
            <w:tcW w:w="456" w:type="dxa"/>
            <w:vMerge w:val="restart"/>
            <w:tcBorders>
              <w:top w:val="nil"/>
              <w:left w:val="single" w:color="000000" w:sz="8" w:space="0"/>
              <w:bottom w:val="single" w:color="000000" w:sz="8" w:space="0"/>
              <w:right w:val="single" w:color="000000" w:sz="8" w:space="0"/>
            </w:tcBorders>
            <w:shd w:val="clear" w:color="auto" w:fill="auto"/>
            <w:vAlign w:val="center"/>
          </w:tcPr>
          <w:p w14:paraId="5689E2A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7342" w:type="dxa"/>
            <w:tcBorders>
              <w:top w:val="nil"/>
              <w:left w:val="single" w:color="000000" w:sz="8" w:space="0"/>
              <w:bottom w:val="nil"/>
              <w:right w:val="single" w:color="000000" w:sz="8" w:space="0"/>
            </w:tcBorders>
            <w:shd w:val="clear" w:color="auto" w:fill="auto"/>
            <w:vAlign w:val="center"/>
          </w:tcPr>
          <w:p w14:paraId="52A20CC0">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根据投标人提供的项目运营、维修养护计划方案（包括但不限于项目管理、人员工作计划、运营服务方案、水质检测和设备保养维护、固废处理、危废处理、消防管理制度等）进行评分：</w:t>
            </w:r>
          </w:p>
        </w:tc>
        <w:tc>
          <w:tcPr>
            <w:tcW w:w="728" w:type="dxa"/>
            <w:vMerge w:val="restart"/>
            <w:tcBorders>
              <w:top w:val="nil"/>
              <w:left w:val="single" w:color="000000" w:sz="8" w:space="0"/>
              <w:bottom w:val="single" w:color="000000" w:sz="8" w:space="0"/>
              <w:right w:val="single" w:color="000000" w:sz="8" w:space="0"/>
            </w:tcBorders>
            <w:shd w:val="clear" w:color="auto" w:fill="auto"/>
            <w:vAlign w:val="center"/>
          </w:tcPr>
          <w:p w14:paraId="47C6017C">
            <w:pPr>
              <w:jc w:val="both"/>
              <w:rPr>
                <w:rFonts w:hint="eastAsia" w:ascii="宋体" w:hAnsi="宋体" w:eastAsia="宋体" w:cs="宋体"/>
                <w:i w:val="0"/>
                <w:iCs w:val="0"/>
                <w:color w:val="000000"/>
                <w:sz w:val="24"/>
                <w:szCs w:val="24"/>
                <w:highlight w:val="none"/>
                <w:u w:val="none"/>
              </w:rPr>
            </w:pPr>
          </w:p>
        </w:tc>
      </w:tr>
      <w:tr w14:paraId="4B798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1244" w:type="dxa"/>
            <w:vMerge w:val="continue"/>
            <w:tcBorders>
              <w:top w:val="nil"/>
              <w:left w:val="single" w:color="000000" w:sz="8" w:space="0"/>
              <w:bottom w:val="single" w:color="000000" w:sz="8" w:space="0"/>
              <w:right w:val="single" w:color="000000" w:sz="8" w:space="0"/>
            </w:tcBorders>
            <w:shd w:val="clear" w:color="auto" w:fill="auto"/>
            <w:vAlign w:val="center"/>
          </w:tcPr>
          <w:p w14:paraId="16E8662B">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single" w:color="000000" w:sz="8" w:space="0"/>
              <w:bottom w:val="single" w:color="000000" w:sz="8" w:space="0"/>
              <w:right w:val="single" w:color="000000" w:sz="8" w:space="0"/>
            </w:tcBorders>
            <w:shd w:val="clear" w:color="auto" w:fill="auto"/>
            <w:vAlign w:val="center"/>
          </w:tcPr>
          <w:p w14:paraId="60CA0C5F">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7EDDAB61">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2BA3AB71">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（1）优：实施方案全面完整，科学性、合理性高，条理清晰，对项目运营的认识准确；得20分；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0D11EF13">
            <w:pPr>
              <w:jc w:val="both"/>
              <w:rPr>
                <w:rFonts w:hint="eastAsia" w:ascii="宋体" w:hAnsi="宋体" w:eastAsia="宋体" w:cs="宋体"/>
                <w:i w:val="0"/>
                <w:iCs w:val="0"/>
                <w:color w:val="000000"/>
                <w:sz w:val="24"/>
                <w:szCs w:val="24"/>
                <w:highlight w:val="none"/>
                <w:u w:val="none"/>
              </w:rPr>
            </w:pPr>
          </w:p>
        </w:tc>
      </w:tr>
      <w:tr w14:paraId="056DA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1244" w:type="dxa"/>
            <w:vMerge w:val="continue"/>
            <w:tcBorders>
              <w:top w:val="nil"/>
              <w:left w:val="single" w:color="000000" w:sz="8" w:space="0"/>
              <w:bottom w:val="single" w:color="000000" w:sz="8" w:space="0"/>
              <w:right w:val="single" w:color="000000" w:sz="8" w:space="0"/>
            </w:tcBorders>
            <w:shd w:val="clear" w:color="auto" w:fill="auto"/>
            <w:vAlign w:val="center"/>
          </w:tcPr>
          <w:p w14:paraId="3213FE22">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single" w:color="000000" w:sz="8" w:space="0"/>
              <w:bottom w:val="single" w:color="000000" w:sz="8" w:space="0"/>
              <w:right w:val="single" w:color="000000" w:sz="8" w:space="0"/>
            </w:tcBorders>
            <w:shd w:val="clear" w:color="auto" w:fill="auto"/>
            <w:vAlign w:val="center"/>
          </w:tcPr>
          <w:p w14:paraId="334A058E">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204132F3">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5216F9DE">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（2）良：实施方案较全面、合理，条理较清晰，对项目运营的认识较准确；得15分；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3E7C38A9">
            <w:pPr>
              <w:jc w:val="both"/>
              <w:rPr>
                <w:rFonts w:hint="eastAsia" w:ascii="宋体" w:hAnsi="宋体" w:eastAsia="宋体" w:cs="宋体"/>
                <w:i w:val="0"/>
                <w:iCs w:val="0"/>
                <w:color w:val="000000"/>
                <w:sz w:val="24"/>
                <w:szCs w:val="24"/>
                <w:highlight w:val="none"/>
                <w:u w:val="none"/>
              </w:rPr>
            </w:pPr>
          </w:p>
        </w:tc>
      </w:tr>
      <w:tr w14:paraId="007A3C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1244" w:type="dxa"/>
            <w:vMerge w:val="continue"/>
            <w:tcBorders>
              <w:top w:val="nil"/>
              <w:left w:val="single" w:color="000000" w:sz="8" w:space="0"/>
              <w:bottom w:val="single" w:color="000000" w:sz="8" w:space="0"/>
              <w:right w:val="single" w:color="000000" w:sz="8" w:space="0"/>
            </w:tcBorders>
            <w:shd w:val="clear" w:color="auto" w:fill="auto"/>
            <w:vAlign w:val="center"/>
          </w:tcPr>
          <w:p w14:paraId="2045C41A">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single" w:color="000000" w:sz="8" w:space="0"/>
              <w:bottom w:val="single" w:color="000000" w:sz="8" w:space="0"/>
              <w:right w:val="single" w:color="000000" w:sz="8" w:space="0"/>
            </w:tcBorders>
            <w:shd w:val="clear" w:color="auto" w:fill="auto"/>
            <w:vAlign w:val="center"/>
          </w:tcPr>
          <w:p w14:paraId="4025D280">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2D0D3C38">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nil"/>
              <w:right w:val="single" w:color="000000" w:sz="8" w:space="0"/>
            </w:tcBorders>
            <w:shd w:val="clear" w:color="auto" w:fill="auto"/>
            <w:vAlign w:val="center"/>
          </w:tcPr>
          <w:p w14:paraId="3199A0F1">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（3）中：实施方案基本全面、合理，条理基本清晰，对项目运营的认识一般；得10分；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11C2D228">
            <w:pPr>
              <w:jc w:val="both"/>
              <w:rPr>
                <w:rFonts w:hint="eastAsia" w:ascii="宋体" w:hAnsi="宋体" w:eastAsia="宋体" w:cs="宋体"/>
                <w:i w:val="0"/>
                <w:iCs w:val="0"/>
                <w:color w:val="000000"/>
                <w:sz w:val="24"/>
                <w:szCs w:val="24"/>
                <w:highlight w:val="none"/>
                <w:u w:val="none"/>
              </w:rPr>
            </w:pPr>
          </w:p>
        </w:tc>
      </w:tr>
      <w:tr w14:paraId="0367F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244" w:type="dxa"/>
            <w:vMerge w:val="continue"/>
            <w:tcBorders>
              <w:top w:val="nil"/>
              <w:left w:val="single" w:color="000000" w:sz="8" w:space="0"/>
              <w:bottom w:val="single" w:color="000000" w:sz="8" w:space="0"/>
              <w:right w:val="single" w:color="000000" w:sz="8" w:space="0"/>
            </w:tcBorders>
            <w:shd w:val="clear" w:color="auto" w:fill="auto"/>
            <w:vAlign w:val="center"/>
          </w:tcPr>
          <w:p w14:paraId="2C97700C">
            <w:pPr>
              <w:jc w:val="center"/>
              <w:rPr>
                <w:rFonts w:hint="eastAsia" w:ascii="宋体" w:hAnsi="宋体" w:eastAsia="宋体" w:cs="宋体"/>
                <w:i w:val="0"/>
                <w:iCs w:val="0"/>
                <w:color w:val="000000"/>
                <w:sz w:val="24"/>
                <w:szCs w:val="24"/>
                <w:highlight w:val="none"/>
                <w:u w:val="none"/>
              </w:rPr>
            </w:pPr>
          </w:p>
        </w:tc>
        <w:tc>
          <w:tcPr>
            <w:tcW w:w="730" w:type="dxa"/>
            <w:vMerge w:val="continue"/>
            <w:tcBorders>
              <w:top w:val="nil"/>
              <w:left w:val="single" w:color="000000" w:sz="8" w:space="0"/>
              <w:bottom w:val="single" w:color="000000" w:sz="8" w:space="0"/>
              <w:right w:val="single" w:color="000000" w:sz="8" w:space="0"/>
            </w:tcBorders>
            <w:shd w:val="clear" w:color="auto" w:fill="auto"/>
            <w:vAlign w:val="center"/>
          </w:tcPr>
          <w:p w14:paraId="30455576">
            <w:pPr>
              <w:jc w:val="center"/>
              <w:rPr>
                <w:rFonts w:hint="eastAsia" w:ascii="宋体" w:hAnsi="宋体" w:eastAsia="宋体" w:cs="宋体"/>
                <w:i w:val="0"/>
                <w:iCs w:val="0"/>
                <w:color w:val="000000"/>
                <w:sz w:val="24"/>
                <w:szCs w:val="24"/>
                <w:highlight w:val="none"/>
                <w:u w:val="none"/>
              </w:rPr>
            </w:pPr>
          </w:p>
        </w:tc>
        <w:tc>
          <w:tcPr>
            <w:tcW w:w="456" w:type="dxa"/>
            <w:vMerge w:val="continue"/>
            <w:tcBorders>
              <w:top w:val="nil"/>
              <w:left w:val="single" w:color="000000" w:sz="8" w:space="0"/>
              <w:bottom w:val="single" w:color="000000" w:sz="8" w:space="0"/>
              <w:right w:val="single" w:color="000000" w:sz="8" w:space="0"/>
            </w:tcBorders>
            <w:shd w:val="clear" w:color="auto" w:fill="auto"/>
            <w:vAlign w:val="center"/>
          </w:tcPr>
          <w:p w14:paraId="6BCAB474">
            <w:pPr>
              <w:jc w:val="center"/>
              <w:rPr>
                <w:rFonts w:hint="eastAsia" w:ascii="宋体" w:hAnsi="宋体" w:eastAsia="宋体" w:cs="宋体"/>
                <w:i w:val="0"/>
                <w:iCs w:val="0"/>
                <w:color w:val="000000"/>
                <w:sz w:val="24"/>
                <w:szCs w:val="24"/>
                <w:highlight w:val="none"/>
                <w:u w:val="none"/>
              </w:rPr>
            </w:pPr>
          </w:p>
        </w:tc>
        <w:tc>
          <w:tcPr>
            <w:tcW w:w="7342" w:type="dxa"/>
            <w:tcBorders>
              <w:top w:val="nil"/>
              <w:left w:val="single" w:color="000000" w:sz="8" w:space="0"/>
              <w:bottom w:val="single" w:color="000000" w:sz="8" w:space="0"/>
              <w:right w:val="single" w:color="000000" w:sz="8" w:space="0"/>
            </w:tcBorders>
            <w:shd w:val="clear" w:color="auto" w:fill="auto"/>
            <w:vAlign w:val="center"/>
          </w:tcPr>
          <w:p w14:paraId="6A55805A">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（4）差：实施方案不全面，条理不清晰，对项目运营的认识较差，得0分。</w:t>
            </w:r>
          </w:p>
        </w:tc>
        <w:tc>
          <w:tcPr>
            <w:tcW w:w="728" w:type="dxa"/>
            <w:vMerge w:val="continue"/>
            <w:tcBorders>
              <w:top w:val="nil"/>
              <w:left w:val="single" w:color="000000" w:sz="8" w:space="0"/>
              <w:bottom w:val="single" w:color="000000" w:sz="8" w:space="0"/>
              <w:right w:val="single" w:color="000000" w:sz="8" w:space="0"/>
            </w:tcBorders>
            <w:shd w:val="clear" w:color="auto" w:fill="auto"/>
            <w:vAlign w:val="center"/>
          </w:tcPr>
          <w:p w14:paraId="1AEF9383">
            <w:pPr>
              <w:jc w:val="both"/>
              <w:rPr>
                <w:rFonts w:hint="eastAsia" w:ascii="宋体" w:hAnsi="宋体" w:eastAsia="宋体" w:cs="宋体"/>
                <w:i w:val="0"/>
                <w:iCs w:val="0"/>
                <w:color w:val="000000"/>
                <w:sz w:val="24"/>
                <w:szCs w:val="24"/>
                <w:highlight w:val="none"/>
                <w:u w:val="none"/>
              </w:rPr>
            </w:pPr>
          </w:p>
        </w:tc>
      </w:tr>
      <w:tr w14:paraId="45940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44" w:type="dxa"/>
            <w:tcBorders>
              <w:top w:val="nil"/>
              <w:left w:val="single" w:color="000000" w:sz="8" w:space="0"/>
              <w:bottom w:val="nil"/>
              <w:right w:val="single" w:color="000000" w:sz="8" w:space="0"/>
            </w:tcBorders>
            <w:shd w:val="clear" w:color="auto" w:fill="auto"/>
            <w:vAlign w:val="center"/>
          </w:tcPr>
          <w:p w14:paraId="7332F87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价格评审</w:t>
            </w:r>
          </w:p>
        </w:tc>
        <w:tc>
          <w:tcPr>
            <w:tcW w:w="8528" w:type="dxa"/>
            <w:gridSpan w:val="3"/>
            <w:tcBorders>
              <w:top w:val="nil"/>
              <w:left w:val="single" w:color="000000" w:sz="8" w:space="0"/>
              <w:bottom w:val="nil"/>
              <w:right w:val="single" w:color="000000" w:sz="8" w:space="0"/>
            </w:tcBorders>
            <w:shd w:val="clear" w:color="auto" w:fill="auto"/>
            <w:vAlign w:val="center"/>
          </w:tcPr>
          <w:p w14:paraId="32583CEF">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价格分应当采用低价优先法计算，即满足招标文件要求的最低投标报价为评标基准价，其价格分为满分。其他投标人的价格分统一按照下列公式计算：</w:t>
            </w:r>
          </w:p>
        </w:tc>
        <w:tc>
          <w:tcPr>
            <w:tcW w:w="728" w:type="dxa"/>
            <w:vMerge w:val="restart"/>
            <w:tcBorders>
              <w:top w:val="nil"/>
              <w:left w:val="single" w:color="000000" w:sz="8" w:space="0"/>
              <w:bottom w:val="single" w:color="000000" w:sz="8" w:space="0"/>
              <w:right w:val="single" w:color="000000" w:sz="8" w:space="0"/>
            </w:tcBorders>
            <w:shd w:val="clear" w:color="auto" w:fill="auto"/>
            <w:noWrap/>
            <w:vAlign w:val="center"/>
          </w:tcPr>
          <w:p w14:paraId="3920AC14">
            <w:pPr>
              <w:rPr>
                <w:rFonts w:hint="eastAsia" w:ascii="宋体" w:hAnsi="宋体" w:eastAsia="宋体" w:cs="宋体"/>
                <w:i w:val="0"/>
                <w:iCs w:val="0"/>
                <w:color w:val="000000"/>
                <w:sz w:val="22"/>
                <w:szCs w:val="22"/>
                <w:highlight w:val="none"/>
                <w:u w:val="none"/>
              </w:rPr>
            </w:pPr>
          </w:p>
        </w:tc>
      </w:tr>
      <w:tr w14:paraId="1DEE5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244" w:type="dxa"/>
            <w:tcBorders>
              <w:top w:val="nil"/>
              <w:left w:val="single" w:color="000000" w:sz="8" w:space="0"/>
              <w:bottom w:val="single" w:color="000000" w:sz="8" w:space="0"/>
              <w:right w:val="single" w:color="000000" w:sz="8" w:space="0"/>
            </w:tcBorders>
            <w:shd w:val="clear" w:color="auto" w:fill="auto"/>
            <w:vAlign w:val="center"/>
          </w:tcPr>
          <w:p w14:paraId="5594C15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（30分）</w:t>
            </w:r>
          </w:p>
        </w:tc>
        <w:tc>
          <w:tcPr>
            <w:tcW w:w="8528" w:type="dxa"/>
            <w:gridSpan w:val="3"/>
            <w:tcBorders>
              <w:top w:val="nil"/>
              <w:left w:val="single" w:color="000000" w:sz="8" w:space="0"/>
              <w:bottom w:val="single" w:color="000000" w:sz="8" w:space="0"/>
              <w:right w:val="single" w:color="000000" w:sz="8" w:space="0"/>
            </w:tcBorders>
            <w:shd w:val="clear" w:color="auto" w:fill="auto"/>
            <w:vAlign w:val="center"/>
          </w:tcPr>
          <w:p w14:paraId="725A0F77">
            <w:pPr>
              <w:keepNext w:val="0"/>
              <w:keepLines w:val="0"/>
              <w:widowControl/>
              <w:suppressLineNumbers w:val="0"/>
              <w:jc w:val="both"/>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投标报价得分=（评标基准价／投标报价）×30分。</w:t>
            </w:r>
          </w:p>
        </w:tc>
        <w:tc>
          <w:tcPr>
            <w:tcW w:w="728" w:type="dxa"/>
            <w:vMerge w:val="continue"/>
            <w:tcBorders>
              <w:top w:val="nil"/>
              <w:left w:val="single" w:color="000000" w:sz="8" w:space="0"/>
              <w:bottom w:val="single" w:color="000000" w:sz="8" w:space="0"/>
              <w:right w:val="single" w:color="000000" w:sz="8" w:space="0"/>
            </w:tcBorders>
            <w:shd w:val="clear" w:color="auto" w:fill="auto"/>
            <w:noWrap/>
            <w:vAlign w:val="center"/>
          </w:tcPr>
          <w:p w14:paraId="2B3F2FF6">
            <w:pPr>
              <w:rPr>
                <w:rFonts w:hint="eastAsia" w:ascii="宋体" w:hAnsi="宋体" w:eastAsia="宋体" w:cs="宋体"/>
                <w:i w:val="0"/>
                <w:iCs w:val="0"/>
                <w:color w:val="000000"/>
                <w:sz w:val="22"/>
                <w:szCs w:val="22"/>
                <w:highlight w:val="none"/>
                <w:u w:val="none"/>
              </w:rPr>
            </w:pPr>
          </w:p>
        </w:tc>
      </w:tr>
    </w:tbl>
    <w:p w14:paraId="49BAB970">
      <w:pPr>
        <w:spacing w:line="560" w:lineRule="exact"/>
        <w:jc w:val="left"/>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56AE37D8">
      <w:pPr>
        <w:spacing w:line="560" w:lineRule="exact"/>
        <w:jc w:val="left"/>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3320DBDC">
      <w:pPr>
        <w:spacing w:line="560" w:lineRule="exact"/>
        <w:jc w:val="left"/>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18172562">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09BBA3C7">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38D11576">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17BCC25A">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580E9AD5">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6CB6698F">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7EAA6347">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5F488D6B">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2A706C40">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1B082FF2">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1FB5C3E5">
      <w:pPr>
        <w:spacing w:line="560" w:lineRule="exact"/>
        <w:jc w:val="left"/>
        <w:outlineLvl w:val="1"/>
        <w:rPr>
          <w:rFonts w:hint="eastAsia" w:ascii="仿宋_GB2312" w:hAnsi="仿宋_GB2312" w:eastAsia="仿宋_GB2312" w:cs="仿宋_GB2312"/>
          <w:color w:val="000000" w:themeColor="text1"/>
          <w:sz w:val="32"/>
          <w:szCs w:val="32"/>
          <w:highlight w:val="none"/>
          <w14:textFill>
            <w14:solidFill>
              <w14:schemeClr w14:val="tx1"/>
            </w14:solidFill>
          </w14:textFill>
        </w:rPr>
      </w:pPr>
    </w:p>
    <w:p w14:paraId="024AD684">
      <w:pPr>
        <w:spacing w:line="560" w:lineRule="exact"/>
        <w:jc w:val="left"/>
        <w:outlineLvl w:val="1"/>
        <w:rPr>
          <w:rFonts w:hint="default"/>
          <w:color w:val="auto"/>
          <w:sz w:val="52"/>
          <w:szCs w:val="56"/>
          <w:highlight w:val="none"/>
          <w:lang w:val="en-US"/>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附件</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3：合同样本</w:t>
      </w:r>
    </w:p>
    <w:p w14:paraId="4835899C">
      <w:pPr>
        <w:keepNext w:val="0"/>
        <w:keepLines w:val="0"/>
        <w:pageBreakBefore w:val="0"/>
        <w:widowControl/>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广州南沙</w:t>
      </w:r>
      <w:r>
        <w:rPr>
          <w:rFonts w:hint="eastAsia" w:ascii="方正小标宋简体" w:hAnsi="方正小标宋简体" w:eastAsia="方正小标宋简体" w:cs="方正小标宋简体"/>
          <w:color w:val="auto"/>
          <w:sz w:val="44"/>
          <w:szCs w:val="44"/>
          <w:highlight w:val="none"/>
          <w:lang w:eastAsia="zh-CN"/>
        </w:rPr>
        <w:t>综合保税区</w:t>
      </w:r>
      <w:r>
        <w:rPr>
          <w:rFonts w:hint="eastAsia" w:ascii="方正小标宋简体" w:hAnsi="方正小标宋简体" w:eastAsia="方正小标宋简体" w:cs="方正小标宋简体"/>
          <w:color w:val="auto"/>
          <w:sz w:val="44"/>
          <w:szCs w:val="44"/>
          <w:highlight w:val="none"/>
        </w:rPr>
        <w:t>加工区污水站</w:t>
      </w:r>
    </w:p>
    <w:p w14:paraId="335FFCD9">
      <w:pPr>
        <w:keepNext w:val="0"/>
        <w:keepLines w:val="0"/>
        <w:pageBreakBefore w:val="0"/>
        <w:widowControl/>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运营项目合同</w:t>
      </w:r>
    </w:p>
    <w:p w14:paraId="2F9B4F13">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黑体" w:hAnsi="黑体" w:eastAsia="黑体" w:cs="黑体"/>
          <w:b w:val="0"/>
          <w:bCs/>
          <w:color w:val="auto"/>
          <w:sz w:val="32"/>
          <w:szCs w:val="32"/>
          <w:highlight w:val="none"/>
          <w:lang w:eastAsia="zh-CN"/>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（仅供参考，最终以双方审核确认版本为准）</w:t>
      </w:r>
    </w:p>
    <w:p w14:paraId="5A79FE63">
      <w:pPr>
        <w:widowControl/>
        <w:jc w:val="center"/>
        <w:rPr>
          <w:rFonts w:hint="eastAsia" w:ascii="黑体" w:hAnsi="黑体" w:eastAsia="黑体" w:cs="黑体"/>
          <w:b w:val="0"/>
          <w:bCs/>
          <w:color w:val="auto"/>
          <w:sz w:val="32"/>
          <w:szCs w:val="32"/>
          <w:highlight w:val="none"/>
        </w:rPr>
      </w:pPr>
    </w:p>
    <w:p w14:paraId="7A8DEC10">
      <w:pPr>
        <w:widowControl/>
        <w:jc w:val="center"/>
        <w:rPr>
          <w:rFonts w:hint="eastAsia" w:ascii="黑体" w:hAnsi="黑体" w:eastAsia="黑体" w:cs="黑体"/>
          <w:b w:val="0"/>
          <w:bCs/>
          <w:color w:val="auto"/>
          <w:sz w:val="32"/>
          <w:szCs w:val="32"/>
          <w:highlight w:val="none"/>
        </w:rPr>
      </w:pPr>
      <w:r>
        <w:rPr>
          <w:rFonts w:hint="eastAsia" w:ascii="黑体" w:hAnsi="黑体" w:eastAsia="黑体" w:cs="黑体"/>
          <w:b w:val="0"/>
          <w:bCs/>
          <w:color w:val="auto"/>
          <w:sz w:val="32"/>
          <w:szCs w:val="32"/>
          <w:highlight w:val="none"/>
        </w:rPr>
        <w:t>一、总   则</w:t>
      </w:r>
    </w:p>
    <w:p w14:paraId="2F484FB1">
      <w:pPr>
        <w:pStyle w:val="24"/>
        <w:keepNext w:val="0"/>
        <w:keepLines w:val="0"/>
        <w:pageBreakBefore w:val="0"/>
        <w:widowControl w:val="0"/>
        <w:kinsoku/>
        <w:wordWrap/>
        <w:overflowPunct/>
        <w:topLinePunct w:val="0"/>
        <w:autoSpaceDE/>
        <w:autoSpaceDN/>
        <w:bidi w:val="0"/>
        <w:adjustRightInd/>
        <w:snapToGrid/>
        <w:spacing w:beforeAutospacing="0" w:line="560" w:lineRule="exact"/>
        <w:ind w:left="1"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sz w:val="32"/>
          <w:szCs w:val="32"/>
          <w:highlight w:val="none"/>
        </w:rPr>
        <w:t>第一条</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合同当事人</w:t>
      </w:r>
    </w:p>
    <w:p w14:paraId="5932C39F">
      <w:pPr>
        <w:pStyle w:val="24"/>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u w:val="single"/>
          <w:lang w:eastAsia="zh-CN"/>
        </w:rPr>
      </w:pPr>
      <w:r>
        <w:rPr>
          <w:rFonts w:hint="eastAsia" w:ascii="仿宋_GB2312" w:hAnsi="仿宋_GB2312" w:eastAsia="仿宋_GB2312" w:cs="仿宋_GB2312"/>
          <w:color w:val="auto"/>
          <w:sz w:val="32"/>
          <w:szCs w:val="32"/>
          <w:highlight w:val="none"/>
        </w:rPr>
        <w:t>甲方（</w:t>
      </w:r>
      <w:r>
        <w:rPr>
          <w:rFonts w:hint="eastAsia" w:ascii="仿宋_GB2312" w:hAnsi="仿宋_GB2312" w:eastAsia="仿宋_GB2312" w:cs="仿宋_GB2312"/>
          <w:color w:val="auto"/>
          <w:sz w:val="32"/>
          <w:szCs w:val="32"/>
          <w:highlight w:val="none"/>
          <w:lang w:val="en-US" w:eastAsia="zh-CN"/>
        </w:rPr>
        <w:t>招标人</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u w:val="single"/>
          <w:lang w:eastAsia="zh-CN"/>
        </w:rPr>
        <w:t>广州南沙口岸服务有限公司</w:t>
      </w:r>
    </w:p>
    <w:p w14:paraId="36066698">
      <w:pPr>
        <w:pStyle w:val="24"/>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乙方（中标人）：</w:t>
      </w:r>
      <w:r>
        <w:rPr>
          <w:rFonts w:hint="eastAsia" w:ascii="仿宋_GB2312" w:hAnsi="仿宋_GB2312" w:eastAsia="仿宋_GB2312" w:cs="仿宋_GB2312"/>
          <w:color w:val="auto"/>
          <w:sz w:val="32"/>
          <w:szCs w:val="32"/>
          <w:highlight w:val="none"/>
          <w:u w:val="single"/>
          <w:lang w:val="en-US" w:eastAsia="zh-CN"/>
        </w:rPr>
        <w:t xml:space="preserve">                      </w:t>
      </w:r>
    </w:p>
    <w:p w14:paraId="1AC18796">
      <w:pPr>
        <w:pStyle w:val="24"/>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根据《中华人民共和国民法典》《中华人民共和国</w:t>
      </w:r>
      <w:r>
        <w:rPr>
          <w:rFonts w:hint="eastAsia" w:ascii="仿宋_GB2312" w:hAnsi="仿宋_GB2312" w:eastAsia="仿宋_GB2312" w:cs="仿宋_GB2312"/>
          <w:sz w:val="32"/>
          <w:szCs w:val="32"/>
          <w:highlight w:val="none"/>
        </w:rPr>
        <w:t>招标投标</w:t>
      </w:r>
      <w:r>
        <w:rPr>
          <w:rFonts w:hint="eastAsia" w:ascii="仿宋_GB2312" w:hAnsi="仿宋_GB2312" w:eastAsia="仿宋_GB2312" w:cs="仿宋_GB2312"/>
          <w:color w:val="auto"/>
          <w:sz w:val="32"/>
          <w:szCs w:val="32"/>
          <w:highlight w:val="none"/>
        </w:rPr>
        <w:t>法》</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“广州南沙</w:t>
      </w:r>
      <w:r>
        <w:rPr>
          <w:rFonts w:hint="eastAsia" w:ascii="仿宋_GB2312" w:hAnsi="仿宋_GB2312" w:eastAsia="仿宋_GB2312" w:cs="仿宋_GB2312"/>
          <w:color w:val="auto"/>
          <w:sz w:val="32"/>
          <w:szCs w:val="32"/>
          <w:highlight w:val="none"/>
          <w:lang w:eastAsia="zh-CN"/>
        </w:rPr>
        <w:t>综合保税区</w:t>
      </w:r>
      <w:r>
        <w:rPr>
          <w:rFonts w:hint="eastAsia" w:ascii="仿宋_GB2312" w:hAnsi="仿宋_GB2312" w:eastAsia="仿宋_GB2312" w:cs="仿宋_GB2312"/>
          <w:color w:val="auto"/>
          <w:sz w:val="32"/>
          <w:szCs w:val="32"/>
          <w:highlight w:val="none"/>
        </w:rPr>
        <w:t>加工区污水站运营项目”招标文件的要求和招标结果，经甲乙双方协商一致，签订本合同。双方共同遵守如下条款（其他有关合同项目的特定信息由合同附件予以说明，合同附件及本项目的招标文件、投标文件、中标通知书、在实施过程中双方共同签署的补充文件等均为本合同不可分割之一部分）。</w:t>
      </w:r>
    </w:p>
    <w:p w14:paraId="79533889">
      <w:pPr>
        <w:pStyle w:val="24"/>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sz w:val="32"/>
          <w:szCs w:val="32"/>
          <w:highlight w:val="none"/>
        </w:rPr>
        <w:t>第二条</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乙方提供服务的受益人为甲方和本物业的使用人，甲乙双方均应对履行本合同承担相应的责任。</w:t>
      </w:r>
    </w:p>
    <w:p w14:paraId="609DFEC6">
      <w:pPr>
        <w:pStyle w:val="24"/>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sz w:val="32"/>
          <w:szCs w:val="32"/>
          <w:highlight w:val="none"/>
        </w:rPr>
        <w:t>第三条</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 xml:space="preserve">项目概况 </w:t>
      </w:r>
    </w:p>
    <w:p w14:paraId="66A23A0E">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广州南沙综合保税区加工区位于南沙区万顷沙镇,园区内主要为出口加工企业，园区已建一套生活污水</w:t>
      </w:r>
      <w:r>
        <w:rPr>
          <w:rFonts w:hint="eastAsia" w:ascii="仿宋_GB2312" w:hAnsi="仿宋_GB2312" w:eastAsia="仿宋_GB2312" w:cs="仿宋_GB2312"/>
          <w:sz w:val="32"/>
          <w:szCs w:val="32"/>
          <w:highlight w:val="none"/>
          <w:lang w:val="en-US" w:eastAsia="zh-CN"/>
        </w:rPr>
        <w:t>站</w:t>
      </w:r>
      <w:r>
        <w:rPr>
          <w:rFonts w:hint="eastAsia" w:ascii="仿宋_GB2312" w:hAnsi="仿宋_GB2312" w:eastAsia="仿宋_GB2312" w:cs="仿宋_GB2312"/>
          <w:sz w:val="32"/>
          <w:szCs w:val="32"/>
          <w:highlight w:val="none"/>
        </w:rPr>
        <w:t>，主要处理园区内办公、卫生间及生活污水及部分工业废水。污水</w:t>
      </w:r>
      <w:r>
        <w:rPr>
          <w:rFonts w:hint="eastAsia" w:ascii="仿宋_GB2312" w:hAnsi="仿宋_GB2312" w:eastAsia="仿宋_GB2312" w:cs="仿宋_GB2312"/>
          <w:sz w:val="32"/>
          <w:szCs w:val="32"/>
          <w:highlight w:val="none"/>
          <w:lang w:val="en-US" w:eastAsia="zh-CN"/>
        </w:rPr>
        <w:t>站</w:t>
      </w:r>
      <w:r>
        <w:rPr>
          <w:rFonts w:hint="eastAsia" w:ascii="仿宋_GB2312" w:hAnsi="仿宋_GB2312" w:eastAsia="仿宋_GB2312" w:cs="仿宋_GB2312"/>
          <w:sz w:val="32"/>
          <w:szCs w:val="32"/>
          <w:highlight w:val="none"/>
        </w:rPr>
        <w:t>占地面积1347平方米，设计污水处理能力为500 m³/d，处理工艺为“</w:t>
      </w:r>
      <w:r>
        <w:rPr>
          <w:rFonts w:hint="eastAsia" w:ascii="仿宋" w:hAnsi="仿宋" w:eastAsia="仿宋" w:cstheme="minorEastAsia"/>
          <w:sz w:val="32"/>
          <w:szCs w:val="32"/>
          <w:highlight w:val="none"/>
        </w:rPr>
        <w:t>快速生物过滤+消毒</w:t>
      </w:r>
      <w:r>
        <w:rPr>
          <w:rFonts w:hint="eastAsia" w:ascii="仿宋_GB2312" w:hAnsi="仿宋_GB2312" w:eastAsia="仿宋_GB2312" w:cs="仿宋_GB2312"/>
          <w:sz w:val="32"/>
          <w:szCs w:val="32"/>
          <w:highlight w:val="none"/>
        </w:rPr>
        <w:t>”。</w:t>
      </w:r>
    </w:p>
    <w:p w14:paraId="0C96FFDB">
      <w:pPr>
        <w:pStyle w:val="24"/>
        <w:keepNext w:val="0"/>
        <w:keepLines w:val="0"/>
        <w:pageBreakBefore w:val="0"/>
        <w:widowControl w:val="0"/>
        <w:kinsoku/>
        <w:wordWrap/>
        <w:overflowPunct/>
        <w:topLinePunct w:val="0"/>
        <w:autoSpaceDE/>
        <w:autoSpaceDN/>
        <w:bidi w:val="0"/>
        <w:adjustRightInd/>
        <w:snapToGrid/>
        <w:spacing w:beforeAutospacing="0" w:line="560" w:lineRule="exact"/>
        <w:jc w:val="center"/>
        <w:textAlignment w:val="auto"/>
        <w:rPr>
          <w:rFonts w:hint="eastAsia" w:ascii="黑体" w:hAnsi="黑体" w:eastAsia="黑体" w:cs="黑体"/>
          <w:b w:val="0"/>
          <w:bCs w:val="0"/>
          <w:color w:val="auto"/>
          <w:sz w:val="32"/>
          <w:szCs w:val="32"/>
          <w:highlight w:val="none"/>
        </w:rPr>
      </w:pPr>
      <w:r>
        <w:rPr>
          <w:rFonts w:hint="eastAsia" w:ascii="黑体" w:hAnsi="黑体" w:eastAsia="黑体" w:cs="黑体"/>
          <w:b w:val="0"/>
          <w:bCs w:val="0"/>
          <w:color w:val="auto"/>
          <w:sz w:val="32"/>
          <w:szCs w:val="32"/>
          <w:highlight w:val="none"/>
        </w:rPr>
        <w:t>二、服务事项</w:t>
      </w:r>
    </w:p>
    <w:p w14:paraId="6DD3883E">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第四条 </w:t>
      </w:r>
      <w:r>
        <w:rPr>
          <w:rFonts w:hint="eastAsia" w:ascii="仿宋_GB2312" w:hAnsi="仿宋_GB2312" w:eastAsia="仿宋_GB2312" w:cs="仿宋_GB2312"/>
          <w:color w:val="auto"/>
          <w:sz w:val="32"/>
          <w:szCs w:val="32"/>
          <w:highlight w:val="none"/>
          <w:lang w:val="en-US" w:eastAsia="zh-CN"/>
        </w:rPr>
        <w:t>运营</w:t>
      </w:r>
      <w:r>
        <w:rPr>
          <w:rFonts w:hint="eastAsia" w:ascii="仿宋_GB2312" w:hAnsi="仿宋_GB2312" w:eastAsia="仿宋_GB2312" w:cs="仿宋_GB2312"/>
          <w:color w:val="auto"/>
          <w:sz w:val="32"/>
          <w:szCs w:val="32"/>
          <w:highlight w:val="none"/>
        </w:rPr>
        <w:t xml:space="preserve">服务内容 </w:t>
      </w:r>
    </w:p>
    <w:p w14:paraId="68E0CA2E">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楷体" w:hAnsi="楷体" w:eastAsia="楷体" w:cs="楷体"/>
          <w:color w:val="auto"/>
          <w:sz w:val="32"/>
          <w:szCs w:val="32"/>
          <w:highlight w:val="none"/>
        </w:rPr>
      </w:pPr>
      <w:r>
        <w:rPr>
          <w:rFonts w:hint="eastAsia" w:ascii="楷体" w:hAnsi="楷体" w:eastAsia="楷体" w:cs="楷体"/>
          <w:color w:val="auto"/>
          <w:sz w:val="32"/>
          <w:szCs w:val="32"/>
          <w:highlight w:val="none"/>
        </w:rPr>
        <w:t>（一）污水站运营管理</w:t>
      </w:r>
    </w:p>
    <w:p w14:paraId="12F92FB7">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w:t>
      </w:r>
      <w:r>
        <w:rPr>
          <w:rFonts w:hint="eastAsia" w:ascii="仿宋_GB2312" w:hAnsi="仿宋_GB2312" w:eastAsia="仿宋_GB2312" w:cs="仿宋_GB2312"/>
          <w:b w:val="0"/>
          <w:kern w:val="2"/>
          <w:sz w:val="32"/>
          <w:szCs w:val="32"/>
          <w:highlight w:val="none"/>
          <w:lang w:val="en-US" w:eastAsia="zh-CN" w:bidi="ar-SA"/>
        </w:rPr>
        <w:t>派驻有经验的操作人员</w:t>
      </w:r>
      <w:r>
        <w:rPr>
          <w:rFonts w:hint="eastAsia" w:ascii="仿宋_GB2312" w:hAnsi="仿宋_GB2312" w:eastAsia="仿宋_GB2312" w:cs="仿宋_GB2312"/>
          <w:color w:val="auto"/>
          <w:sz w:val="32"/>
          <w:szCs w:val="32"/>
          <w:highlight w:val="none"/>
        </w:rPr>
        <w:t>对污水站设备进行日常运营、管理和维护。</w:t>
      </w:r>
    </w:p>
    <w:p w14:paraId="2B7BFD65">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2.对污水站在运行过程中存在的问题提供技术指导。</w:t>
      </w:r>
    </w:p>
    <w:p w14:paraId="733F69B6">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3.对操作人员进行相关技能培训。</w:t>
      </w:r>
    </w:p>
    <w:p w14:paraId="330D6832">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4.做好运行记录台帐。</w:t>
      </w:r>
    </w:p>
    <w:p w14:paraId="23488711">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5.对进水水质进行监控处理。</w:t>
      </w:r>
    </w:p>
    <w:p w14:paraId="197BB52D">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6. 日常化验检测、设备校准:监测水质中CODcr、BOD5、SS、NH3-N、总磷、LAS的含量及pH值。</w:t>
      </w:r>
    </w:p>
    <w:p w14:paraId="74CA9EEA">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7.对微生物的生长情况进行镜检和跟踪。</w:t>
      </w:r>
    </w:p>
    <w:p w14:paraId="63896C0E">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8.运营期间化学药剂：运营期间污水处理量按</w:t>
      </w:r>
      <w:r>
        <w:rPr>
          <w:rFonts w:hint="eastAsia" w:ascii="仿宋_GB2312" w:hAnsi="仿宋_GB2312" w:eastAsia="仿宋_GB2312" w:cs="仿宋_GB2312"/>
          <w:color w:val="auto"/>
          <w:sz w:val="32"/>
          <w:szCs w:val="32"/>
          <w:highlight w:val="none"/>
          <w:u w:val="none"/>
          <w:lang w:val="en-US" w:eastAsia="zh-CN"/>
        </w:rPr>
        <w:t>5</w:t>
      </w:r>
      <w:r>
        <w:rPr>
          <w:rFonts w:hint="eastAsia" w:ascii="仿宋_GB2312" w:hAnsi="仿宋_GB2312" w:eastAsia="仿宋_GB2312" w:cs="仿宋_GB2312"/>
          <w:color w:val="auto"/>
          <w:sz w:val="32"/>
          <w:szCs w:val="32"/>
          <w:highlight w:val="none"/>
          <w:u w:val="none"/>
        </w:rPr>
        <w:t>00</w:t>
      </w:r>
      <w:r>
        <w:rPr>
          <w:rFonts w:hint="eastAsia" w:ascii="仿宋_GB2312" w:hAnsi="仿宋_GB2312" w:eastAsia="仿宋_GB2312" w:cs="仿宋_GB2312"/>
          <w:sz w:val="32"/>
          <w:szCs w:val="32"/>
          <w:highlight w:val="none"/>
          <w:u w:val="none"/>
        </w:rPr>
        <w:t>m³</w:t>
      </w:r>
      <w:r>
        <w:rPr>
          <w:rFonts w:hint="eastAsia" w:ascii="仿宋_GB2312" w:hAnsi="仿宋_GB2312" w:eastAsia="仿宋_GB2312" w:cs="仿宋_GB2312"/>
          <w:color w:val="auto"/>
          <w:sz w:val="32"/>
          <w:szCs w:val="32"/>
          <w:highlight w:val="none"/>
          <w:u w:val="none"/>
        </w:rPr>
        <w:t>/d</w:t>
      </w:r>
      <w:r>
        <w:rPr>
          <w:rFonts w:hint="eastAsia" w:ascii="仿宋_GB2312" w:hAnsi="仿宋_GB2312" w:eastAsia="仿宋_GB2312" w:cs="仿宋_GB2312"/>
          <w:color w:val="auto"/>
          <w:sz w:val="32"/>
          <w:szCs w:val="32"/>
          <w:highlight w:val="none"/>
        </w:rPr>
        <w:t>计算，由</w:t>
      </w:r>
      <w:r>
        <w:rPr>
          <w:rFonts w:hint="eastAsia" w:ascii="仿宋_GB2312" w:hAnsi="仿宋_GB2312" w:eastAsia="仿宋_GB2312" w:cs="仿宋_GB2312"/>
          <w:color w:val="auto"/>
          <w:sz w:val="32"/>
          <w:szCs w:val="32"/>
          <w:highlight w:val="none"/>
          <w:u w:val="none"/>
        </w:rPr>
        <w:t>乙方</w:t>
      </w:r>
      <w:r>
        <w:rPr>
          <w:rFonts w:hint="eastAsia" w:ascii="仿宋_GB2312" w:hAnsi="仿宋_GB2312" w:eastAsia="仿宋_GB2312" w:cs="仿宋_GB2312"/>
          <w:color w:val="auto"/>
          <w:sz w:val="32"/>
          <w:szCs w:val="32"/>
          <w:highlight w:val="none"/>
        </w:rPr>
        <w:t>承担污水站运营过程中产生的化学药剂费用。</w:t>
      </w:r>
    </w:p>
    <w:p w14:paraId="72A5FFFF">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9.</w:t>
      </w:r>
      <w:r>
        <w:rPr>
          <w:rFonts w:hint="eastAsia" w:ascii="仿宋_GB2312" w:hAnsi="仿宋_GB2312" w:eastAsia="仿宋_GB2312" w:cs="仿宋_GB2312"/>
          <w:kern w:val="2"/>
          <w:sz w:val="32"/>
          <w:szCs w:val="32"/>
          <w:highlight w:val="none"/>
          <w:lang w:val="en-US" w:eastAsia="zh-CN" w:bidi="ar-SA"/>
        </w:rPr>
        <w:t>污泥处置：本项目污泥处置费用由乙方负责，要求采用合法合规的处置方式。</w:t>
      </w:r>
    </w:p>
    <w:p w14:paraId="19F82FFC">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楷体" w:hAnsi="楷体" w:eastAsia="楷体" w:cs="楷体"/>
          <w:color w:val="auto"/>
          <w:sz w:val="32"/>
          <w:szCs w:val="32"/>
          <w:highlight w:val="none"/>
        </w:rPr>
      </w:pPr>
      <w:r>
        <w:rPr>
          <w:rFonts w:hint="eastAsia" w:ascii="楷体" w:hAnsi="楷体" w:eastAsia="楷体" w:cs="楷体"/>
          <w:color w:val="auto"/>
          <w:sz w:val="32"/>
          <w:szCs w:val="32"/>
          <w:highlight w:val="none"/>
          <w:lang w:eastAsia="zh-CN"/>
        </w:rPr>
        <w:t>（</w:t>
      </w:r>
      <w:r>
        <w:rPr>
          <w:rFonts w:hint="eastAsia" w:ascii="楷体" w:hAnsi="楷体" w:eastAsia="楷体" w:cs="楷体"/>
          <w:color w:val="auto"/>
          <w:sz w:val="32"/>
          <w:szCs w:val="32"/>
          <w:highlight w:val="none"/>
        </w:rPr>
        <w:t>二</w:t>
      </w:r>
      <w:r>
        <w:rPr>
          <w:rFonts w:hint="eastAsia" w:ascii="楷体" w:hAnsi="楷体" w:eastAsia="楷体" w:cs="楷体"/>
          <w:color w:val="auto"/>
          <w:sz w:val="32"/>
          <w:szCs w:val="32"/>
          <w:highlight w:val="none"/>
          <w:lang w:eastAsia="zh-CN"/>
        </w:rPr>
        <w:t>）</w:t>
      </w:r>
      <w:r>
        <w:rPr>
          <w:rFonts w:hint="eastAsia" w:ascii="楷体" w:hAnsi="楷体" w:eastAsia="楷体" w:cs="楷体"/>
          <w:color w:val="auto"/>
          <w:sz w:val="32"/>
          <w:szCs w:val="32"/>
          <w:highlight w:val="none"/>
        </w:rPr>
        <w:t>污水站在线监测运营服务</w:t>
      </w:r>
    </w:p>
    <w:p w14:paraId="0405C35E">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w:t>
      </w:r>
      <w:r>
        <w:rPr>
          <w:rFonts w:hint="eastAsia" w:ascii="仿宋_GB2312" w:hAnsi="仿宋_GB2312" w:eastAsia="仿宋_GB2312" w:cs="仿宋_GB2312"/>
          <w:b w:val="0"/>
          <w:kern w:val="2"/>
          <w:sz w:val="32"/>
          <w:szCs w:val="32"/>
          <w:highlight w:val="none"/>
          <w:lang w:val="en-US" w:eastAsia="zh-CN" w:bidi="ar-SA"/>
        </w:rPr>
        <w:t>派驻专业技术人员</w:t>
      </w:r>
      <w:r>
        <w:rPr>
          <w:rFonts w:hint="eastAsia" w:ascii="仿宋_GB2312" w:hAnsi="仿宋_GB2312" w:eastAsia="仿宋_GB2312" w:cs="仿宋_GB2312"/>
          <w:color w:val="auto"/>
          <w:sz w:val="32"/>
          <w:szCs w:val="32"/>
          <w:highlight w:val="none"/>
        </w:rPr>
        <w:t>对污水站在线监测设备进行日常运营、管理。</w:t>
      </w:r>
    </w:p>
    <w:p w14:paraId="22D6F768">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w:t>
      </w:r>
      <w:r>
        <w:rPr>
          <w:rFonts w:hint="eastAsia" w:ascii="仿宋_GB2312" w:hAnsi="仿宋_GB2312" w:eastAsia="仿宋_GB2312" w:cs="仿宋_GB2312"/>
          <w:b w:val="0"/>
          <w:kern w:val="2"/>
          <w:sz w:val="32"/>
          <w:szCs w:val="32"/>
          <w:highlight w:val="none"/>
          <w:lang w:val="en-US" w:eastAsia="zh-CN" w:bidi="ar-SA"/>
        </w:rPr>
        <w:t>及时</w:t>
      </w:r>
      <w:r>
        <w:rPr>
          <w:rFonts w:hint="eastAsia" w:ascii="仿宋_GB2312" w:hAnsi="仿宋_GB2312" w:eastAsia="仿宋_GB2312" w:cs="仿宋_GB2312"/>
          <w:color w:val="auto"/>
          <w:sz w:val="32"/>
          <w:szCs w:val="32"/>
          <w:highlight w:val="none"/>
        </w:rPr>
        <w:t>配合环保部门的例行监测、检查</w:t>
      </w:r>
      <w:r>
        <w:rPr>
          <w:rFonts w:hint="eastAsia" w:ascii="仿宋_GB2312" w:hAnsi="仿宋_GB2312" w:eastAsia="仿宋_GB2312" w:cs="仿宋_GB2312"/>
          <w:b w:val="0"/>
          <w:kern w:val="2"/>
          <w:sz w:val="32"/>
          <w:szCs w:val="32"/>
          <w:highlight w:val="none"/>
          <w:lang w:val="en-US" w:eastAsia="zh-CN" w:bidi="ar-SA"/>
        </w:rPr>
        <w:t>；做好台账记录</w:t>
      </w:r>
      <w:r>
        <w:rPr>
          <w:rFonts w:hint="eastAsia" w:ascii="仿宋_GB2312" w:hAnsi="仿宋_GB2312" w:eastAsia="仿宋_GB2312" w:cs="仿宋_GB2312"/>
          <w:color w:val="auto"/>
          <w:sz w:val="32"/>
          <w:szCs w:val="32"/>
          <w:highlight w:val="none"/>
        </w:rPr>
        <w:t>。</w:t>
      </w:r>
    </w:p>
    <w:p w14:paraId="785D116A">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color w:val="auto"/>
          <w:sz w:val="32"/>
          <w:szCs w:val="32"/>
          <w:highlight w:val="none"/>
        </w:rPr>
        <w:t>3.废液处置：</w:t>
      </w:r>
      <w:r>
        <w:rPr>
          <w:rFonts w:hint="eastAsia" w:ascii="仿宋_GB2312" w:hAnsi="仿宋_GB2312" w:eastAsia="仿宋_GB2312" w:cs="仿宋_GB2312"/>
          <w:kern w:val="2"/>
          <w:sz w:val="32"/>
          <w:szCs w:val="32"/>
          <w:highlight w:val="none"/>
          <w:lang w:val="en-US" w:eastAsia="zh-CN" w:bidi="ar-SA"/>
        </w:rPr>
        <w:t>在线监测设备产生的废液处置采用定期交由</w:t>
      </w:r>
      <w:r>
        <w:rPr>
          <w:rFonts w:hint="eastAsia" w:ascii="仿宋_GB2312" w:hAnsi="仿宋_GB2312" w:eastAsia="仿宋_GB2312" w:cs="仿宋_GB2312"/>
          <w:b w:val="0"/>
          <w:kern w:val="2"/>
          <w:sz w:val="32"/>
          <w:szCs w:val="32"/>
          <w:highlight w:val="none"/>
          <w:lang w:val="en-US" w:eastAsia="zh-CN" w:bidi="ar-SA"/>
        </w:rPr>
        <w:t>具备相关</w:t>
      </w:r>
      <w:r>
        <w:rPr>
          <w:rFonts w:hint="eastAsia" w:ascii="仿宋_GB2312" w:hAnsi="仿宋_GB2312" w:eastAsia="仿宋_GB2312" w:cs="仿宋_GB2312"/>
          <w:kern w:val="2"/>
          <w:sz w:val="32"/>
          <w:szCs w:val="32"/>
          <w:highlight w:val="none"/>
          <w:lang w:val="en-US" w:eastAsia="zh-CN" w:bidi="ar-SA"/>
        </w:rPr>
        <w:t>资质的单位外运处理的方式。运输费用由乙方承担，处置费用由乙方承担。</w:t>
      </w:r>
    </w:p>
    <w:p w14:paraId="4B75296C">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4. 运营期间化学药剂：由</w:t>
      </w:r>
      <w:r>
        <w:rPr>
          <w:rFonts w:hint="eastAsia" w:ascii="仿宋_GB2312" w:hAnsi="仿宋_GB2312" w:eastAsia="仿宋_GB2312" w:cs="仿宋_GB2312"/>
          <w:color w:val="auto"/>
          <w:sz w:val="32"/>
          <w:szCs w:val="32"/>
          <w:highlight w:val="none"/>
          <w:lang w:val="en-US" w:eastAsia="zh-CN"/>
        </w:rPr>
        <w:t>乙</w:t>
      </w:r>
      <w:r>
        <w:rPr>
          <w:rFonts w:hint="eastAsia" w:ascii="仿宋_GB2312" w:hAnsi="仿宋_GB2312" w:eastAsia="仿宋_GB2312" w:cs="仿宋_GB2312"/>
          <w:color w:val="auto"/>
          <w:sz w:val="32"/>
          <w:szCs w:val="32"/>
          <w:highlight w:val="none"/>
        </w:rPr>
        <w:t>方承担COD、氨氮在线监测设备运营过程中产生的化学药剂费用。</w:t>
      </w:r>
    </w:p>
    <w:p w14:paraId="07E751B8">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楷体" w:hAnsi="楷体" w:eastAsia="楷体" w:cs="楷体"/>
          <w:color w:val="auto"/>
          <w:sz w:val="32"/>
          <w:szCs w:val="32"/>
          <w:highlight w:val="none"/>
        </w:rPr>
      </w:pPr>
      <w:r>
        <w:rPr>
          <w:rFonts w:hint="eastAsia" w:ascii="楷体" w:hAnsi="楷体" w:eastAsia="楷体" w:cs="楷体"/>
          <w:color w:val="auto"/>
          <w:sz w:val="32"/>
          <w:szCs w:val="32"/>
          <w:highlight w:val="none"/>
          <w:lang w:eastAsia="zh-CN"/>
        </w:rPr>
        <w:t>（</w:t>
      </w:r>
      <w:r>
        <w:rPr>
          <w:rFonts w:hint="eastAsia" w:ascii="楷体" w:hAnsi="楷体" w:eastAsia="楷体" w:cs="楷体"/>
          <w:color w:val="auto"/>
          <w:sz w:val="32"/>
          <w:szCs w:val="32"/>
          <w:highlight w:val="none"/>
        </w:rPr>
        <w:t>三</w:t>
      </w:r>
      <w:r>
        <w:rPr>
          <w:rFonts w:hint="eastAsia" w:ascii="楷体" w:hAnsi="楷体" w:eastAsia="楷体" w:cs="楷体"/>
          <w:color w:val="auto"/>
          <w:sz w:val="32"/>
          <w:szCs w:val="32"/>
          <w:highlight w:val="none"/>
          <w:lang w:eastAsia="zh-CN"/>
        </w:rPr>
        <w:t>）</w:t>
      </w:r>
      <w:r>
        <w:rPr>
          <w:rFonts w:hint="eastAsia" w:ascii="楷体" w:hAnsi="楷体" w:eastAsia="楷体" w:cs="楷体"/>
          <w:color w:val="auto"/>
          <w:sz w:val="32"/>
          <w:szCs w:val="32"/>
          <w:highlight w:val="none"/>
        </w:rPr>
        <w:t>污水站在线监测维护保养服务</w:t>
      </w:r>
    </w:p>
    <w:p w14:paraId="512CA9F7">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800" w:firstLineChars="25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1.定期对污水站在线监测设备进行校准、保养维护。</w:t>
      </w:r>
    </w:p>
    <w:p w14:paraId="3BB9B331">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800" w:firstLineChars="25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2.负责</w:t>
      </w:r>
      <w:r>
        <w:rPr>
          <w:rFonts w:hint="eastAsia" w:ascii="仿宋_GB2312" w:hAnsi="仿宋_GB2312" w:eastAsia="仿宋_GB2312" w:cs="仿宋_GB2312"/>
          <w:b w:val="0"/>
          <w:kern w:val="2"/>
          <w:sz w:val="32"/>
          <w:szCs w:val="32"/>
          <w:highlight w:val="none"/>
          <w:lang w:val="en-US" w:eastAsia="zh-CN" w:bidi="ar-SA"/>
        </w:rPr>
        <w:t>在线监测</w:t>
      </w:r>
      <w:r>
        <w:rPr>
          <w:rFonts w:hint="eastAsia" w:ascii="仿宋_GB2312" w:hAnsi="仿宋_GB2312" w:eastAsia="仿宋_GB2312" w:cs="仿宋_GB2312"/>
          <w:color w:val="auto"/>
          <w:sz w:val="32"/>
          <w:szCs w:val="32"/>
          <w:highlight w:val="none"/>
        </w:rPr>
        <w:t>设备的计量校准工作。</w:t>
      </w:r>
    </w:p>
    <w:p w14:paraId="57A3D2DC">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800" w:firstLineChars="25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3.定期对现场的操作人员进行培训，使操作人员能够熟练上岗操作。</w:t>
      </w:r>
    </w:p>
    <w:p w14:paraId="3327F0C4">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800" w:firstLineChars="25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4.固体废物监控工程线路接入维护。</w:t>
      </w:r>
    </w:p>
    <w:p w14:paraId="79AABF33">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楷体" w:hAnsi="楷体" w:eastAsia="楷体" w:cs="楷体"/>
          <w:color w:val="auto"/>
          <w:sz w:val="32"/>
          <w:szCs w:val="32"/>
          <w:highlight w:val="none"/>
        </w:rPr>
        <w:t>（四）项目用水用电：</w:t>
      </w:r>
      <w:r>
        <w:rPr>
          <w:rFonts w:hint="eastAsia" w:ascii="仿宋_GB2312" w:hAnsi="仿宋_GB2312" w:eastAsia="仿宋_GB2312" w:cs="仿宋_GB2312"/>
          <w:color w:val="auto"/>
          <w:sz w:val="32"/>
          <w:szCs w:val="32"/>
          <w:highlight w:val="none"/>
        </w:rPr>
        <w:t>该污水站用水用电由</w:t>
      </w:r>
      <w:r>
        <w:rPr>
          <w:rFonts w:hint="eastAsia" w:ascii="仿宋_GB2312" w:hAnsi="仿宋_GB2312" w:eastAsia="仿宋_GB2312" w:cs="仿宋_GB2312"/>
          <w:color w:val="auto"/>
          <w:sz w:val="32"/>
          <w:szCs w:val="32"/>
          <w:highlight w:val="none"/>
          <w:lang w:eastAsia="zh-CN"/>
        </w:rPr>
        <w:t>甲方</w:t>
      </w:r>
      <w:r>
        <w:rPr>
          <w:rFonts w:hint="eastAsia" w:ascii="仿宋_GB2312" w:hAnsi="仿宋_GB2312" w:eastAsia="仿宋_GB2312" w:cs="仿宋_GB2312"/>
          <w:color w:val="auto"/>
          <w:sz w:val="32"/>
          <w:szCs w:val="32"/>
          <w:highlight w:val="none"/>
        </w:rPr>
        <w:t>提供。</w:t>
      </w:r>
    </w:p>
    <w:p w14:paraId="32C21825">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楷体" w:hAnsi="楷体" w:eastAsia="楷体" w:cs="楷体"/>
          <w:color w:val="auto"/>
          <w:sz w:val="32"/>
          <w:szCs w:val="32"/>
          <w:highlight w:val="none"/>
        </w:rPr>
      </w:pPr>
      <w:r>
        <w:rPr>
          <w:rFonts w:hint="eastAsia" w:ascii="楷体" w:hAnsi="楷体" w:eastAsia="楷体" w:cs="楷体"/>
          <w:color w:val="auto"/>
          <w:sz w:val="32"/>
          <w:szCs w:val="32"/>
          <w:highlight w:val="none"/>
        </w:rPr>
        <w:t>（五）满足污水站运维需要的基础设施。</w:t>
      </w:r>
    </w:p>
    <w:p w14:paraId="25EA2AAE">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第五条 </w:t>
      </w:r>
      <w:r>
        <w:rPr>
          <w:rFonts w:hint="eastAsia" w:ascii="仿宋_GB2312" w:hAnsi="仿宋_GB2312" w:eastAsia="仿宋_GB2312" w:cs="仿宋_GB2312"/>
          <w:color w:val="auto"/>
          <w:sz w:val="32"/>
          <w:szCs w:val="32"/>
          <w:highlight w:val="none"/>
          <w:lang w:val="en-US" w:eastAsia="zh-CN"/>
        </w:rPr>
        <w:t>运营</w:t>
      </w:r>
      <w:r>
        <w:rPr>
          <w:rFonts w:hint="eastAsia" w:ascii="仿宋_GB2312" w:hAnsi="仿宋_GB2312" w:eastAsia="仿宋_GB2312" w:cs="仿宋_GB2312"/>
          <w:color w:val="auto"/>
          <w:sz w:val="32"/>
          <w:szCs w:val="32"/>
          <w:highlight w:val="none"/>
        </w:rPr>
        <w:t>服务要求</w:t>
      </w:r>
    </w:p>
    <w:p w14:paraId="4A10266E">
      <w:pPr>
        <w:pStyle w:val="25"/>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 w:hAnsi="仿宋" w:eastAsia="仿宋" w:cs="仿宋"/>
          <w:b/>
          <w:bCs/>
          <w:color w:val="auto"/>
          <w:sz w:val="32"/>
          <w:szCs w:val="32"/>
          <w:highlight w:val="none"/>
        </w:rPr>
      </w:pPr>
      <w:r>
        <w:rPr>
          <w:rFonts w:hint="eastAsia" w:ascii="仿宋_GB2312" w:hAnsi="仿宋_GB2312" w:eastAsia="仿宋_GB2312" w:cs="仿宋_GB2312"/>
          <w:color w:val="auto"/>
          <w:sz w:val="32"/>
          <w:szCs w:val="32"/>
          <w:highlight w:val="none"/>
          <w:lang w:eastAsia="zh-CN"/>
        </w:rPr>
        <w:t>（一）</w:t>
      </w:r>
      <w:r>
        <w:rPr>
          <w:rFonts w:hint="eastAsia" w:ascii="仿宋_GB2312" w:hAnsi="仿宋_GB2312" w:eastAsia="仿宋_GB2312" w:cs="仿宋_GB2312"/>
          <w:color w:val="auto"/>
          <w:sz w:val="32"/>
          <w:szCs w:val="32"/>
          <w:highlight w:val="none"/>
        </w:rPr>
        <w:t>保障园区内的污水排放处理达到《城镇污水处理厂污染物排放标准》（GB18918-2002）一级标准B标准及《广东省水污染排放限值》</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DB44/26-2001</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b w:val="0"/>
          <w:kern w:val="2"/>
          <w:sz w:val="32"/>
          <w:szCs w:val="32"/>
          <w:highlight w:val="none"/>
          <w:lang w:val="en-US" w:eastAsia="zh-CN" w:bidi="ar-SA"/>
        </w:rPr>
        <w:t>第二时段一级标准</w:t>
      </w:r>
      <w:r>
        <w:rPr>
          <w:rFonts w:hint="eastAsia" w:ascii="仿宋_GB2312" w:hAnsi="仿宋_GB2312" w:eastAsia="仿宋_GB2312" w:cs="仿宋_GB2312"/>
          <w:color w:val="auto"/>
          <w:sz w:val="32"/>
          <w:szCs w:val="32"/>
          <w:highlight w:val="none"/>
        </w:rPr>
        <w:t>。</w:t>
      </w:r>
    </w:p>
    <w:p w14:paraId="3CD8022D">
      <w:pPr>
        <w:pStyle w:val="25"/>
        <w:pageBreakBefore w:val="0"/>
        <w:kinsoku/>
        <w:wordWrap/>
        <w:overflowPunct/>
        <w:topLinePunct w:val="0"/>
        <w:bidi w:val="0"/>
        <w:spacing w:beforeAutospacing="0" w:line="440" w:lineRule="exact"/>
        <w:ind w:firstLine="480"/>
        <w:jc w:val="center"/>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进水水质参考及排放标准</w:t>
      </w:r>
    </w:p>
    <w:tbl>
      <w:tblPr>
        <w:tblStyle w:val="12"/>
        <w:tblW w:w="8789" w:type="dxa"/>
        <w:jc w:val="center"/>
        <w:tblLayout w:type="fixed"/>
        <w:tblCellMar>
          <w:top w:w="0" w:type="dxa"/>
          <w:left w:w="108" w:type="dxa"/>
          <w:bottom w:w="0" w:type="dxa"/>
          <w:right w:w="108" w:type="dxa"/>
        </w:tblCellMar>
      </w:tblPr>
      <w:tblGrid>
        <w:gridCol w:w="1244"/>
        <w:gridCol w:w="1024"/>
        <w:gridCol w:w="1276"/>
        <w:gridCol w:w="1276"/>
        <w:gridCol w:w="1276"/>
        <w:gridCol w:w="1275"/>
        <w:gridCol w:w="1418"/>
      </w:tblGrid>
      <w:tr w14:paraId="6D411D3E">
        <w:tblPrEx>
          <w:tblCellMar>
            <w:top w:w="0" w:type="dxa"/>
            <w:left w:w="108" w:type="dxa"/>
            <w:bottom w:w="0" w:type="dxa"/>
            <w:right w:w="108" w:type="dxa"/>
          </w:tblCellMar>
        </w:tblPrEx>
        <w:trPr>
          <w:trHeight w:val="397" w:hRule="atLeast"/>
          <w:jc w:val="center"/>
        </w:trPr>
        <w:tc>
          <w:tcPr>
            <w:tcW w:w="1244" w:type="dxa"/>
            <w:tcBorders>
              <w:top w:val="single" w:color="008000" w:sz="12" w:space="0"/>
              <w:bottom w:val="single" w:color="auto" w:sz="4" w:space="0"/>
              <w:right w:val="single" w:color="auto" w:sz="4" w:space="0"/>
            </w:tcBorders>
            <w:vAlign w:val="center"/>
          </w:tcPr>
          <w:p w14:paraId="1CB69864">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项目</w:t>
            </w:r>
          </w:p>
        </w:tc>
        <w:tc>
          <w:tcPr>
            <w:tcW w:w="1024" w:type="dxa"/>
            <w:tcBorders>
              <w:top w:val="single" w:color="008000" w:sz="12" w:space="0"/>
              <w:left w:val="single" w:color="auto" w:sz="4" w:space="0"/>
              <w:bottom w:val="single" w:color="auto" w:sz="4" w:space="0"/>
              <w:right w:val="single" w:color="auto" w:sz="4" w:space="0"/>
            </w:tcBorders>
            <w:vAlign w:val="center"/>
          </w:tcPr>
          <w:p w14:paraId="7F088EDB">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pH</w:t>
            </w:r>
          </w:p>
        </w:tc>
        <w:tc>
          <w:tcPr>
            <w:tcW w:w="1276" w:type="dxa"/>
            <w:tcBorders>
              <w:top w:val="single" w:color="008000" w:sz="12" w:space="0"/>
              <w:left w:val="single" w:color="auto" w:sz="4" w:space="0"/>
              <w:bottom w:val="single" w:color="auto" w:sz="4" w:space="0"/>
              <w:right w:val="single" w:color="auto" w:sz="4" w:space="0"/>
            </w:tcBorders>
            <w:vAlign w:val="center"/>
          </w:tcPr>
          <w:p w14:paraId="5595387B">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0"/>
                <w:szCs w:val="30"/>
                <w:highlight w:val="none"/>
                <w:vertAlign w:val="subscript"/>
              </w:rPr>
            </w:pPr>
            <w:r>
              <w:rPr>
                <w:rFonts w:hint="eastAsia" w:ascii="仿宋" w:hAnsi="仿宋" w:eastAsia="仿宋" w:cs="仿宋"/>
                <w:color w:val="auto"/>
                <w:sz w:val="30"/>
                <w:szCs w:val="30"/>
                <w:highlight w:val="none"/>
              </w:rPr>
              <w:t>COD</w:t>
            </w:r>
            <w:r>
              <w:rPr>
                <w:rFonts w:hint="eastAsia" w:ascii="仿宋" w:hAnsi="仿宋" w:eastAsia="仿宋" w:cs="仿宋"/>
                <w:color w:val="auto"/>
                <w:sz w:val="30"/>
                <w:szCs w:val="30"/>
                <w:highlight w:val="none"/>
                <w:vertAlign w:val="subscript"/>
              </w:rPr>
              <w:t>Cr</w:t>
            </w:r>
            <w:r>
              <w:rPr>
                <w:rFonts w:hint="eastAsia" w:ascii="仿宋" w:hAnsi="仿宋" w:eastAsia="仿宋" w:cs="仿宋"/>
                <w:color w:val="auto"/>
                <w:sz w:val="30"/>
                <w:szCs w:val="30"/>
                <w:highlight w:val="none"/>
              </w:rPr>
              <w:t>（mg/L）</w:t>
            </w:r>
          </w:p>
        </w:tc>
        <w:tc>
          <w:tcPr>
            <w:tcW w:w="1276" w:type="dxa"/>
            <w:tcBorders>
              <w:top w:val="single" w:color="008000" w:sz="12" w:space="0"/>
              <w:left w:val="single" w:color="auto" w:sz="4" w:space="0"/>
              <w:bottom w:val="single" w:color="auto" w:sz="4" w:space="0"/>
              <w:right w:val="single" w:color="auto" w:sz="4" w:space="0"/>
            </w:tcBorders>
            <w:vAlign w:val="center"/>
          </w:tcPr>
          <w:p w14:paraId="2C48D272">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BOD（mg/L）</w:t>
            </w:r>
          </w:p>
        </w:tc>
        <w:tc>
          <w:tcPr>
            <w:tcW w:w="1276" w:type="dxa"/>
            <w:tcBorders>
              <w:top w:val="single" w:color="008000" w:sz="12" w:space="0"/>
              <w:left w:val="single" w:color="auto" w:sz="4" w:space="0"/>
              <w:bottom w:val="single" w:color="auto" w:sz="4" w:space="0"/>
              <w:right w:val="single" w:color="auto" w:sz="4" w:space="0"/>
            </w:tcBorders>
            <w:vAlign w:val="center"/>
          </w:tcPr>
          <w:p w14:paraId="58368610">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SS（mg/L）</w:t>
            </w:r>
          </w:p>
        </w:tc>
        <w:tc>
          <w:tcPr>
            <w:tcW w:w="1275" w:type="dxa"/>
            <w:tcBorders>
              <w:top w:val="single" w:color="008000" w:sz="12" w:space="0"/>
              <w:left w:val="single" w:color="auto" w:sz="4" w:space="0"/>
              <w:bottom w:val="single" w:color="auto" w:sz="4" w:space="0"/>
              <w:right w:val="single" w:color="auto" w:sz="4" w:space="0"/>
            </w:tcBorders>
            <w:vAlign w:val="center"/>
          </w:tcPr>
          <w:p w14:paraId="0AA13243">
            <w:pPr>
              <w:pStyle w:val="26"/>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NH</w:t>
            </w:r>
            <w:r>
              <w:rPr>
                <w:rFonts w:hint="eastAsia" w:ascii="仿宋" w:hAnsi="仿宋" w:eastAsia="仿宋" w:cs="仿宋"/>
                <w:color w:val="auto"/>
                <w:sz w:val="30"/>
                <w:szCs w:val="30"/>
                <w:highlight w:val="none"/>
                <w:vertAlign w:val="subscript"/>
              </w:rPr>
              <w:t>3</w:t>
            </w:r>
            <w:r>
              <w:rPr>
                <w:rFonts w:hint="eastAsia" w:ascii="仿宋" w:hAnsi="仿宋" w:eastAsia="仿宋" w:cs="仿宋"/>
                <w:color w:val="auto"/>
                <w:sz w:val="30"/>
                <w:szCs w:val="30"/>
                <w:highlight w:val="none"/>
              </w:rPr>
              <w:t>-N（mg/L）</w:t>
            </w:r>
          </w:p>
        </w:tc>
        <w:tc>
          <w:tcPr>
            <w:tcW w:w="1418" w:type="dxa"/>
            <w:tcBorders>
              <w:top w:val="single" w:color="008000" w:sz="12" w:space="0"/>
              <w:left w:val="single" w:color="auto" w:sz="4" w:space="0"/>
              <w:bottom w:val="single" w:color="auto" w:sz="4" w:space="0"/>
            </w:tcBorders>
            <w:vAlign w:val="center"/>
          </w:tcPr>
          <w:p w14:paraId="5D3FCFE6">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总磷</w:t>
            </w:r>
          </w:p>
          <w:p w14:paraId="4985680B">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（mg/L）</w:t>
            </w:r>
          </w:p>
        </w:tc>
      </w:tr>
      <w:tr w14:paraId="7E00FEE1">
        <w:tblPrEx>
          <w:tblCellMar>
            <w:top w:w="0" w:type="dxa"/>
            <w:left w:w="108" w:type="dxa"/>
            <w:bottom w:w="0" w:type="dxa"/>
            <w:right w:w="108" w:type="dxa"/>
          </w:tblCellMar>
        </w:tblPrEx>
        <w:trPr>
          <w:trHeight w:val="397" w:hRule="atLeast"/>
          <w:jc w:val="center"/>
        </w:trPr>
        <w:tc>
          <w:tcPr>
            <w:tcW w:w="1244" w:type="dxa"/>
            <w:tcBorders>
              <w:top w:val="single" w:color="auto" w:sz="4" w:space="0"/>
              <w:bottom w:val="single" w:color="auto" w:sz="4" w:space="0"/>
              <w:right w:val="single" w:color="auto" w:sz="4" w:space="0"/>
            </w:tcBorders>
            <w:vAlign w:val="center"/>
          </w:tcPr>
          <w:p w14:paraId="2D04FEEA">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设计水质</w:t>
            </w:r>
          </w:p>
        </w:tc>
        <w:tc>
          <w:tcPr>
            <w:tcW w:w="1024" w:type="dxa"/>
            <w:tcBorders>
              <w:top w:val="single" w:color="auto" w:sz="4" w:space="0"/>
              <w:left w:val="single" w:color="auto" w:sz="4" w:space="0"/>
              <w:bottom w:val="single" w:color="auto" w:sz="4" w:space="0"/>
              <w:right w:val="single" w:color="auto" w:sz="4" w:space="0"/>
            </w:tcBorders>
            <w:vAlign w:val="center"/>
          </w:tcPr>
          <w:p w14:paraId="174D707D">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6-9</w:t>
            </w:r>
          </w:p>
        </w:tc>
        <w:tc>
          <w:tcPr>
            <w:tcW w:w="1276" w:type="dxa"/>
            <w:tcBorders>
              <w:top w:val="single" w:color="auto" w:sz="4" w:space="0"/>
              <w:left w:val="single" w:color="auto" w:sz="4" w:space="0"/>
              <w:bottom w:val="single" w:color="auto" w:sz="4" w:space="0"/>
              <w:right w:val="single" w:color="auto" w:sz="4" w:space="0"/>
            </w:tcBorders>
            <w:vAlign w:val="center"/>
          </w:tcPr>
          <w:p w14:paraId="6FCE546A">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300</w:t>
            </w:r>
          </w:p>
        </w:tc>
        <w:tc>
          <w:tcPr>
            <w:tcW w:w="1276" w:type="dxa"/>
            <w:tcBorders>
              <w:top w:val="single" w:color="auto" w:sz="4" w:space="0"/>
              <w:left w:val="single" w:color="auto" w:sz="4" w:space="0"/>
              <w:bottom w:val="single" w:color="auto" w:sz="4" w:space="0"/>
              <w:right w:val="single" w:color="auto" w:sz="4" w:space="0"/>
            </w:tcBorders>
            <w:vAlign w:val="center"/>
          </w:tcPr>
          <w:p w14:paraId="407B334C">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150</w:t>
            </w:r>
          </w:p>
        </w:tc>
        <w:tc>
          <w:tcPr>
            <w:tcW w:w="1276" w:type="dxa"/>
            <w:tcBorders>
              <w:top w:val="single" w:color="auto" w:sz="4" w:space="0"/>
              <w:left w:val="single" w:color="auto" w:sz="4" w:space="0"/>
              <w:bottom w:val="single" w:color="auto" w:sz="4" w:space="0"/>
              <w:right w:val="single" w:color="auto" w:sz="4" w:space="0"/>
            </w:tcBorders>
            <w:vAlign w:val="center"/>
          </w:tcPr>
          <w:p w14:paraId="0C5496F5">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200</w:t>
            </w:r>
          </w:p>
        </w:tc>
        <w:tc>
          <w:tcPr>
            <w:tcW w:w="1275" w:type="dxa"/>
            <w:tcBorders>
              <w:top w:val="single" w:color="auto" w:sz="4" w:space="0"/>
              <w:left w:val="single" w:color="auto" w:sz="4" w:space="0"/>
              <w:bottom w:val="single" w:color="auto" w:sz="4" w:space="0"/>
              <w:right w:val="single" w:color="auto" w:sz="4" w:space="0"/>
            </w:tcBorders>
            <w:vAlign w:val="center"/>
          </w:tcPr>
          <w:p w14:paraId="35202B30">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30</w:t>
            </w:r>
          </w:p>
        </w:tc>
        <w:tc>
          <w:tcPr>
            <w:tcW w:w="1418" w:type="dxa"/>
            <w:tcBorders>
              <w:top w:val="single" w:color="auto" w:sz="4" w:space="0"/>
              <w:left w:val="single" w:color="auto" w:sz="4" w:space="0"/>
              <w:bottom w:val="single" w:color="auto" w:sz="4" w:space="0"/>
            </w:tcBorders>
            <w:vAlign w:val="center"/>
          </w:tcPr>
          <w:p w14:paraId="527B8491">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5</w:t>
            </w:r>
          </w:p>
        </w:tc>
      </w:tr>
      <w:tr w14:paraId="10FDDB21">
        <w:tblPrEx>
          <w:tblCellMar>
            <w:top w:w="0" w:type="dxa"/>
            <w:left w:w="108" w:type="dxa"/>
            <w:bottom w:w="0" w:type="dxa"/>
            <w:right w:w="108" w:type="dxa"/>
          </w:tblCellMar>
        </w:tblPrEx>
        <w:trPr>
          <w:trHeight w:val="397" w:hRule="atLeast"/>
          <w:jc w:val="center"/>
        </w:trPr>
        <w:tc>
          <w:tcPr>
            <w:tcW w:w="1244" w:type="dxa"/>
            <w:tcBorders>
              <w:top w:val="single" w:color="auto" w:sz="4" w:space="0"/>
              <w:bottom w:val="single" w:color="008000" w:sz="12" w:space="0"/>
              <w:right w:val="single" w:color="auto" w:sz="4" w:space="0"/>
            </w:tcBorders>
            <w:vAlign w:val="center"/>
          </w:tcPr>
          <w:p w14:paraId="4E746BAA">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排放标准</w:t>
            </w:r>
          </w:p>
        </w:tc>
        <w:tc>
          <w:tcPr>
            <w:tcW w:w="1024" w:type="dxa"/>
            <w:tcBorders>
              <w:top w:val="single" w:color="auto" w:sz="4" w:space="0"/>
              <w:left w:val="single" w:color="auto" w:sz="4" w:space="0"/>
              <w:bottom w:val="single" w:color="008000" w:sz="12" w:space="0"/>
              <w:right w:val="single" w:color="auto" w:sz="4" w:space="0"/>
            </w:tcBorders>
            <w:vAlign w:val="center"/>
          </w:tcPr>
          <w:p w14:paraId="68EC60B6">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6-9</w:t>
            </w:r>
          </w:p>
        </w:tc>
        <w:tc>
          <w:tcPr>
            <w:tcW w:w="1276" w:type="dxa"/>
            <w:tcBorders>
              <w:top w:val="single" w:color="auto" w:sz="4" w:space="0"/>
              <w:left w:val="single" w:color="auto" w:sz="4" w:space="0"/>
              <w:bottom w:val="single" w:color="008000" w:sz="12" w:space="0"/>
              <w:right w:val="single" w:color="auto" w:sz="4" w:space="0"/>
            </w:tcBorders>
            <w:vAlign w:val="center"/>
          </w:tcPr>
          <w:p w14:paraId="4D41AA27">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60</w:t>
            </w:r>
          </w:p>
        </w:tc>
        <w:tc>
          <w:tcPr>
            <w:tcW w:w="1276" w:type="dxa"/>
            <w:tcBorders>
              <w:top w:val="single" w:color="auto" w:sz="4" w:space="0"/>
              <w:left w:val="single" w:color="auto" w:sz="4" w:space="0"/>
              <w:bottom w:val="single" w:color="008000" w:sz="12" w:space="0"/>
              <w:right w:val="single" w:color="auto" w:sz="4" w:space="0"/>
            </w:tcBorders>
            <w:vAlign w:val="center"/>
          </w:tcPr>
          <w:p w14:paraId="3777B1E1">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10</w:t>
            </w:r>
          </w:p>
        </w:tc>
        <w:tc>
          <w:tcPr>
            <w:tcW w:w="1276" w:type="dxa"/>
            <w:tcBorders>
              <w:top w:val="single" w:color="auto" w:sz="4" w:space="0"/>
              <w:left w:val="single" w:color="auto" w:sz="4" w:space="0"/>
              <w:bottom w:val="single" w:color="008000" w:sz="12" w:space="0"/>
              <w:right w:val="single" w:color="auto" w:sz="4" w:space="0"/>
            </w:tcBorders>
            <w:vAlign w:val="center"/>
          </w:tcPr>
          <w:p w14:paraId="144EA786">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20</w:t>
            </w:r>
          </w:p>
        </w:tc>
        <w:tc>
          <w:tcPr>
            <w:tcW w:w="1275" w:type="dxa"/>
            <w:tcBorders>
              <w:top w:val="single" w:color="auto" w:sz="4" w:space="0"/>
              <w:left w:val="single" w:color="auto" w:sz="4" w:space="0"/>
              <w:bottom w:val="single" w:color="008000" w:sz="12" w:space="0"/>
              <w:right w:val="single" w:color="auto" w:sz="4" w:space="0"/>
            </w:tcBorders>
            <w:vAlign w:val="center"/>
          </w:tcPr>
          <w:p w14:paraId="60DB9658">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8（15）</w:t>
            </w:r>
          </w:p>
        </w:tc>
        <w:tc>
          <w:tcPr>
            <w:tcW w:w="1418" w:type="dxa"/>
            <w:tcBorders>
              <w:top w:val="single" w:color="auto" w:sz="4" w:space="0"/>
              <w:left w:val="single" w:color="auto" w:sz="4" w:space="0"/>
              <w:bottom w:val="single" w:color="008000" w:sz="12" w:space="0"/>
            </w:tcBorders>
            <w:vAlign w:val="center"/>
          </w:tcPr>
          <w:p w14:paraId="75A0F940">
            <w:pPr>
              <w:pStyle w:val="25"/>
              <w:pageBreakBefore w:val="0"/>
              <w:kinsoku/>
              <w:wordWrap/>
              <w:overflowPunct/>
              <w:topLinePunct w:val="0"/>
              <w:bidi w:val="0"/>
              <w:spacing w:beforeAutospacing="0" w:line="44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0.5</w:t>
            </w:r>
          </w:p>
        </w:tc>
      </w:tr>
    </w:tbl>
    <w:p w14:paraId="3EC141A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污水的排放标准执行《城镇污水处理厂污染物排放标准》（GB18918-2002）一级标准B标准</w:t>
      </w:r>
      <w:r>
        <w:rPr>
          <w:rFonts w:hint="eastAsia" w:ascii="仿宋_GB2312" w:hAnsi="仿宋_GB2312" w:eastAsia="仿宋_GB2312" w:cs="仿宋_GB2312"/>
          <w:b w:val="0"/>
          <w:kern w:val="2"/>
          <w:sz w:val="32"/>
          <w:szCs w:val="32"/>
          <w:highlight w:val="none"/>
          <w:lang w:val="en-US" w:eastAsia="zh-CN" w:bidi="ar-SA"/>
        </w:rPr>
        <w:t>和《水污染排放限值》（DB44/26-2001）第二时段一级标准</w:t>
      </w:r>
      <w:r>
        <w:rPr>
          <w:rFonts w:hint="eastAsia" w:ascii="仿宋_GB2312" w:hAnsi="仿宋_GB2312" w:eastAsia="仿宋_GB2312" w:cs="仿宋_GB2312"/>
          <w:kern w:val="2"/>
          <w:sz w:val="32"/>
          <w:szCs w:val="32"/>
          <w:highlight w:val="none"/>
          <w:lang w:val="en-US" w:eastAsia="zh-CN" w:bidi="ar-SA"/>
        </w:rPr>
        <w:t>。</w:t>
      </w:r>
    </w:p>
    <w:p w14:paraId="688465F1">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（二）如现有设备不足以满足本项目日常运作需求，由乙方义务性</w:t>
      </w:r>
      <w:r>
        <w:rPr>
          <w:rFonts w:hint="eastAsia" w:ascii="仿宋_GB2312" w:hAnsi="仿宋_GB2312" w:eastAsia="仿宋_GB2312" w:cs="仿宋_GB2312"/>
          <w:color w:val="auto"/>
          <w:sz w:val="32"/>
          <w:szCs w:val="32"/>
          <w:highlight w:val="none"/>
          <w:lang w:val="en-US" w:eastAsia="zh-CN"/>
        </w:rPr>
        <w:t>免费</w:t>
      </w:r>
      <w:r>
        <w:rPr>
          <w:rFonts w:hint="eastAsia" w:ascii="仿宋_GB2312" w:hAnsi="仿宋_GB2312" w:eastAsia="仿宋_GB2312" w:cs="仿宋_GB2312"/>
          <w:color w:val="auto"/>
          <w:sz w:val="32"/>
          <w:szCs w:val="32"/>
          <w:highlight w:val="none"/>
          <w:lang w:eastAsia="zh-CN"/>
        </w:rPr>
        <w:t>提供相关设备（包括二氧化氯消毒剂发生器、氨氮水质自动在线监测仪、环保检测数采仪、</w:t>
      </w:r>
      <w:r>
        <w:rPr>
          <w:rFonts w:hint="eastAsia" w:ascii="仿宋_GB2312" w:hAnsi="仿宋_GB2312" w:eastAsia="仿宋_GB2312" w:cs="仿宋_GB2312"/>
          <w:color w:val="auto"/>
          <w:sz w:val="32"/>
          <w:szCs w:val="32"/>
          <w:highlight w:val="none"/>
          <w:lang w:val="en-US" w:eastAsia="zh-CN"/>
        </w:rPr>
        <w:t>PH计、明渠流量计、COD监测仪、总磷检测设备、在线传输机</w:t>
      </w:r>
      <w:r>
        <w:rPr>
          <w:rFonts w:hint="eastAsia" w:ascii="仿宋_GB2312" w:hAnsi="仿宋_GB2312" w:eastAsia="仿宋_GB2312" w:cs="仿宋_GB2312"/>
          <w:color w:val="auto"/>
          <w:sz w:val="32"/>
          <w:szCs w:val="32"/>
          <w:highlight w:val="none"/>
          <w:lang w:eastAsia="zh-CN"/>
        </w:rPr>
        <w:t>）以维持正常运作。</w:t>
      </w:r>
    </w:p>
    <w:p w14:paraId="5B59679C">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（三）乙方负责办理登记《固定污染源排污登记表》或其他与项目相关证件的手续。</w:t>
      </w:r>
    </w:p>
    <w:p w14:paraId="68336981">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（四）如乙方因污水排放不达标或其他运维操作不规范、不符合相关要求被相关执法部门处罚，由乙方全责承担，与甲方无关。</w:t>
      </w:r>
    </w:p>
    <w:p w14:paraId="5CA8BD9F">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五</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乙方</w:t>
      </w:r>
      <w:r>
        <w:rPr>
          <w:rFonts w:hint="eastAsia" w:ascii="仿宋_GB2312" w:hAnsi="仿宋_GB2312" w:eastAsia="仿宋_GB2312" w:cs="仿宋_GB2312"/>
          <w:color w:val="auto"/>
          <w:sz w:val="32"/>
          <w:szCs w:val="32"/>
          <w:highlight w:val="none"/>
        </w:rPr>
        <w:t>应承担，包括</w:t>
      </w:r>
      <w:r>
        <w:rPr>
          <w:rFonts w:hint="eastAsia" w:ascii="仿宋_GB2312" w:hAnsi="仿宋_GB2312" w:eastAsia="仿宋_GB2312" w:cs="仿宋_GB2312"/>
          <w:color w:val="auto"/>
          <w:sz w:val="32"/>
          <w:szCs w:val="32"/>
          <w:highlight w:val="none"/>
          <w:lang w:val="en-US" w:eastAsia="zh-CN"/>
        </w:rPr>
        <w:t>人员住宿场所、</w:t>
      </w:r>
      <w:r>
        <w:rPr>
          <w:rFonts w:hint="eastAsia" w:ascii="仿宋_GB2312" w:hAnsi="仿宋_GB2312" w:eastAsia="仿宋_GB2312" w:cs="仿宋_GB2312"/>
          <w:color w:val="auto"/>
          <w:sz w:val="32"/>
          <w:szCs w:val="32"/>
          <w:highlight w:val="none"/>
        </w:rPr>
        <w:t>计划生育、综合治理、刑事、</w:t>
      </w:r>
      <w:r>
        <w:rPr>
          <w:rFonts w:hint="eastAsia" w:ascii="仿宋_GB2312" w:hAnsi="仿宋_GB2312" w:eastAsia="仿宋_GB2312" w:cs="仿宋_GB2312"/>
          <w:color w:val="000000"/>
          <w:sz w:val="32"/>
          <w:szCs w:val="32"/>
          <w:highlight w:val="none"/>
        </w:rPr>
        <w:t>民事、工伤、社保、员工劳保福利等的全部责任。如</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的工作人员发生违法、违规行为，所造成一切后果及损失，由</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承担责任和负责赔偿。</w:t>
      </w:r>
    </w:p>
    <w:p w14:paraId="6D03F30C">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六</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甲方</w:t>
      </w:r>
      <w:r>
        <w:rPr>
          <w:rFonts w:hint="eastAsia" w:ascii="仿宋_GB2312" w:hAnsi="仿宋_GB2312" w:eastAsia="仿宋_GB2312" w:cs="仿宋_GB2312"/>
          <w:color w:val="000000"/>
          <w:sz w:val="32"/>
          <w:szCs w:val="32"/>
          <w:highlight w:val="none"/>
        </w:rPr>
        <w:t>对岗位设置、人员选用与日常管理具有监督权和协调权。</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必须保证派驻</w:t>
      </w:r>
      <w:r>
        <w:rPr>
          <w:rFonts w:hint="eastAsia" w:ascii="仿宋_GB2312" w:hAnsi="仿宋_GB2312" w:eastAsia="仿宋_GB2312" w:cs="仿宋_GB2312"/>
          <w:color w:val="000000"/>
          <w:sz w:val="32"/>
          <w:szCs w:val="32"/>
          <w:highlight w:val="none"/>
          <w:lang w:eastAsia="zh-CN"/>
        </w:rPr>
        <w:t>甲方</w:t>
      </w:r>
      <w:r>
        <w:rPr>
          <w:rFonts w:hint="eastAsia" w:ascii="仿宋_GB2312" w:hAnsi="仿宋_GB2312" w:eastAsia="仿宋_GB2312" w:cs="仿宋_GB2312"/>
          <w:color w:val="000000"/>
          <w:sz w:val="32"/>
          <w:szCs w:val="32"/>
          <w:highlight w:val="none"/>
        </w:rPr>
        <w:t>工作</w:t>
      </w:r>
      <w:r>
        <w:rPr>
          <w:rFonts w:hint="eastAsia" w:ascii="仿宋_GB2312" w:hAnsi="仿宋_GB2312" w:eastAsia="仿宋_GB2312" w:cs="仿宋_GB2312"/>
          <w:color w:val="000000"/>
          <w:sz w:val="32"/>
          <w:szCs w:val="32"/>
          <w:highlight w:val="none"/>
          <w:lang w:val="en-US" w:eastAsia="zh-CN"/>
        </w:rPr>
        <w:t>的</w:t>
      </w:r>
      <w:r>
        <w:rPr>
          <w:rFonts w:hint="eastAsia" w:ascii="仿宋_GB2312" w:hAnsi="仿宋_GB2312" w:eastAsia="仿宋_GB2312" w:cs="仿宋_GB2312"/>
          <w:color w:val="000000"/>
          <w:sz w:val="32"/>
          <w:szCs w:val="32"/>
          <w:highlight w:val="none"/>
        </w:rPr>
        <w:t>人员的稳定性，如有工作人员调离，需</w:t>
      </w:r>
      <w:r>
        <w:rPr>
          <w:rFonts w:hint="eastAsia" w:ascii="仿宋_GB2312" w:hAnsi="仿宋_GB2312" w:eastAsia="仿宋_GB2312" w:cs="仿宋_GB2312"/>
          <w:color w:val="000000"/>
          <w:sz w:val="32"/>
          <w:szCs w:val="32"/>
          <w:highlight w:val="none"/>
          <w:lang w:val="en-US" w:eastAsia="zh-CN"/>
        </w:rPr>
        <w:t>提前</w:t>
      </w:r>
      <w:r>
        <w:rPr>
          <w:rFonts w:hint="default" w:ascii="仿宋_GB2312" w:hAnsi="仿宋_GB2312" w:eastAsia="仿宋_GB2312" w:cs="仿宋_GB2312"/>
          <w:color w:val="000000"/>
          <w:sz w:val="32"/>
          <w:szCs w:val="32"/>
          <w:highlight w:val="none"/>
          <w:lang w:val="en-US"/>
        </w:rPr>
        <w:t>书面</w:t>
      </w:r>
      <w:r>
        <w:rPr>
          <w:rFonts w:hint="eastAsia" w:ascii="仿宋_GB2312" w:hAnsi="仿宋_GB2312" w:eastAsia="仿宋_GB2312" w:cs="仿宋_GB2312"/>
          <w:color w:val="000000"/>
          <w:sz w:val="32"/>
          <w:szCs w:val="32"/>
          <w:highlight w:val="none"/>
        </w:rPr>
        <w:t>通知</w:t>
      </w:r>
      <w:r>
        <w:rPr>
          <w:rFonts w:hint="eastAsia" w:ascii="仿宋_GB2312" w:hAnsi="仿宋_GB2312" w:eastAsia="仿宋_GB2312" w:cs="仿宋_GB2312"/>
          <w:color w:val="000000"/>
          <w:sz w:val="32"/>
          <w:szCs w:val="32"/>
          <w:highlight w:val="none"/>
          <w:lang w:eastAsia="zh-CN"/>
        </w:rPr>
        <w:t>甲方</w:t>
      </w:r>
      <w:r>
        <w:rPr>
          <w:rFonts w:hint="eastAsia" w:ascii="仿宋_GB2312" w:hAnsi="仿宋_GB2312" w:eastAsia="仿宋_GB2312" w:cs="仿宋_GB2312"/>
          <w:color w:val="000000"/>
          <w:sz w:val="32"/>
          <w:szCs w:val="32"/>
          <w:highlight w:val="none"/>
        </w:rPr>
        <w:t>。</w:t>
      </w:r>
    </w:p>
    <w:p w14:paraId="169F3594">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七</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应向</w:t>
      </w:r>
      <w:r>
        <w:rPr>
          <w:rFonts w:hint="eastAsia" w:ascii="仿宋_GB2312" w:hAnsi="仿宋_GB2312" w:eastAsia="仿宋_GB2312" w:cs="仿宋_GB2312"/>
          <w:color w:val="000000"/>
          <w:sz w:val="32"/>
          <w:szCs w:val="32"/>
          <w:highlight w:val="none"/>
          <w:lang w:eastAsia="zh-CN"/>
        </w:rPr>
        <w:t>工作人员</w:t>
      </w:r>
      <w:r>
        <w:rPr>
          <w:rFonts w:hint="eastAsia" w:ascii="仿宋_GB2312" w:hAnsi="仿宋_GB2312" w:eastAsia="仿宋_GB2312" w:cs="仿宋_GB2312"/>
          <w:color w:val="000000"/>
          <w:sz w:val="32"/>
          <w:szCs w:val="32"/>
          <w:highlight w:val="none"/>
        </w:rPr>
        <w:t>提供业务知识培训，特种工岗位需持证上岗。</w:t>
      </w:r>
    </w:p>
    <w:p w14:paraId="2A57097B">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八</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根据不同的工种配备相应的工作服装，并有工作号牌等标识物及必要的装备</w:t>
      </w:r>
      <w:r>
        <w:rPr>
          <w:rFonts w:hint="eastAsia" w:ascii="仿宋_GB2312" w:hAnsi="仿宋_GB2312" w:eastAsia="仿宋_GB2312" w:cs="仿宋_GB2312"/>
          <w:color w:val="000000"/>
          <w:sz w:val="32"/>
          <w:szCs w:val="32"/>
          <w:highlight w:val="none"/>
          <w:lang w:eastAsia="zh-CN"/>
        </w:rPr>
        <w:t>、</w:t>
      </w:r>
      <w:r>
        <w:rPr>
          <w:rFonts w:hint="eastAsia" w:ascii="仿宋_GB2312" w:hAnsi="仿宋_GB2312" w:eastAsia="仿宋_GB2312" w:cs="仿宋_GB2312"/>
          <w:color w:val="000000"/>
          <w:sz w:val="32"/>
          <w:szCs w:val="32"/>
          <w:highlight w:val="none"/>
        </w:rPr>
        <w:t>劳动工具等。</w:t>
      </w:r>
    </w:p>
    <w:p w14:paraId="1A5C7F30">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九</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lang w:val="en-US" w:eastAsia="zh-CN"/>
        </w:rPr>
        <w:t>须要求其</w:t>
      </w:r>
      <w:r>
        <w:rPr>
          <w:rFonts w:hint="eastAsia" w:ascii="仿宋_GB2312" w:hAnsi="仿宋_GB2312" w:eastAsia="仿宋_GB2312" w:cs="仿宋_GB2312"/>
          <w:color w:val="000000"/>
          <w:sz w:val="32"/>
          <w:szCs w:val="32"/>
          <w:highlight w:val="none"/>
        </w:rPr>
        <w:t>工作人员遵守</w:t>
      </w:r>
      <w:r>
        <w:rPr>
          <w:rFonts w:hint="eastAsia" w:ascii="仿宋_GB2312" w:hAnsi="仿宋_GB2312" w:eastAsia="仿宋_GB2312" w:cs="仿宋_GB2312"/>
          <w:color w:val="000000"/>
          <w:sz w:val="32"/>
          <w:szCs w:val="32"/>
          <w:highlight w:val="none"/>
          <w:lang w:eastAsia="zh-CN"/>
        </w:rPr>
        <w:t>甲方</w:t>
      </w:r>
      <w:r>
        <w:rPr>
          <w:rFonts w:hint="eastAsia" w:ascii="仿宋_GB2312" w:hAnsi="仿宋_GB2312" w:eastAsia="仿宋_GB2312" w:cs="仿宋_GB2312"/>
          <w:color w:val="000000"/>
          <w:sz w:val="32"/>
          <w:szCs w:val="32"/>
          <w:highlight w:val="none"/>
        </w:rPr>
        <w:t>相关规章制度规定，服从</w:t>
      </w:r>
      <w:r>
        <w:rPr>
          <w:rFonts w:hint="eastAsia" w:ascii="仿宋_GB2312" w:hAnsi="仿宋_GB2312" w:eastAsia="仿宋_GB2312" w:cs="仿宋_GB2312"/>
          <w:color w:val="000000"/>
          <w:sz w:val="32"/>
          <w:szCs w:val="32"/>
          <w:highlight w:val="none"/>
          <w:lang w:eastAsia="zh-CN"/>
        </w:rPr>
        <w:t>甲方</w:t>
      </w:r>
      <w:r>
        <w:rPr>
          <w:rFonts w:hint="eastAsia" w:ascii="仿宋_GB2312" w:hAnsi="仿宋_GB2312" w:eastAsia="仿宋_GB2312" w:cs="仿宋_GB2312"/>
          <w:color w:val="000000"/>
          <w:sz w:val="32"/>
          <w:szCs w:val="32"/>
          <w:highlight w:val="none"/>
        </w:rPr>
        <w:t>指挥和合理的工作安排，如有违反或损害</w:t>
      </w:r>
      <w:r>
        <w:rPr>
          <w:rFonts w:hint="eastAsia" w:ascii="仿宋_GB2312" w:hAnsi="仿宋_GB2312" w:eastAsia="仿宋_GB2312" w:cs="仿宋_GB2312"/>
          <w:color w:val="000000"/>
          <w:sz w:val="32"/>
          <w:szCs w:val="32"/>
          <w:highlight w:val="none"/>
          <w:lang w:val="en-US" w:eastAsia="zh-CN"/>
        </w:rPr>
        <w:t>甲</w:t>
      </w:r>
      <w:r>
        <w:rPr>
          <w:rFonts w:hint="eastAsia" w:ascii="仿宋_GB2312" w:hAnsi="仿宋_GB2312" w:eastAsia="仿宋_GB2312" w:cs="仿宋_GB2312"/>
          <w:color w:val="000000"/>
          <w:sz w:val="32"/>
          <w:szCs w:val="32"/>
          <w:highlight w:val="none"/>
        </w:rPr>
        <w:t>方利益的，</w:t>
      </w:r>
      <w:r>
        <w:rPr>
          <w:rFonts w:hint="eastAsia" w:ascii="仿宋_GB2312" w:hAnsi="仿宋_GB2312" w:eastAsia="仿宋_GB2312" w:cs="仿宋_GB2312"/>
          <w:color w:val="000000"/>
          <w:sz w:val="32"/>
          <w:szCs w:val="32"/>
          <w:highlight w:val="none"/>
          <w:lang w:eastAsia="zh-CN"/>
        </w:rPr>
        <w:t>甲方</w:t>
      </w:r>
      <w:r>
        <w:rPr>
          <w:rFonts w:hint="eastAsia" w:ascii="仿宋_GB2312" w:hAnsi="仿宋_GB2312" w:eastAsia="仿宋_GB2312" w:cs="仿宋_GB2312"/>
          <w:color w:val="000000"/>
          <w:sz w:val="32"/>
          <w:szCs w:val="32"/>
          <w:highlight w:val="none"/>
        </w:rPr>
        <w:t>有权拒绝</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违规的工作人员在此工作，问题严重的，有权终止合同，一切责任由</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承担。</w:t>
      </w:r>
    </w:p>
    <w:p w14:paraId="00E9539F">
      <w:pPr>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十</w:t>
      </w:r>
      <w:r>
        <w:rPr>
          <w:rFonts w:hint="eastAsia" w:ascii="仿宋_GB2312" w:hAnsi="仿宋_GB2312" w:eastAsia="仿宋_GB2312" w:cs="仿宋_GB2312"/>
          <w:color w:val="000000"/>
          <w:sz w:val="32"/>
          <w:szCs w:val="32"/>
          <w:highlight w:val="none"/>
        </w:rPr>
        <w:t>）完成</w:t>
      </w:r>
      <w:r>
        <w:rPr>
          <w:rFonts w:hint="eastAsia" w:ascii="仿宋_GB2312" w:hAnsi="仿宋_GB2312" w:eastAsia="仿宋_GB2312" w:cs="仿宋_GB2312"/>
          <w:color w:val="000000"/>
          <w:sz w:val="32"/>
          <w:szCs w:val="32"/>
          <w:highlight w:val="none"/>
          <w:lang w:eastAsia="zh-CN"/>
        </w:rPr>
        <w:t>甲方</w:t>
      </w:r>
      <w:r>
        <w:rPr>
          <w:rFonts w:hint="eastAsia" w:ascii="仿宋_GB2312" w:hAnsi="仿宋_GB2312" w:eastAsia="仿宋_GB2312" w:cs="仿宋_GB2312"/>
          <w:color w:val="000000"/>
          <w:sz w:val="32"/>
          <w:szCs w:val="32"/>
          <w:highlight w:val="none"/>
        </w:rPr>
        <w:t>提出的临时性后勤工作任务。</w:t>
      </w:r>
    </w:p>
    <w:p w14:paraId="4B206E3E">
      <w:pPr>
        <w:keepNext w:val="0"/>
        <w:keepLines w:val="0"/>
        <w:pageBreakBefore w:val="0"/>
        <w:tabs>
          <w:tab w:val="left" w:pos="0"/>
        </w:tabs>
        <w:kinsoku/>
        <w:wordWrap/>
        <w:overflowPunct/>
        <w:topLinePunct w:val="0"/>
        <w:autoSpaceDE/>
        <w:autoSpaceDN/>
        <w:bidi w:val="0"/>
        <w:adjustRightInd/>
        <w:snapToGrid/>
        <w:spacing w:beforeAutospacing="0" w:line="560" w:lineRule="exact"/>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 xml:space="preserve">    （</w:t>
      </w:r>
      <w:r>
        <w:rPr>
          <w:rFonts w:hint="eastAsia" w:ascii="仿宋_GB2312" w:hAnsi="仿宋_GB2312" w:eastAsia="仿宋_GB2312" w:cs="仿宋_GB2312"/>
          <w:color w:val="000000"/>
          <w:sz w:val="32"/>
          <w:szCs w:val="32"/>
          <w:highlight w:val="none"/>
          <w:lang w:eastAsia="zh-CN"/>
        </w:rPr>
        <w:t>十一</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eastAsia="zh-CN"/>
        </w:rPr>
        <w:t>工作</w:t>
      </w:r>
      <w:r>
        <w:rPr>
          <w:rFonts w:hint="eastAsia" w:ascii="仿宋_GB2312" w:hAnsi="仿宋_GB2312" w:eastAsia="仿宋_GB2312" w:cs="仿宋_GB2312"/>
          <w:color w:val="000000"/>
          <w:sz w:val="32"/>
          <w:szCs w:val="32"/>
          <w:highlight w:val="none"/>
        </w:rPr>
        <w:t>人员工资不得低于</w:t>
      </w:r>
      <w:r>
        <w:rPr>
          <w:rFonts w:hint="eastAsia" w:ascii="仿宋_GB2312" w:hAnsi="仿宋_GB2312" w:eastAsia="仿宋_GB2312" w:cs="仿宋_GB2312"/>
          <w:color w:val="000000"/>
          <w:sz w:val="32"/>
          <w:szCs w:val="32"/>
          <w:highlight w:val="none"/>
          <w:lang w:eastAsia="zh-CN"/>
        </w:rPr>
        <w:t>当前</w:t>
      </w:r>
      <w:r>
        <w:rPr>
          <w:rFonts w:hint="eastAsia" w:ascii="仿宋_GB2312" w:hAnsi="仿宋_GB2312" w:eastAsia="仿宋_GB2312" w:cs="仿宋_GB2312"/>
          <w:color w:val="000000"/>
          <w:sz w:val="32"/>
          <w:szCs w:val="32"/>
          <w:highlight w:val="none"/>
        </w:rPr>
        <w:t>广州市企业职工最低工资标准。</w:t>
      </w:r>
    </w:p>
    <w:p w14:paraId="57C69A3F">
      <w:pPr>
        <w:keepNext w:val="0"/>
        <w:keepLines w:val="0"/>
        <w:pageBreakBefore w:val="0"/>
        <w:tabs>
          <w:tab w:val="left" w:pos="0"/>
        </w:tabs>
        <w:kinsoku/>
        <w:wordWrap/>
        <w:overflowPunct/>
        <w:topLinePunct w:val="0"/>
        <w:autoSpaceDE/>
        <w:autoSpaceDN/>
        <w:bidi w:val="0"/>
        <w:adjustRightInd/>
        <w:snapToGrid/>
        <w:spacing w:beforeAutospacing="0" w:line="560" w:lineRule="exact"/>
        <w:textAlignment w:val="auto"/>
        <w:rPr>
          <w:rFonts w:hint="eastAsia" w:ascii="仿宋" w:hAnsi="仿宋" w:eastAsia="仿宋" w:cs="仿宋"/>
          <w:b/>
          <w:bCs/>
          <w:color w:val="auto"/>
          <w:sz w:val="32"/>
          <w:szCs w:val="32"/>
          <w:highlight w:val="none"/>
        </w:rPr>
      </w:pPr>
      <w:r>
        <w:rPr>
          <w:rFonts w:hint="eastAsia" w:ascii="仿宋_GB2312" w:hAnsi="仿宋_GB2312" w:eastAsia="仿宋_GB2312" w:cs="仿宋_GB2312"/>
          <w:color w:val="000000"/>
          <w:sz w:val="32"/>
          <w:szCs w:val="32"/>
          <w:highlight w:val="none"/>
        </w:rPr>
        <w:t xml:space="preserve">    （</w:t>
      </w:r>
      <w:r>
        <w:rPr>
          <w:rFonts w:hint="eastAsia" w:ascii="仿宋_GB2312" w:hAnsi="仿宋_GB2312" w:eastAsia="仿宋_GB2312" w:cs="仿宋_GB2312"/>
          <w:color w:val="000000"/>
          <w:sz w:val="32"/>
          <w:szCs w:val="32"/>
          <w:highlight w:val="none"/>
          <w:lang w:eastAsia="zh-CN"/>
        </w:rPr>
        <w:t>十二</w:t>
      </w:r>
      <w:r>
        <w:rPr>
          <w:rFonts w:hint="eastAsia" w:ascii="仿宋_GB2312" w:hAnsi="仿宋_GB2312" w:eastAsia="仿宋_GB2312" w:cs="仿宋_GB2312"/>
          <w:color w:val="000000"/>
          <w:sz w:val="32"/>
          <w:szCs w:val="32"/>
          <w:highlight w:val="none"/>
        </w:rPr>
        <w:t>）工作人员薪金待遇等要符合</w:t>
      </w:r>
      <w:r>
        <w:rPr>
          <w:rFonts w:hint="eastAsia" w:ascii="仿宋_GB2312" w:hAnsi="仿宋_GB2312" w:eastAsia="仿宋_GB2312" w:cs="仿宋_GB2312"/>
          <w:color w:val="000000"/>
          <w:sz w:val="32"/>
          <w:szCs w:val="32"/>
          <w:highlight w:val="none"/>
          <w:lang w:eastAsia="zh-CN"/>
        </w:rPr>
        <w:t>当前</w:t>
      </w:r>
      <w:r>
        <w:rPr>
          <w:rFonts w:hint="eastAsia" w:ascii="仿宋_GB2312" w:hAnsi="仿宋_GB2312" w:eastAsia="仿宋_GB2312" w:cs="仿宋_GB2312"/>
          <w:color w:val="000000"/>
          <w:sz w:val="32"/>
          <w:szCs w:val="32"/>
          <w:highlight w:val="none"/>
        </w:rPr>
        <w:t>广州市劳动用工现行政策法规，如因用工引起的劳动纠纷问题由</w:t>
      </w:r>
      <w:r>
        <w:rPr>
          <w:rFonts w:hint="eastAsia" w:ascii="仿宋_GB2312" w:hAnsi="仿宋_GB2312" w:eastAsia="仿宋_GB2312" w:cs="仿宋_GB2312"/>
          <w:color w:val="000000"/>
          <w:sz w:val="32"/>
          <w:szCs w:val="32"/>
          <w:highlight w:val="none"/>
          <w:lang w:eastAsia="zh-CN"/>
        </w:rPr>
        <w:t>乙方</w:t>
      </w:r>
      <w:r>
        <w:rPr>
          <w:rFonts w:hint="eastAsia" w:ascii="仿宋_GB2312" w:hAnsi="仿宋_GB2312" w:eastAsia="仿宋_GB2312" w:cs="仿宋_GB2312"/>
          <w:color w:val="000000"/>
          <w:sz w:val="32"/>
          <w:szCs w:val="32"/>
          <w:highlight w:val="none"/>
        </w:rPr>
        <w:t>负责解决。</w:t>
      </w:r>
    </w:p>
    <w:p w14:paraId="1F6323A7">
      <w:pPr>
        <w:pStyle w:val="24"/>
        <w:keepNext w:val="0"/>
        <w:keepLines w:val="0"/>
        <w:pageBreakBefore w:val="0"/>
        <w:kinsoku/>
        <w:wordWrap/>
        <w:overflowPunct/>
        <w:topLinePunct w:val="0"/>
        <w:autoSpaceDE/>
        <w:autoSpaceDN/>
        <w:bidi w:val="0"/>
        <w:adjustRightInd/>
        <w:snapToGrid/>
        <w:spacing w:beforeAutospacing="0" w:line="560" w:lineRule="exact"/>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三、服务期限</w:t>
      </w:r>
    </w:p>
    <w:p w14:paraId="2E6C2692">
      <w:pPr>
        <w:pStyle w:val="7"/>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（一）污水站运营管理服务：</w:t>
      </w:r>
      <w:r>
        <w:rPr>
          <w:rFonts w:hint="eastAsia" w:ascii="仿宋_GB2312" w:hAnsi="仿宋_GB2312" w:eastAsia="仿宋_GB2312" w:cs="仿宋_GB2312"/>
          <w:b w:val="0"/>
          <w:kern w:val="2"/>
          <w:sz w:val="32"/>
          <w:szCs w:val="32"/>
          <w:highlight w:val="none"/>
          <w:lang w:val="en-US" w:eastAsia="zh-CN" w:bidi="ar-SA"/>
        </w:rPr>
        <w:t>管理服务期限为1年，自2025年6月11日起至2026年6月10日止。</w:t>
      </w:r>
    </w:p>
    <w:p w14:paraId="2F9A5512">
      <w:pPr>
        <w:pStyle w:val="7"/>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（二）污水站在线监测运营服务：</w:t>
      </w:r>
      <w:r>
        <w:rPr>
          <w:rFonts w:hint="eastAsia" w:ascii="仿宋_GB2312" w:hAnsi="仿宋_GB2312" w:eastAsia="仿宋_GB2312" w:cs="仿宋_GB2312"/>
          <w:b w:val="0"/>
          <w:kern w:val="2"/>
          <w:sz w:val="32"/>
          <w:szCs w:val="32"/>
          <w:highlight w:val="none"/>
          <w:lang w:val="en-US" w:eastAsia="zh-CN" w:bidi="ar-SA"/>
        </w:rPr>
        <w:t>管理服务期限为1年，自2025年6月11日起至2026年6月10日止。</w:t>
      </w:r>
    </w:p>
    <w:p w14:paraId="14FA11B6">
      <w:pPr>
        <w:pStyle w:val="7"/>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（三）污水站在线监测维护保养服务：</w:t>
      </w:r>
      <w:r>
        <w:rPr>
          <w:rFonts w:hint="eastAsia" w:ascii="仿宋_GB2312" w:hAnsi="仿宋_GB2312" w:eastAsia="仿宋_GB2312" w:cs="仿宋_GB2312"/>
          <w:b w:val="0"/>
          <w:kern w:val="2"/>
          <w:sz w:val="32"/>
          <w:szCs w:val="32"/>
          <w:highlight w:val="none"/>
          <w:lang w:val="en-US" w:eastAsia="zh-CN" w:bidi="ar-SA"/>
        </w:rPr>
        <w:t>管理服务期限为1年，自2025年6月11日起至2026年6月10日止。</w:t>
      </w:r>
    </w:p>
    <w:p w14:paraId="46301098">
      <w:pPr>
        <w:pStyle w:val="24"/>
        <w:keepNext w:val="0"/>
        <w:keepLines w:val="0"/>
        <w:pageBreakBefore w:val="0"/>
        <w:kinsoku/>
        <w:wordWrap/>
        <w:overflowPunct/>
        <w:topLinePunct w:val="0"/>
        <w:autoSpaceDE/>
        <w:autoSpaceDN/>
        <w:bidi w:val="0"/>
        <w:adjustRightInd/>
        <w:snapToGrid/>
        <w:spacing w:beforeAutospacing="0" w:line="560" w:lineRule="exact"/>
        <w:jc w:val="center"/>
        <w:textAlignment w:val="auto"/>
        <w:rPr>
          <w:rFonts w:hint="eastAsia" w:ascii="仿宋" w:hAnsi="仿宋" w:eastAsia="仿宋" w:cs="仿宋"/>
          <w:b/>
          <w:bCs/>
          <w:color w:val="auto"/>
          <w:sz w:val="32"/>
          <w:szCs w:val="32"/>
          <w:highlight w:val="none"/>
        </w:rPr>
      </w:pPr>
    </w:p>
    <w:p w14:paraId="67637166">
      <w:pPr>
        <w:pStyle w:val="24"/>
        <w:keepNext w:val="0"/>
        <w:keepLines w:val="0"/>
        <w:pageBreakBefore w:val="0"/>
        <w:kinsoku/>
        <w:wordWrap/>
        <w:overflowPunct/>
        <w:topLinePunct w:val="0"/>
        <w:autoSpaceDE/>
        <w:autoSpaceDN/>
        <w:bidi w:val="0"/>
        <w:adjustRightInd/>
        <w:snapToGrid/>
        <w:spacing w:beforeAutospacing="0" w:line="560" w:lineRule="exact"/>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四、双方权利义务</w:t>
      </w:r>
    </w:p>
    <w:p w14:paraId="21D6D9A5">
      <w:pPr>
        <w:pStyle w:val="24"/>
        <w:keepNext w:val="0"/>
        <w:keepLines w:val="0"/>
        <w:pageBreakBefore w:val="0"/>
        <w:kinsoku/>
        <w:wordWrap/>
        <w:overflowPunct/>
        <w:topLinePunct w:val="0"/>
        <w:autoSpaceDE/>
        <w:autoSpaceDN/>
        <w:bidi w:val="0"/>
        <w:adjustRightInd/>
        <w:snapToGrid/>
        <w:spacing w:beforeAutospacing="0" w:line="560" w:lineRule="exact"/>
        <w:ind w:left="1"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第六条  </w:t>
      </w:r>
      <w:r>
        <w:rPr>
          <w:rFonts w:hint="eastAsia" w:ascii="仿宋_GB2312" w:hAnsi="仿宋_GB2312" w:eastAsia="仿宋_GB2312" w:cs="仿宋_GB2312"/>
          <w:color w:val="auto"/>
          <w:sz w:val="32"/>
          <w:szCs w:val="32"/>
          <w:highlight w:val="none"/>
        </w:rPr>
        <w:t>甲方权利义务</w:t>
      </w:r>
    </w:p>
    <w:p w14:paraId="46F0EB91">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一</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代表和维护产权人、使用人的合法权益</w:t>
      </w:r>
      <w:r>
        <w:rPr>
          <w:rStyle w:val="27"/>
          <w:rFonts w:hint="eastAsia" w:ascii="仿宋_GB2312" w:hAnsi="仿宋_GB2312" w:eastAsia="仿宋_GB2312" w:cs="仿宋_GB2312"/>
          <w:color w:val="auto"/>
          <w:sz w:val="32"/>
          <w:szCs w:val="32"/>
          <w:highlight w:val="none"/>
        </w:rPr>
        <w:t>。</w:t>
      </w:r>
    </w:p>
    <w:p w14:paraId="365BE7C3">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二</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审定乙方拟定的管理制度和管理服务年度计划，并提出合理化建议，督促乙方健全应有的制度规程、工作规范等</w:t>
      </w:r>
      <w:r>
        <w:rPr>
          <w:rStyle w:val="27"/>
          <w:rFonts w:hint="eastAsia" w:ascii="仿宋_GB2312" w:hAnsi="仿宋_GB2312" w:eastAsia="仿宋_GB2312" w:cs="仿宋_GB2312"/>
          <w:color w:val="auto"/>
          <w:sz w:val="32"/>
          <w:szCs w:val="32"/>
          <w:highlight w:val="none"/>
        </w:rPr>
        <w:t>。</w:t>
      </w:r>
    </w:p>
    <w:p w14:paraId="6BEC1FB9">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三</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检查监督乙方管理工作的实施及制度的执行情况</w:t>
      </w:r>
      <w:r>
        <w:rPr>
          <w:rStyle w:val="27"/>
          <w:rFonts w:hint="eastAsia" w:ascii="仿宋_GB2312" w:hAnsi="仿宋_GB2312" w:eastAsia="仿宋_GB2312" w:cs="仿宋_GB2312"/>
          <w:color w:val="auto"/>
          <w:sz w:val="32"/>
          <w:szCs w:val="32"/>
          <w:highlight w:val="none"/>
        </w:rPr>
        <w:t>。</w:t>
      </w:r>
    </w:p>
    <w:p w14:paraId="6EC9A336">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负责收集、整理管理所需全部图纸、档案、资料，适时提供给乙方</w:t>
      </w:r>
      <w:r>
        <w:rPr>
          <w:rStyle w:val="27"/>
          <w:rFonts w:hint="eastAsia" w:ascii="仿宋_GB2312" w:hAnsi="仿宋_GB2312" w:eastAsia="仿宋_GB2312" w:cs="仿宋_GB2312"/>
          <w:color w:val="auto"/>
          <w:sz w:val="32"/>
          <w:szCs w:val="32"/>
          <w:highlight w:val="none"/>
        </w:rPr>
        <w:t>。</w:t>
      </w:r>
    </w:p>
    <w:p w14:paraId="4A1FEC90">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五</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对乙方不称职的工作人员，甲方有权要求乙方限期更换</w:t>
      </w:r>
      <w:r>
        <w:rPr>
          <w:rStyle w:val="27"/>
          <w:rFonts w:hint="eastAsia" w:ascii="仿宋_GB2312" w:hAnsi="仿宋_GB2312" w:eastAsia="仿宋_GB2312" w:cs="仿宋_GB2312"/>
          <w:color w:val="auto"/>
          <w:sz w:val="32"/>
          <w:szCs w:val="32"/>
          <w:highlight w:val="none"/>
        </w:rPr>
        <w:t>。</w:t>
      </w:r>
    </w:p>
    <w:p w14:paraId="4086C869">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left="0" w:leftChars="0"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六</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协助乙方做好管理工作</w:t>
      </w:r>
      <w:r>
        <w:rPr>
          <w:rStyle w:val="27"/>
          <w:rFonts w:hint="eastAsia" w:ascii="仿宋_GB2312" w:hAnsi="仿宋_GB2312" w:eastAsia="仿宋_GB2312" w:cs="仿宋_GB2312"/>
          <w:color w:val="auto"/>
          <w:sz w:val="32"/>
          <w:szCs w:val="32"/>
          <w:highlight w:val="none"/>
        </w:rPr>
        <w:t>。</w:t>
      </w:r>
    </w:p>
    <w:p w14:paraId="36D140CB">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left="0" w:leftChars="0"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七</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按时支付管理费给乙方。</w:t>
      </w:r>
    </w:p>
    <w:p w14:paraId="37CCC18C">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left="0" w:leftChars="0"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八</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招标文件、投标文件及合同附件中约定的甲方其它权利义务。</w:t>
      </w:r>
    </w:p>
    <w:p w14:paraId="32E01C8D">
      <w:pPr>
        <w:pStyle w:val="24"/>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Style w:val="27"/>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第七条 </w:t>
      </w:r>
      <w:r>
        <w:rPr>
          <w:rStyle w:val="27"/>
          <w:rFonts w:hint="eastAsia" w:ascii="仿宋" w:hAnsi="仿宋" w:eastAsia="仿宋" w:cs="仿宋"/>
          <w:color w:val="auto"/>
          <w:sz w:val="32"/>
          <w:szCs w:val="32"/>
          <w:highlight w:val="none"/>
        </w:rPr>
        <w:t xml:space="preserve"> </w:t>
      </w:r>
      <w:r>
        <w:rPr>
          <w:rStyle w:val="27"/>
          <w:rFonts w:hint="eastAsia" w:ascii="仿宋_GB2312" w:hAnsi="仿宋_GB2312" w:eastAsia="仿宋_GB2312" w:cs="仿宋_GB2312"/>
          <w:color w:val="auto"/>
          <w:sz w:val="32"/>
          <w:szCs w:val="32"/>
          <w:highlight w:val="none"/>
        </w:rPr>
        <w:t>乙方权利</w:t>
      </w:r>
      <w:r>
        <w:rPr>
          <w:rStyle w:val="27"/>
          <w:rFonts w:hint="eastAsia" w:ascii="仿宋_GB2312" w:hAnsi="仿宋_GB2312" w:eastAsia="仿宋_GB2312" w:cs="仿宋_GB2312"/>
          <w:color w:val="auto"/>
          <w:sz w:val="32"/>
          <w:szCs w:val="32"/>
          <w:highlight w:val="none"/>
          <w:lang w:eastAsia="zh-CN"/>
        </w:rPr>
        <w:t>和</w:t>
      </w:r>
      <w:r>
        <w:rPr>
          <w:rStyle w:val="27"/>
          <w:rFonts w:hint="eastAsia" w:ascii="仿宋_GB2312" w:hAnsi="仿宋_GB2312" w:eastAsia="仿宋_GB2312" w:cs="仿宋_GB2312"/>
          <w:color w:val="auto"/>
          <w:sz w:val="32"/>
          <w:szCs w:val="32"/>
          <w:highlight w:val="none"/>
        </w:rPr>
        <w:t>义务</w:t>
      </w:r>
    </w:p>
    <w:p w14:paraId="6BD1DA8D">
      <w:pPr>
        <w:pStyle w:val="24"/>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一</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根据有关法律法规及本合同的约定，制订管理制度，编制服务计划</w:t>
      </w:r>
      <w:r>
        <w:rPr>
          <w:rStyle w:val="27"/>
          <w:rFonts w:hint="eastAsia" w:ascii="仿宋_GB2312" w:hAnsi="仿宋_GB2312" w:eastAsia="仿宋_GB2312" w:cs="仿宋_GB2312"/>
          <w:color w:val="auto"/>
          <w:sz w:val="32"/>
          <w:szCs w:val="32"/>
          <w:highlight w:val="none"/>
        </w:rPr>
        <w:t>。</w:t>
      </w:r>
    </w:p>
    <w:p w14:paraId="4E504ADC">
      <w:pPr>
        <w:pStyle w:val="24"/>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二</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乙方</w:t>
      </w:r>
      <w:r>
        <w:rPr>
          <w:rFonts w:hint="eastAsia" w:ascii="仿宋_GB2312" w:hAnsi="仿宋_GB2312" w:eastAsia="仿宋_GB2312" w:cs="仿宋_GB2312"/>
          <w:color w:val="auto"/>
          <w:spacing w:val="10"/>
          <w:sz w:val="32"/>
          <w:szCs w:val="32"/>
          <w:highlight w:val="none"/>
        </w:rPr>
        <w:t>不得</w:t>
      </w:r>
      <w:r>
        <w:rPr>
          <w:rFonts w:hint="eastAsia" w:ascii="仿宋_GB2312" w:hAnsi="仿宋_GB2312" w:eastAsia="仿宋_GB2312" w:cs="仿宋_GB2312"/>
          <w:color w:val="auto"/>
          <w:sz w:val="32"/>
          <w:szCs w:val="32"/>
          <w:highlight w:val="none"/>
        </w:rPr>
        <w:t>转包或分包项目内容</w:t>
      </w:r>
      <w:r>
        <w:rPr>
          <w:rStyle w:val="27"/>
          <w:rFonts w:hint="eastAsia" w:ascii="仿宋_GB2312" w:hAnsi="仿宋_GB2312" w:eastAsia="仿宋_GB2312" w:cs="仿宋_GB2312"/>
          <w:color w:val="auto"/>
          <w:sz w:val="32"/>
          <w:szCs w:val="32"/>
          <w:highlight w:val="none"/>
        </w:rPr>
        <w:t>。</w:t>
      </w:r>
    </w:p>
    <w:p w14:paraId="03F4C16F">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三</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w:t>
      </w:r>
      <w:r>
        <w:rPr>
          <w:rFonts w:hint="eastAsia" w:ascii="仿宋_GB2312" w:hAnsi="仿宋_GB2312" w:eastAsia="仿宋_GB2312" w:cs="仿宋_GB2312"/>
          <w:color w:val="auto"/>
          <w:sz w:val="32"/>
          <w:szCs w:val="32"/>
          <w:highlight w:val="none"/>
          <w:lang w:eastAsia="zh-CN"/>
        </w:rPr>
        <w:t>工作人员</w:t>
      </w:r>
      <w:r>
        <w:rPr>
          <w:rFonts w:hint="eastAsia" w:ascii="仿宋_GB2312" w:hAnsi="仿宋_GB2312" w:eastAsia="仿宋_GB2312" w:cs="仿宋_GB2312"/>
          <w:color w:val="auto"/>
          <w:sz w:val="32"/>
          <w:szCs w:val="32"/>
          <w:highlight w:val="none"/>
        </w:rPr>
        <w:t>违反法规、规章的行为，</w:t>
      </w:r>
      <w:r>
        <w:rPr>
          <w:rFonts w:hint="eastAsia" w:ascii="仿宋_GB2312" w:hAnsi="仿宋_GB2312" w:eastAsia="仿宋_GB2312" w:cs="仿宋_GB2312"/>
          <w:color w:val="auto"/>
          <w:sz w:val="32"/>
          <w:szCs w:val="32"/>
          <w:highlight w:val="none"/>
          <w:lang w:eastAsia="zh-CN"/>
        </w:rPr>
        <w:t>乙方</w:t>
      </w:r>
      <w:r>
        <w:rPr>
          <w:rFonts w:hint="eastAsia" w:ascii="仿宋_GB2312" w:hAnsi="仿宋_GB2312" w:eastAsia="仿宋_GB2312" w:cs="仿宋_GB2312"/>
          <w:color w:val="auto"/>
          <w:sz w:val="32"/>
          <w:szCs w:val="32"/>
          <w:highlight w:val="none"/>
        </w:rPr>
        <w:t>有责任告知甲方</w:t>
      </w:r>
      <w:r>
        <w:rPr>
          <w:rStyle w:val="27"/>
          <w:rFonts w:hint="eastAsia" w:ascii="仿宋_GB2312" w:hAnsi="仿宋_GB2312" w:eastAsia="仿宋_GB2312" w:cs="仿宋_GB2312"/>
          <w:color w:val="auto"/>
          <w:sz w:val="32"/>
          <w:szCs w:val="32"/>
          <w:highlight w:val="none"/>
        </w:rPr>
        <w:t>。</w:t>
      </w:r>
    </w:p>
    <w:p w14:paraId="06B83C05">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在日常管理过程中发生的事故应及时告知</w:t>
      </w:r>
      <w:r>
        <w:rPr>
          <w:rFonts w:hint="eastAsia" w:ascii="仿宋_GB2312" w:hAnsi="仿宋_GB2312" w:eastAsia="仿宋_GB2312" w:cs="仿宋_GB2312"/>
          <w:color w:val="auto"/>
          <w:sz w:val="32"/>
          <w:szCs w:val="32"/>
          <w:highlight w:val="none"/>
          <w:lang w:eastAsia="zh-CN"/>
        </w:rPr>
        <w:t>甲方</w:t>
      </w:r>
      <w:r>
        <w:rPr>
          <w:rFonts w:hint="eastAsia" w:ascii="仿宋_GB2312" w:hAnsi="仿宋_GB2312" w:eastAsia="仿宋_GB2312" w:cs="仿宋_GB2312"/>
          <w:color w:val="auto"/>
          <w:sz w:val="32"/>
          <w:szCs w:val="32"/>
          <w:highlight w:val="none"/>
        </w:rPr>
        <w:t>；设施需要维修、保养的，应事先告知</w:t>
      </w:r>
      <w:r>
        <w:rPr>
          <w:rFonts w:hint="eastAsia" w:ascii="仿宋_GB2312" w:hAnsi="仿宋_GB2312" w:eastAsia="仿宋_GB2312" w:cs="仿宋_GB2312"/>
          <w:color w:val="auto"/>
          <w:sz w:val="32"/>
          <w:szCs w:val="32"/>
          <w:highlight w:val="none"/>
          <w:lang w:eastAsia="zh-CN"/>
        </w:rPr>
        <w:t>甲方</w:t>
      </w:r>
      <w:r>
        <w:rPr>
          <w:rStyle w:val="27"/>
          <w:rFonts w:hint="eastAsia" w:ascii="仿宋_GB2312" w:hAnsi="仿宋_GB2312" w:eastAsia="仿宋_GB2312" w:cs="仿宋_GB2312"/>
          <w:color w:val="auto"/>
          <w:sz w:val="32"/>
          <w:szCs w:val="32"/>
          <w:highlight w:val="none"/>
        </w:rPr>
        <w:t>。</w:t>
      </w:r>
    </w:p>
    <w:p w14:paraId="3A06F601">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五</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对本项目的公用设施不得擅自占用和改变使用功能</w:t>
      </w:r>
      <w:r>
        <w:rPr>
          <w:rStyle w:val="27"/>
          <w:rFonts w:hint="eastAsia" w:ascii="仿宋_GB2312" w:hAnsi="仿宋_GB2312" w:eastAsia="仿宋_GB2312" w:cs="仿宋_GB2312"/>
          <w:color w:val="auto"/>
          <w:sz w:val="32"/>
          <w:szCs w:val="32"/>
          <w:highlight w:val="none"/>
        </w:rPr>
        <w:t>。</w:t>
      </w:r>
    </w:p>
    <w:p w14:paraId="60EE80A5">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六</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在项目日常管理过程中对无法解决的事项或物业设施需要维修、保养的，要及时向甲方反映</w:t>
      </w:r>
      <w:r>
        <w:rPr>
          <w:rStyle w:val="27"/>
          <w:rFonts w:hint="eastAsia" w:ascii="仿宋_GB2312" w:hAnsi="仿宋_GB2312" w:eastAsia="仿宋_GB2312" w:cs="仿宋_GB2312"/>
          <w:color w:val="auto"/>
          <w:sz w:val="32"/>
          <w:szCs w:val="32"/>
          <w:highlight w:val="none"/>
        </w:rPr>
        <w:t>。</w:t>
      </w:r>
    </w:p>
    <w:p w14:paraId="66BC826E">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七</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在服务期内，乙方必须做好工作人员所需要的安全教育及安全措施，保证工作人员的安全，乙方工作人员在甲方工作范围内发生事故的一切责任由乙方负责。</w:t>
      </w:r>
    </w:p>
    <w:p w14:paraId="7725C0BB">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八</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乙方</w:t>
      </w:r>
      <w:r>
        <w:rPr>
          <w:rFonts w:hint="eastAsia" w:ascii="仿宋_GB2312" w:hAnsi="仿宋_GB2312" w:eastAsia="仿宋_GB2312" w:cs="仿宋_GB2312"/>
          <w:color w:val="auto"/>
          <w:sz w:val="32"/>
          <w:szCs w:val="32"/>
          <w:highlight w:val="none"/>
          <w:lang w:eastAsia="zh-CN"/>
        </w:rPr>
        <w:t>工作人员</w:t>
      </w:r>
      <w:r>
        <w:rPr>
          <w:rFonts w:hint="eastAsia" w:ascii="仿宋_GB2312" w:hAnsi="仿宋_GB2312" w:eastAsia="仿宋_GB2312" w:cs="仿宋_GB2312"/>
          <w:color w:val="auto"/>
          <w:sz w:val="32"/>
          <w:szCs w:val="32"/>
          <w:highlight w:val="none"/>
        </w:rPr>
        <w:t>的工资、社会保险等福利,必须符合国家有关规定。</w:t>
      </w:r>
    </w:p>
    <w:p w14:paraId="46C952DB">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九</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本合同终止时，乙方必须在甲方要求的时间内及时移交本项目，并向甲方移交全部管理用房及有关档案资料。</w:t>
      </w:r>
    </w:p>
    <w:p w14:paraId="5CCD4CEF">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Style w:val="27"/>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十</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招标文件及合同附件中约定的乙方其它权利义务。</w:t>
      </w:r>
    </w:p>
    <w:p w14:paraId="153B559D">
      <w:pPr>
        <w:pStyle w:val="24"/>
        <w:keepNext w:val="0"/>
        <w:keepLines w:val="0"/>
        <w:pageBreakBefore w:val="0"/>
        <w:kinsoku/>
        <w:wordWrap/>
        <w:overflowPunct/>
        <w:topLinePunct w:val="0"/>
        <w:autoSpaceDE/>
        <w:autoSpaceDN/>
        <w:bidi w:val="0"/>
        <w:adjustRightInd/>
        <w:snapToGrid/>
        <w:spacing w:beforeAutospacing="0" w:line="560" w:lineRule="exact"/>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五、运营服务质量</w:t>
      </w:r>
    </w:p>
    <w:p w14:paraId="1F17DA1A">
      <w:pPr>
        <w:pStyle w:val="24"/>
        <w:keepNext w:val="0"/>
        <w:keepLines w:val="0"/>
        <w:pageBreakBefore w:val="0"/>
        <w:kinsoku/>
        <w:wordWrap/>
        <w:overflowPunct/>
        <w:topLinePunct w:val="0"/>
        <w:autoSpaceDE/>
        <w:autoSpaceDN/>
        <w:bidi w:val="0"/>
        <w:adjustRightInd/>
        <w:snapToGrid/>
        <w:spacing w:beforeAutospacing="0" w:line="560" w:lineRule="exact"/>
        <w:ind w:left="1" w:firstLine="640" w:firstLineChars="200"/>
        <w:textAlignment w:val="auto"/>
        <w:rPr>
          <w:rFonts w:hint="eastAsia" w:ascii="仿宋_GB2312" w:hAnsi="仿宋_GB2312" w:eastAsia="仿宋_GB2312" w:cs="仿宋_GB2312"/>
          <w:b/>
          <w:bCs/>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第八条</w:t>
      </w:r>
      <w:r>
        <w:rPr>
          <w:rFonts w:hint="eastAsia" w:ascii="仿宋" w:hAnsi="仿宋" w:eastAsia="仿宋" w:cs="仿宋"/>
          <w:b/>
          <w:bCs/>
          <w:color w:val="auto"/>
          <w:sz w:val="32"/>
          <w:szCs w:val="32"/>
          <w:highlight w:val="none"/>
        </w:rPr>
        <w:t xml:space="preserve">  </w:t>
      </w:r>
      <w:r>
        <w:rPr>
          <w:rFonts w:hint="eastAsia" w:ascii="仿宋_GB2312" w:hAnsi="仿宋_GB2312" w:eastAsia="仿宋_GB2312" w:cs="仿宋_GB2312"/>
          <w:color w:val="auto"/>
          <w:sz w:val="32"/>
          <w:szCs w:val="32"/>
          <w:highlight w:val="none"/>
        </w:rPr>
        <w:t>具体质量要求详见招标文件</w:t>
      </w:r>
      <w:r>
        <w:rPr>
          <w:rFonts w:hint="eastAsia" w:ascii="仿宋_GB2312" w:hAnsi="仿宋_GB2312" w:eastAsia="仿宋_GB2312" w:cs="仿宋_GB2312"/>
          <w:color w:val="auto"/>
          <w:sz w:val="32"/>
          <w:szCs w:val="32"/>
          <w:highlight w:val="none"/>
          <w:lang w:eastAsia="zh-CN"/>
        </w:rPr>
        <w:t>项目需求书（附件）</w:t>
      </w:r>
      <w:r>
        <w:rPr>
          <w:rFonts w:hint="eastAsia" w:ascii="仿宋_GB2312" w:hAnsi="仿宋_GB2312" w:eastAsia="仿宋_GB2312" w:cs="仿宋_GB2312"/>
          <w:color w:val="auto"/>
          <w:sz w:val="32"/>
          <w:szCs w:val="32"/>
          <w:highlight w:val="none"/>
        </w:rPr>
        <w:t>。</w:t>
      </w:r>
    </w:p>
    <w:p w14:paraId="44F25754">
      <w:pPr>
        <w:pStyle w:val="24"/>
        <w:keepNext w:val="0"/>
        <w:keepLines w:val="0"/>
        <w:pageBreakBefore w:val="0"/>
        <w:kinsoku/>
        <w:wordWrap/>
        <w:overflowPunct/>
        <w:topLinePunct w:val="0"/>
        <w:autoSpaceDE/>
        <w:autoSpaceDN/>
        <w:bidi w:val="0"/>
        <w:adjustRightInd/>
        <w:snapToGrid/>
        <w:spacing w:beforeAutospacing="0" w:line="560" w:lineRule="exact"/>
        <w:ind w:left="1"/>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六、合同金额及付款方式</w:t>
      </w:r>
    </w:p>
    <w:p w14:paraId="1A325242">
      <w:pPr>
        <w:pStyle w:val="24"/>
        <w:keepNext w:val="0"/>
        <w:keepLines w:val="0"/>
        <w:pageBreakBefore w:val="0"/>
        <w:kinsoku/>
        <w:wordWrap/>
        <w:overflowPunct/>
        <w:topLinePunct w:val="0"/>
        <w:autoSpaceDE/>
        <w:autoSpaceDN/>
        <w:bidi w:val="0"/>
        <w:adjustRightInd/>
        <w:snapToGrid/>
        <w:spacing w:beforeAutospacing="0" w:line="560" w:lineRule="exact"/>
        <w:ind w:left="1"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第九条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合同金额</w:t>
      </w:r>
    </w:p>
    <w:p w14:paraId="0A2B1FE3">
      <w:pPr>
        <w:pStyle w:val="24"/>
        <w:keepNext w:val="0"/>
        <w:keepLines w:val="0"/>
        <w:pageBreakBefore w:val="0"/>
        <w:widowControl/>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（一）</w:t>
      </w:r>
      <w:r>
        <w:rPr>
          <w:rFonts w:hint="eastAsia" w:ascii="仿宋_GB2312" w:hAnsi="仿宋_GB2312" w:eastAsia="仿宋_GB2312" w:cs="仿宋_GB2312"/>
          <w:color w:val="auto"/>
          <w:sz w:val="32"/>
          <w:szCs w:val="32"/>
          <w:highlight w:val="none"/>
        </w:rPr>
        <w:t>在服务期内，甲方支付给乙方的服务费总金额为人民币</w:t>
      </w:r>
      <w:r>
        <w:rPr>
          <w:rFonts w:hint="eastAsia" w:ascii="仿宋_GB2312" w:hAnsi="仿宋_GB2312" w:eastAsia="仿宋_GB2312" w:cs="仿宋_GB2312"/>
          <w:color w:val="auto"/>
          <w:sz w:val="32"/>
          <w:szCs w:val="32"/>
          <w:highlight w:val="none"/>
          <w:lang w:val="en-US"/>
        </w:rPr>
        <w:t xml:space="preserve">       </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rPr>
        <w:t xml:space="preserve">  </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val="en-US" w:eastAsia="zh-CN"/>
        </w:rPr>
        <w:t>其中不含税价为</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u w:val="none"/>
          <w:lang w:val="en-US" w:eastAsia="zh-CN"/>
        </w:rPr>
        <w:t>，税金为</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u w:val="none"/>
          <w:lang w:val="en-US" w:eastAsia="zh-CN"/>
        </w:rPr>
        <w:t>，税率为</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color w:val="auto"/>
          <w:sz w:val="32"/>
          <w:szCs w:val="32"/>
          <w:highlight w:val="none"/>
          <w:u w:val="none"/>
          <w:lang w:val="en-US" w:eastAsia="zh-CN"/>
        </w:rPr>
        <w:t>。</w:t>
      </w:r>
      <w:r>
        <w:rPr>
          <w:rFonts w:hint="eastAsia" w:ascii="仿宋_GB2312" w:hAnsi="仿宋_GB2312" w:eastAsia="仿宋_GB2312" w:cs="仿宋_GB2312"/>
          <w:color w:val="auto"/>
          <w:sz w:val="32"/>
          <w:szCs w:val="32"/>
          <w:highlight w:val="none"/>
        </w:rPr>
        <w:t>此费用甲方</w:t>
      </w:r>
      <w:r>
        <w:rPr>
          <w:rFonts w:hint="eastAsia" w:ascii="仿宋_GB2312" w:hAnsi="仿宋_GB2312" w:eastAsia="仿宋_GB2312" w:cs="仿宋_GB2312"/>
          <w:color w:val="auto"/>
          <w:sz w:val="32"/>
          <w:szCs w:val="32"/>
          <w:highlight w:val="none"/>
          <w:lang w:val="en-US" w:eastAsia="zh-CN"/>
        </w:rPr>
        <w:t>每三个月</w:t>
      </w:r>
      <w:r>
        <w:rPr>
          <w:rFonts w:hint="eastAsia" w:ascii="仿宋_GB2312" w:hAnsi="仿宋_GB2312" w:eastAsia="仿宋_GB2312" w:cs="仿宋_GB2312"/>
          <w:color w:val="auto"/>
          <w:sz w:val="32"/>
          <w:szCs w:val="32"/>
          <w:highlight w:val="none"/>
        </w:rPr>
        <w:t>支付</w:t>
      </w:r>
      <w:r>
        <w:rPr>
          <w:rFonts w:hint="eastAsia" w:ascii="仿宋_GB2312" w:hAnsi="仿宋_GB2312" w:eastAsia="仿宋_GB2312" w:cs="仿宋_GB2312"/>
          <w:color w:val="auto"/>
          <w:sz w:val="32"/>
          <w:szCs w:val="32"/>
          <w:highlight w:val="none"/>
          <w:lang w:val="en-US" w:eastAsia="zh-CN"/>
        </w:rPr>
        <w:t>一次</w:t>
      </w:r>
      <w:r>
        <w:rPr>
          <w:rFonts w:hint="eastAsia" w:ascii="仿宋_GB2312" w:hAnsi="仿宋_GB2312" w:eastAsia="仿宋_GB2312" w:cs="仿宋_GB2312"/>
          <w:color w:val="auto"/>
          <w:sz w:val="32"/>
          <w:szCs w:val="32"/>
          <w:highlight w:val="none"/>
        </w:rPr>
        <w:t>，每次支付金额为人民币（￥</w:t>
      </w:r>
      <w:r>
        <w:rPr>
          <w:rFonts w:hint="eastAsia" w:ascii="仿宋_GB2312" w:hAnsi="仿宋_GB2312" w:eastAsia="仿宋_GB2312" w:cs="仿宋_GB2312"/>
          <w:color w:val="auto"/>
          <w:sz w:val="32"/>
          <w:szCs w:val="32"/>
          <w:highlight w:val="none"/>
          <w:u w:val="single"/>
        </w:rPr>
        <w:t xml:space="preserve"> </w:t>
      </w:r>
      <w:r>
        <w:rPr>
          <w:rFonts w:hint="eastAsia" w:ascii="仿宋_GB2312" w:hAnsi="仿宋_GB2312" w:eastAsia="仿宋_GB2312" w:cs="仿宋_GB2312"/>
          <w:color w:val="auto"/>
          <w:sz w:val="32"/>
          <w:szCs w:val="32"/>
          <w:highlight w:val="none"/>
          <w:u w:val="single"/>
          <w:lang w:val="en-US"/>
        </w:rPr>
        <w:t xml:space="preserve">    </w:t>
      </w:r>
      <w:r>
        <w:rPr>
          <w:rFonts w:hint="eastAsia" w:ascii="仿宋_GB2312" w:hAnsi="仿宋_GB2312" w:eastAsia="仿宋_GB2312" w:cs="仿宋_GB2312"/>
          <w:color w:val="auto"/>
          <w:sz w:val="32"/>
          <w:szCs w:val="32"/>
          <w:highlight w:val="none"/>
        </w:rPr>
        <w:t>）。</w:t>
      </w:r>
    </w:p>
    <w:p w14:paraId="37965E7F">
      <w:pPr>
        <w:pStyle w:val="24"/>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二</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服务费范围：本项目为运营总价包干项目，项目费用包括服务期内项目最大进水量不超过600m³/d的人工费、委托运营服务费用、设施设备的日常维护保养、日常化验检测及常规环保监测费用、运营期间产生的化学药剂费用、污泥处置费、在线监测设备的废液处理费用、在线监测设备日常运行维护、维护护栏和卫生间以及乙方认为</w:t>
      </w:r>
      <w:r>
        <w:rPr>
          <w:rFonts w:hint="eastAsia" w:ascii="仿宋_GB2312" w:hAnsi="仿宋_GB2312" w:eastAsia="仿宋_GB2312" w:cs="仿宋_GB2312"/>
          <w:b w:val="0"/>
          <w:kern w:val="2"/>
          <w:sz w:val="32"/>
          <w:szCs w:val="32"/>
          <w:highlight w:val="none"/>
          <w:lang w:val="en-US" w:eastAsia="zh-CN" w:bidi="ar-SA"/>
        </w:rPr>
        <w:t>为完成本项目服务</w:t>
      </w:r>
      <w:r>
        <w:rPr>
          <w:rFonts w:hint="eastAsia" w:ascii="仿宋_GB2312" w:hAnsi="仿宋_GB2312" w:eastAsia="仿宋_GB2312" w:cs="仿宋_GB2312"/>
          <w:sz w:val="32"/>
          <w:szCs w:val="32"/>
          <w:highlight w:val="none"/>
        </w:rPr>
        <w:t>必要的其他费用，不含水电费。</w:t>
      </w:r>
    </w:p>
    <w:p w14:paraId="0649443B">
      <w:pPr>
        <w:pStyle w:val="28"/>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付款方式</w:t>
      </w:r>
    </w:p>
    <w:p w14:paraId="6137816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服务费每三个月支付一次。甲方在每次支付的第三个月底收到乙方开具的增值税专用发票后15天内支付费用（如遇节假日顺延至下一个工作日）。如乙方提供的服务不足一次支付时则按日计算服务费。</w:t>
      </w:r>
    </w:p>
    <w:p w14:paraId="441D4E6D">
      <w:pPr>
        <w:pStyle w:val="28"/>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第十一条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直接费用</w:t>
      </w:r>
    </w:p>
    <w:p w14:paraId="4607EE1C">
      <w:pPr>
        <w:pStyle w:val="24"/>
        <w:keepNext w:val="0"/>
        <w:keepLines w:val="0"/>
        <w:pageBreakBefore w:val="0"/>
        <w:widowControl/>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使用过程中的直接费用，如电费、水费等，由甲方</w:t>
      </w:r>
      <w:r>
        <w:rPr>
          <w:rFonts w:hint="eastAsia" w:ascii="仿宋_GB2312" w:hAnsi="仿宋_GB2312" w:eastAsia="仿宋_GB2312" w:cs="仿宋_GB2312"/>
          <w:color w:val="auto"/>
          <w:sz w:val="32"/>
          <w:szCs w:val="32"/>
          <w:highlight w:val="none"/>
          <w:lang w:eastAsia="zh-CN"/>
        </w:rPr>
        <w:t>负责</w:t>
      </w:r>
      <w:r>
        <w:rPr>
          <w:rFonts w:hint="eastAsia" w:ascii="仿宋_GB2312" w:hAnsi="仿宋_GB2312" w:eastAsia="仿宋_GB2312" w:cs="仿宋_GB2312"/>
          <w:color w:val="auto"/>
          <w:sz w:val="32"/>
          <w:szCs w:val="32"/>
          <w:highlight w:val="none"/>
        </w:rPr>
        <w:t>支付。</w:t>
      </w:r>
    </w:p>
    <w:p w14:paraId="48DCF1EF">
      <w:pPr>
        <w:pStyle w:val="24"/>
        <w:keepNext w:val="0"/>
        <w:keepLines w:val="0"/>
        <w:pageBreakBefore w:val="0"/>
        <w:kinsoku/>
        <w:wordWrap/>
        <w:overflowPunct/>
        <w:topLinePunct w:val="0"/>
        <w:autoSpaceDE/>
        <w:autoSpaceDN/>
        <w:bidi w:val="0"/>
        <w:adjustRightInd/>
        <w:snapToGrid/>
        <w:spacing w:beforeAutospacing="0" w:line="560" w:lineRule="exact"/>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七、违约责任</w:t>
      </w:r>
    </w:p>
    <w:p w14:paraId="2ABE8701">
      <w:pPr>
        <w:pStyle w:val="28"/>
        <w:keepNext w:val="0"/>
        <w:keepLines w:val="0"/>
        <w:pageBreakBefore w:val="0"/>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第十二条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乙方提供发票后，甲方应按期付清服务费，每逾期一天，支付欠款总额</w:t>
      </w:r>
      <w:r>
        <w:rPr>
          <w:rFonts w:hint="eastAsia" w:ascii="仿宋_GB2312" w:hAnsi="仿宋_GB2312" w:eastAsia="仿宋_GB2312" w:cs="仿宋_GB2312"/>
          <w:color w:val="auto"/>
          <w:sz w:val="32"/>
          <w:szCs w:val="32"/>
          <w:highlight w:val="none"/>
          <w:lang w:val="en-US" w:eastAsia="zh-CN"/>
        </w:rPr>
        <w:t>万分之五</w:t>
      </w:r>
      <w:r>
        <w:rPr>
          <w:rFonts w:hint="eastAsia" w:ascii="仿宋_GB2312" w:hAnsi="仿宋_GB2312" w:eastAsia="仿宋_GB2312" w:cs="仿宋_GB2312"/>
          <w:color w:val="auto"/>
          <w:sz w:val="32"/>
          <w:szCs w:val="32"/>
          <w:highlight w:val="none"/>
        </w:rPr>
        <w:t>的违约金；累计违约金不超过服务费总额的5%。乙方应按其响应项目提供服务，凡未提供或未达到标准的限期整改，逾期未改的，每逾期一天，由甲方扣除当月服务费的万分之五作为违约金，累积违约金不超过服务费总额的5%。</w:t>
      </w:r>
    </w:p>
    <w:p w14:paraId="2B263B3D">
      <w:pPr>
        <w:pStyle w:val="28"/>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第十三条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sz w:val="32"/>
          <w:szCs w:val="32"/>
          <w:highlight w:val="none"/>
        </w:rPr>
        <w:t>乙方违反本合同规定，所提供的服务未达到合同要求，甲方书面提出整改通知，累计提出达二次，乙方未按要求及时整改的，甲方有权终止合同，同时要求乙方支付服务费总额的5%作为违约金，由此造成甲方经济损失的，乙方也需给予赔偿</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包括不限于甲方的实际损失以及甲方为主张权益所支出的律师费、诉讼费、保全费、评估费等必要费用</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w:t>
      </w:r>
    </w:p>
    <w:p w14:paraId="7C84F8BA">
      <w:pPr>
        <w:pStyle w:val="24"/>
        <w:keepNext w:val="0"/>
        <w:keepLines w:val="0"/>
        <w:pageBreakBefore w:val="0"/>
        <w:kinsoku/>
        <w:wordWrap/>
        <w:overflowPunct/>
        <w:topLinePunct w:val="0"/>
        <w:autoSpaceDE/>
        <w:autoSpaceDN/>
        <w:bidi w:val="0"/>
        <w:adjustRightInd/>
        <w:snapToGrid/>
        <w:spacing w:beforeAutospacing="0" w:line="560" w:lineRule="exact"/>
        <w:ind w:left="1"/>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八、不可抗力</w:t>
      </w:r>
    </w:p>
    <w:p w14:paraId="340D9E05">
      <w:pPr>
        <w:pStyle w:val="24"/>
        <w:keepNext w:val="0"/>
        <w:keepLines w:val="0"/>
        <w:pageBreakBefore w:val="0"/>
        <w:kinsoku/>
        <w:wordWrap/>
        <w:overflowPunct/>
        <w:topLinePunct w:val="0"/>
        <w:autoSpaceDE/>
        <w:autoSpaceDN/>
        <w:bidi w:val="0"/>
        <w:adjustRightInd/>
        <w:snapToGrid/>
        <w:spacing w:beforeAutospacing="0" w:line="560" w:lineRule="exact"/>
        <w:ind w:left="1"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第十四条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由于不可预见、不可避免、不可克服等不可抗力的原因，一方不能履行合同义务的，应当在不可抗力发生之日起</w:t>
      </w:r>
      <w:r>
        <w:rPr>
          <w:rFonts w:hint="eastAsia" w:ascii="仿宋_GB2312" w:hAnsi="仿宋_GB2312" w:eastAsia="仿宋_GB2312" w:cs="仿宋_GB2312"/>
          <w:color w:val="auto"/>
          <w:sz w:val="32"/>
          <w:szCs w:val="32"/>
          <w:highlight w:val="none"/>
          <w:u w:val="single"/>
          <w:lang w:val="en-US" w:eastAsia="zh-CN"/>
        </w:rPr>
        <w:t>60</w:t>
      </w:r>
      <w:r>
        <w:rPr>
          <w:rFonts w:hint="eastAsia" w:ascii="仿宋_GB2312" w:hAnsi="仿宋_GB2312" w:eastAsia="仿宋_GB2312" w:cs="仿宋_GB2312"/>
          <w:color w:val="auto"/>
          <w:sz w:val="32"/>
          <w:szCs w:val="32"/>
          <w:highlight w:val="none"/>
        </w:rPr>
        <w:t>天内以书面形式通知对方，证明不可抗力事件的存在。</w:t>
      </w:r>
    </w:p>
    <w:p w14:paraId="30063566">
      <w:pPr>
        <w:pStyle w:val="24"/>
        <w:keepNext w:val="0"/>
        <w:keepLines w:val="0"/>
        <w:pageBreakBefore w:val="0"/>
        <w:kinsoku/>
        <w:wordWrap/>
        <w:overflowPunct/>
        <w:topLinePunct w:val="0"/>
        <w:autoSpaceDE/>
        <w:autoSpaceDN/>
        <w:bidi w:val="0"/>
        <w:adjustRightInd/>
        <w:snapToGrid/>
        <w:spacing w:beforeAutospacing="0" w:line="560" w:lineRule="exact"/>
        <w:ind w:left="1" w:firstLine="640" w:firstLineChars="200"/>
        <w:textAlignment w:val="auto"/>
        <w:rPr>
          <w:rFonts w:hint="eastAsia" w:ascii="仿宋_GB2312" w:hAnsi="仿宋_GB2312" w:eastAsia="仿宋_GB2312" w:cs="仿宋_GB2312"/>
          <w:b/>
          <w:bCs/>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第十五条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不可抗力事件发生后，甲方和乙方应当积极寻求以合理的方式履行本合同。如不可抗力无法消除，致使合同目的无法实现的，双方均有权解除合同，且均不互相索赔。</w:t>
      </w:r>
    </w:p>
    <w:p w14:paraId="37411B69">
      <w:pPr>
        <w:pStyle w:val="24"/>
        <w:keepNext w:val="0"/>
        <w:keepLines w:val="0"/>
        <w:pageBreakBefore w:val="0"/>
        <w:kinsoku/>
        <w:wordWrap/>
        <w:overflowPunct/>
        <w:topLinePunct w:val="0"/>
        <w:autoSpaceDE/>
        <w:autoSpaceDN/>
        <w:bidi w:val="0"/>
        <w:adjustRightInd/>
        <w:snapToGrid/>
        <w:spacing w:beforeAutospacing="0" w:line="560" w:lineRule="exact"/>
        <w:ind w:left="1"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黑体" w:hAnsi="黑体" w:eastAsia="黑体" w:cs="黑体"/>
          <w:b w:val="0"/>
          <w:bCs w:val="0"/>
          <w:color w:val="auto"/>
          <w:kern w:val="2"/>
          <w:sz w:val="32"/>
          <w:szCs w:val="32"/>
          <w:highlight w:val="none"/>
          <w:lang w:val="en-US" w:eastAsia="zh-CN" w:bidi="ar-SA"/>
        </w:rPr>
        <w:t>第十六条</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lang w:eastAsia="zh-CN"/>
        </w:rPr>
        <w:t>本合同执行期间，如遇不可抗力情况，致使甲方与</w:t>
      </w:r>
      <w:r>
        <w:rPr>
          <w:rFonts w:hint="eastAsia" w:ascii="仿宋_GB2312" w:hAnsi="仿宋_GB2312" w:eastAsia="仿宋_GB2312" w:cs="仿宋_GB2312"/>
          <w:color w:val="auto"/>
          <w:sz w:val="32"/>
          <w:szCs w:val="32"/>
          <w:highlight w:val="none"/>
          <w:lang w:val="en-US" w:eastAsia="zh-CN"/>
        </w:rPr>
        <w:t>区商务局</w:t>
      </w:r>
      <w:r>
        <w:rPr>
          <w:rFonts w:hint="eastAsia" w:ascii="仿宋_GB2312" w:hAnsi="仿宋_GB2312" w:eastAsia="仿宋_GB2312" w:cs="仿宋_GB2312"/>
          <w:color w:val="auto"/>
          <w:sz w:val="32"/>
          <w:szCs w:val="32"/>
          <w:highlight w:val="none"/>
          <w:lang w:eastAsia="zh-CN"/>
        </w:rPr>
        <w:t>签订</w:t>
      </w:r>
      <w:r>
        <w:rPr>
          <w:rFonts w:hint="eastAsia" w:ascii="仿宋_GB2312" w:hAnsi="仿宋_GB2312" w:eastAsia="仿宋_GB2312" w:cs="仿宋_GB2312"/>
          <w:color w:val="auto"/>
          <w:sz w:val="32"/>
          <w:szCs w:val="32"/>
          <w:highlight w:val="none"/>
          <w:lang w:val="en-US" w:eastAsia="zh-CN"/>
        </w:rPr>
        <w:t>的</w:t>
      </w:r>
      <w:r>
        <w:rPr>
          <w:rFonts w:hint="eastAsia" w:ascii="仿宋_GB2312" w:hAnsi="仿宋_GB2312" w:eastAsia="仿宋_GB2312" w:cs="仿宋_GB2312"/>
          <w:color w:val="auto"/>
          <w:sz w:val="32"/>
          <w:szCs w:val="32"/>
          <w:highlight w:val="none"/>
          <w:lang w:eastAsia="zh-CN"/>
        </w:rPr>
        <w:t>综合管理服务合同无法继续时，本合同自动解除。</w:t>
      </w:r>
    </w:p>
    <w:p w14:paraId="2E4D54D8">
      <w:pPr>
        <w:pStyle w:val="24"/>
        <w:keepNext w:val="0"/>
        <w:keepLines w:val="0"/>
        <w:pageBreakBefore w:val="0"/>
        <w:kinsoku/>
        <w:wordWrap/>
        <w:overflowPunct/>
        <w:topLinePunct w:val="0"/>
        <w:autoSpaceDE/>
        <w:autoSpaceDN/>
        <w:bidi w:val="0"/>
        <w:adjustRightInd/>
        <w:snapToGrid/>
        <w:spacing w:beforeAutospacing="0" w:line="560" w:lineRule="exact"/>
        <w:jc w:val="both"/>
        <w:textAlignment w:val="auto"/>
        <w:rPr>
          <w:rFonts w:hint="eastAsia" w:ascii="仿宋" w:hAnsi="仿宋" w:eastAsia="仿宋" w:cs="仿宋"/>
          <w:b/>
          <w:bCs/>
          <w:color w:val="auto"/>
          <w:sz w:val="32"/>
          <w:szCs w:val="32"/>
          <w:highlight w:val="none"/>
        </w:rPr>
      </w:pPr>
    </w:p>
    <w:p w14:paraId="02BA39A5">
      <w:pPr>
        <w:pStyle w:val="24"/>
        <w:keepNext w:val="0"/>
        <w:keepLines w:val="0"/>
        <w:pageBreakBefore w:val="0"/>
        <w:kinsoku/>
        <w:wordWrap/>
        <w:overflowPunct/>
        <w:topLinePunct w:val="0"/>
        <w:autoSpaceDE/>
        <w:autoSpaceDN/>
        <w:bidi w:val="0"/>
        <w:adjustRightInd/>
        <w:snapToGrid/>
        <w:spacing w:beforeAutospacing="0" w:line="560" w:lineRule="exact"/>
        <w:ind w:left="1"/>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九、争议及解决办法</w:t>
      </w:r>
    </w:p>
    <w:p w14:paraId="7A32B8C8">
      <w:pPr>
        <w:pStyle w:val="24"/>
        <w:keepNext w:val="0"/>
        <w:keepLines w:val="0"/>
        <w:pageBreakBefore w:val="0"/>
        <w:kinsoku/>
        <w:wordWrap/>
        <w:overflowPunct/>
        <w:topLinePunct w:val="0"/>
        <w:autoSpaceDE/>
        <w:autoSpaceDN/>
        <w:bidi w:val="0"/>
        <w:adjustRightInd/>
        <w:snapToGrid/>
        <w:spacing w:beforeAutospacing="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第十七条  </w:t>
      </w:r>
      <w:r>
        <w:rPr>
          <w:rFonts w:hint="eastAsia" w:ascii="仿宋_GB2312" w:hAnsi="仿宋_GB2312" w:eastAsia="仿宋_GB2312" w:cs="仿宋_GB2312"/>
          <w:color w:val="auto"/>
          <w:sz w:val="32"/>
          <w:szCs w:val="32"/>
          <w:highlight w:val="none"/>
        </w:rPr>
        <w:t>本合同发生争议，由双方协商或由政府采购监管部门调解解决，协商或调解不成时按以下第</w:t>
      </w:r>
      <w:r>
        <w:rPr>
          <w:rFonts w:hint="eastAsia" w:ascii="仿宋_GB2312" w:hAnsi="仿宋_GB2312" w:eastAsia="仿宋_GB2312" w:cs="仿宋_GB2312"/>
          <w:color w:val="auto"/>
          <w:sz w:val="32"/>
          <w:szCs w:val="32"/>
          <w:highlight w:val="none"/>
          <w:u w:val="single"/>
          <w:lang w:eastAsia="zh-CN"/>
        </w:rPr>
        <w:t>（</w:t>
      </w:r>
      <w:r>
        <w:rPr>
          <w:rFonts w:hint="eastAsia" w:ascii="仿宋_GB2312" w:hAnsi="仿宋_GB2312" w:eastAsia="仿宋_GB2312" w:cs="仿宋_GB2312"/>
          <w:color w:val="auto"/>
          <w:sz w:val="32"/>
          <w:szCs w:val="32"/>
          <w:highlight w:val="none"/>
          <w:u w:val="single"/>
          <w:lang w:val="en-US" w:eastAsia="zh-CN"/>
        </w:rPr>
        <w:t>二</w:t>
      </w:r>
      <w:r>
        <w:rPr>
          <w:rFonts w:hint="eastAsia" w:ascii="仿宋_GB2312" w:hAnsi="仿宋_GB2312" w:eastAsia="仿宋_GB2312" w:cs="仿宋_GB2312"/>
          <w:color w:val="auto"/>
          <w:sz w:val="32"/>
          <w:szCs w:val="32"/>
          <w:highlight w:val="none"/>
          <w:u w:val="single"/>
          <w:lang w:eastAsia="zh-CN"/>
        </w:rPr>
        <w:t>）</w:t>
      </w:r>
      <w:r>
        <w:rPr>
          <w:rFonts w:hint="eastAsia" w:ascii="仿宋_GB2312" w:hAnsi="仿宋_GB2312" w:eastAsia="仿宋_GB2312" w:cs="仿宋_GB2312"/>
          <w:color w:val="auto"/>
          <w:sz w:val="32"/>
          <w:szCs w:val="32"/>
          <w:highlight w:val="none"/>
        </w:rPr>
        <w:t>种方式解决：</w:t>
      </w:r>
    </w:p>
    <w:p w14:paraId="0C1908D5">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一</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广州仲裁委员会仲裁；</w:t>
      </w:r>
    </w:p>
    <w:p w14:paraId="315D9E24">
      <w:pPr>
        <w:pStyle w:val="24"/>
        <w:keepNext w:val="0"/>
        <w:keepLines w:val="0"/>
        <w:pageBreakBefore w:val="0"/>
        <w:widowControl/>
        <w:numPr>
          <w:ilvl w:val="0"/>
          <w:numId w:val="0"/>
        </w:numPr>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二</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向甲方所在地</w:t>
      </w:r>
      <w:r>
        <w:rPr>
          <w:rFonts w:hint="eastAsia" w:ascii="仿宋_GB2312" w:hAnsi="仿宋_GB2312" w:eastAsia="仿宋_GB2312" w:cs="仿宋_GB2312"/>
          <w:color w:val="auto"/>
          <w:sz w:val="32"/>
          <w:szCs w:val="32"/>
          <w:highlight w:val="none"/>
          <w:lang w:val="en-US" w:eastAsia="zh-CN"/>
        </w:rPr>
        <w:t>有管辖权的</w:t>
      </w:r>
      <w:r>
        <w:rPr>
          <w:rFonts w:hint="eastAsia" w:ascii="仿宋_GB2312" w:hAnsi="仿宋_GB2312" w:eastAsia="仿宋_GB2312" w:cs="仿宋_GB2312"/>
          <w:color w:val="auto"/>
          <w:sz w:val="32"/>
          <w:szCs w:val="32"/>
          <w:highlight w:val="none"/>
        </w:rPr>
        <w:t>人民法院提起诉讼。</w:t>
      </w:r>
    </w:p>
    <w:p w14:paraId="1C51675A">
      <w:pPr>
        <w:pStyle w:val="24"/>
        <w:keepNext w:val="0"/>
        <w:keepLines w:val="0"/>
        <w:pageBreakBefore w:val="0"/>
        <w:kinsoku/>
        <w:wordWrap/>
        <w:overflowPunct/>
        <w:topLinePunct w:val="0"/>
        <w:autoSpaceDE/>
        <w:autoSpaceDN/>
        <w:bidi w:val="0"/>
        <w:adjustRightInd/>
        <w:snapToGrid/>
        <w:spacing w:beforeAutospacing="0" w:line="560" w:lineRule="exact"/>
        <w:jc w:val="both"/>
        <w:textAlignment w:val="auto"/>
        <w:rPr>
          <w:rFonts w:hint="eastAsia" w:ascii="仿宋" w:hAnsi="仿宋" w:eastAsia="仿宋" w:cs="仿宋"/>
          <w:b/>
          <w:bCs/>
          <w:color w:val="auto"/>
          <w:sz w:val="32"/>
          <w:szCs w:val="32"/>
          <w:highlight w:val="none"/>
        </w:rPr>
      </w:pPr>
    </w:p>
    <w:p w14:paraId="2DF2975F">
      <w:pPr>
        <w:pStyle w:val="24"/>
        <w:keepNext w:val="0"/>
        <w:keepLines w:val="0"/>
        <w:pageBreakBefore w:val="0"/>
        <w:kinsoku/>
        <w:wordWrap/>
        <w:overflowPunct/>
        <w:topLinePunct w:val="0"/>
        <w:autoSpaceDE/>
        <w:autoSpaceDN/>
        <w:bidi w:val="0"/>
        <w:adjustRightInd/>
        <w:snapToGrid/>
        <w:spacing w:beforeAutospacing="0" w:line="560" w:lineRule="exact"/>
        <w:jc w:val="center"/>
        <w:textAlignment w:val="auto"/>
        <w:rPr>
          <w:rFonts w:hint="eastAsia"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十、其   他</w:t>
      </w:r>
    </w:p>
    <w:p w14:paraId="58598F43">
      <w:pPr>
        <w:pStyle w:val="24"/>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default" w:ascii="黑体" w:hAnsi="黑体" w:eastAsia="黑体" w:cs="黑体"/>
          <w:b w:val="0"/>
          <w:bCs w:val="0"/>
          <w:color w:val="auto"/>
          <w:kern w:val="2"/>
          <w:sz w:val="32"/>
          <w:szCs w:val="32"/>
          <w:highlight w:val="none"/>
          <w:lang w:val="en-US" w:eastAsia="zh-CN" w:bidi="ar-SA"/>
        </w:rPr>
      </w:pPr>
      <w:r>
        <w:rPr>
          <w:rFonts w:hint="eastAsia" w:ascii="黑体" w:hAnsi="黑体" w:eastAsia="黑体" w:cs="黑体"/>
          <w:b w:val="0"/>
          <w:bCs w:val="0"/>
          <w:color w:val="auto"/>
          <w:kern w:val="2"/>
          <w:sz w:val="32"/>
          <w:szCs w:val="32"/>
          <w:highlight w:val="none"/>
          <w:lang w:val="en-US" w:eastAsia="zh-CN" w:bidi="ar-SA"/>
        </w:rPr>
        <w:t xml:space="preserve">第十八条  </w:t>
      </w:r>
      <w:r>
        <w:rPr>
          <w:rFonts w:hint="eastAsia" w:ascii="仿宋_GB2312" w:hAnsi="仿宋_GB2312" w:eastAsia="仿宋_GB2312" w:cs="仿宋_GB2312"/>
          <w:sz w:val="32"/>
          <w:szCs w:val="32"/>
          <w:highlight w:val="none"/>
          <w:lang w:val="en-US" w:eastAsia="zh-CN"/>
        </w:rPr>
        <w:t>合同到期后双方未续签合同或甲方未进行书面确认的，乙方在合同期外提供的任何相关服务均不视为合同的续签，且甲方不对乙方的自愿服务作出任何补偿。</w:t>
      </w:r>
    </w:p>
    <w:p w14:paraId="4E251034">
      <w:pPr>
        <w:pStyle w:val="24"/>
        <w:keepNext w:val="0"/>
        <w:keepLines w:val="0"/>
        <w:pageBreakBefore w:val="0"/>
        <w:widowControl/>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第十九条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本合同一式</w:t>
      </w:r>
      <w:r>
        <w:rPr>
          <w:rFonts w:hint="eastAsia" w:ascii="仿宋_GB2312" w:hAnsi="仿宋_GB2312" w:eastAsia="仿宋_GB2312" w:cs="仿宋_GB2312"/>
          <w:color w:val="auto"/>
          <w:sz w:val="32"/>
          <w:szCs w:val="32"/>
          <w:highlight w:val="none"/>
          <w:lang w:eastAsia="zh-CN"/>
        </w:rPr>
        <w:t>陆</w:t>
      </w:r>
      <w:r>
        <w:rPr>
          <w:rFonts w:hint="eastAsia" w:ascii="仿宋_GB2312" w:hAnsi="仿宋_GB2312" w:eastAsia="仿宋_GB2312" w:cs="仿宋_GB2312"/>
          <w:color w:val="auto"/>
          <w:sz w:val="32"/>
          <w:szCs w:val="32"/>
          <w:highlight w:val="none"/>
        </w:rPr>
        <w:t>份，具有同等效力，甲、乙双方各执</w:t>
      </w:r>
      <w:r>
        <w:rPr>
          <w:rFonts w:hint="eastAsia" w:ascii="仿宋_GB2312" w:hAnsi="仿宋_GB2312" w:eastAsia="仿宋_GB2312" w:cs="仿宋_GB2312"/>
          <w:color w:val="auto"/>
          <w:sz w:val="32"/>
          <w:szCs w:val="32"/>
          <w:highlight w:val="none"/>
          <w:lang w:eastAsia="zh-CN"/>
        </w:rPr>
        <w:t>叁</w:t>
      </w:r>
      <w:r>
        <w:rPr>
          <w:rFonts w:hint="eastAsia" w:ascii="仿宋_GB2312" w:hAnsi="仿宋_GB2312" w:eastAsia="仿宋_GB2312" w:cs="仿宋_GB2312"/>
          <w:color w:val="auto"/>
          <w:sz w:val="32"/>
          <w:szCs w:val="32"/>
          <w:highlight w:val="none"/>
        </w:rPr>
        <w:t>份。合同自双方签字盖章之日后生效。</w:t>
      </w:r>
    </w:p>
    <w:p w14:paraId="291B8AEA">
      <w:pPr>
        <w:pStyle w:val="24"/>
        <w:keepNext w:val="0"/>
        <w:keepLines w:val="0"/>
        <w:pageBreakBefore w:val="0"/>
        <w:widowControl/>
        <w:kinsoku/>
        <w:wordWrap/>
        <w:overflowPunct/>
        <w:topLinePunct w:val="0"/>
        <w:autoSpaceDE/>
        <w:autoSpaceDN/>
        <w:bidi w:val="0"/>
        <w:adjustRightInd/>
        <w:snapToGrid/>
        <w:spacing w:beforeAutospacing="0" w:line="560" w:lineRule="exact"/>
        <w:ind w:firstLine="640" w:firstLineChars="200"/>
        <w:jc w:val="left"/>
        <w:textAlignment w:val="auto"/>
        <w:rPr>
          <w:rFonts w:hint="eastAsia" w:ascii="仿宋_GB2312" w:hAnsi="仿宋_GB2312" w:eastAsia="仿宋_GB2312" w:cs="仿宋_GB2312"/>
          <w:color w:val="auto"/>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第二十条 </w:t>
      </w:r>
      <w:r>
        <w:rPr>
          <w:rFonts w:hint="eastAsia" w:ascii="仿宋" w:hAnsi="仿宋" w:eastAsia="仿宋" w:cs="仿宋"/>
          <w:color w:val="auto"/>
          <w:sz w:val="32"/>
          <w:szCs w:val="32"/>
          <w:highlight w:val="none"/>
        </w:rPr>
        <w:t xml:space="preserve"> </w:t>
      </w:r>
      <w:r>
        <w:rPr>
          <w:rFonts w:hint="eastAsia" w:ascii="仿宋_GB2312" w:hAnsi="仿宋_GB2312" w:eastAsia="仿宋_GB2312" w:cs="仿宋_GB2312"/>
          <w:color w:val="auto"/>
          <w:sz w:val="32"/>
          <w:szCs w:val="32"/>
          <w:highlight w:val="none"/>
        </w:rPr>
        <w:t>本合同未尽事宜，由双方协商处理。</w:t>
      </w:r>
    </w:p>
    <w:p w14:paraId="0D2D758B">
      <w:pPr>
        <w:pStyle w:val="24"/>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highlight w:val="none"/>
        </w:rPr>
      </w:pPr>
      <w:r>
        <w:rPr>
          <w:rFonts w:hint="eastAsia" w:ascii="黑体" w:hAnsi="黑体" w:eastAsia="黑体" w:cs="黑体"/>
          <w:b w:val="0"/>
          <w:bCs w:val="0"/>
          <w:color w:val="auto"/>
          <w:kern w:val="2"/>
          <w:sz w:val="32"/>
          <w:szCs w:val="32"/>
          <w:highlight w:val="none"/>
          <w:lang w:val="en-US" w:eastAsia="zh-CN" w:bidi="ar-SA"/>
        </w:rPr>
        <w:t xml:space="preserve">第二十一条 </w:t>
      </w:r>
      <w:r>
        <w:rPr>
          <w:rFonts w:hint="eastAsia" w:ascii="仿宋" w:hAnsi="仿宋" w:eastAsia="仿宋" w:cs="仿宋"/>
          <w:sz w:val="32"/>
          <w:szCs w:val="32"/>
          <w:highlight w:val="none"/>
        </w:rPr>
        <w:t xml:space="preserve"> </w:t>
      </w:r>
      <w:r>
        <w:rPr>
          <w:rFonts w:hint="eastAsia" w:ascii="仿宋_GB2312" w:hAnsi="仿宋_GB2312" w:eastAsia="仿宋_GB2312" w:cs="仿宋_GB2312"/>
          <w:sz w:val="32"/>
          <w:szCs w:val="32"/>
          <w:highlight w:val="none"/>
        </w:rPr>
        <w:t>本项目招标文件（含澄清通知）、投标文件（含澄清内容）、中标通知书均为合同的有效组成部分，与本合同具有同等法律效力。</w:t>
      </w:r>
    </w:p>
    <w:p w14:paraId="7BC99C7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b w:val="0"/>
          <w:bCs w:val="0"/>
          <w:color w:val="auto"/>
          <w:sz w:val="32"/>
          <w:szCs w:val="32"/>
          <w:highlight w:val="none"/>
          <w:lang w:val="en-US" w:eastAsia="zh-CN"/>
        </w:rPr>
      </w:pPr>
    </w:p>
    <w:p w14:paraId="4619D794">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val="0"/>
          <w:bCs w:val="0"/>
          <w:color w:val="auto"/>
          <w:sz w:val="32"/>
          <w:szCs w:val="32"/>
          <w:highlight w:val="none"/>
          <w:lang w:val="en-US" w:eastAsia="zh-CN"/>
        </w:rPr>
        <w:t>附件：1.</w:t>
      </w:r>
      <w:r>
        <w:rPr>
          <w:rFonts w:hint="eastAsia" w:ascii="仿宋_GB2312" w:hAnsi="仿宋_GB2312" w:eastAsia="仿宋_GB2312" w:cs="仿宋_GB2312"/>
          <w:sz w:val="32"/>
          <w:szCs w:val="32"/>
          <w:highlight w:val="none"/>
        </w:rPr>
        <w:t>安全</w:t>
      </w:r>
      <w:r>
        <w:rPr>
          <w:rFonts w:hint="eastAsia" w:ascii="仿宋_GB2312" w:hAnsi="仿宋_GB2312" w:eastAsia="仿宋_GB2312" w:cs="仿宋_GB2312"/>
          <w:sz w:val="32"/>
          <w:szCs w:val="32"/>
          <w:highlight w:val="none"/>
          <w:lang w:val="en-US" w:eastAsia="zh-CN"/>
        </w:rPr>
        <w:t>生产管理</w:t>
      </w:r>
      <w:r>
        <w:rPr>
          <w:rFonts w:hint="eastAsia" w:ascii="仿宋_GB2312" w:hAnsi="仿宋_GB2312" w:eastAsia="仿宋_GB2312" w:cs="仿宋_GB2312"/>
          <w:sz w:val="32"/>
          <w:szCs w:val="32"/>
          <w:highlight w:val="none"/>
        </w:rPr>
        <w:t>协议</w:t>
      </w:r>
    </w:p>
    <w:p w14:paraId="61D1F6F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1600" w:firstLine="0" w:firstLineChars="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kern w:val="2"/>
          <w:sz w:val="32"/>
          <w:szCs w:val="32"/>
          <w:highlight w:val="none"/>
          <w:lang w:val="en-US" w:eastAsia="zh-CN" w:bidi="ar-SA"/>
        </w:rPr>
        <w:t>2.</w:t>
      </w:r>
      <w:r>
        <w:rPr>
          <w:rFonts w:hint="eastAsia" w:ascii="仿宋_GB2312" w:hAnsi="仿宋_GB2312" w:eastAsia="仿宋_GB2312" w:cs="仿宋_GB2312"/>
          <w:b w:val="0"/>
          <w:bCs w:val="0"/>
          <w:color w:val="auto"/>
          <w:sz w:val="32"/>
          <w:szCs w:val="32"/>
          <w:highlight w:val="none"/>
          <w:lang w:val="en-US" w:eastAsia="zh-CN"/>
        </w:rPr>
        <w:t>廉洁协议书</w:t>
      </w:r>
    </w:p>
    <w:p w14:paraId="5750531B">
      <w:pPr>
        <w:keepNext w:val="0"/>
        <w:keepLines w:val="0"/>
        <w:pageBreakBefore w:val="0"/>
        <w:widowControl w:val="0"/>
        <w:numPr>
          <w:ilvl w:val="-1"/>
          <w:numId w:val="0"/>
        </w:numPr>
        <w:kinsoku/>
        <w:wordWrap/>
        <w:overflowPunct/>
        <w:topLinePunct w:val="0"/>
        <w:autoSpaceDE/>
        <w:autoSpaceDN/>
        <w:bidi w:val="0"/>
        <w:adjustRightInd/>
        <w:snapToGrid/>
        <w:spacing w:line="500" w:lineRule="exact"/>
        <w:ind w:left="1600" w:firstLine="0" w:firstLineChars="0"/>
        <w:jc w:val="both"/>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3.保密协议书</w:t>
      </w:r>
    </w:p>
    <w:p w14:paraId="3BDBB524">
      <w:pPr>
        <w:pStyle w:val="2"/>
        <w:ind w:firstLine="640" w:firstLineChars="200"/>
        <w:rPr>
          <w:rFonts w:hint="default"/>
          <w:lang w:val="en-US" w:eastAsia="zh-CN"/>
        </w:rPr>
      </w:pPr>
      <w:r>
        <w:rPr>
          <w:rFonts w:hint="eastAsia" w:ascii="仿宋_GB2312" w:hAnsi="仿宋_GB2312" w:eastAsia="仿宋_GB2312" w:cs="仿宋_GB2312"/>
          <w:b w:val="0"/>
          <w:bCs w:val="0"/>
          <w:color w:val="auto"/>
          <w:sz w:val="32"/>
          <w:szCs w:val="32"/>
          <w:highlight w:val="none"/>
          <w:lang w:val="en-US" w:eastAsia="zh-CN"/>
        </w:rPr>
        <w:t>（以下无正文）</w:t>
      </w:r>
    </w:p>
    <w:p w14:paraId="014F0FAE">
      <w:pPr>
        <w:pStyle w:val="24"/>
        <w:pageBreakBefore w:val="0"/>
        <w:kinsoku/>
        <w:wordWrap/>
        <w:overflowPunct/>
        <w:topLinePunct w:val="0"/>
        <w:bidi w:val="0"/>
        <w:spacing w:beforeAutospacing="0" w:line="460" w:lineRule="exact"/>
        <w:jc w:val="both"/>
        <w:textAlignment w:val="auto"/>
        <w:rPr>
          <w:rFonts w:hint="eastAsia" w:ascii="仿宋_GB2312" w:hAnsi="仿宋_GB2312" w:eastAsia="仿宋_GB2312" w:cs="仿宋_GB2312"/>
          <w:b w:val="0"/>
          <w:bCs w:val="0"/>
          <w:color w:val="auto"/>
          <w:sz w:val="32"/>
          <w:szCs w:val="32"/>
          <w:highlight w:val="none"/>
          <w:lang w:val="en-US" w:eastAsia="zh-CN"/>
        </w:rPr>
      </w:pPr>
    </w:p>
    <w:p w14:paraId="1A7B7487">
      <w:pPr>
        <w:pStyle w:val="24"/>
        <w:pageBreakBefore w:val="0"/>
        <w:kinsoku/>
        <w:wordWrap/>
        <w:overflowPunct/>
        <w:topLinePunct w:val="0"/>
        <w:bidi w:val="0"/>
        <w:spacing w:beforeAutospacing="0" w:line="460" w:lineRule="exact"/>
        <w:ind w:left="456"/>
        <w:jc w:val="center"/>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 xml:space="preserve"> </w:t>
      </w:r>
    </w:p>
    <w:tbl>
      <w:tblPr>
        <w:tblStyle w:val="12"/>
        <w:tblW w:w="9158" w:type="dxa"/>
        <w:jc w:val="center"/>
        <w:tblLayout w:type="fixed"/>
        <w:tblCellMar>
          <w:top w:w="0" w:type="dxa"/>
          <w:left w:w="108" w:type="dxa"/>
          <w:bottom w:w="0" w:type="dxa"/>
          <w:right w:w="108" w:type="dxa"/>
        </w:tblCellMar>
      </w:tblPr>
      <w:tblGrid>
        <w:gridCol w:w="1403"/>
        <w:gridCol w:w="3176"/>
        <w:gridCol w:w="1403"/>
        <w:gridCol w:w="3176"/>
      </w:tblGrid>
      <w:tr w14:paraId="4B5AFB71">
        <w:tblPrEx>
          <w:tblCellMar>
            <w:top w:w="0" w:type="dxa"/>
            <w:left w:w="108" w:type="dxa"/>
            <w:bottom w:w="0" w:type="dxa"/>
            <w:right w:w="108" w:type="dxa"/>
          </w:tblCellMar>
        </w:tblPrEx>
        <w:trPr>
          <w:trHeight w:val="798" w:hRule="atLeast"/>
          <w:jc w:val="center"/>
        </w:trPr>
        <w:tc>
          <w:tcPr>
            <w:tcW w:w="1403" w:type="dxa"/>
            <w:vAlign w:val="top"/>
          </w:tcPr>
          <w:p w14:paraId="57E9F29B">
            <w:pPr>
              <w:pStyle w:val="30"/>
              <w:rPr>
                <w:rFonts w:hint="default" w:ascii="Times New Roman" w:hAnsi="Times New Roman"/>
                <w:b/>
                <w:sz w:val="24"/>
                <w:szCs w:val="24"/>
                <w:highlight w:val="none"/>
              </w:rPr>
            </w:pPr>
            <w:r>
              <w:rPr>
                <w:rFonts w:ascii="Times New Roman" w:hAnsi="Times New Roman"/>
                <w:b/>
                <w:sz w:val="24"/>
                <w:szCs w:val="24"/>
                <w:highlight w:val="none"/>
              </w:rPr>
              <w:t>甲方：</w:t>
            </w:r>
          </w:p>
          <w:p w14:paraId="21B0E678">
            <w:pPr>
              <w:pStyle w:val="30"/>
              <w:rPr>
                <w:rFonts w:hint="eastAsia" w:ascii="仿宋_GB2312" w:hAnsi="仿宋_GB2312" w:eastAsia="仿宋_GB2312" w:cs="仿宋_GB2312"/>
                <w:b/>
                <w:bCs/>
                <w:color w:val="auto"/>
                <w:sz w:val="32"/>
                <w:szCs w:val="32"/>
                <w:highlight w:val="none"/>
              </w:rPr>
            </w:pPr>
            <w:r>
              <w:rPr>
                <w:rFonts w:ascii="Times New Roman" w:hAnsi="Times New Roman"/>
                <w:sz w:val="24"/>
                <w:szCs w:val="24"/>
                <w:highlight w:val="none"/>
              </w:rPr>
              <w:t>（盖章）</w:t>
            </w:r>
          </w:p>
        </w:tc>
        <w:tc>
          <w:tcPr>
            <w:tcW w:w="3176" w:type="dxa"/>
            <w:vAlign w:val="center"/>
          </w:tcPr>
          <w:p w14:paraId="744908BC">
            <w:pPr>
              <w:pStyle w:val="30"/>
              <w:jc w:val="center"/>
              <w:rPr>
                <w:rFonts w:hint="eastAsia" w:ascii="仿宋_GB2312" w:hAnsi="仿宋_GB2312" w:eastAsia="仿宋_GB2312" w:cs="仿宋_GB2312"/>
                <w:color w:val="auto"/>
                <w:sz w:val="32"/>
                <w:szCs w:val="32"/>
                <w:highlight w:val="none"/>
              </w:rPr>
            </w:pPr>
          </w:p>
        </w:tc>
        <w:tc>
          <w:tcPr>
            <w:tcW w:w="1403" w:type="dxa"/>
            <w:vAlign w:val="top"/>
          </w:tcPr>
          <w:p w14:paraId="52544772">
            <w:pPr>
              <w:pStyle w:val="30"/>
              <w:rPr>
                <w:rFonts w:hint="default" w:ascii="Times New Roman" w:hAnsi="Times New Roman"/>
                <w:b/>
                <w:sz w:val="24"/>
                <w:szCs w:val="24"/>
                <w:highlight w:val="none"/>
              </w:rPr>
            </w:pPr>
            <w:r>
              <w:rPr>
                <w:rFonts w:ascii="Times New Roman" w:hAnsi="Times New Roman"/>
                <w:b/>
                <w:sz w:val="24"/>
                <w:szCs w:val="24"/>
                <w:highlight w:val="none"/>
              </w:rPr>
              <w:t>乙方：</w:t>
            </w:r>
          </w:p>
          <w:p w14:paraId="2B5FA476">
            <w:pPr>
              <w:pStyle w:val="30"/>
              <w:rPr>
                <w:rFonts w:hint="eastAsia" w:ascii="仿宋_GB2312" w:hAnsi="仿宋_GB2312" w:eastAsia="仿宋_GB2312" w:cs="仿宋_GB2312"/>
                <w:b/>
                <w:bCs/>
                <w:color w:val="auto"/>
                <w:sz w:val="32"/>
                <w:szCs w:val="32"/>
                <w:highlight w:val="none"/>
              </w:rPr>
            </w:pPr>
            <w:r>
              <w:rPr>
                <w:rFonts w:ascii="Times New Roman" w:hAnsi="Times New Roman"/>
                <w:sz w:val="24"/>
                <w:szCs w:val="24"/>
                <w:highlight w:val="none"/>
              </w:rPr>
              <w:t>（盖章）</w:t>
            </w:r>
          </w:p>
        </w:tc>
        <w:tc>
          <w:tcPr>
            <w:tcW w:w="3176" w:type="dxa"/>
            <w:vAlign w:val="center"/>
          </w:tcPr>
          <w:p w14:paraId="3CF3574A">
            <w:pPr>
              <w:pStyle w:val="30"/>
              <w:jc w:val="center"/>
              <w:rPr>
                <w:rFonts w:hint="eastAsia" w:ascii="仿宋_GB2312" w:hAnsi="仿宋_GB2312" w:eastAsia="仿宋_GB2312" w:cs="仿宋_GB2312"/>
                <w:color w:val="auto"/>
                <w:sz w:val="32"/>
                <w:szCs w:val="32"/>
                <w:highlight w:val="none"/>
              </w:rPr>
            </w:pPr>
          </w:p>
        </w:tc>
      </w:tr>
      <w:tr w14:paraId="7903FB1D">
        <w:tblPrEx>
          <w:tblCellMar>
            <w:top w:w="0" w:type="dxa"/>
            <w:left w:w="108" w:type="dxa"/>
            <w:bottom w:w="0" w:type="dxa"/>
            <w:right w:w="108" w:type="dxa"/>
          </w:tblCellMar>
        </w:tblPrEx>
        <w:trPr>
          <w:trHeight w:val="798" w:hRule="atLeast"/>
          <w:jc w:val="center"/>
        </w:trPr>
        <w:tc>
          <w:tcPr>
            <w:tcW w:w="1403" w:type="dxa"/>
            <w:vAlign w:val="top"/>
          </w:tcPr>
          <w:p w14:paraId="6D1B1B99">
            <w:pPr>
              <w:pStyle w:val="30"/>
              <w:rPr>
                <w:rFonts w:hint="default" w:ascii="Times New Roman" w:hAnsi="Times New Roman"/>
                <w:b/>
                <w:sz w:val="24"/>
                <w:szCs w:val="24"/>
                <w:highlight w:val="none"/>
              </w:rPr>
            </w:pPr>
            <w:r>
              <w:rPr>
                <w:rFonts w:ascii="Times New Roman" w:hAnsi="Times New Roman"/>
                <w:b/>
                <w:sz w:val="24"/>
                <w:szCs w:val="24"/>
                <w:highlight w:val="none"/>
              </w:rPr>
              <w:t>签约</w:t>
            </w:r>
          </w:p>
          <w:p w14:paraId="17C749C7">
            <w:pPr>
              <w:pStyle w:val="30"/>
              <w:rPr>
                <w:rFonts w:hint="eastAsia" w:ascii="仿宋_GB2312" w:hAnsi="仿宋_GB2312" w:eastAsia="仿宋_GB2312" w:cs="仿宋_GB2312"/>
                <w:b/>
                <w:bCs/>
                <w:color w:val="auto"/>
                <w:sz w:val="32"/>
                <w:szCs w:val="32"/>
                <w:highlight w:val="none"/>
              </w:rPr>
            </w:pPr>
            <w:r>
              <w:rPr>
                <w:rFonts w:ascii="Times New Roman" w:hAnsi="Times New Roman"/>
                <w:b/>
                <w:sz w:val="24"/>
                <w:szCs w:val="24"/>
                <w:highlight w:val="none"/>
              </w:rPr>
              <w:t>代表：</w:t>
            </w:r>
          </w:p>
        </w:tc>
        <w:tc>
          <w:tcPr>
            <w:tcW w:w="3176" w:type="dxa"/>
            <w:vAlign w:val="center"/>
          </w:tcPr>
          <w:p w14:paraId="61B560A4">
            <w:pPr>
              <w:pStyle w:val="30"/>
              <w:jc w:val="center"/>
              <w:rPr>
                <w:rFonts w:hint="eastAsia" w:ascii="仿宋_GB2312" w:hAnsi="仿宋_GB2312" w:eastAsia="仿宋_GB2312" w:cs="仿宋_GB2312"/>
                <w:color w:val="auto"/>
                <w:sz w:val="32"/>
                <w:szCs w:val="32"/>
                <w:highlight w:val="none"/>
              </w:rPr>
            </w:pPr>
          </w:p>
        </w:tc>
        <w:tc>
          <w:tcPr>
            <w:tcW w:w="1403" w:type="dxa"/>
            <w:vAlign w:val="top"/>
          </w:tcPr>
          <w:p w14:paraId="16BA7BD6">
            <w:pPr>
              <w:pStyle w:val="30"/>
              <w:rPr>
                <w:rFonts w:hint="default" w:ascii="Times New Roman" w:hAnsi="Times New Roman"/>
                <w:b/>
                <w:sz w:val="24"/>
                <w:szCs w:val="24"/>
                <w:highlight w:val="none"/>
              </w:rPr>
            </w:pPr>
            <w:r>
              <w:rPr>
                <w:rFonts w:ascii="Times New Roman" w:hAnsi="Times New Roman"/>
                <w:b/>
                <w:sz w:val="24"/>
                <w:szCs w:val="24"/>
                <w:highlight w:val="none"/>
              </w:rPr>
              <w:t>签约</w:t>
            </w:r>
          </w:p>
          <w:p w14:paraId="2191CF76">
            <w:pPr>
              <w:pStyle w:val="30"/>
              <w:rPr>
                <w:rFonts w:hint="eastAsia" w:ascii="仿宋_GB2312" w:hAnsi="仿宋_GB2312" w:eastAsia="仿宋_GB2312" w:cs="仿宋_GB2312"/>
                <w:b/>
                <w:bCs/>
                <w:color w:val="auto"/>
                <w:sz w:val="32"/>
                <w:szCs w:val="32"/>
                <w:highlight w:val="none"/>
              </w:rPr>
            </w:pPr>
            <w:r>
              <w:rPr>
                <w:rFonts w:ascii="Times New Roman" w:hAnsi="Times New Roman"/>
                <w:b/>
                <w:sz w:val="24"/>
                <w:szCs w:val="24"/>
                <w:highlight w:val="none"/>
              </w:rPr>
              <w:t>代表：</w:t>
            </w:r>
          </w:p>
        </w:tc>
        <w:tc>
          <w:tcPr>
            <w:tcW w:w="3176" w:type="dxa"/>
            <w:vAlign w:val="center"/>
          </w:tcPr>
          <w:p w14:paraId="1F84F937">
            <w:pPr>
              <w:pStyle w:val="30"/>
              <w:jc w:val="center"/>
              <w:rPr>
                <w:rFonts w:hint="eastAsia" w:ascii="仿宋_GB2312" w:hAnsi="仿宋_GB2312" w:eastAsia="仿宋_GB2312" w:cs="仿宋_GB2312"/>
                <w:color w:val="auto"/>
                <w:sz w:val="32"/>
                <w:szCs w:val="32"/>
                <w:highlight w:val="none"/>
              </w:rPr>
            </w:pPr>
          </w:p>
        </w:tc>
      </w:tr>
      <w:tr w14:paraId="633733AB">
        <w:tblPrEx>
          <w:tblCellMar>
            <w:top w:w="0" w:type="dxa"/>
            <w:left w:w="108" w:type="dxa"/>
            <w:bottom w:w="0" w:type="dxa"/>
            <w:right w:w="108" w:type="dxa"/>
          </w:tblCellMar>
        </w:tblPrEx>
        <w:trPr>
          <w:trHeight w:val="725" w:hRule="atLeast"/>
          <w:jc w:val="center"/>
        </w:trPr>
        <w:tc>
          <w:tcPr>
            <w:tcW w:w="1403" w:type="dxa"/>
            <w:vAlign w:val="center"/>
          </w:tcPr>
          <w:p w14:paraId="5B702627">
            <w:pPr>
              <w:pStyle w:val="30"/>
              <w:jc w:val="both"/>
              <w:rPr>
                <w:rFonts w:hint="eastAsia" w:ascii="仿宋_GB2312" w:hAnsi="仿宋_GB2312" w:eastAsia="仿宋_GB2312" w:cs="仿宋_GB2312"/>
                <w:b/>
                <w:bCs/>
                <w:color w:val="auto"/>
                <w:sz w:val="32"/>
                <w:szCs w:val="32"/>
                <w:highlight w:val="none"/>
              </w:rPr>
            </w:pPr>
            <w:r>
              <w:rPr>
                <w:rFonts w:ascii="Times New Roman" w:hAnsi="Times New Roman"/>
                <w:b/>
                <w:sz w:val="24"/>
                <w:szCs w:val="24"/>
                <w:highlight w:val="none"/>
              </w:rPr>
              <w:t>电话：</w:t>
            </w:r>
          </w:p>
        </w:tc>
        <w:tc>
          <w:tcPr>
            <w:tcW w:w="3176" w:type="dxa"/>
            <w:vAlign w:val="center"/>
          </w:tcPr>
          <w:p w14:paraId="01D9DF61">
            <w:pPr>
              <w:pStyle w:val="30"/>
              <w:jc w:val="center"/>
              <w:rPr>
                <w:rFonts w:hint="eastAsia" w:ascii="仿宋_GB2312" w:hAnsi="仿宋_GB2312" w:eastAsia="仿宋_GB2312" w:cs="仿宋_GB2312"/>
                <w:color w:val="auto"/>
                <w:sz w:val="32"/>
                <w:szCs w:val="32"/>
                <w:highlight w:val="none"/>
              </w:rPr>
            </w:pPr>
          </w:p>
        </w:tc>
        <w:tc>
          <w:tcPr>
            <w:tcW w:w="1403" w:type="dxa"/>
            <w:vAlign w:val="center"/>
          </w:tcPr>
          <w:p w14:paraId="2B0B7609">
            <w:pPr>
              <w:pStyle w:val="30"/>
              <w:jc w:val="both"/>
              <w:rPr>
                <w:rFonts w:hint="eastAsia" w:ascii="仿宋_GB2312" w:hAnsi="仿宋_GB2312" w:eastAsia="仿宋_GB2312" w:cs="仿宋_GB2312"/>
                <w:b/>
                <w:bCs/>
                <w:color w:val="auto"/>
                <w:sz w:val="32"/>
                <w:szCs w:val="32"/>
                <w:highlight w:val="none"/>
              </w:rPr>
            </w:pPr>
            <w:r>
              <w:rPr>
                <w:rFonts w:ascii="Times New Roman" w:hAnsi="Times New Roman"/>
                <w:b/>
                <w:sz w:val="24"/>
                <w:szCs w:val="24"/>
                <w:highlight w:val="none"/>
              </w:rPr>
              <w:t>电话：</w:t>
            </w:r>
          </w:p>
        </w:tc>
        <w:tc>
          <w:tcPr>
            <w:tcW w:w="3176" w:type="dxa"/>
            <w:vAlign w:val="center"/>
          </w:tcPr>
          <w:p w14:paraId="0E728ECB">
            <w:pPr>
              <w:pStyle w:val="30"/>
              <w:jc w:val="center"/>
              <w:rPr>
                <w:rFonts w:hint="eastAsia" w:ascii="仿宋_GB2312" w:hAnsi="仿宋_GB2312" w:eastAsia="仿宋_GB2312" w:cs="仿宋_GB2312"/>
                <w:color w:val="auto"/>
                <w:sz w:val="32"/>
                <w:szCs w:val="32"/>
                <w:highlight w:val="none"/>
              </w:rPr>
            </w:pPr>
          </w:p>
        </w:tc>
      </w:tr>
      <w:tr w14:paraId="76FF0A66">
        <w:tblPrEx>
          <w:tblCellMar>
            <w:top w:w="0" w:type="dxa"/>
            <w:left w:w="108" w:type="dxa"/>
            <w:bottom w:w="0" w:type="dxa"/>
            <w:right w:w="108" w:type="dxa"/>
          </w:tblCellMar>
        </w:tblPrEx>
        <w:trPr>
          <w:trHeight w:val="798" w:hRule="atLeast"/>
          <w:jc w:val="center"/>
        </w:trPr>
        <w:tc>
          <w:tcPr>
            <w:tcW w:w="1403" w:type="dxa"/>
            <w:vAlign w:val="top"/>
          </w:tcPr>
          <w:p w14:paraId="273F4FA4">
            <w:pPr>
              <w:pStyle w:val="30"/>
              <w:rPr>
                <w:rFonts w:hint="default" w:ascii="Times New Roman" w:hAnsi="Times New Roman"/>
                <w:b/>
                <w:sz w:val="24"/>
                <w:szCs w:val="24"/>
                <w:highlight w:val="none"/>
              </w:rPr>
            </w:pPr>
            <w:r>
              <w:rPr>
                <w:rFonts w:ascii="Times New Roman" w:hAnsi="Times New Roman"/>
                <w:b/>
                <w:sz w:val="24"/>
                <w:szCs w:val="24"/>
                <w:highlight w:val="none"/>
              </w:rPr>
              <w:t>签约</w:t>
            </w:r>
          </w:p>
          <w:p w14:paraId="16A066B1">
            <w:pPr>
              <w:pStyle w:val="30"/>
              <w:rPr>
                <w:rFonts w:hint="eastAsia" w:ascii="仿宋_GB2312" w:hAnsi="仿宋_GB2312" w:eastAsia="仿宋_GB2312" w:cs="仿宋_GB2312"/>
                <w:b/>
                <w:bCs/>
                <w:color w:val="auto"/>
                <w:sz w:val="32"/>
                <w:szCs w:val="32"/>
                <w:highlight w:val="none"/>
              </w:rPr>
            </w:pPr>
            <w:r>
              <w:rPr>
                <w:rFonts w:ascii="Times New Roman" w:hAnsi="Times New Roman"/>
                <w:b/>
                <w:sz w:val="24"/>
                <w:szCs w:val="24"/>
                <w:highlight w:val="none"/>
              </w:rPr>
              <w:t>日期：</w:t>
            </w:r>
          </w:p>
        </w:tc>
        <w:tc>
          <w:tcPr>
            <w:tcW w:w="3176" w:type="dxa"/>
            <w:vAlign w:val="center"/>
          </w:tcPr>
          <w:p w14:paraId="580FC9EE">
            <w:pPr>
              <w:pStyle w:val="30"/>
              <w:jc w:val="center"/>
              <w:rPr>
                <w:rFonts w:hint="eastAsia" w:ascii="仿宋_GB2312" w:hAnsi="仿宋_GB2312" w:eastAsia="仿宋_GB2312" w:cs="仿宋_GB2312"/>
                <w:color w:val="auto"/>
                <w:sz w:val="32"/>
                <w:szCs w:val="32"/>
                <w:highlight w:val="none"/>
              </w:rPr>
            </w:pPr>
            <w:r>
              <w:rPr>
                <w:rFonts w:ascii="Times New Roman" w:hAnsi="Times New Roman"/>
                <w:sz w:val="24"/>
                <w:szCs w:val="24"/>
                <w:highlight w:val="none"/>
                <w:lang w:eastAsia="zh-CN"/>
              </w:rPr>
              <w:t xml:space="preserve">   </w:t>
            </w:r>
            <w:r>
              <w:rPr>
                <w:rFonts w:ascii="Times New Roman" w:hAnsi="Times New Roman"/>
                <w:sz w:val="24"/>
                <w:szCs w:val="24"/>
                <w:highlight w:val="none"/>
              </w:rPr>
              <w:t xml:space="preserve">年   </w:t>
            </w:r>
            <w:r>
              <w:rPr>
                <w:rFonts w:ascii="Times New Roman" w:hAnsi="Times New Roman"/>
                <w:sz w:val="24"/>
                <w:szCs w:val="24"/>
                <w:highlight w:val="none"/>
                <w:lang w:eastAsia="zh-CN"/>
              </w:rPr>
              <w:t xml:space="preserve"> </w:t>
            </w:r>
            <w:r>
              <w:rPr>
                <w:rFonts w:ascii="Times New Roman" w:hAnsi="Times New Roman"/>
                <w:sz w:val="24"/>
                <w:szCs w:val="24"/>
                <w:highlight w:val="none"/>
              </w:rPr>
              <w:t xml:space="preserve">月   </w:t>
            </w:r>
            <w:r>
              <w:rPr>
                <w:rFonts w:ascii="Times New Roman" w:hAnsi="Times New Roman"/>
                <w:sz w:val="24"/>
                <w:szCs w:val="24"/>
                <w:highlight w:val="none"/>
                <w:lang w:eastAsia="zh-CN"/>
              </w:rPr>
              <w:t xml:space="preserve"> </w:t>
            </w:r>
            <w:r>
              <w:rPr>
                <w:rFonts w:ascii="Times New Roman" w:hAnsi="Times New Roman"/>
                <w:sz w:val="24"/>
                <w:szCs w:val="24"/>
                <w:highlight w:val="none"/>
              </w:rPr>
              <w:t>日</w:t>
            </w:r>
          </w:p>
        </w:tc>
        <w:tc>
          <w:tcPr>
            <w:tcW w:w="1403" w:type="dxa"/>
            <w:vAlign w:val="top"/>
          </w:tcPr>
          <w:p w14:paraId="6DB7EE49">
            <w:pPr>
              <w:pStyle w:val="30"/>
              <w:rPr>
                <w:rFonts w:hint="default" w:ascii="Times New Roman" w:hAnsi="Times New Roman"/>
                <w:b/>
                <w:sz w:val="24"/>
                <w:szCs w:val="24"/>
                <w:highlight w:val="none"/>
              </w:rPr>
            </w:pPr>
            <w:r>
              <w:rPr>
                <w:rFonts w:ascii="Times New Roman" w:hAnsi="Times New Roman"/>
                <w:b/>
                <w:sz w:val="24"/>
                <w:szCs w:val="24"/>
                <w:highlight w:val="none"/>
              </w:rPr>
              <w:t>签约</w:t>
            </w:r>
          </w:p>
          <w:p w14:paraId="0DCE0A52">
            <w:pPr>
              <w:pStyle w:val="30"/>
              <w:rPr>
                <w:rFonts w:hint="eastAsia" w:ascii="仿宋_GB2312" w:hAnsi="仿宋_GB2312" w:eastAsia="仿宋_GB2312" w:cs="仿宋_GB2312"/>
                <w:b/>
                <w:bCs/>
                <w:color w:val="auto"/>
                <w:sz w:val="32"/>
                <w:szCs w:val="32"/>
                <w:highlight w:val="none"/>
              </w:rPr>
            </w:pPr>
            <w:r>
              <w:rPr>
                <w:rFonts w:ascii="Times New Roman" w:hAnsi="Times New Roman"/>
                <w:b/>
                <w:sz w:val="24"/>
                <w:szCs w:val="24"/>
                <w:highlight w:val="none"/>
              </w:rPr>
              <w:t>日期：</w:t>
            </w:r>
          </w:p>
        </w:tc>
        <w:tc>
          <w:tcPr>
            <w:tcW w:w="3176" w:type="dxa"/>
            <w:vAlign w:val="center"/>
          </w:tcPr>
          <w:p w14:paraId="46F77C78">
            <w:pPr>
              <w:pStyle w:val="30"/>
              <w:jc w:val="center"/>
              <w:rPr>
                <w:rFonts w:hint="eastAsia" w:ascii="仿宋_GB2312" w:hAnsi="仿宋_GB2312" w:eastAsia="仿宋_GB2312" w:cs="仿宋_GB2312"/>
                <w:color w:val="auto"/>
                <w:sz w:val="32"/>
                <w:szCs w:val="32"/>
                <w:highlight w:val="none"/>
              </w:rPr>
            </w:pPr>
            <w:r>
              <w:rPr>
                <w:rFonts w:ascii="Times New Roman" w:hAnsi="Times New Roman"/>
                <w:sz w:val="24"/>
                <w:szCs w:val="24"/>
                <w:highlight w:val="none"/>
                <w:lang w:eastAsia="zh-CN"/>
              </w:rPr>
              <w:t xml:space="preserve">   </w:t>
            </w:r>
            <w:r>
              <w:rPr>
                <w:rFonts w:ascii="Times New Roman" w:hAnsi="Times New Roman"/>
                <w:sz w:val="24"/>
                <w:szCs w:val="24"/>
                <w:highlight w:val="none"/>
              </w:rPr>
              <w:t xml:space="preserve">年   </w:t>
            </w:r>
            <w:r>
              <w:rPr>
                <w:rFonts w:ascii="Times New Roman" w:hAnsi="Times New Roman"/>
                <w:sz w:val="24"/>
                <w:szCs w:val="24"/>
                <w:highlight w:val="none"/>
                <w:lang w:eastAsia="zh-CN"/>
              </w:rPr>
              <w:t xml:space="preserve"> </w:t>
            </w:r>
            <w:r>
              <w:rPr>
                <w:rFonts w:ascii="Times New Roman" w:hAnsi="Times New Roman"/>
                <w:sz w:val="24"/>
                <w:szCs w:val="24"/>
                <w:highlight w:val="none"/>
              </w:rPr>
              <w:t xml:space="preserve">月   </w:t>
            </w:r>
            <w:r>
              <w:rPr>
                <w:rFonts w:ascii="Times New Roman" w:hAnsi="Times New Roman"/>
                <w:sz w:val="24"/>
                <w:szCs w:val="24"/>
                <w:highlight w:val="none"/>
                <w:lang w:eastAsia="zh-CN"/>
              </w:rPr>
              <w:t xml:space="preserve"> </w:t>
            </w:r>
            <w:r>
              <w:rPr>
                <w:rFonts w:ascii="Times New Roman" w:hAnsi="Times New Roman"/>
                <w:sz w:val="24"/>
                <w:szCs w:val="24"/>
                <w:highlight w:val="none"/>
              </w:rPr>
              <w:t>日</w:t>
            </w:r>
          </w:p>
        </w:tc>
      </w:tr>
    </w:tbl>
    <w:p w14:paraId="254E8A5D">
      <w:pPr>
        <w:pageBreakBefore w:val="0"/>
        <w:kinsoku/>
        <w:wordWrap/>
        <w:overflowPunct/>
        <w:topLinePunct w:val="0"/>
        <w:bidi w:val="0"/>
        <w:spacing w:beforeAutospacing="0" w:line="460" w:lineRule="exact"/>
        <w:textAlignment w:val="auto"/>
        <w:rPr>
          <w:rFonts w:hint="eastAsia" w:ascii="仿宋_GB2312" w:hAnsi="仿宋_GB2312" w:eastAsia="仿宋_GB2312" w:cs="仿宋_GB2312"/>
          <w:color w:val="auto"/>
          <w:sz w:val="32"/>
          <w:szCs w:val="32"/>
          <w:highlight w:val="none"/>
        </w:rPr>
      </w:pPr>
    </w:p>
    <w:p w14:paraId="30263735">
      <w:pPr>
        <w:rPr>
          <w:rFonts w:hint="eastAsia" w:ascii="仿宋" w:hAnsi="仿宋" w:eastAsia="仿宋" w:cs="仿宋"/>
          <w:highlight w:val="none"/>
        </w:rPr>
      </w:pPr>
    </w:p>
    <w:p w14:paraId="4471ADC1">
      <w:pPr>
        <w:rPr>
          <w:rFonts w:hint="eastAsia" w:ascii="仿宋_GB2312" w:hAnsi="仿宋_GB2312" w:eastAsia="仿宋_GB2312" w:cs="仿宋_GB2312"/>
          <w:sz w:val="32"/>
          <w:szCs w:val="32"/>
          <w:highlight w:val="none"/>
          <w:lang w:val="en-US" w:eastAsia="zh-CN"/>
        </w:rPr>
      </w:pPr>
    </w:p>
    <w:p w14:paraId="506E4F9C">
      <w:pPr>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附件1</w:t>
      </w:r>
    </w:p>
    <w:p w14:paraId="626B228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Times New Roman" w:hAnsi="Times New Roman" w:eastAsia="仿宋_GB2312" w:cs="Times New Roman"/>
          <w:sz w:val="32"/>
          <w:szCs w:val="32"/>
          <w:highlight w:val="none"/>
        </w:rPr>
      </w:pPr>
      <w:r>
        <w:rPr>
          <w:rFonts w:hint="eastAsia" w:ascii="方正小标宋简体" w:hAnsi="方正小标宋简体" w:eastAsia="方正小标宋简体" w:cs="方正小标宋简体"/>
          <w:sz w:val="44"/>
          <w:szCs w:val="44"/>
          <w:highlight w:val="none"/>
        </w:rPr>
        <w:t>安全</w:t>
      </w:r>
      <w:r>
        <w:rPr>
          <w:rFonts w:hint="eastAsia" w:ascii="方正小标宋简体" w:hAnsi="方正小标宋简体" w:eastAsia="方正小标宋简体" w:cs="方正小标宋简体"/>
          <w:sz w:val="44"/>
          <w:szCs w:val="44"/>
          <w:highlight w:val="none"/>
          <w:lang w:val="en-US" w:eastAsia="zh-CN"/>
        </w:rPr>
        <w:t>生产管理</w:t>
      </w:r>
      <w:r>
        <w:rPr>
          <w:rFonts w:hint="eastAsia" w:ascii="方正小标宋简体" w:hAnsi="方正小标宋简体" w:eastAsia="方正小标宋简体" w:cs="方正小标宋简体"/>
          <w:sz w:val="44"/>
          <w:szCs w:val="44"/>
          <w:highlight w:val="none"/>
        </w:rPr>
        <w:t>协议</w:t>
      </w:r>
    </w:p>
    <w:p w14:paraId="207B633D">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Times New Roman" w:hAnsi="Times New Roman" w:eastAsia="仿宋_GB2312" w:cs="Times New Roman"/>
          <w:sz w:val="32"/>
          <w:szCs w:val="32"/>
          <w:highlight w:val="none"/>
        </w:rPr>
      </w:pPr>
    </w:p>
    <w:p w14:paraId="3BA5E14A">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rPr>
        <w:t>甲方：</w:t>
      </w:r>
      <w:r>
        <w:rPr>
          <w:rFonts w:hint="eastAsia" w:ascii="Times New Roman" w:hAnsi="Times New Roman" w:eastAsia="仿宋_GB2312" w:cs="Times New Roman"/>
          <w:sz w:val="32"/>
          <w:szCs w:val="32"/>
          <w:highlight w:val="none"/>
          <w:lang w:eastAsia="zh-CN"/>
        </w:rPr>
        <w:t>广州南沙</w:t>
      </w:r>
      <w:r>
        <w:rPr>
          <w:rFonts w:hint="eastAsia" w:ascii="Times New Roman" w:hAnsi="Times New Roman" w:eastAsia="仿宋_GB2312" w:cs="Times New Roman"/>
          <w:sz w:val="32"/>
          <w:szCs w:val="32"/>
          <w:highlight w:val="none"/>
          <w:lang w:val="en-US" w:eastAsia="zh-CN"/>
        </w:rPr>
        <w:t>口岸服务</w:t>
      </w:r>
      <w:r>
        <w:rPr>
          <w:rFonts w:hint="eastAsia" w:ascii="Times New Roman" w:hAnsi="Times New Roman" w:eastAsia="仿宋_GB2312" w:cs="Times New Roman"/>
          <w:sz w:val="32"/>
          <w:szCs w:val="32"/>
          <w:highlight w:val="none"/>
          <w:lang w:eastAsia="zh-CN"/>
        </w:rPr>
        <w:t>有限公司</w:t>
      </w:r>
    </w:p>
    <w:p w14:paraId="627C2544">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乙方：</w:t>
      </w:r>
    </w:p>
    <w:p w14:paraId="6D5D215F">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为贯彻“安全第一、预防为主、综合治理”的安全生产方针，明确双方的安全生产责任，促使双方加强安全生产管理，切实有效</w:t>
      </w:r>
      <w:r>
        <w:rPr>
          <w:rFonts w:hint="eastAsia" w:ascii="Times New Roman" w:hAnsi="Times New Roman" w:eastAsia="仿宋_GB2312" w:cs="Times New Roman"/>
          <w:sz w:val="32"/>
          <w:szCs w:val="32"/>
          <w:highlight w:val="none"/>
          <w:lang w:eastAsia="zh-CN"/>
        </w:rPr>
        <w:t>落实</w:t>
      </w:r>
      <w:r>
        <w:rPr>
          <w:rFonts w:hint="default" w:ascii="Times New Roman" w:hAnsi="Times New Roman" w:eastAsia="仿宋_GB2312" w:cs="Times New Roman"/>
          <w:sz w:val="32"/>
          <w:szCs w:val="32"/>
          <w:highlight w:val="none"/>
        </w:rPr>
        <w:t>安全防范措施，确保</w:t>
      </w:r>
      <w:r>
        <w:rPr>
          <w:rFonts w:hint="eastAsia" w:ascii="仿宋_GB2312" w:hAnsi="仿宋_GB2312" w:eastAsia="仿宋_GB2312" w:cs="仿宋_GB2312"/>
          <w:sz w:val="32"/>
          <w:szCs w:val="32"/>
          <w:highlight w:val="none"/>
        </w:rPr>
        <w:t>广州南沙综合保税区加工区污水站运营项目</w:t>
      </w:r>
      <w:r>
        <w:rPr>
          <w:rFonts w:hint="eastAsia" w:ascii="Times New Roman" w:hAnsi="Times New Roman" w:eastAsia="仿宋_GB2312" w:cs="Times New Roman"/>
          <w:sz w:val="32"/>
          <w:szCs w:val="32"/>
          <w:highlight w:val="none"/>
          <w:lang w:eastAsia="zh-CN"/>
        </w:rPr>
        <w:t>服务</w:t>
      </w:r>
      <w:r>
        <w:rPr>
          <w:rFonts w:hint="default" w:ascii="Times New Roman" w:hAnsi="Times New Roman" w:eastAsia="仿宋_GB2312" w:cs="Times New Roman"/>
          <w:sz w:val="32"/>
          <w:szCs w:val="32"/>
          <w:highlight w:val="none"/>
        </w:rPr>
        <w:t>安全。根据《中华人民共和国安全生产法》等有关法律法规，双方经协商达成如下协议并共同遵守：</w:t>
      </w:r>
    </w:p>
    <w:p w14:paraId="57E47159">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黑体" w:cs="Times New Roman"/>
          <w:sz w:val="32"/>
          <w:szCs w:val="32"/>
          <w:highlight w:val="none"/>
          <w:lang w:eastAsia="zh-CN"/>
        </w:rPr>
        <w:t>一、</w:t>
      </w:r>
      <w:r>
        <w:rPr>
          <w:rFonts w:hint="eastAsia" w:ascii="Times New Roman" w:hAnsi="Times New Roman" w:eastAsia="黑体" w:cs="Times New Roman"/>
          <w:sz w:val="32"/>
          <w:szCs w:val="32"/>
          <w:highlight w:val="none"/>
          <w:lang w:val="en-US" w:eastAsia="zh-CN"/>
        </w:rPr>
        <w:t>协议</w:t>
      </w:r>
      <w:r>
        <w:rPr>
          <w:rFonts w:hint="default" w:ascii="Times New Roman" w:hAnsi="Times New Roman" w:eastAsia="黑体" w:cs="Times New Roman"/>
          <w:sz w:val="32"/>
          <w:szCs w:val="32"/>
          <w:highlight w:val="none"/>
          <w:lang w:eastAsia="zh-CN"/>
        </w:rPr>
        <w:t>基本原则</w:t>
      </w:r>
      <w:r>
        <w:rPr>
          <w:rFonts w:hint="default" w:ascii="Times New Roman" w:hAnsi="Times New Roman" w:eastAsia="仿宋_GB2312" w:cs="Times New Roman"/>
          <w:sz w:val="32"/>
          <w:szCs w:val="32"/>
          <w:highlight w:val="none"/>
        </w:rPr>
        <w:t xml:space="preserve"> </w:t>
      </w:r>
    </w:p>
    <w:p w14:paraId="7BE9104A">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双方应当坚持原则、忠于职守，严格按本协议的约定履行各自的权利</w:t>
      </w:r>
      <w:r>
        <w:rPr>
          <w:rFonts w:hint="eastAsia" w:ascii="Times New Roman" w:hAnsi="Times New Roman" w:eastAsia="仿宋_GB2312" w:cs="Times New Roman"/>
          <w:sz w:val="32"/>
          <w:szCs w:val="32"/>
          <w:highlight w:val="none"/>
          <w:lang w:val="en-US" w:eastAsia="zh-CN"/>
        </w:rPr>
        <w:t>和</w:t>
      </w:r>
      <w:r>
        <w:rPr>
          <w:rFonts w:hint="default" w:ascii="Times New Roman" w:hAnsi="Times New Roman" w:eastAsia="仿宋_GB2312" w:cs="Times New Roman"/>
          <w:sz w:val="32"/>
          <w:szCs w:val="32"/>
          <w:highlight w:val="none"/>
        </w:rPr>
        <w:t>义务</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并承担相应责任。</w:t>
      </w:r>
    </w:p>
    <w:p w14:paraId="0EB465EE">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双方应相互配合</w:t>
      </w:r>
      <w:r>
        <w:rPr>
          <w:rFonts w:hint="eastAsia" w:ascii="Times New Roman" w:hAnsi="Times New Roman" w:eastAsia="仿宋_GB2312" w:cs="Times New Roman"/>
          <w:sz w:val="32"/>
          <w:szCs w:val="32"/>
          <w:highlight w:val="none"/>
          <w:lang w:val="en-US" w:eastAsia="zh-CN"/>
        </w:rPr>
        <w:t>和</w:t>
      </w:r>
      <w:r>
        <w:rPr>
          <w:rFonts w:hint="default" w:ascii="Times New Roman" w:hAnsi="Times New Roman" w:eastAsia="仿宋_GB2312" w:cs="Times New Roman"/>
          <w:sz w:val="32"/>
          <w:szCs w:val="32"/>
          <w:highlight w:val="none"/>
        </w:rPr>
        <w:t>支持安全</w:t>
      </w:r>
      <w:r>
        <w:rPr>
          <w:rFonts w:hint="eastAsia" w:ascii="Times New Roman" w:hAnsi="Times New Roman" w:eastAsia="仿宋_GB2312" w:cs="Times New Roman"/>
          <w:sz w:val="32"/>
          <w:szCs w:val="32"/>
          <w:highlight w:val="none"/>
          <w:lang w:val="en-US" w:eastAsia="zh-CN"/>
        </w:rPr>
        <w:t>生产</w:t>
      </w:r>
      <w:r>
        <w:rPr>
          <w:rFonts w:hint="default" w:ascii="Times New Roman" w:hAnsi="Times New Roman" w:eastAsia="仿宋_GB2312" w:cs="Times New Roman"/>
          <w:sz w:val="32"/>
          <w:szCs w:val="32"/>
          <w:highlight w:val="none"/>
        </w:rPr>
        <w:t>工作</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包括安全</w:t>
      </w:r>
      <w:r>
        <w:rPr>
          <w:rFonts w:hint="default" w:ascii="Times New Roman" w:hAnsi="Times New Roman" w:eastAsia="仿宋_GB2312" w:cs="Times New Roman"/>
          <w:sz w:val="32"/>
          <w:szCs w:val="32"/>
          <w:highlight w:val="none"/>
        </w:rPr>
        <w:t>检查</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整改落实</w:t>
      </w:r>
      <w:r>
        <w:rPr>
          <w:rFonts w:hint="eastAsia" w:ascii="Times New Roman" w:hAnsi="Times New Roman" w:eastAsia="仿宋_GB2312" w:cs="Times New Roman"/>
          <w:sz w:val="32"/>
          <w:szCs w:val="32"/>
          <w:highlight w:val="none"/>
          <w:lang w:val="en-US" w:eastAsia="zh-CN"/>
        </w:rPr>
        <w:t>等</w:t>
      </w:r>
      <w:r>
        <w:rPr>
          <w:rFonts w:hint="default" w:ascii="Times New Roman" w:hAnsi="Times New Roman" w:eastAsia="仿宋_GB2312" w:cs="Times New Roman"/>
          <w:sz w:val="32"/>
          <w:szCs w:val="32"/>
          <w:highlight w:val="none"/>
        </w:rPr>
        <w:t>。乙方不得拒绝、阻扰甲方安全监督</w:t>
      </w:r>
      <w:r>
        <w:rPr>
          <w:rFonts w:hint="eastAsia" w:ascii="Times New Roman" w:hAnsi="Times New Roman" w:eastAsia="仿宋_GB2312" w:cs="Times New Roman"/>
          <w:sz w:val="32"/>
          <w:szCs w:val="32"/>
          <w:highlight w:val="none"/>
          <w:lang w:val="en-US" w:eastAsia="zh-CN"/>
        </w:rPr>
        <w:t>和</w:t>
      </w:r>
      <w:r>
        <w:rPr>
          <w:rFonts w:hint="default" w:ascii="Times New Roman" w:hAnsi="Times New Roman" w:eastAsia="仿宋_GB2312" w:cs="Times New Roman"/>
          <w:sz w:val="32"/>
          <w:szCs w:val="32"/>
          <w:highlight w:val="none"/>
        </w:rPr>
        <w:t>检查工作。</w:t>
      </w:r>
    </w:p>
    <w:p w14:paraId="485F9ECE">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黑体" w:cs="Times New Roman"/>
          <w:sz w:val="32"/>
          <w:szCs w:val="32"/>
          <w:highlight w:val="none"/>
          <w:lang w:eastAsia="zh-CN"/>
        </w:rPr>
        <w:t>二</w:t>
      </w:r>
      <w:r>
        <w:rPr>
          <w:rFonts w:hint="default" w:ascii="Times New Roman" w:hAnsi="Times New Roman" w:eastAsia="黑体" w:cs="Times New Roman"/>
          <w:sz w:val="32"/>
          <w:szCs w:val="32"/>
          <w:highlight w:val="none"/>
        </w:rPr>
        <w:t>、甲方的</w:t>
      </w:r>
      <w:r>
        <w:rPr>
          <w:rFonts w:hint="eastAsia" w:ascii="Times New Roman" w:hAnsi="Times New Roman" w:eastAsia="黑体" w:cs="Times New Roman"/>
          <w:sz w:val="32"/>
          <w:szCs w:val="32"/>
          <w:highlight w:val="none"/>
          <w:lang w:eastAsia="zh-CN"/>
        </w:rPr>
        <w:t>责任</w:t>
      </w:r>
      <w:r>
        <w:rPr>
          <w:rFonts w:hint="default" w:ascii="Times New Roman" w:hAnsi="Times New Roman" w:eastAsia="黑体" w:cs="Times New Roman"/>
          <w:sz w:val="32"/>
          <w:szCs w:val="32"/>
          <w:highlight w:val="none"/>
          <w:lang w:eastAsia="zh-CN"/>
        </w:rPr>
        <w:t>和</w:t>
      </w:r>
      <w:r>
        <w:rPr>
          <w:rFonts w:hint="default" w:ascii="Times New Roman" w:hAnsi="Times New Roman" w:eastAsia="黑体" w:cs="Times New Roman"/>
          <w:sz w:val="32"/>
          <w:szCs w:val="32"/>
          <w:highlight w:val="none"/>
        </w:rPr>
        <w:t>义务</w:t>
      </w:r>
    </w:p>
    <w:p w14:paraId="74CE5166">
      <w:pPr>
        <w:keepNext w:val="0"/>
        <w:keepLines w:val="0"/>
        <w:pageBreakBefore w:val="0"/>
        <w:kinsoku/>
        <w:wordWrap/>
        <w:overflowPunct/>
        <w:topLinePunct w:val="0"/>
        <w:autoSpaceDE/>
        <w:autoSpaceDN/>
        <w:bidi w:val="0"/>
        <w:adjustRightInd w:val="0"/>
        <w:spacing w:line="46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1.</w:t>
      </w:r>
      <w:r>
        <w:rPr>
          <w:rFonts w:hint="default" w:ascii="Times New Roman" w:hAnsi="Times New Roman" w:eastAsia="仿宋_GB2312" w:cs="Times New Roman"/>
          <w:sz w:val="32"/>
          <w:szCs w:val="32"/>
          <w:highlight w:val="none"/>
        </w:rPr>
        <w:t>按照《中华人民共和国安全生产法》有关规定，对乙方安全生产工作进行统一协调管理，</w:t>
      </w:r>
      <w:r>
        <w:rPr>
          <w:rFonts w:hint="default" w:ascii="Times New Roman" w:hAnsi="Times New Roman" w:eastAsia="仿宋_GB2312" w:cs="Times New Roman"/>
          <w:kern w:val="0"/>
          <w:sz w:val="32"/>
          <w:szCs w:val="32"/>
          <w:highlight w:val="none"/>
        </w:rPr>
        <w:t>发现安全问题的，应当及时督促整改</w:t>
      </w:r>
      <w:r>
        <w:rPr>
          <w:rFonts w:hint="default" w:ascii="Times New Roman" w:hAnsi="Times New Roman" w:eastAsia="仿宋_GB2312" w:cs="Times New Roman"/>
          <w:b w:val="0"/>
          <w:bCs/>
          <w:sz w:val="32"/>
          <w:szCs w:val="32"/>
          <w:highlight w:val="none"/>
        </w:rPr>
        <w:t>。</w:t>
      </w:r>
    </w:p>
    <w:p w14:paraId="585704F2">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w:t>
      </w:r>
      <w:r>
        <w:rPr>
          <w:rFonts w:hint="eastAsia" w:ascii="Times New Roman" w:hAnsi="Times New Roman" w:eastAsia="仿宋_GB2312" w:cs="Times New Roman"/>
          <w:sz w:val="32"/>
          <w:szCs w:val="32"/>
          <w:highlight w:val="none"/>
          <w:lang w:eastAsia="zh-CN"/>
        </w:rPr>
        <w:t>首次</w:t>
      </w:r>
      <w:r>
        <w:rPr>
          <w:rFonts w:hint="default" w:ascii="Times New Roman" w:hAnsi="Times New Roman" w:eastAsia="仿宋_GB2312" w:cs="Times New Roman"/>
          <w:sz w:val="32"/>
          <w:szCs w:val="32"/>
          <w:highlight w:val="none"/>
        </w:rPr>
        <w:t>进入</w:t>
      </w:r>
      <w:r>
        <w:rPr>
          <w:rFonts w:hint="eastAsia" w:ascii="Times New Roman" w:hAnsi="Times New Roman" w:eastAsia="仿宋_GB2312" w:cs="Times New Roman"/>
          <w:sz w:val="32"/>
          <w:szCs w:val="32"/>
          <w:highlight w:val="none"/>
          <w:lang w:val="en-US" w:eastAsia="zh-CN"/>
        </w:rPr>
        <w:t>甲方</w:t>
      </w:r>
      <w:r>
        <w:rPr>
          <w:rFonts w:hint="default" w:ascii="Times New Roman" w:hAnsi="Times New Roman" w:eastAsia="仿宋_GB2312" w:cs="Times New Roman"/>
          <w:sz w:val="32"/>
          <w:szCs w:val="32"/>
          <w:highlight w:val="none"/>
        </w:rPr>
        <w:t>作业现场前，甲方应</w:t>
      </w:r>
      <w:r>
        <w:rPr>
          <w:rFonts w:hint="eastAsia" w:ascii="Times New Roman" w:hAnsi="Times New Roman" w:eastAsia="仿宋_GB2312" w:cs="Times New Roman"/>
          <w:sz w:val="32"/>
          <w:szCs w:val="32"/>
          <w:highlight w:val="none"/>
          <w:lang w:val="en-US" w:eastAsia="zh-CN"/>
        </w:rPr>
        <w:t>组织召开作业安全交底会议，</w:t>
      </w:r>
      <w:r>
        <w:rPr>
          <w:rFonts w:hint="eastAsia" w:ascii="Times New Roman" w:hAnsi="Times New Roman" w:eastAsia="仿宋_GB2312" w:cs="Times New Roman"/>
          <w:sz w:val="32"/>
          <w:szCs w:val="32"/>
          <w:highlight w:val="none"/>
          <w:lang w:eastAsia="zh-CN"/>
        </w:rPr>
        <w:t>包括甲方</w:t>
      </w:r>
      <w:r>
        <w:rPr>
          <w:rFonts w:hint="eastAsia" w:ascii="Times New Roman" w:hAnsi="Times New Roman" w:eastAsia="仿宋_GB2312" w:cs="Times New Roman"/>
          <w:sz w:val="32"/>
          <w:szCs w:val="32"/>
          <w:highlight w:val="none"/>
          <w:lang w:val="en-US" w:eastAsia="zh-CN"/>
        </w:rPr>
        <w:t>的</w:t>
      </w:r>
      <w:r>
        <w:rPr>
          <w:rFonts w:hint="default" w:ascii="Times New Roman" w:hAnsi="Times New Roman" w:eastAsia="仿宋_GB2312" w:cs="Times New Roman"/>
          <w:sz w:val="32"/>
          <w:szCs w:val="32"/>
          <w:highlight w:val="none"/>
        </w:rPr>
        <w:t>相关安全管理</w:t>
      </w:r>
      <w:r>
        <w:rPr>
          <w:rFonts w:hint="eastAsia" w:ascii="Times New Roman" w:hAnsi="Times New Roman" w:eastAsia="仿宋_GB2312" w:cs="Times New Roman"/>
          <w:sz w:val="32"/>
          <w:szCs w:val="32"/>
          <w:highlight w:val="none"/>
          <w:lang w:eastAsia="zh-CN"/>
        </w:rPr>
        <w:t>规定、</w:t>
      </w:r>
      <w:r>
        <w:rPr>
          <w:rFonts w:hint="default" w:ascii="Times New Roman" w:hAnsi="Times New Roman" w:eastAsia="仿宋_GB2312" w:cs="Times New Roman"/>
          <w:sz w:val="32"/>
          <w:szCs w:val="32"/>
          <w:highlight w:val="none"/>
        </w:rPr>
        <w:t>对作业环境所处的区域可能存在的危险因素</w:t>
      </w:r>
      <w:r>
        <w:rPr>
          <w:rFonts w:hint="eastAsia" w:ascii="Times New Roman" w:hAnsi="Times New Roman" w:eastAsia="仿宋_GB2312" w:cs="Times New Roman"/>
          <w:sz w:val="32"/>
          <w:szCs w:val="32"/>
          <w:highlight w:val="none"/>
          <w:lang w:val="en-US" w:eastAsia="zh-CN"/>
        </w:rPr>
        <w:t>、作业过程是否存在危险作业等内容</w:t>
      </w:r>
      <w:r>
        <w:rPr>
          <w:rFonts w:hint="eastAsia" w:ascii="Times New Roman" w:hAnsi="Times New Roman" w:eastAsia="仿宋_GB2312" w:cs="Times New Roman"/>
          <w:sz w:val="32"/>
          <w:szCs w:val="32"/>
          <w:highlight w:val="none"/>
          <w:lang w:eastAsia="zh-CN"/>
        </w:rPr>
        <w:t>。</w:t>
      </w:r>
    </w:p>
    <w:p w14:paraId="5A70930F">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lang w:val="en-US" w:eastAsia="zh-CN"/>
        </w:rPr>
        <w:t>.对</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人员作业过程中的安全管理工作进行监督检查</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有权</w:t>
      </w:r>
      <w:r>
        <w:rPr>
          <w:rFonts w:hint="eastAsia" w:ascii="Times New Roman" w:hAnsi="Times New Roman" w:eastAsia="仿宋_GB2312" w:cs="Times New Roman"/>
          <w:sz w:val="32"/>
          <w:szCs w:val="32"/>
          <w:highlight w:val="none"/>
          <w:lang w:val="en-US" w:eastAsia="zh-CN"/>
        </w:rPr>
        <w:t>检查</w:t>
      </w:r>
      <w:r>
        <w:rPr>
          <w:rFonts w:hint="default" w:ascii="Times New Roman" w:hAnsi="Times New Roman" w:eastAsia="仿宋_GB2312" w:cs="Times New Roman"/>
          <w:sz w:val="32"/>
          <w:szCs w:val="32"/>
          <w:highlight w:val="none"/>
        </w:rPr>
        <w:t>乙方有关安全措施</w:t>
      </w:r>
      <w:r>
        <w:rPr>
          <w:rFonts w:hint="eastAsia" w:ascii="Times New Roman" w:hAnsi="Times New Roman" w:eastAsia="仿宋_GB2312" w:cs="Times New Roman"/>
          <w:sz w:val="32"/>
          <w:szCs w:val="32"/>
          <w:highlight w:val="none"/>
          <w:lang w:val="en-US" w:eastAsia="zh-CN"/>
        </w:rPr>
        <w:t>的</w:t>
      </w:r>
      <w:r>
        <w:rPr>
          <w:rFonts w:hint="default" w:ascii="Times New Roman" w:hAnsi="Times New Roman" w:eastAsia="仿宋_GB2312" w:cs="Times New Roman"/>
          <w:sz w:val="32"/>
          <w:szCs w:val="32"/>
          <w:highlight w:val="none"/>
        </w:rPr>
        <w:t>落实情况，</w:t>
      </w:r>
      <w:r>
        <w:rPr>
          <w:rFonts w:hint="eastAsia" w:ascii="Times New Roman" w:hAnsi="Times New Roman" w:eastAsia="仿宋_GB2312" w:cs="Times New Roman"/>
          <w:sz w:val="32"/>
          <w:szCs w:val="32"/>
          <w:highlight w:val="none"/>
          <w:lang w:val="en-US" w:eastAsia="zh-CN"/>
        </w:rPr>
        <w:t>并</w:t>
      </w:r>
      <w:r>
        <w:rPr>
          <w:rFonts w:hint="default" w:ascii="Times New Roman" w:hAnsi="Times New Roman" w:eastAsia="仿宋_GB2312" w:cs="Times New Roman"/>
          <w:sz w:val="32"/>
          <w:szCs w:val="32"/>
          <w:highlight w:val="none"/>
        </w:rPr>
        <w:t>提出</w:t>
      </w:r>
      <w:r>
        <w:rPr>
          <w:rFonts w:hint="eastAsia" w:ascii="Times New Roman" w:hAnsi="Times New Roman" w:eastAsia="仿宋_GB2312" w:cs="Times New Roman"/>
          <w:sz w:val="32"/>
          <w:szCs w:val="32"/>
          <w:highlight w:val="none"/>
          <w:lang w:val="en-US" w:eastAsia="zh-CN"/>
        </w:rPr>
        <w:t>加强</w:t>
      </w:r>
      <w:r>
        <w:rPr>
          <w:rFonts w:hint="default" w:ascii="Times New Roman" w:hAnsi="Times New Roman" w:eastAsia="仿宋_GB2312" w:cs="Times New Roman"/>
          <w:sz w:val="32"/>
          <w:szCs w:val="32"/>
          <w:highlight w:val="none"/>
        </w:rPr>
        <w:t>安全生产</w:t>
      </w:r>
      <w:r>
        <w:rPr>
          <w:rFonts w:hint="eastAsia" w:ascii="Times New Roman" w:hAnsi="Times New Roman" w:eastAsia="仿宋_GB2312" w:cs="Times New Roman"/>
          <w:sz w:val="32"/>
          <w:szCs w:val="32"/>
          <w:highlight w:val="none"/>
          <w:lang w:eastAsia="zh-CN"/>
        </w:rPr>
        <w:t>的</w:t>
      </w:r>
      <w:r>
        <w:rPr>
          <w:rFonts w:hint="default" w:ascii="Times New Roman" w:hAnsi="Times New Roman" w:eastAsia="仿宋_GB2312" w:cs="Times New Roman"/>
          <w:sz w:val="32"/>
          <w:szCs w:val="32"/>
          <w:highlight w:val="none"/>
        </w:rPr>
        <w:t>意见</w:t>
      </w:r>
      <w:r>
        <w:rPr>
          <w:rFonts w:hint="default" w:ascii="Times New Roman" w:hAnsi="Times New Roman" w:eastAsia="仿宋_GB2312" w:cs="Times New Roman"/>
          <w:sz w:val="32"/>
          <w:szCs w:val="32"/>
          <w:highlight w:val="none"/>
          <w:lang w:eastAsia="zh-CN"/>
        </w:rPr>
        <w:t>或</w:t>
      </w:r>
      <w:r>
        <w:rPr>
          <w:rFonts w:hint="default" w:ascii="Times New Roman" w:hAnsi="Times New Roman" w:eastAsia="仿宋_GB2312" w:cs="Times New Roman"/>
          <w:sz w:val="32"/>
          <w:szCs w:val="32"/>
          <w:highlight w:val="none"/>
        </w:rPr>
        <w:t>建议。</w:t>
      </w:r>
    </w:p>
    <w:p w14:paraId="6EF27D46">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lang w:eastAsia="zh-CN"/>
        </w:rPr>
        <w:t>对</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w:t>
      </w:r>
      <w:r>
        <w:rPr>
          <w:rFonts w:hint="eastAsia" w:ascii="Times New Roman" w:hAnsi="Times New Roman" w:eastAsia="仿宋_GB2312" w:cs="Times New Roman"/>
          <w:sz w:val="32"/>
          <w:szCs w:val="32"/>
          <w:highlight w:val="none"/>
          <w:lang w:val="en-US" w:eastAsia="zh-CN"/>
        </w:rPr>
        <w:t>作业</w:t>
      </w:r>
      <w:r>
        <w:rPr>
          <w:rFonts w:hint="default" w:ascii="Times New Roman" w:hAnsi="Times New Roman" w:eastAsia="仿宋_GB2312" w:cs="Times New Roman"/>
          <w:sz w:val="32"/>
          <w:szCs w:val="32"/>
          <w:highlight w:val="none"/>
        </w:rPr>
        <w:t>中存在的重大安全隐患，有权责令乙方立即整改、排除</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否则有权单方终止与乙方</w:t>
      </w:r>
      <w:r>
        <w:rPr>
          <w:rFonts w:hint="eastAsia" w:ascii="Times New Roman" w:hAnsi="Times New Roman" w:eastAsia="仿宋_GB2312" w:cs="Times New Roman"/>
          <w:sz w:val="32"/>
          <w:szCs w:val="32"/>
          <w:highlight w:val="none"/>
          <w:lang w:eastAsia="zh-CN"/>
        </w:rPr>
        <w:t>的</w:t>
      </w:r>
      <w:r>
        <w:rPr>
          <w:rFonts w:hint="default" w:ascii="Times New Roman" w:hAnsi="Times New Roman" w:eastAsia="仿宋_GB2312" w:cs="Times New Roman"/>
          <w:sz w:val="32"/>
          <w:szCs w:val="32"/>
          <w:highlight w:val="none"/>
        </w:rPr>
        <w:t>合同。</w:t>
      </w:r>
    </w:p>
    <w:p w14:paraId="64A62343">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黑体" w:cs="Times New Roman"/>
          <w:sz w:val="32"/>
          <w:szCs w:val="32"/>
          <w:highlight w:val="none"/>
          <w:lang w:eastAsia="zh-CN"/>
        </w:rPr>
        <w:t>三</w:t>
      </w:r>
      <w:r>
        <w:rPr>
          <w:rFonts w:hint="default" w:ascii="Times New Roman" w:hAnsi="Times New Roman" w:eastAsia="黑体" w:cs="Times New Roman"/>
          <w:sz w:val="32"/>
          <w:szCs w:val="32"/>
          <w:highlight w:val="none"/>
        </w:rPr>
        <w:t>、乙方的</w:t>
      </w:r>
      <w:r>
        <w:rPr>
          <w:rFonts w:hint="eastAsia" w:ascii="Times New Roman" w:hAnsi="Times New Roman" w:eastAsia="黑体" w:cs="Times New Roman"/>
          <w:sz w:val="32"/>
          <w:szCs w:val="32"/>
          <w:highlight w:val="none"/>
          <w:lang w:eastAsia="zh-CN"/>
        </w:rPr>
        <w:t>责任</w:t>
      </w:r>
      <w:r>
        <w:rPr>
          <w:rFonts w:hint="default" w:ascii="Times New Roman" w:hAnsi="Times New Roman" w:eastAsia="黑体" w:cs="Times New Roman"/>
          <w:sz w:val="32"/>
          <w:szCs w:val="32"/>
          <w:highlight w:val="none"/>
          <w:lang w:eastAsia="zh-CN"/>
        </w:rPr>
        <w:t>和</w:t>
      </w:r>
      <w:r>
        <w:rPr>
          <w:rFonts w:hint="default" w:ascii="Times New Roman" w:hAnsi="Times New Roman" w:eastAsia="黑体" w:cs="Times New Roman"/>
          <w:sz w:val="32"/>
          <w:szCs w:val="32"/>
          <w:highlight w:val="none"/>
        </w:rPr>
        <w:t>义务</w:t>
      </w:r>
      <w:r>
        <w:rPr>
          <w:rFonts w:hint="default" w:ascii="Times New Roman" w:hAnsi="Times New Roman" w:eastAsia="仿宋_GB2312" w:cs="Times New Roman"/>
          <w:sz w:val="32"/>
          <w:szCs w:val="32"/>
          <w:highlight w:val="none"/>
        </w:rPr>
        <w:t xml:space="preserve"> </w:t>
      </w:r>
    </w:p>
    <w:p w14:paraId="1F4D692D">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lang w:val="en-US" w:eastAsia="zh-CN"/>
        </w:rPr>
        <w:t>1.</w:t>
      </w:r>
      <w:r>
        <w:rPr>
          <w:rFonts w:hint="default" w:ascii="Times New Roman" w:hAnsi="Times New Roman" w:eastAsia="仿宋_GB2312" w:cs="Times New Roman"/>
          <w:sz w:val="32"/>
          <w:szCs w:val="32"/>
          <w:highlight w:val="none"/>
        </w:rPr>
        <w:t>乙方应</w:t>
      </w:r>
      <w:r>
        <w:rPr>
          <w:rFonts w:hint="eastAsia" w:ascii="Times New Roman" w:hAnsi="Times New Roman" w:eastAsia="仿宋_GB2312" w:cs="Times New Roman"/>
          <w:sz w:val="32"/>
          <w:szCs w:val="32"/>
          <w:highlight w:val="none"/>
          <w:lang w:val="en-US" w:eastAsia="zh-CN"/>
        </w:rPr>
        <w:t>坚持</w:t>
      </w:r>
      <w:r>
        <w:rPr>
          <w:rFonts w:hint="default" w:ascii="Times New Roman" w:hAnsi="Times New Roman" w:eastAsia="仿宋_GB2312" w:cs="Times New Roman"/>
          <w:sz w:val="32"/>
          <w:szCs w:val="32"/>
          <w:highlight w:val="none"/>
        </w:rPr>
        <w:t>“安全第一”</w:t>
      </w:r>
      <w:r>
        <w:rPr>
          <w:rFonts w:hint="eastAsia" w:ascii="Times New Roman" w:hAnsi="Times New Roman" w:eastAsia="仿宋_GB2312" w:cs="Times New Roman"/>
          <w:sz w:val="32"/>
          <w:szCs w:val="32"/>
          <w:highlight w:val="none"/>
          <w:lang w:val="en-US" w:eastAsia="zh-CN"/>
        </w:rPr>
        <w:t>原则</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在作业过程中</w:t>
      </w:r>
      <w:r>
        <w:rPr>
          <w:rFonts w:hint="default" w:ascii="Times New Roman" w:hAnsi="Times New Roman" w:eastAsia="仿宋_GB2312" w:cs="Times New Roman"/>
          <w:sz w:val="32"/>
          <w:szCs w:val="32"/>
          <w:highlight w:val="none"/>
        </w:rPr>
        <w:t>落实各项安全防护措施</w:t>
      </w:r>
      <w:r>
        <w:rPr>
          <w:rFonts w:hint="default" w:ascii="Times New Roman" w:hAnsi="Times New Roman" w:eastAsia="仿宋_GB2312" w:cs="Times New Roman"/>
          <w:sz w:val="32"/>
          <w:szCs w:val="32"/>
          <w:highlight w:val="none"/>
          <w:lang w:eastAsia="zh-CN"/>
        </w:rPr>
        <w:t>。</w:t>
      </w:r>
    </w:p>
    <w:p w14:paraId="207C1F70">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highlight w:val="none"/>
          <w:lang w:val="en-US" w:eastAsia="zh-CN"/>
        </w:rPr>
      </w:pPr>
      <w:r>
        <w:rPr>
          <w:rFonts w:hint="eastAsia" w:ascii="Times New Roman" w:hAnsi="Times New Roman" w:eastAsia="仿宋_GB2312" w:cs="Times New Roman"/>
          <w:sz w:val="32"/>
          <w:szCs w:val="32"/>
          <w:highlight w:val="none"/>
          <w:lang w:val="en-US" w:eastAsia="zh-CN"/>
        </w:rPr>
        <w:t>2.乙方需提交本单位的营业执照、有关资质、作业人员的特种作业证、作业人员与乙方的关系证明等资料给甲方。</w:t>
      </w:r>
    </w:p>
    <w:p w14:paraId="1B6437E8">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乙方严禁将承包的作业</w:t>
      </w:r>
      <w:r>
        <w:rPr>
          <w:rFonts w:hint="eastAsia" w:ascii="Times New Roman" w:hAnsi="Times New Roman" w:eastAsia="仿宋_GB2312" w:cs="Times New Roman"/>
          <w:sz w:val="32"/>
          <w:szCs w:val="32"/>
          <w:highlight w:val="none"/>
          <w:lang w:val="en-US" w:eastAsia="zh-CN"/>
        </w:rPr>
        <w:t>项目</w:t>
      </w:r>
      <w:r>
        <w:rPr>
          <w:rFonts w:hint="default" w:ascii="Times New Roman" w:hAnsi="Times New Roman" w:eastAsia="仿宋_GB2312" w:cs="Times New Roman"/>
          <w:sz w:val="32"/>
          <w:szCs w:val="32"/>
          <w:highlight w:val="none"/>
        </w:rPr>
        <w:t>转包或者违法分包，否则所发生</w:t>
      </w:r>
      <w:r>
        <w:rPr>
          <w:rFonts w:hint="eastAsia" w:ascii="Times New Roman" w:hAnsi="Times New Roman" w:eastAsia="仿宋_GB2312" w:cs="Times New Roman"/>
          <w:sz w:val="32"/>
          <w:szCs w:val="32"/>
          <w:highlight w:val="none"/>
          <w:lang w:val="en-US" w:eastAsia="zh-CN"/>
        </w:rPr>
        <w:t>的</w:t>
      </w:r>
      <w:r>
        <w:rPr>
          <w:rFonts w:hint="default" w:ascii="Times New Roman" w:hAnsi="Times New Roman" w:eastAsia="仿宋_GB2312" w:cs="Times New Roman"/>
          <w:sz w:val="32"/>
          <w:szCs w:val="32"/>
          <w:highlight w:val="none"/>
        </w:rPr>
        <w:t>安全事故</w:t>
      </w:r>
      <w:r>
        <w:rPr>
          <w:rFonts w:hint="eastAsia" w:ascii="Times New Roman" w:hAnsi="Times New Roman" w:eastAsia="仿宋_GB2312" w:cs="Times New Roman"/>
          <w:sz w:val="32"/>
          <w:szCs w:val="32"/>
          <w:highlight w:val="none"/>
          <w:lang w:eastAsia="zh-CN"/>
        </w:rPr>
        <w:t>和所有罚款</w:t>
      </w:r>
      <w:r>
        <w:rPr>
          <w:rFonts w:hint="default" w:ascii="Times New Roman" w:hAnsi="Times New Roman" w:eastAsia="仿宋_GB2312" w:cs="Times New Roman"/>
          <w:sz w:val="32"/>
          <w:szCs w:val="32"/>
          <w:highlight w:val="none"/>
        </w:rPr>
        <w:t>，由乙方承担全部责任。</w:t>
      </w:r>
    </w:p>
    <w:p w14:paraId="1363B220">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eastAsia="zh-CN"/>
        </w:rPr>
        <w:t>在</w:t>
      </w:r>
      <w:r>
        <w:rPr>
          <w:rFonts w:hint="default" w:ascii="Times New Roman" w:hAnsi="Times New Roman" w:eastAsia="仿宋_GB2312" w:cs="Times New Roman"/>
          <w:sz w:val="32"/>
          <w:szCs w:val="32"/>
          <w:highlight w:val="none"/>
        </w:rPr>
        <w:t>作业前应</w:t>
      </w:r>
      <w:r>
        <w:rPr>
          <w:rFonts w:hint="eastAsia" w:ascii="Times New Roman" w:hAnsi="Times New Roman" w:eastAsia="仿宋_GB2312" w:cs="Times New Roman"/>
          <w:sz w:val="32"/>
          <w:szCs w:val="32"/>
          <w:highlight w:val="none"/>
          <w:lang w:val="en-US" w:eastAsia="zh-CN"/>
        </w:rPr>
        <w:t>积极参加</w:t>
      </w:r>
      <w:r>
        <w:rPr>
          <w:rFonts w:hint="default" w:ascii="Times New Roman" w:hAnsi="Times New Roman" w:eastAsia="仿宋_GB2312" w:cs="Times New Roman"/>
          <w:sz w:val="32"/>
          <w:szCs w:val="32"/>
          <w:highlight w:val="none"/>
        </w:rPr>
        <w:t>甲方</w:t>
      </w:r>
      <w:r>
        <w:rPr>
          <w:rFonts w:hint="eastAsia" w:ascii="Times New Roman" w:hAnsi="Times New Roman" w:eastAsia="仿宋_GB2312" w:cs="Times New Roman"/>
          <w:sz w:val="32"/>
          <w:szCs w:val="32"/>
          <w:highlight w:val="none"/>
          <w:lang w:val="en-US" w:eastAsia="zh-CN"/>
        </w:rPr>
        <w:t>组织的作业安全交底会议，并</w:t>
      </w:r>
      <w:r>
        <w:rPr>
          <w:rFonts w:hint="default" w:ascii="Times New Roman" w:hAnsi="Times New Roman" w:eastAsia="仿宋_GB2312" w:cs="Times New Roman"/>
          <w:sz w:val="32"/>
          <w:szCs w:val="32"/>
          <w:highlight w:val="none"/>
        </w:rPr>
        <w:t>对作业人员进行安全教育，</w:t>
      </w:r>
      <w:r>
        <w:rPr>
          <w:rFonts w:hint="eastAsia" w:ascii="Times New Roman" w:hAnsi="Times New Roman" w:eastAsia="仿宋_GB2312" w:cs="Times New Roman"/>
          <w:sz w:val="32"/>
          <w:szCs w:val="32"/>
          <w:highlight w:val="none"/>
          <w:lang w:val="en-US" w:eastAsia="zh-CN"/>
        </w:rPr>
        <w:t>作业前</w:t>
      </w:r>
      <w:r>
        <w:rPr>
          <w:rFonts w:hint="default" w:ascii="Times New Roman" w:hAnsi="Times New Roman" w:eastAsia="仿宋_GB2312" w:cs="Times New Roman"/>
          <w:sz w:val="32"/>
          <w:szCs w:val="32"/>
          <w:highlight w:val="none"/>
        </w:rPr>
        <w:t>先熟悉现场，同时对使用的设施设备等，负有认真检查和确认的义务，严禁设备设施带病作业，否则因此而产生的一切</w:t>
      </w:r>
      <w:r>
        <w:rPr>
          <w:rFonts w:hint="eastAsia" w:ascii="Times New Roman" w:hAnsi="Times New Roman" w:eastAsia="仿宋_GB2312" w:cs="Times New Roman"/>
          <w:sz w:val="32"/>
          <w:szCs w:val="32"/>
          <w:highlight w:val="none"/>
          <w:lang w:val="en-US" w:eastAsia="zh-CN"/>
        </w:rPr>
        <w:t>损失和责任</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均</w:t>
      </w:r>
      <w:r>
        <w:rPr>
          <w:rFonts w:hint="default" w:ascii="Times New Roman" w:hAnsi="Times New Roman" w:eastAsia="仿宋_GB2312" w:cs="Times New Roman"/>
          <w:sz w:val="32"/>
          <w:szCs w:val="32"/>
          <w:highlight w:val="none"/>
        </w:rPr>
        <w:t>由乙方承担。</w:t>
      </w:r>
    </w:p>
    <w:p w14:paraId="2633780B">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sz w:val="32"/>
          <w:szCs w:val="32"/>
          <w:highlight w:val="none"/>
          <w:lang w:val="en-US" w:eastAsia="zh-CN"/>
        </w:rPr>
        <w:t>5</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w:t>
      </w:r>
      <w:r>
        <w:rPr>
          <w:rFonts w:hint="eastAsia" w:ascii="Times New Roman" w:hAnsi="Times New Roman" w:eastAsia="仿宋_GB2312" w:cs="Times New Roman"/>
          <w:sz w:val="32"/>
          <w:szCs w:val="32"/>
          <w:highlight w:val="none"/>
          <w:lang w:eastAsia="zh-CN"/>
        </w:rPr>
        <w:t>在</w:t>
      </w:r>
      <w:r>
        <w:rPr>
          <w:rFonts w:hint="default" w:ascii="Times New Roman" w:hAnsi="Times New Roman" w:eastAsia="仿宋_GB2312" w:cs="Times New Roman"/>
          <w:sz w:val="32"/>
          <w:szCs w:val="32"/>
          <w:highlight w:val="none"/>
        </w:rPr>
        <w:t>进入甲方</w:t>
      </w:r>
      <w:r>
        <w:rPr>
          <w:rFonts w:hint="eastAsia" w:ascii="Times New Roman" w:hAnsi="Times New Roman" w:eastAsia="仿宋_GB2312" w:cs="Times New Roman"/>
          <w:sz w:val="32"/>
          <w:szCs w:val="32"/>
          <w:highlight w:val="none"/>
          <w:lang w:eastAsia="zh-CN"/>
        </w:rPr>
        <w:t>区域</w:t>
      </w:r>
      <w:r>
        <w:rPr>
          <w:rFonts w:hint="default" w:ascii="Times New Roman" w:hAnsi="Times New Roman" w:eastAsia="仿宋_GB2312" w:cs="Times New Roman"/>
          <w:sz w:val="32"/>
          <w:szCs w:val="32"/>
          <w:highlight w:val="none"/>
        </w:rPr>
        <w:t>前，</w:t>
      </w:r>
      <w:r>
        <w:rPr>
          <w:rFonts w:hint="eastAsia" w:ascii="Times New Roman" w:hAnsi="Times New Roman" w:eastAsia="仿宋_GB2312" w:cs="Times New Roman"/>
          <w:sz w:val="32"/>
          <w:szCs w:val="32"/>
          <w:highlight w:val="none"/>
          <w:lang w:eastAsia="zh-CN"/>
        </w:rPr>
        <w:t>须提前与甲方联系，</w:t>
      </w:r>
      <w:r>
        <w:rPr>
          <w:rFonts w:hint="eastAsia" w:ascii="Times New Roman" w:hAnsi="Times New Roman" w:eastAsia="仿宋_GB2312" w:cs="Times New Roman"/>
          <w:sz w:val="32"/>
          <w:szCs w:val="32"/>
          <w:highlight w:val="none"/>
          <w:lang w:val="en-US" w:eastAsia="zh-CN"/>
        </w:rPr>
        <w:t>在</w:t>
      </w:r>
      <w:r>
        <w:rPr>
          <w:rFonts w:hint="eastAsia" w:ascii="Times New Roman" w:hAnsi="Times New Roman" w:eastAsia="仿宋_GB2312" w:cs="Times New Roman"/>
          <w:sz w:val="32"/>
          <w:szCs w:val="32"/>
          <w:highlight w:val="none"/>
          <w:lang w:eastAsia="zh-CN"/>
        </w:rPr>
        <w:t>办理进场维保作业</w:t>
      </w:r>
      <w:r>
        <w:rPr>
          <w:rFonts w:hint="eastAsia" w:ascii="Times New Roman" w:hAnsi="Times New Roman" w:eastAsia="仿宋_GB2312" w:cs="Times New Roman"/>
          <w:sz w:val="32"/>
          <w:szCs w:val="32"/>
          <w:highlight w:val="none"/>
          <w:lang w:val="en-US" w:eastAsia="zh-CN"/>
        </w:rPr>
        <w:t>有</w:t>
      </w:r>
      <w:r>
        <w:rPr>
          <w:rFonts w:hint="eastAsia" w:ascii="Times New Roman" w:hAnsi="Times New Roman" w:eastAsia="仿宋_GB2312" w:cs="Times New Roman"/>
          <w:sz w:val="32"/>
          <w:szCs w:val="32"/>
          <w:highlight w:val="none"/>
          <w:lang w:eastAsia="zh-CN"/>
        </w:rPr>
        <w:t>关手续</w:t>
      </w:r>
      <w:r>
        <w:rPr>
          <w:rFonts w:hint="eastAsia" w:ascii="Times New Roman" w:hAnsi="Times New Roman" w:eastAsia="仿宋_GB2312" w:cs="Times New Roman"/>
          <w:sz w:val="32"/>
          <w:szCs w:val="32"/>
          <w:highlight w:val="none"/>
          <w:lang w:val="en-US" w:eastAsia="zh-CN"/>
        </w:rPr>
        <w:t>后</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方可进场</w:t>
      </w:r>
      <w:r>
        <w:rPr>
          <w:rFonts w:hint="eastAsia" w:ascii="Times New Roman" w:hAnsi="Times New Roman" w:eastAsia="仿宋_GB2312" w:cs="Times New Roman"/>
          <w:sz w:val="32"/>
          <w:szCs w:val="32"/>
          <w:highlight w:val="none"/>
          <w:lang w:eastAsia="zh-CN"/>
        </w:rPr>
        <w:t>开展工作</w:t>
      </w:r>
      <w:r>
        <w:rPr>
          <w:rFonts w:hint="eastAsia"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严禁</w:t>
      </w:r>
      <w:r>
        <w:rPr>
          <w:rFonts w:hint="eastAsia" w:ascii="Times New Roman" w:hAnsi="Times New Roman" w:eastAsia="仿宋_GB2312" w:cs="Times New Roman"/>
          <w:sz w:val="32"/>
          <w:szCs w:val="32"/>
          <w:highlight w:val="none"/>
          <w:lang w:eastAsia="zh-CN"/>
        </w:rPr>
        <w:t>擅自</w:t>
      </w:r>
      <w:r>
        <w:rPr>
          <w:rFonts w:hint="default" w:ascii="Times New Roman" w:hAnsi="Times New Roman" w:eastAsia="仿宋_GB2312" w:cs="Times New Roman"/>
          <w:sz w:val="32"/>
          <w:szCs w:val="32"/>
          <w:highlight w:val="none"/>
        </w:rPr>
        <w:t>进入甲方区域</w:t>
      </w:r>
      <w:r>
        <w:rPr>
          <w:rFonts w:hint="eastAsia" w:ascii="Times New Roman" w:hAnsi="Times New Roman" w:eastAsia="仿宋_GB2312" w:cs="Times New Roman"/>
          <w:sz w:val="32"/>
          <w:szCs w:val="32"/>
          <w:highlight w:val="none"/>
          <w:lang w:eastAsia="zh-CN"/>
        </w:rPr>
        <w:t>开展工作</w:t>
      </w:r>
      <w:r>
        <w:rPr>
          <w:rFonts w:hint="default" w:ascii="Times New Roman" w:hAnsi="Times New Roman" w:eastAsia="仿宋_GB2312" w:cs="Times New Roman"/>
          <w:sz w:val="32"/>
          <w:szCs w:val="32"/>
          <w:highlight w:val="none"/>
        </w:rPr>
        <w:t>。</w:t>
      </w:r>
    </w:p>
    <w:p w14:paraId="22314932">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6</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w:t>
      </w:r>
      <w:r>
        <w:rPr>
          <w:rFonts w:hint="eastAsia" w:ascii="Times New Roman" w:hAnsi="Times New Roman" w:eastAsia="仿宋_GB2312" w:cs="Times New Roman"/>
          <w:sz w:val="32"/>
          <w:szCs w:val="32"/>
          <w:highlight w:val="none"/>
          <w:lang w:val="en-US" w:eastAsia="zh-CN"/>
        </w:rPr>
        <w:t>应</w:t>
      </w:r>
      <w:r>
        <w:rPr>
          <w:rFonts w:hint="default" w:ascii="Times New Roman" w:hAnsi="Times New Roman" w:eastAsia="仿宋_GB2312" w:cs="Times New Roman"/>
          <w:sz w:val="32"/>
          <w:szCs w:val="32"/>
          <w:highlight w:val="none"/>
        </w:rPr>
        <w:t>具有相应的安全技术</w:t>
      </w:r>
      <w:r>
        <w:rPr>
          <w:rFonts w:hint="eastAsia" w:ascii="Times New Roman" w:hAnsi="Times New Roman" w:eastAsia="仿宋_GB2312" w:cs="Times New Roman"/>
          <w:sz w:val="32"/>
          <w:szCs w:val="32"/>
          <w:highlight w:val="none"/>
          <w:lang w:val="en-US" w:eastAsia="zh-CN"/>
        </w:rPr>
        <w:t>能力</w:t>
      </w:r>
      <w:r>
        <w:rPr>
          <w:rFonts w:hint="default" w:ascii="Times New Roman" w:hAnsi="Times New Roman" w:eastAsia="仿宋_GB2312" w:cs="Times New Roman"/>
          <w:sz w:val="32"/>
          <w:szCs w:val="32"/>
          <w:highlight w:val="none"/>
        </w:rPr>
        <w:t>，特种作业人员必须持有效特种作业操作证方</w:t>
      </w:r>
      <w:r>
        <w:rPr>
          <w:rFonts w:hint="eastAsia" w:ascii="Times New Roman" w:hAnsi="Times New Roman" w:eastAsia="仿宋_GB2312" w:cs="Times New Roman"/>
          <w:sz w:val="32"/>
          <w:szCs w:val="32"/>
          <w:highlight w:val="none"/>
          <w:lang w:val="en-US" w:eastAsia="zh-CN"/>
        </w:rPr>
        <w:t>可</w:t>
      </w:r>
      <w:r>
        <w:rPr>
          <w:rFonts w:hint="default" w:ascii="Times New Roman" w:hAnsi="Times New Roman" w:eastAsia="仿宋_GB2312" w:cs="Times New Roman"/>
          <w:sz w:val="32"/>
          <w:szCs w:val="32"/>
          <w:highlight w:val="none"/>
        </w:rPr>
        <w:t>上岗，所使用的特种作业设备必须取得有效的特种作业设备安全检验合格证。</w:t>
      </w:r>
    </w:p>
    <w:p w14:paraId="543B2A23">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val="en-US" w:eastAsia="zh-CN"/>
        </w:rPr>
        <w:t>7</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人员在作业期间应接受甲方的安全监督</w:t>
      </w:r>
      <w:r>
        <w:rPr>
          <w:rFonts w:hint="eastAsia" w:ascii="Times New Roman" w:hAnsi="Times New Roman" w:eastAsia="仿宋_GB2312" w:cs="Times New Roman"/>
          <w:sz w:val="32"/>
          <w:szCs w:val="32"/>
          <w:highlight w:val="none"/>
          <w:lang w:val="en-US" w:eastAsia="zh-CN"/>
        </w:rPr>
        <w:t>和</w:t>
      </w:r>
      <w:r>
        <w:rPr>
          <w:rFonts w:hint="default" w:ascii="Times New Roman" w:hAnsi="Times New Roman" w:eastAsia="仿宋_GB2312" w:cs="Times New Roman"/>
          <w:sz w:val="32"/>
          <w:szCs w:val="32"/>
          <w:highlight w:val="none"/>
        </w:rPr>
        <w:t>检查，经查证发现的安全隐患，乙方必须立即采取有效措施予以整改。</w:t>
      </w:r>
    </w:p>
    <w:p w14:paraId="4A2B7D8B">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8</w:t>
      </w:r>
      <w:r>
        <w:rPr>
          <w:rFonts w:hint="default" w:ascii="Times New Roman" w:hAnsi="Times New Roman" w:eastAsia="仿宋_GB2312" w:cs="Times New Roman"/>
          <w:sz w:val="32"/>
          <w:szCs w:val="32"/>
          <w:highlight w:val="none"/>
          <w:lang w:val="en-US" w:eastAsia="zh-CN"/>
        </w:rPr>
        <w:t>.涉及危险作业（</w:t>
      </w:r>
      <w:r>
        <w:rPr>
          <w:rFonts w:hint="default" w:ascii="Times New Roman" w:hAnsi="Times New Roman" w:eastAsia="仿宋_GB2312" w:cs="Times New Roman"/>
          <w:sz w:val="32"/>
          <w:szCs w:val="32"/>
          <w:highlight w:val="none"/>
        </w:rPr>
        <w:t>有限空间作业</w:t>
      </w:r>
      <w:r>
        <w:rPr>
          <w:rFonts w:hint="default" w:ascii="Times New Roman" w:hAnsi="Times New Roman" w:eastAsia="仿宋_GB2312" w:cs="Times New Roman"/>
          <w:sz w:val="32"/>
          <w:szCs w:val="32"/>
          <w:highlight w:val="none"/>
          <w:lang w:eastAsia="zh-CN"/>
        </w:rPr>
        <w:t>、高处作业、动火作业等）必须办理审批手续，</w:t>
      </w:r>
      <w:r>
        <w:rPr>
          <w:rFonts w:hint="eastAsia" w:ascii="Times New Roman" w:hAnsi="Times New Roman" w:eastAsia="仿宋_GB2312" w:cs="Times New Roman"/>
          <w:sz w:val="32"/>
          <w:szCs w:val="32"/>
          <w:highlight w:val="none"/>
          <w:lang w:eastAsia="zh-CN"/>
        </w:rPr>
        <w:t>经甲方</w:t>
      </w:r>
      <w:r>
        <w:rPr>
          <w:rFonts w:hint="eastAsia" w:ascii="Times New Roman" w:hAnsi="Times New Roman" w:eastAsia="仿宋_GB2312" w:cs="Times New Roman"/>
          <w:sz w:val="32"/>
          <w:szCs w:val="32"/>
          <w:highlight w:val="none"/>
          <w:lang w:val="en-US" w:eastAsia="zh-CN"/>
        </w:rPr>
        <w:t>审批</w:t>
      </w:r>
      <w:r>
        <w:rPr>
          <w:rFonts w:hint="default" w:ascii="Times New Roman" w:hAnsi="Times New Roman" w:eastAsia="仿宋_GB2312" w:cs="Times New Roman"/>
          <w:sz w:val="32"/>
          <w:szCs w:val="32"/>
          <w:highlight w:val="none"/>
          <w:lang w:eastAsia="zh-CN"/>
        </w:rPr>
        <w:t>同意后方可施工。</w:t>
      </w:r>
    </w:p>
    <w:p w14:paraId="45A2734B">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9</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人员在作业期间，必须按工种需要正确穿戴劳保防护用品。</w:t>
      </w:r>
    </w:p>
    <w:p w14:paraId="28B82B59">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val="en-US" w:eastAsia="zh-CN"/>
        </w:rPr>
        <w:t>0</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人员在作业现场不得擅自动用或操作甲方的设备</w:t>
      </w:r>
      <w:r>
        <w:rPr>
          <w:rFonts w:hint="eastAsia" w:ascii="Times New Roman" w:hAnsi="Times New Roman" w:eastAsia="仿宋_GB2312" w:cs="Times New Roman"/>
          <w:sz w:val="32"/>
          <w:szCs w:val="32"/>
          <w:highlight w:val="none"/>
          <w:lang w:val="en-US" w:eastAsia="zh-CN"/>
        </w:rPr>
        <w:t>设施</w:t>
      </w:r>
      <w:r>
        <w:rPr>
          <w:rFonts w:hint="default" w:ascii="Times New Roman" w:hAnsi="Times New Roman" w:eastAsia="仿宋_GB2312" w:cs="Times New Roman"/>
          <w:sz w:val="32"/>
          <w:szCs w:val="32"/>
          <w:highlight w:val="none"/>
        </w:rPr>
        <w:t>，否则因此产生的一切</w:t>
      </w:r>
      <w:r>
        <w:rPr>
          <w:rFonts w:hint="eastAsia" w:ascii="Times New Roman" w:hAnsi="Times New Roman" w:eastAsia="仿宋_GB2312" w:cs="Times New Roman"/>
          <w:sz w:val="32"/>
          <w:szCs w:val="32"/>
          <w:highlight w:val="none"/>
          <w:lang w:val="en-US" w:eastAsia="zh-CN"/>
        </w:rPr>
        <w:t>损失和责任</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均</w:t>
      </w:r>
      <w:r>
        <w:rPr>
          <w:rFonts w:hint="default" w:ascii="Times New Roman" w:hAnsi="Times New Roman" w:eastAsia="仿宋_GB2312" w:cs="Times New Roman"/>
          <w:sz w:val="32"/>
          <w:szCs w:val="32"/>
          <w:highlight w:val="none"/>
        </w:rPr>
        <w:t>由乙方承担。</w:t>
      </w:r>
    </w:p>
    <w:p w14:paraId="3D2BD8CF">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w:t>
      </w:r>
      <w:r>
        <w:rPr>
          <w:rFonts w:hint="eastAsia" w:ascii="Times New Roman" w:hAnsi="Times New Roman" w:eastAsia="仿宋_GB2312" w:cs="Times New Roman"/>
          <w:sz w:val="32"/>
          <w:szCs w:val="32"/>
          <w:highlight w:val="none"/>
          <w:lang w:val="en-US" w:eastAsia="zh-CN"/>
        </w:rPr>
        <w:t>1</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乙方</w:t>
      </w:r>
      <w:r>
        <w:rPr>
          <w:rFonts w:hint="eastAsia" w:ascii="Times New Roman" w:hAnsi="Times New Roman" w:eastAsia="仿宋_GB2312" w:cs="Times New Roman"/>
          <w:sz w:val="32"/>
          <w:szCs w:val="32"/>
          <w:highlight w:val="none"/>
          <w:lang w:val="en-US" w:eastAsia="zh-CN"/>
        </w:rPr>
        <w:t>工作</w:t>
      </w:r>
      <w:r>
        <w:rPr>
          <w:rFonts w:hint="default" w:ascii="Times New Roman" w:hAnsi="Times New Roman" w:eastAsia="仿宋_GB2312" w:cs="Times New Roman"/>
          <w:sz w:val="32"/>
          <w:szCs w:val="32"/>
          <w:highlight w:val="none"/>
        </w:rPr>
        <w:t>人员在作业期间自备的设备</w:t>
      </w:r>
      <w:r>
        <w:rPr>
          <w:rFonts w:hint="eastAsia" w:ascii="Times New Roman" w:hAnsi="Times New Roman" w:eastAsia="仿宋_GB2312" w:cs="Times New Roman"/>
          <w:sz w:val="32"/>
          <w:szCs w:val="32"/>
          <w:highlight w:val="none"/>
          <w:lang w:val="en-US" w:eastAsia="zh-CN"/>
        </w:rPr>
        <w:t>或</w:t>
      </w:r>
      <w:r>
        <w:rPr>
          <w:rFonts w:hint="default" w:ascii="Times New Roman" w:hAnsi="Times New Roman" w:eastAsia="仿宋_GB2312" w:cs="Times New Roman"/>
          <w:sz w:val="32"/>
          <w:szCs w:val="32"/>
          <w:highlight w:val="none"/>
        </w:rPr>
        <w:t>工</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器</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具必须符</w:t>
      </w:r>
      <w:r>
        <w:rPr>
          <w:rFonts w:hint="eastAsia" w:ascii="Times New Roman" w:hAnsi="Times New Roman" w:eastAsia="仿宋_GB2312" w:cs="Times New Roman"/>
          <w:sz w:val="32"/>
          <w:szCs w:val="32"/>
          <w:highlight w:val="none"/>
          <w:lang w:val="en-US" w:eastAsia="zh-CN"/>
        </w:rPr>
        <w:t>合有关</w:t>
      </w:r>
      <w:r>
        <w:rPr>
          <w:rFonts w:hint="default" w:ascii="Times New Roman" w:hAnsi="Times New Roman" w:eastAsia="仿宋_GB2312" w:cs="Times New Roman"/>
          <w:sz w:val="32"/>
          <w:szCs w:val="32"/>
          <w:highlight w:val="none"/>
        </w:rPr>
        <w:t>安全要求，如需借用（租赁）甲方</w:t>
      </w:r>
      <w:r>
        <w:rPr>
          <w:rFonts w:hint="eastAsia" w:ascii="Times New Roman" w:hAnsi="Times New Roman" w:eastAsia="仿宋_GB2312" w:cs="Times New Roman"/>
          <w:sz w:val="32"/>
          <w:szCs w:val="32"/>
          <w:highlight w:val="none"/>
          <w:lang w:val="en-US" w:eastAsia="zh-CN"/>
        </w:rPr>
        <w:t>的</w:t>
      </w:r>
      <w:r>
        <w:rPr>
          <w:rFonts w:hint="default" w:ascii="Times New Roman" w:hAnsi="Times New Roman" w:eastAsia="仿宋_GB2312" w:cs="Times New Roman"/>
          <w:sz w:val="32"/>
          <w:szCs w:val="32"/>
          <w:highlight w:val="none"/>
        </w:rPr>
        <w:t>设备</w:t>
      </w:r>
      <w:r>
        <w:rPr>
          <w:rFonts w:hint="eastAsia" w:ascii="Times New Roman" w:hAnsi="Times New Roman" w:eastAsia="仿宋_GB2312" w:cs="Times New Roman"/>
          <w:sz w:val="32"/>
          <w:szCs w:val="32"/>
          <w:highlight w:val="none"/>
          <w:lang w:val="en-US" w:eastAsia="zh-CN"/>
        </w:rPr>
        <w:t>或</w:t>
      </w:r>
      <w:r>
        <w:rPr>
          <w:rFonts w:hint="default" w:ascii="Times New Roman" w:hAnsi="Times New Roman" w:eastAsia="仿宋_GB2312" w:cs="Times New Roman"/>
          <w:sz w:val="32"/>
          <w:szCs w:val="32"/>
          <w:highlight w:val="none"/>
        </w:rPr>
        <w:t>工</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器</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具，应由双方协商办理租借手续，租借方必须经验收确认并</w:t>
      </w:r>
      <w:r>
        <w:rPr>
          <w:rFonts w:hint="eastAsia" w:ascii="Times New Roman" w:hAnsi="Times New Roman" w:eastAsia="仿宋_GB2312" w:cs="Times New Roman"/>
          <w:sz w:val="32"/>
          <w:szCs w:val="32"/>
          <w:highlight w:val="none"/>
          <w:lang w:val="en-US" w:eastAsia="zh-CN"/>
        </w:rPr>
        <w:t>做</w:t>
      </w:r>
      <w:r>
        <w:rPr>
          <w:rFonts w:hint="default" w:ascii="Times New Roman" w:hAnsi="Times New Roman" w:eastAsia="仿宋_GB2312" w:cs="Times New Roman"/>
          <w:sz w:val="32"/>
          <w:szCs w:val="32"/>
          <w:highlight w:val="none"/>
        </w:rPr>
        <w:t>好记录，租借方一经接受使用，表示该设备</w:t>
      </w:r>
      <w:r>
        <w:rPr>
          <w:rFonts w:hint="eastAsia" w:ascii="Times New Roman" w:hAnsi="Times New Roman" w:eastAsia="仿宋_GB2312" w:cs="Times New Roman"/>
          <w:sz w:val="32"/>
          <w:szCs w:val="32"/>
          <w:highlight w:val="none"/>
          <w:lang w:eastAsia="zh-CN"/>
        </w:rPr>
        <w:t>或</w:t>
      </w:r>
      <w:r>
        <w:rPr>
          <w:rFonts w:hint="default" w:ascii="Times New Roman" w:hAnsi="Times New Roman" w:eastAsia="仿宋_GB2312" w:cs="Times New Roman"/>
          <w:sz w:val="32"/>
          <w:szCs w:val="32"/>
          <w:highlight w:val="none"/>
        </w:rPr>
        <w:t>工</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器</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具完好无安全隐患，若</w:t>
      </w:r>
      <w:r>
        <w:rPr>
          <w:rFonts w:hint="eastAsia" w:ascii="Times New Roman" w:hAnsi="Times New Roman" w:eastAsia="仿宋_GB2312" w:cs="Times New Roman"/>
          <w:sz w:val="32"/>
          <w:szCs w:val="32"/>
          <w:highlight w:val="none"/>
          <w:lang w:val="en-US" w:eastAsia="zh-CN"/>
        </w:rPr>
        <w:t>发生</w:t>
      </w:r>
      <w:r>
        <w:rPr>
          <w:rFonts w:hint="default" w:ascii="Times New Roman" w:hAnsi="Times New Roman" w:eastAsia="仿宋_GB2312" w:cs="Times New Roman"/>
          <w:sz w:val="32"/>
          <w:szCs w:val="32"/>
          <w:highlight w:val="none"/>
        </w:rPr>
        <w:t>安全事故</w:t>
      </w:r>
      <w:r>
        <w:rPr>
          <w:rFonts w:hint="eastAsia" w:ascii="Times New Roman" w:hAnsi="Times New Roman" w:eastAsia="仿宋_GB2312" w:cs="Times New Roman"/>
          <w:sz w:val="32"/>
          <w:szCs w:val="32"/>
          <w:highlight w:val="none"/>
          <w:lang w:val="en-US" w:eastAsia="zh-CN"/>
        </w:rPr>
        <w:t>造成的</w:t>
      </w:r>
      <w:r>
        <w:rPr>
          <w:rFonts w:hint="default" w:ascii="Times New Roman" w:hAnsi="Times New Roman" w:eastAsia="仿宋_GB2312" w:cs="Times New Roman"/>
          <w:sz w:val="32"/>
          <w:szCs w:val="32"/>
          <w:highlight w:val="none"/>
        </w:rPr>
        <w:t>一切</w:t>
      </w:r>
      <w:r>
        <w:rPr>
          <w:rFonts w:hint="eastAsia" w:ascii="Times New Roman" w:hAnsi="Times New Roman" w:eastAsia="仿宋_GB2312" w:cs="Times New Roman"/>
          <w:sz w:val="32"/>
          <w:szCs w:val="32"/>
          <w:highlight w:val="none"/>
          <w:lang w:val="en-US" w:eastAsia="zh-CN"/>
        </w:rPr>
        <w:t>损失和责任</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均</w:t>
      </w:r>
      <w:r>
        <w:rPr>
          <w:rFonts w:hint="default" w:ascii="Times New Roman" w:hAnsi="Times New Roman" w:eastAsia="仿宋_GB2312" w:cs="Times New Roman"/>
          <w:sz w:val="32"/>
          <w:szCs w:val="32"/>
          <w:highlight w:val="none"/>
        </w:rPr>
        <w:t>由乙方承担。</w:t>
      </w:r>
    </w:p>
    <w:p w14:paraId="3C6CDB14">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乙方作业期间的用电必须取得甲方同意，不得私自拉接电源，</w:t>
      </w:r>
      <w:r>
        <w:rPr>
          <w:rFonts w:hint="default" w:ascii="Times New Roman" w:hAnsi="Times New Roman" w:eastAsia="仿宋_GB2312" w:cs="Times New Roman"/>
          <w:sz w:val="32"/>
          <w:szCs w:val="32"/>
          <w:highlight w:val="none"/>
          <w:lang w:eastAsia="zh-CN"/>
        </w:rPr>
        <w:t>并做好用电安全措施</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否则因此产生的一切</w:t>
      </w:r>
      <w:r>
        <w:rPr>
          <w:rFonts w:hint="eastAsia" w:ascii="Times New Roman" w:hAnsi="Times New Roman" w:eastAsia="仿宋_GB2312" w:cs="Times New Roman"/>
          <w:sz w:val="32"/>
          <w:szCs w:val="32"/>
          <w:highlight w:val="none"/>
          <w:lang w:val="en-US" w:eastAsia="zh-CN"/>
        </w:rPr>
        <w:t>损失和责任</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均</w:t>
      </w:r>
      <w:r>
        <w:rPr>
          <w:rFonts w:hint="default" w:ascii="Times New Roman" w:hAnsi="Times New Roman" w:eastAsia="仿宋_GB2312" w:cs="Times New Roman"/>
          <w:sz w:val="32"/>
          <w:szCs w:val="32"/>
          <w:highlight w:val="none"/>
        </w:rPr>
        <w:t>由乙方承担。</w:t>
      </w:r>
    </w:p>
    <w:p w14:paraId="40763694">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黑体" w:cs="Times New Roman"/>
          <w:sz w:val="32"/>
          <w:szCs w:val="32"/>
          <w:highlight w:val="none"/>
          <w:lang w:eastAsia="zh-CN"/>
        </w:rPr>
        <w:t>四</w:t>
      </w:r>
      <w:r>
        <w:rPr>
          <w:rFonts w:hint="default" w:ascii="Times New Roman" w:hAnsi="Times New Roman" w:eastAsia="黑体" w:cs="Times New Roman"/>
          <w:sz w:val="32"/>
          <w:szCs w:val="32"/>
          <w:highlight w:val="none"/>
        </w:rPr>
        <w:t>、违约责任</w:t>
      </w:r>
      <w:r>
        <w:rPr>
          <w:rFonts w:hint="default" w:ascii="Times New Roman" w:hAnsi="Times New Roman" w:eastAsia="仿宋_GB2312" w:cs="Times New Roman"/>
          <w:sz w:val="32"/>
          <w:szCs w:val="32"/>
          <w:highlight w:val="none"/>
        </w:rPr>
        <w:t xml:space="preserve"> </w:t>
      </w:r>
    </w:p>
    <w:p w14:paraId="00B83014">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本协议履行期间，若因一方违约行为发生安全事故，</w:t>
      </w:r>
      <w:r>
        <w:rPr>
          <w:rFonts w:hint="eastAsia" w:ascii="Times New Roman" w:hAnsi="Times New Roman" w:eastAsia="仿宋_GB2312" w:cs="Times New Roman"/>
          <w:sz w:val="32"/>
          <w:szCs w:val="32"/>
          <w:highlight w:val="none"/>
          <w:lang w:val="en-US" w:eastAsia="zh-CN"/>
        </w:rPr>
        <w:t>或被政府相关部门行政处罚的，</w:t>
      </w:r>
      <w:r>
        <w:rPr>
          <w:rFonts w:hint="default" w:ascii="Times New Roman" w:hAnsi="Times New Roman" w:eastAsia="仿宋_GB2312" w:cs="Times New Roman"/>
          <w:sz w:val="32"/>
          <w:szCs w:val="32"/>
          <w:highlight w:val="none"/>
        </w:rPr>
        <w:t>违约方按其与对方所签订的相关合同标的金额（指合同结算金额）</w:t>
      </w:r>
      <w:r>
        <w:rPr>
          <w:rFonts w:hint="eastAsia" w:ascii="Times New Roman" w:hAnsi="Times New Roman" w:eastAsia="仿宋_GB2312" w:cs="Times New Roman"/>
          <w:sz w:val="32"/>
          <w:szCs w:val="32"/>
          <w:highlight w:val="none"/>
          <w:lang w:val="en-US" w:eastAsia="zh-CN"/>
        </w:rPr>
        <w:t>或报价的</w:t>
      </w:r>
      <w:r>
        <w:rPr>
          <w:rFonts w:hint="eastAsia" w:ascii="Times New Roman" w:hAnsi="Times New Roman" w:eastAsia="仿宋_GB2312" w:cs="Times New Roman"/>
          <w:sz w:val="32"/>
          <w:szCs w:val="32"/>
          <w:highlight w:val="none"/>
          <w:u w:val="single"/>
          <w:lang w:val="en-US" w:eastAsia="zh-CN"/>
        </w:rPr>
        <w:t>10</w:t>
      </w:r>
      <w:r>
        <w:rPr>
          <w:rFonts w:hint="default" w:ascii="Times New Roman" w:hAnsi="Times New Roman" w:eastAsia="仿宋_GB2312" w:cs="Times New Roman"/>
          <w:sz w:val="32"/>
          <w:szCs w:val="32"/>
          <w:highlight w:val="none"/>
        </w:rPr>
        <w:t>%承担违约金，并向守约方赔偿因安全事故</w:t>
      </w:r>
      <w:r>
        <w:rPr>
          <w:rFonts w:hint="eastAsia" w:ascii="Times New Roman" w:hAnsi="Times New Roman" w:eastAsia="仿宋_GB2312" w:cs="Times New Roman"/>
          <w:sz w:val="32"/>
          <w:szCs w:val="32"/>
          <w:highlight w:val="none"/>
          <w:lang w:eastAsia="zh-CN"/>
        </w:rPr>
        <w:t>或行政处罚</w:t>
      </w:r>
      <w:r>
        <w:rPr>
          <w:rFonts w:hint="default" w:ascii="Times New Roman" w:hAnsi="Times New Roman" w:eastAsia="仿宋_GB2312" w:cs="Times New Roman"/>
          <w:sz w:val="32"/>
          <w:szCs w:val="32"/>
          <w:highlight w:val="none"/>
        </w:rPr>
        <w:t>所造成的全部经济损失。</w:t>
      </w:r>
    </w:p>
    <w:p w14:paraId="5A29B59A">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如因乙方责任造成的安全事故或其</w:t>
      </w:r>
      <w:r>
        <w:rPr>
          <w:rFonts w:hint="eastAsia" w:ascii="Times New Roman" w:hAnsi="Times New Roman" w:eastAsia="仿宋_GB2312" w:cs="Times New Roman"/>
          <w:sz w:val="32"/>
          <w:szCs w:val="32"/>
          <w:highlight w:val="none"/>
          <w:lang w:eastAsia="zh-CN"/>
        </w:rPr>
        <w:t>他</w:t>
      </w:r>
      <w:r>
        <w:rPr>
          <w:rFonts w:hint="default" w:ascii="Times New Roman" w:hAnsi="Times New Roman" w:eastAsia="仿宋_GB2312" w:cs="Times New Roman"/>
          <w:sz w:val="32"/>
          <w:szCs w:val="32"/>
          <w:highlight w:val="none"/>
        </w:rPr>
        <w:t>安全生产违法行为导致</w:t>
      </w:r>
      <w:r>
        <w:rPr>
          <w:rFonts w:hint="eastAsia" w:ascii="Times New Roman" w:hAnsi="Times New Roman" w:eastAsia="仿宋_GB2312" w:cs="Times New Roman"/>
          <w:sz w:val="32"/>
          <w:szCs w:val="32"/>
          <w:highlight w:val="none"/>
          <w:lang w:eastAsia="zh-CN"/>
        </w:rPr>
        <w:t>甲方</w:t>
      </w:r>
      <w:r>
        <w:rPr>
          <w:rFonts w:hint="default" w:ascii="Times New Roman" w:hAnsi="Times New Roman" w:eastAsia="仿宋_GB2312" w:cs="Times New Roman"/>
          <w:sz w:val="32"/>
          <w:szCs w:val="32"/>
          <w:highlight w:val="none"/>
        </w:rPr>
        <w:t>被政府或行政主管部门罚款，</w:t>
      </w:r>
      <w:r>
        <w:rPr>
          <w:rFonts w:hint="eastAsia" w:ascii="Times New Roman" w:hAnsi="Times New Roman" w:eastAsia="仿宋_GB2312" w:cs="Times New Roman"/>
          <w:sz w:val="32"/>
          <w:szCs w:val="32"/>
          <w:highlight w:val="none"/>
          <w:lang w:eastAsia="zh-CN"/>
        </w:rPr>
        <w:t>所有罚款</w:t>
      </w:r>
      <w:r>
        <w:rPr>
          <w:rFonts w:hint="default" w:ascii="Times New Roman" w:hAnsi="Times New Roman" w:eastAsia="仿宋_GB2312" w:cs="Times New Roman"/>
          <w:sz w:val="32"/>
          <w:szCs w:val="32"/>
          <w:highlight w:val="none"/>
        </w:rPr>
        <w:t>均由乙方承担。如乙方不直接支付罚款，甲方可在应付乙方的相关款中予以扣除，不足部分可继续从乙方提供的风险担保中支付，或通过法律渠道向乙方追索。</w:t>
      </w:r>
    </w:p>
    <w:p w14:paraId="12D4D5DD">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五</w:t>
      </w:r>
      <w:r>
        <w:rPr>
          <w:rFonts w:hint="default" w:ascii="Times New Roman" w:hAnsi="Times New Roman" w:eastAsia="黑体" w:cs="Times New Roman"/>
          <w:sz w:val="32"/>
          <w:szCs w:val="32"/>
          <w:highlight w:val="none"/>
        </w:rPr>
        <w:t>、附则</w:t>
      </w:r>
    </w:p>
    <w:p w14:paraId="143250CA">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本协议与双方所签订的相关合同具有同等法律效力。</w:t>
      </w:r>
    </w:p>
    <w:p w14:paraId="1B094577">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rPr>
        <w:t>2</w:t>
      </w:r>
      <w:r>
        <w:rPr>
          <w:rFonts w:hint="default" w:ascii="Times New Roman" w:hAnsi="Times New Roman" w:eastAsia="仿宋_GB2312" w:cs="Times New Roman"/>
          <w:sz w:val="32"/>
          <w:szCs w:val="32"/>
          <w:highlight w:val="none"/>
          <w:lang w:val="en-US" w:eastAsia="zh-CN"/>
        </w:rPr>
        <w:t>.</w:t>
      </w:r>
      <w:r>
        <w:rPr>
          <w:rFonts w:hint="default" w:ascii="Times New Roman" w:hAnsi="Times New Roman" w:eastAsia="仿宋_GB2312" w:cs="Times New Roman"/>
          <w:sz w:val="32"/>
          <w:szCs w:val="32"/>
          <w:highlight w:val="none"/>
        </w:rPr>
        <w:t>本协议有效期</w:t>
      </w:r>
      <w:r>
        <w:rPr>
          <w:rFonts w:hint="eastAsia" w:ascii="Times New Roman" w:hAnsi="Times New Roman" w:eastAsia="仿宋_GB2312" w:cs="Times New Roman"/>
          <w:sz w:val="32"/>
          <w:szCs w:val="32"/>
          <w:highlight w:val="none"/>
          <w:lang w:eastAsia="zh-CN"/>
        </w:rPr>
        <w:t>与</w:t>
      </w:r>
      <w:r>
        <w:rPr>
          <w:rFonts w:hint="eastAsia" w:ascii="Times New Roman" w:hAnsi="Times New Roman" w:eastAsia="仿宋_GB2312" w:cs="Times New Roman"/>
          <w:sz w:val="32"/>
          <w:szCs w:val="32"/>
          <w:highlight w:val="none"/>
          <w:lang w:val="en-US" w:eastAsia="zh-CN"/>
        </w:rPr>
        <w:t>甲乙双方签订的维保服务合同一致</w:t>
      </w:r>
      <w:r>
        <w:rPr>
          <w:rFonts w:hint="default" w:ascii="Times New Roman" w:hAnsi="Times New Roman" w:eastAsia="仿宋_GB2312" w:cs="Times New Roman"/>
          <w:sz w:val="32"/>
          <w:szCs w:val="32"/>
          <w:highlight w:val="none"/>
          <w:lang w:eastAsia="zh-CN"/>
        </w:rPr>
        <w:t>。</w:t>
      </w:r>
    </w:p>
    <w:p w14:paraId="487D5A18">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eastAsia" w:ascii="黑体" w:hAnsi="黑体" w:eastAsia="黑体" w:cs="黑体"/>
          <w:sz w:val="32"/>
          <w:szCs w:val="32"/>
          <w:highlight w:val="none"/>
          <w:lang w:eastAsia="zh-CN"/>
        </w:rPr>
        <w:t>六</w:t>
      </w:r>
      <w:r>
        <w:rPr>
          <w:rFonts w:hint="eastAsia" w:ascii="黑体" w:hAnsi="黑体" w:eastAsia="黑体" w:cs="黑体"/>
          <w:sz w:val="32"/>
          <w:szCs w:val="32"/>
          <w:highlight w:val="none"/>
        </w:rPr>
        <w:t>、</w:t>
      </w:r>
      <w:r>
        <w:rPr>
          <w:rFonts w:hint="eastAsia" w:ascii="Times New Roman" w:hAnsi="Times New Roman" w:eastAsia="仿宋_GB2312" w:cs="Times New Roman"/>
          <w:sz w:val="32"/>
          <w:szCs w:val="32"/>
          <w:highlight w:val="none"/>
          <w:lang w:eastAsia="zh-CN"/>
        </w:rPr>
        <w:t>本</w:t>
      </w:r>
      <w:r>
        <w:rPr>
          <w:rFonts w:hint="default" w:ascii="Times New Roman" w:hAnsi="Times New Roman" w:eastAsia="仿宋_GB2312" w:cs="Times New Roman"/>
          <w:sz w:val="32"/>
          <w:szCs w:val="32"/>
          <w:highlight w:val="none"/>
        </w:rPr>
        <w:t xml:space="preserve">协议未尽事宜，双方另行协商处理。 </w:t>
      </w:r>
    </w:p>
    <w:p w14:paraId="4E193B80">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Times New Roman" w:hAnsi="Times New Roman" w:eastAsia="仿宋_GB2312" w:cs="Times New Roman"/>
          <w:sz w:val="32"/>
          <w:szCs w:val="32"/>
          <w:highlight w:val="none"/>
          <w:lang w:eastAsia="zh-CN"/>
        </w:rPr>
      </w:pPr>
      <w:r>
        <w:rPr>
          <w:rFonts w:hint="eastAsia" w:ascii="黑体" w:hAnsi="黑体" w:eastAsia="黑体" w:cs="黑体"/>
          <w:sz w:val="32"/>
          <w:szCs w:val="32"/>
          <w:highlight w:val="none"/>
          <w:lang w:eastAsia="zh-CN"/>
        </w:rPr>
        <w:t>七</w:t>
      </w:r>
      <w:r>
        <w:rPr>
          <w:rFonts w:hint="eastAsia" w:ascii="黑体" w:hAnsi="黑体" w:eastAsia="黑体" w:cs="黑体"/>
          <w:sz w:val="32"/>
          <w:szCs w:val="32"/>
          <w:highlight w:val="none"/>
        </w:rPr>
        <w:t>、</w:t>
      </w:r>
      <w:r>
        <w:rPr>
          <w:rFonts w:hint="default" w:ascii="Times New Roman" w:hAnsi="Times New Roman" w:eastAsia="仿宋_GB2312" w:cs="Times New Roman"/>
          <w:sz w:val="32"/>
          <w:szCs w:val="32"/>
          <w:highlight w:val="none"/>
        </w:rPr>
        <w:t>本协议</w:t>
      </w:r>
      <w:r>
        <w:rPr>
          <w:rFonts w:hint="eastAsia" w:ascii="Times New Roman" w:hAnsi="Times New Roman" w:eastAsia="仿宋_GB2312" w:cs="Times New Roman"/>
          <w:sz w:val="32"/>
          <w:szCs w:val="32"/>
          <w:highlight w:val="none"/>
          <w:lang w:eastAsia="zh-CN"/>
        </w:rPr>
        <w:t>与甲乙双方签订的合同份数同数签订，经</w:t>
      </w:r>
      <w:r>
        <w:rPr>
          <w:rFonts w:hint="default" w:ascii="Times New Roman" w:hAnsi="Times New Roman" w:eastAsia="仿宋_GB2312" w:cs="Times New Roman"/>
          <w:sz w:val="32"/>
          <w:szCs w:val="32"/>
          <w:highlight w:val="none"/>
        </w:rPr>
        <w:t>甲乙双方盖章后生效</w:t>
      </w:r>
      <w:r>
        <w:rPr>
          <w:rFonts w:hint="eastAsia" w:ascii="Times New Roman" w:hAnsi="Times New Roman" w:eastAsia="仿宋_GB2312" w:cs="Times New Roman"/>
          <w:sz w:val="32"/>
          <w:szCs w:val="32"/>
          <w:highlight w:val="none"/>
          <w:lang w:eastAsia="zh-CN"/>
        </w:rPr>
        <w:t>。</w:t>
      </w:r>
    </w:p>
    <w:p w14:paraId="14F8C5F1">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以下无正文</w:t>
      </w:r>
      <w:r>
        <w:rPr>
          <w:rFonts w:hint="eastAsia" w:ascii="Times New Roman" w:hAnsi="Times New Roman" w:eastAsia="仿宋_GB2312" w:cs="Times New Roman"/>
          <w:sz w:val="32"/>
          <w:szCs w:val="32"/>
          <w:highlight w:val="none"/>
          <w:lang w:eastAsia="zh-CN"/>
        </w:rPr>
        <w:t>）</w:t>
      </w:r>
    </w:p>
    <w:p w14:paraId="56ECC384">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_GB2312" w:cs="Times New Roman"/>
          <w:sz w:val="32"/>
          <w:szCs w:val="32"/>
          <w:highlight w:val="none"/>
        </w:rPr>
      </w:pPr>
    </w:p>
    <w:p w14:paraId="4C9E8516">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甲方</w:t>
      </w:r>
      <w:r>
        <w:rPr>
          <w:rFonts w:hint="eastAsia" w:ascii="Times New Roman" w:hAnsi="Times New Roman" w:eastAsia="仿宋_GB2312" w:cs="Times New Roman"/>
          <w:sz w:val="32"/>
          <w:szCs w:val="32"/>
          <w:highlight w:val="none"/>
          <w:lang w:eastAsia="zh-CN"/>
        </w:rPr>
        <w:t>（盖章）</w:t>
      </w:r>
      <w:r>
        <w:rPr>
          <w:rFonts w:hint="default" w:ascii="Times New Roman" w:hAnsi="Times New Roman" w:eastAsia="仿宋_GB2312" w:cs="Times New Roman"/>
          <w:sz w:val="32"/>
          <w:szCs w:val="32"/>
          <w:highlight w:val="none"/>
        </w:rPr>
        <w:t xml:space="preserve">              乙方</w:t>
      </w:r>
      <w:r>
        <w:rPr>
          <w:rFonts w:hint="eastAsia" w:ascii="Times New Roman" w:hAnsi="Times New Roman" w:eastAsia="仿宋_GB2312" w:cs="Times New Roman"/>
          <w:sz w:val="32"/>
          <w:szCs w:val="32"/>
          <w:highlight w:val="none"/>
          <w:lang w:eastAsia="zh-CN"/>
        </w:rPr>
        <w:t>（盖章）</w:t>
      </w:r>
    </w:p>
    <w:p w14:paraId="1D0D99BE">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w:t>
      </w:r>
    </w:p>
    <w:p w14:paraId="5A9CAACB">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年   月   日</w:t>
      </w:r>
    </w:p>
    <w:p w14:paraId="70234B08">
      <w:pPr>
        <w:spacing w:line="240" w:lineRule="auto"/>
        <w:jc w:val="left"/>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br w:type="page"/>
      </w:r>
    </w:p>
    <w:p w14:paraId="1BF00B6B">
      <w:pPr>
        <w:spacing w:line="600" w:lineRule="exact"/>
        <w:jc w:val="both"/>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附件2</w:t>
      </w:r>
    </w:p>
    <w:p w14:paraId="6685C1D6">
      <w:pPr>
        <w:spacing w:line="600" w:lineRule="exact"/>
        <w:jc w:val="center"/>
        <w:rPr>
          <w:rFonts w:hint="eastAsia" w:ascii="方正小标宋简体" w:hAnsi="方正小标宋简体" w:eastAsia="方正小标宋简体" w:cs="方正小标宋简体"/>
          <w:b w:val="0"/>
          <w:bCs w:val="0"/>
          <w:sz w:val="44"/>
          <w:szCs w:val="44"/>
          <w:highlight w:val="none"/>
        </w:rPr>
      </w:pPr>
      <w:r>
        <w:rPr>
          <w:rFonts w:hint="eastAsia" w:ascii="方正小标宋简体" w:hAnsi="方正小标宋简体" w:eastAsia="方正小标宋简体" w:cs="方正小标宋简体"/>
          <w:b w:val="0"/>
          <w:bCs w:val="0"/>
          <w:sz w:val="44"/>
          <w:szCs w:val="44"/>
          <w:highlight w:val="none"/>
        </w:rPr>
        <w:t>廉洁协议书</w:t>
      </w:r>
    </w:p>
    <w:p w14:paraId="56632FF1">
      <w:pPr>
        <w:spacing w:line="360" w:lineRule="auto"/>
        <w:ind w:right="-512" w:rightChars="-244"/>
        <w:rPr>
          <w:rFonts w:asciiTheme="minorEastAsia" w:hAnsiTheme="minorEastAsia" w:eastAsiaTheme="minorEastAsia"/>
          <w:sz w:val="28"/>
          <w:szCs w:val="28"/>
          <w:highlight w:val="none"/>
        </w:rPr>
      </w:pPr>
    </w:p>
    <w:p w14:paraId="74AFA76D">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single"/>
        </w:rPr>
      </w:pPr>
      <w:r>
        <w:rPr>
          <w:rFonts w:hint="eastAsia" w:ascii="仿宋_GB2312" w:hAnsi="仿宋_GB2312" w:eastAsia="仿宋_GB2312" w:cs="仿宋_GB2312"/>
          <w:sz w:val="32"/>
          <w:szCs w:val="32"/>
          <w:highlight w:val="none"/>
        </w:rPr>
        <w:t>甲方：</w:t>
      </w:r>
      <w:r>
        <w:rPr>
          <w:rFonts w:hint="eastAsia" w:ascii="仿宋_GB2312" w:hAnsi="仿宋_GB2312" w:eastAsia="仿宋_GB2312" w:cs="仿宋_GB2312"/>
          <w:sz w:val="32"/>
          <w:szCs w:val="32"/>
          <w:highlight w:val="none"/>
          <w:u w:val="single"/>
        </w:rPr>
        <w:t>广州南沙口岸服务有限公司</w:t>
      </w:r>
    </w:p>
    <w:p w14:paraId="7508B184">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乙方：</w:t>
      </w:r>
      <w:r>
        <w:rPr>
          <w:rFonts w:hint="eastAsia" w:ascii="仿宋_GB2312" w:hAnsi="仿宋_GB2312" w:eastAsia="仿宋_GB2312" w:cs="仿宋_GB2312"/>
          <w:sz w:val="32"/>
          <w:szCs w:val="32"/>
          <w:highlight w:val="none"/>
          <w:u w:val="single"/>
        </w:rPr>
        <w:t xml:space="preserve">                        </w:t>
      </w:r>
    </w:p>
    <w:p w14:paraId="1E28B047">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为提高甲乙双方依法经营、廉洁从业意识，完善自我约束、自我监督机制，营造遵守法律诚信、廉洁高效的营商环境，防止发生违法违纪行为，依据国家有关法律法规和廉政建设的规定，经甲乙双方协商一致，达成本廉洁协议：</w:t>
      </w:r>
    </w:p>
    <w:p w14:paraId="78C703AE">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黑体" w:hAnsi="黑体" w:eastAsia="黑体" w:cs="黑体"/>
          <w:sz w:val="32"/>
          <w:szCs w:val="32"/>
          <w:highlight w:val="none"/>
        </w:rPr>
        <w:t>第一条</w:t>
      </w:r>
      <w:r>
        <w:rPr>
          <w:rFonts w:hint="eastAsia" w:ascii="仿宋_GB2312" w:hAnsi="仿宋_GB2312" w:eastAsia="仿宋_GB2312" w:cs="仿宋_GB2312"/>
          <w:sz w:val="32"/>
          <w:szCs w:val="32"/>
          <w:highlight w:val="none"/>
        </w:rPr>
        <w:t xml:space="preserve">  甲方的责任</w:t>
      </w:r>
    </w:p>
    <w:p w14:paraId="77EDC464">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甲方在业务活动的事前、事中、事后，应遵守以下规定：</w:t>
      </w:r>
    </w:p>
    <w:p w14:paraId="73193BAE">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一、贯彻落实有关党风廉政建设责任制及廉洁从业的规定。</w:t>
      </w:r>
    </w:p>
    <w:p w14:paraId="6F8325E9">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二、根据公平、公正、公开和诚实守信的原则开展各项业务活动，为乙方提供公正的竞争环境和平台。</w:t>
      </w:r>
    </w:p>
    <w:p w14:paraId="7AADCCAE">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三、不得向乙方泄露涉及有关业务活动的秘密。</w:t>
      </w:r>
    </w:p>
    <w:p w14:paraId="0A72B69C">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四、不得参加可能影响正常公务开展的其他违规、违法活动。</w:t>
      </w:r>
    </w:p>
    <w:p w14:paraId="18522FD3">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五、不得在乙方及其相关单位报销任何应由甲方或甲方员工及相关个人支付的费用。</w:t>
      </w:r>
    </w:p>
    <w:p w14:paraId="7E288CDD">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六、不得要求、示意及接受乙方及其相关单位为甲方或甲方员工及相关个人提供住房装修、婚丧嫁娶、配偶和子女的工作安排及境内外旅游等便利。</w:t>
      </w:r>
    </w:p>
    <w:p w14:paraId="6A0E8B62">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七、不得向乙方收受或索取红包、礼金、购物卡、有价证券、贵重物品、感谢费和好处费等非正当利益。</w:t>
      </w:r>
    </w:p>
    <w:p w14:paraId="397E58DA">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八、不得违背《中共中央纪委关于严格禁止利用职务上的便利谋取不正当利益的若干规定》的相关内容。</w:t>
      </w:r>
    </w:p>
    <w:p w14:paraId="2458AA29">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黑体" w:hAnsi="黑体" w:eastAsia="黑体" w:cs="黑体"/>
          <w:sz w:val="32"/>
          <w:szCs w:val="32"/>
          <w:highlight w:val="none"/>
        </w:rPr>
        <w:t xml:space="preserve">第二条 </w:t>
      </w:r>
      <w:r>
        <w:rPr>
          <w:rFonts w:hint="eastAsia" w:ascii="仿宋_GB2312" w:hAnsi="仿宋_GB2312" w:eastAsia="仿宋_GB2312" w:cs="仿宋_GB2312"/>
          <w:sz w:val="32"/>
          <w:szCs w:val="32"/>
          <w:highlight w:val="none"/>
        </w:rPr>
        <w:t xml:space="preserve"> 乙方的责任</w:t>
      </w:r>
    </w:p>
    <w:p w14:paraId="692B696D">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乙方在与甲方业务交往过程中，根据有关法律法规和程序开展工作，严格执行国家的有关方针、政策，并遵守以下规定：</w:t>
      </w:r>
    </w:p>
    <w:p w14:paraId="32E3062E">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一、不得以任何理由为甲方及其员工或相关个人报销应由甲方或甲方员工及相关个人支付的费用。</w:t>
      </w:r>
    </w:p>
    <w:p w14:paraId="712B1851">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二、不得以任何理由向甲方负责人及其工作人员赠送红包、礼金、购物卡、有价证券、贵重物品、感谢费和好处费等非正当利益。</w:t>
      </w:r>
    </w:p>
    <w:p w14:paraId="681CF65F">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三、不得为甲方或甲方员工及其相关个人在住房装修、婚丧嫁娶、配偶子女的工作安排及境内外旅游等提供便利。</w:t>
      </w:r>
    </w:p>
    <w:p w14:paraId="40BEDE04">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四、不得以谋取非正当利益为目的，擅自与甲方工作人员就业务问题进行私下商谈或达成利益默契。</w:t>
      </w:r>
    </w:p>
    <w:p w14:paraId="62A93E81">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五、发现甲方工作人员有违反本廉洁协议书规定的，应向甲方单位举报。</w:t>
      </w:r>
    </w:p>
    <w:p w14:paraId="6529A916">
      <w:pPr>
        <w:widowControl/>
        <w:spacing w:line="560" w:lineRule="exact"/>
        <w:ind w:right="-512" w:rightChars="-244" w:firstLine="640" w:firstLineChars="200"/>
        <w:jc w:val="left"/>
        <w:rPr>
          <w:rFonts w:hint="eastAsia" w:ascii="仿宋_GB2312" w:hAnsi="仿宋_GB2312" w:eastAsia="仿宋_GB2312" w:cs="仿宋_GB2312"/>
          <w:bCs w:val="0"/>
          <w:sz w:val="32"/>
          <w:szCs w:val="32"/>
          <w:highlight w:val="none"/>
        </w:rPr>
      </w:pPr>
      <w:r>
        <w:rPr>
          <w:rFonts w:hint="eastAsia" w:ascii="仿宋_GB2312" w:hAnsi="仿宋_GB2312" w:eastAsia="仿宋_GB2312" w:cs="仿宋_GB2312"/>
          <w:bCs w:val="0"/>
          <w:sz w:val="32"/>
          <w:szCs w:val="32"/>
          <w:highlight w:val="none"/>
        </w:rPr>
        <w:t>受理部门：综合管理部；联系人：胡学恩</w:t>
      </w:r>
    </w:p>
    <w:p w14:paraId="7E47CA15">
      <w:pPr>
        <w:widowControl/>
        <w:spacing w:line="560" w:lineRule="exact"/>
        <w:ind w:right="-512" w:rightChars="-244" w:firstLine="640" w:firstLineChars="200"/>
        <w:jc w:val="left"/>
        <w:rPr>
          <w:rFonts w:hint="eastAsia" w:ascii="仿宋_GB2312" w:hAnsi="仿宋_GB2312" w:eastAsia="仿宋_GB2312" w:cs="仿宋_GB2312"/>
          <w:bCs w:val="0"/>
          <w:sz w:val="32"/>
          <w:szCs w:val="32"/>
          <w:highlight w:val="none"/>
        </w:rPr>
      </w:pPr>
      <w:r>
        <w:rPr>
          <w:rFonts w:hint="eastAsia" w:ascii="仿宋_GB2312" w:hAnsi="仿宋_GB2312" w:eastAsia="仿宋_GB2312" w:cs="仿宋_GB2312"/>
          <w:bCs w:val="0"/>
          <w:sz w:val="32"/>
          <w:szCs w:val="32"/>
          <w:highlight w:val="none"/>
        </w:rPr>
        <w:t>举报电话：020-39059280</w:t>
      </w:r>
    </w:p>
    <w:p w14:paraId="1400EEF6">
      <w:pPr>
        <w:widowControl/>
        <w:spacing w:line="560" w:lineRule="exact"/>
        <w:ind w:right="-512" w:rightChars="-244" w:firstLine="640" w:firstLineChars="200"/>
        <w:jc w:val="left"/>
        <w:rPr>
          <w:rFonts w:hint="eastAsia" w:ascii="仿宋_GB2312" w:hAnsi="仿宋_GB2312" w:eastAsia="仿宋_GB2312" w:cs="仿宋_GB2312"/>
          <w:bCs w:val="0"/>
          <w:sz w:val="32"/>
          <w:szCs w:val="32"/>
          <w:highlight w:val="none"/>
        </w:rPr>
      </w:pPr>
      <w:r>
        <w:rPr>
          <w:rFonts w:hint="eastAsia" w:ascii="仿宋_GB2312" w:hAnsi="仿宋_GB2312" w:eastAsia="仿宋_GB2312" w:cs="仿宋_GB2312"/>
          <w:bCs w:val="0"/>
          <w:sz w:val="32"/>
          <w:szCs w:val="32"/>
          <w:highlight w:val="none"/>
        </w:rPr>
        <w:t>举报邮箱：wlgs_gnao@gnao.com.cn</w:t>
      </w:r>
    </w:p>
    <w:p w14:paraId="1A86146C">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黑体" w:hAnsi="黑体" w:eastAsia="黑体" w:cs="黑体"/>
          <w:sz w:val="32"/>
          <w:szCs w:val="32"/>
          <w:highlight w:val="none"/>
        </w:rPr>
        <w:t xml:space="preserve">第三条 </w:t>
      </w:r>
      <w:r>
        <w:rPr>
          <w:rFonts w:hint="eastAsia" w:ascii="仿宋_GB2312" w:hAnsi="仿宋_GB2312" w:eastAsia="仿宋_GB2312" w:cs="仿宋_GB2312"/>
          <w:sz w:val="32"/>
          <w:szCs w:val="32"/>
          <w:highlight w:val="none"/>
        </w:rPr>
        <w:t xml:space="preserve"> 甲、乙双方的共同责任</w:t>
      </w:r>
    </w:p>
    <w:p w14:paraId="6D28C5B1">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一、严格遵守国家有关法律、法规和相关政策以及廉政建设的规定。</w:t>
      </w:r>
    </w:p>
    <w:p w14:paraId="62645FD0">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二、严格履行合同约定，自觉担当合同义务。</w:t>
      </w:r>
    </w:p>
    <w:p w14:paraId="550AEB6D">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三、必须坚持公平、公正、公开和诚实守信的原则，不得为猎取不正当利益而损害国家、集体和对方利益。</w:t>
      </w:r>
    </w:p>
    <w:p w14:paraId="40F9D1A2">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四、建立健全廉政建设制度，开展廉洁培训，公布举报电话，监督违法违纪行为。</w:t>
      </w:r>
    </w:p>
    <w:p w14:paraId="67E25D26">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五、发现任意一方在双方的业务活动中有违反廉政建设的违规、违纪、违法行为的，应予以提醒及阻止，情节严重的，应根据管理权限向相关纪检监察部门举报。</w:t>
      </w:r>
    </w:p>
    <w:p w14:paraId="11EFAED6">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黑体" w:hAnsi="黑体" w:eastAsia="黑体" w:cs="黑体"/>
          <w:sz w:val="32"/>
          <w:szCs w:val="32"/>
          <w:highlight w:val="none"/>
        </w:rPr>
        <w:t>第四条</w:t>
      </w:r>
      <w:r>
        <w:rPr>
          <w:rFonts w:hint="eastAsia" w:ascii="仿宋_GB2312" w:hAnsi="仿宋_GB2312" w:eastAsia="仿宋_GB2312" w:cs="仿宋_GB2312"/>
          <w:sz w:val="32"/>
          <w:szCs w:val="32"/>
          <w:highlight w:val="none"/>
        </w:rPr>
        <w:t xml:space="preserve">  违约责任</w:t>
      </w:r>
    </w:p>
    <w:p w14:paraId="1F0D7AEB">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一、甲乙双方如有违反本廉洁协议约定的条款的，按照管理权限根据有关党纪、法律法规、规章制度给予处理，且甲乙双方均具有单方面解除主合同的权利。涉嫌犯罪的，移交司法机关追究刑事责任。</w:t>
      </w:r>
    </w:p>
    <w:p w14:paraId="67E3FF4E">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二、甲乙双方如有任何一方给对方造成经济损失的，应予以赔偿。</w:t>
      </w:r>
    </w:p>
    <w:p w14:paraId="5A68E6DE">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黑体" w:hAnsi="黑体" w:eastAsia="黑体" w:cs="黑体"/>
          <w:sz w:val="32"/>
          <w:szCs w:val="32"/>
          <w:highlight w:val="none"/>
        </w:rPr>
        <w:t>第五条</w:t>
      </w:r>
      <w:r>
        <w:rPr>
          <w:rFonts w:hint="eastAsia" w:ascii="仿宋_GB2312" w:hAnsi="仿宋_GB2312" w:eastAsia="仿宋_GB2312" w:cs="仿宋_GB2312"/>
          <w:sz w:val="32"/>
          <w:szCs w:val="32"/>
          <w:highlight w:val="none"/>
        </w:rPr>
        <w:t xml:space="preserve">  协议书生效及法律效力</w:t>
      </w:r>
    </w:p>
    <w:p w14:paraId="05740BB2">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一、本廉洁协议经双方签字或盖章后生效。</w:t>
      </w:r>
    </w:p>
    <w:p w14:paraId="2079C2D0">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二、除非甲乙双方另行签订新的廉洁协议，否则本廉洁协议在甲乙双方存在业务关系期间均对双方具有约束力。</w:t>
      </w:r>
    </w:p>
    <w:p w14:paraId="2B159C21">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第六条  其他条款</w:t>
      </w:r>
    </w:p>
    <w:p w14:paraId="03B4ACA6">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一、本廉洁协议一式肆份，甲乙双方各执贰份。</w:t>
      </w:r>
    </w:p>
    <w:p w14:paraId="0BC65ADC">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二、甲乙双方确认在签订本廉洁协议前已认真阅读本协议中的条款内容，且均对本协议所产生的法律责任已清晰知悉并承诺遵守。</w:t>
      </w:r>
    </w:p>
    <w:p w14:paraId="1252F3BD">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（以下为签署页）</w:t>
      </w:r>
    </w:p>
    <w:p w14:paraId="05042F30">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p>
    <w:p w14:paraId="507238B4">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p>
    <w:p w14:paraId="476F35C4">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甲方（盖章）：广州南沙口岸服务有限公司</w:t>
      </w:r>
    </w:p>
    <w:p w14:paraId="474DB69B">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签订日期：     年   月   日</w:t>
      </w:r>
    </w:p>
    <w:p w14:paraId="543C8673">
      <w:pPr>
        <w:keepNext w:val="0"/>
        <w:keepLines w:val="0"/>
        <w:pageBreakBefore w:val="0"/>
        <w:kinsoku/>
        <w:wordWrap/>
        <w:overflowPunct/>
        <w:topLinePunct w:val="0"/>
        <w:autoSpaceDE/>
        <w:autoSpaceDN/>
        <w:bidi w:val="0"/>
        <w:adjustRightInd/>
        <w:snapToGrid/>
        <w:spacing w:line="560" w:lineRule="exact"/>
        <w:ind w:right="-512" w:rightChars="-244"/>
        <w:textAlignment w:val="auto"/>
        <w:rPr>
          <w:rFonts w:hint="eastAsia" w:ascii="仿宋_GB2312" w:hAnsi="仿宋_GB2312" w:eastAsia="仿宋_GB2312" w:cs="仿宋_GB2312"/>
          <w:sz w:val="32"/>
          <w:szCs w:val="32"/>
          <w:highlight w:val="none"/>
        </w:rPr>
      </w:pPr>
    </w:p>
    <w:p w14:paraId="05E1E3B0">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乙方（盖章）：                      </w:t>
      </w:r>
    </w:p>
    <w:p w14:paraId="2475821C">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签订日期：     年   月   日</w:t>
      </w:r>
    </w:p>
    <w:p w14:paraId="4BE3AF82">
      <w:pPr>
        <w:jc w:val="both"/>
        <w:rPr>
          <w:rFonts w:hint="eastAsia" w:ascii="宋体" w:hAnsi="宋体" w:eastAsia="宋体" w:cs="宋体"/>
          <w:sz w:val="28"/>
          <w:szCs w:val="28"/>
          <w:highlight w:val="none"/>
          <w:lang w:val="en-US" w:eastAsia="zh-CN"/>
        </w:rPr>
      </w:pPr>
    </w:p>
    <w:p w14:paraId="778E9D48">
      <w:pPr>
        <w:widowControl/>
        <w:spacing w:line="560" w:lineRule="exact"/>
        <w:ind w:right="-512" w:rightChars="-244"/>
        <w:jc w:val="left"/>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附件3</w:t>
      </w:r>
    </w:p>
    <w:p w14:paraId="658268CD">
      <w:pPr>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36"/>
          <w:szCs w:val="36"/>
          <w:highlight w:val="none"/>
          <w:lang w:val="en-US" w:eastAsia="zh-CN"/>
        </w:rPr>
        <w:t>保密协议书</w:t>
      </w:r>
    </w:p>
    <w:p w14:paraId="58E7A6EC">
      <w:pPr>
        <w:keepNext w:val="0"/>
        <w:keepLines w:val="0"/>
        <w:pageBreakBefore w:val="0"/>
        <w:widowControl/>
        <w:kinsoku/>
        <w:wordWrap/>
        <w:overflowPunct/>
        <w:topLinePunct w:val="0"/>
        <w:autoSpaceDE/>
        <w:autoSpaceDN/>
        <w:bidi w:val="0"/>
        <w:adjustRightInd/>
        <w:snapToGrid/>
        <w:spacing w:line="560" w:lineRule="exact"/>
        <w:ind w:right="-512" w:rightChars="-244" w:firstLine="0" w:firstLineChars="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lang w:val="en-US" w:eastAsia="zh-CN"/>
        </w:rPr>
        <w:t>甲方：</w:t>
      </w:r>
      <w:r>
        <w:rPr>
          <w:rFonts w:hint="eastAsia" w:ascii="仿宋_GB2312" w:hAnsi="仿宋_GB2312" w:eastAsia="仿宋_GB2312" w:cs="仿宋_GB2312"/>
          <w:sz w:val="32"/>
          <w:szCs w:val="32"/>
          <w:highlight w:val="none"/>
        </w:rPr>
        <w:t>广州南沙口岸服务有限公司</w:t>
      </w:r>
    </w:p>
    <w:p w14:paraId="0A1B1D16">
      <w:pPr>
        <w:keepNext w:val="0"/>
        <w:keepLines w:val="0"/>
        <w:pageBreakBefore w:val="0"/>
        <w:widowControl/>
        <w:kinsoku/>
        <w:wordWrap/>
        <w:overflowPunct/>
        <w:topLinePunct w:val="0"/>
        <w:autoSpaceDE/>
        <w:autoSpaceDN/>
        <w:bidi w:val="0"/>
        <w:adjustRightInd/>
        <w:snapToGrid/>
        <w:spacing w:line="560" w:lineRule="exact"/>
        <w:ind w:right="-512" w:rightChars="-244" w:firstLine="0" w:firstLineChars="0"/>
        <w:jc w:val="left"/>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lang w:val="en-US" w:eastAsia="zh-CN"/>
        </w:rPr>
        <w:t>乙方：</w:t>
      </w:r>
      <w:r>
        <w:rPr>
          <w:rFonts w:hint="eastAsia" w:ascii="仿宋_GB2312" w:hAnsi="仿宋_GB2312" w:eastAsia="仿宋_GB2312" w:cs="仿宋_GB2312"/>
          <w:b w:val="0"/>
          <w:bCs w:val="0"/>
          <w:color w:val="auto"/>
          <w:kern w:val="2"/>
          <w:sz w:val="32"/>
          <w:szCs w:val="32"/>
          <w:highlight w:val="none"/>
          <w:u w:val="none"/>
          <w:lang w:val="en-US" w:eastAsia="zh-CN"/>
        </w:rPr>
        <w:t xml:space="preserve">                        </w:t>
      </w:r>
    </w:p>
    <w:p w14:paraId="2D1A2481">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甲、乙双方本着平等、自愿、公平和诚实信用的原则，就工作中涉及甲方向乙方采购商品内容，签订本保密协议。</w:t>
      </w:r>
    </w:p>
    <w:p w14:paraId="606D6E09">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双方确认在签署本协议前已经详细审阅过协议的内容，并完成了解协议各条款的法律含义。</w:t>
      </w:r>
    </w:p>
    <w:p w14:paraId="704A728B">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第一条  保密的内容和范围</w:t>
      </w:r>
    </w:p>
    <w:p w14:paraId="427757A5">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甲、乙双方确认，乙方应承担保密义务的甲方商业秘密范围包括但不限于以下内容：</w:t>
      </w:r>
    </w:p>
    <w:p w14:paraId="4321CA09">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一、甲方的信息：营业执照信息、税务登记信息、法人信息、营业情况等。</w:t>
      </w:r>
    </w:p>
    <w:p w14:paraId="63577DEB">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二、甲方采购信息：采购内容信息，包括采购商品内容、数量、金额、用途等。</w:t>
      </w:r>
    </w:p>
    <w:p w14:paraId="41525DC7">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第二条  乙方的保密义务</w:t>
      </w:r>
    </w:p>
    <w:p w14:paraId="6D7DD876">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乙方承担以下保密义务：</w:t>
      </w:r>
    </w:p>
    <w:p w14:paraId="0EC79D70">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一、保守甲乙双方存在租赁关系期间所涉及的一切商业秘密，同时不得向甲方刺探其他与主合同无关的商业秘密。</w:t>
      </w:r>
    </w:p>
    <w:p w14:paraId="2FD9ACDC">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二、不得向不承担保密义务的任何第三方披露甲方的商业秘密。</w:t>
      </w:r>
    </w:p>
    <w:p w14:paraId="733D28A7">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三、不得允许或协助不承担保密义务的任何第三方获知或使用甲方的商业秘密。</w:t>
      </w:r>
    </w:p>
    <w:p w14:paraId="67E4604C">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四、如发现商业秘密被泄露或因乙方过失导致商业秘密泄露的，应当采取有效措施防止泄密进一步扩大，并及时向甲方报告。</w:t>
      </w:r>
    </w:p>
    <w:p w14:paraId="1DFB6F4D">
      <w:pPr>
        <w:keepNext w:val="0"/>
        <w:keepLines w:val="0"/>
        <w:pageBreakBefore w:val="0"/>
        <w:widowControl/>
        <w:kinsoku/>
        <w:wordWrap/>
        <w:overflowPunct/>
        <w:topLinePunct w:val="0"/>
        <w:autoSpaceDE/>
        <w:autoSpaceDN/>
        <w:bidi w:val="0"/>
        <w:adjustRightInd/>
        <w:snapToGrid/>
        <w:spacing w:line="560" w:lineRule="exact"/>
        <w:ind w:right="-512" w:rightChars="-244" w:firstLine="640" w:firstLineChars="200"/>
        <w:textAlignment w:val="auto"/>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第三条  保密期限</w:t>
      </w:r>
    </w:p>
    <w:p w14:paraId="405836AC">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甲、乙双方确认，乙方的保密义务自甲乙双方签订本协议时开始，到甲方以书面形式通知乙方解除该协议时止。</w:t>
      </w:r>
    </w:p>
    <w:p w14:paraId="422DC4F3">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第四条  违约责任</w:t>
      </w:r>
    </w:p>
    <w:p w14:paraId="2BD11BBF">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一、因乙方的违约行为造成甲方经济损失的，甲方有权要求乙方进行经济赔偿或单方面解除双方合同关系。</w:t>
      </w:r>
    </w:p>
    <w:p w14:paraId="6C7DE131">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二、因乙方的违约行为侵犯了甲方的商业秘密权利的，甲方可以选择根据协议要求乙方承担违约责任，或者根据国家有关法律、法规要求乙方承担相关责任。</w:t>
      </w:r>
    </w:p>
    <w:p w14:paraId="6D82CE48">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第五条  争议的解决办法</w:t>
      </w:r>
    </w:p>
    <w:p w14:paraId="1DB77E8D">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因执行本协议而发生纠纷，可以由双方协商解决，协商、调解不成，任何一方都有向甲方所在地有管辖权的人民法院提起诉讼的权利。</w:t>
      </w:r>
    </w:p>
    <w:p w14:paraId="540007BE">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第六条  协议的效力和变更</w:t>
      </w:r>
    </w:p>
    <w:p w14:paraId="27CDF238">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本协议自双方签字或盖章后生效。本协议的任何修改必须经过双方的书面同意。</w:t>
      </w:r>
    </w:p>
    <w:p w14:paraId="630CC37D">
      <w:pPr>
        <w:keepNext w:val="0"/>
        <w:keepLines w:val="0"/>
        <w:pageBreakBefore w:val="0"/>
        <w:widowControl/>
        <w:numPr>
          <w:ilvl w:val="-1"/>
          <w:numId w:val="0"/>
        </w:numPr>
        <w:kinsoku/>
        <w:wordWrap/>
        <w:overflowPunct/>
        <w:topLinePunct w:val="0"/>
        <w:autoSpaceDE/>
        <w:autoSpaceDN/>
        <w:bidi w:val="0"/>
        <w:adjustRightInd/>
        <w:snapToGrid/>
        <w:spacing w:line="560" w:lineRule="exact"/>
        <w:ind w:right="-512" w:rightChars="-244" w:firstLine="640" w:firstLineChars="200"/>
        <w:textAlignment w:val="auto"/>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第七条  其他条款</w:t>
      </w:r>
    </w:p>
    <w:p w14:paraId="29D9435F">
      <w:pPr>
        <w:keepNext w:val="0"/>
        <w:keepLines w:val="0"/>
        <w:widowControl/>
        <w:numPr>
          <w:ilvl w:val="0"/>
          <w:numId w:val="0"/>
        </w:numPr>
        <w:spacing w:line="560" w:lineRule="exact"/>
        <w:ind w:right="-512" w:rightChars="-244" w:firstLine="640" w:firstLineChars="200"/>
        <w:rPr>
          <w:rFonts w:hint="eastAsia" w:eastAsia="仿宋_GB2312"/>
          <w:lang w:val="en-US" w:eastAsia="zh-CN"/>
        </w:rPr>
      </w:pPr>
      <w:r>
        <w:rPr>
          <w:rFonts w:hint="eastAsia" w:ascii="仿宋_GB2312" w:hAnsi="仿宋_GB2312" w:eastAsia="仿宋_GB2312" w:cs="仿宋_GB2312"/>
          <w:sz w:val="32"/>
          <w:szCs w:val="32"/>
          <w:highlight w:val="none"/>
          <w:u w:val="none"/>
          <w:lang w:val="en-US" w:eastAsia="zh-CN"/>
        </w:rPr>
        <w:t>本保密协议</w:t>
      </w:r>
      <w:r>
        <w:rPr>
          <w:rFonts w:hint="eastAsia" w:ascii="仿宋_GB2312" w:hAnsi="仿宋_GB2312" w:eastAsia="仿宋_GB2312" w:cs="仿宋_GB2312"/>
          <w:sz w:val="32"/>
          <w:szCs w:val="32"/>
          <w:highlight w:val="none"/>
          <w:lang w:eastAsia="zh-CN"/>
        </w:rPr>
        <w:t>按甲乙双方签订的合同份数同数签订，经</w:t>
      </w:r>
      <w:r>
        <w:rPr>
          <w:rFonts w:hint="eastAsia" w:ascii="仿宋_GB2312" w:hAnsi="仿宋_GB2312" w:eastAsia="仿宋_GB2312" w:cs="仿宋_GB2312"/>
          <w:sz w:val="32"/>
          <w:szCs w:val="32"/>
          <w:highlight w:val="none"/>
        </w:rPr>
        <w:t>甲乙双方盖章后生效。</w:t>
      </w:r>
      <w:r>
        <w:rPr>
          <w:rFonts w:hint="eastAsia" w:ascii="仿宋_GB2312" w:hAnsi="仿宋_GB2312" w:eastAsia="仿宋_GB2312" w:cs="仿宋_GB2312"/>
          <w:sz w:val="32"/>
          <w:szCs w:val="32"/>
          <w:highlight w:val="none"/>
          <w:lang w:val="en-US" w:eastAsia="zh-CN"/>
        </w:rPr>
        <w:br w:type="textWrapping"/>
      </w:r>
      <w:r>
        <w:rPr>
          <w:rFonts w:hint="eastAsia" w:ascii="仿宋_GB2312" w:hAnsi="仿宋_GB2312" w:eastAsia="仿宋_GB2312" w:cs="仿宋_GB2312"/>
          <w:sz w:val="32"/>
          <w:szCs w:val="32"/>
          <w:highlight w:val="none"/>
          <w:lang w:val="en-US" w:eastAsia="zh-CN"/>
        </w:rPr>
        <w:t xml:space="preserve">  （以下无正文）</w:t>
      </w:r>
    </w:p>
    <w:p w14:paraId="13D683A4">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甲方（盖章）：广州南沙口岸服务有限公司</w:t>
      </w:r>
    </w:p>
    <w:p w14:paraId="0A94C970">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签订日期：     年   月   日</w:t>
      </w:r>
    </w:p>
    <w:p w14:paraId="5D953A94">
      <w:pPr>
        <w:keepNext w:val="0"/>
        <w:keepLines w:val="0"/>
        <w:pageBreakBefore w:val="0"/>
        <w:kinsoku/>
        <w:wordWrap/>
        <w:overflowPunct/>
        <w:topLinePunct w:val="0"/>
        <w:autoSpaceDE/>
        <w:autoSpaceDN/>
        <w:bidi w:val="0"/>
        <w:adjustRightInd/>
        <w:snapToGrid/>
        <w:spacing w:line="560" w:lineRule="exact"/>
        <w:ind w:right="-512" w:rightChars="-244"/>
        <w:textAlignment w:val="auto"/>
        <w:rPr>
          <w:rFonts w:hint="eastAsia" w:ascii="仿宋_GB2312" w:hAnsi="仿宋_GB2312" w:eastAsia="仿宋_GB2312" w:cs="仿宋_GB2312"/>
          <w:sz w:val="32"/>
          <w:szCs w:val="32"/>
          <w:highlight w:val="none"/>
        </w:rPr>
      </w:pPr>
    </w:p>
    <w:p w14:paraId="64A41EC7">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乙方（盖章）：                      </w:t>
      </w:r>
    </w:p>
    <w:p w14:paraId="713926A1">
      <w:pPr>
        <w:keepNext w:val="0"/>
        <w:keepLines w:val="0"/>
        <w:pageBreakBefore w:val="0"/>
        <w:kinsoku/>
        <w:wordWrap/>
        <w:overflowPunct/>
        <w:topLinePunct w:val="0"/>
        <w:autoSpaceDE/>
        <w:autoSpaceDN/>
        <w:bidi w:val="0"/>
        <w:adjustRightInd/>
        <w:snapToGrid/>
        <w:spacing w:line="560" w:lineRule="exact"/>
        <w:ind w:right="-512" w:rightChars="-244"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签订日期：     年   月   日</w:t>
      </w:r>
    </w:p>
    <w:p w14:paraId="543DBB18">
      <w:pPr>
        <w:rPr>
          <w:rFonts w:hint="eastAsia" w:ascii="仿宋" w:hAnsi="仿宋" w:eastAsia="仿宋" w:cs="仿宋"/>
          <w:highlight w:val="none"/>
        </w:rPr>
      </w:pPr>
    </w:p>
    <w:p w14:paraId="59451662">
      <w:pPr>
        <w:spacing w:line="240" w:lineRule="auto"/>
        <w:jc w:val="left"/>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br w:type="page"/>
      </w:r>
    </w:p>
    <w:p w14:paraId="389C2AB3">
      <w:pPr>
        <w:keepNext w:val="0"/>
        <w:keepLines w:val="0"/>
        <w:pageBreakBefore w:val="0"/>
        <w:widowControl w:val="0"/>
        <w:kinsoku/>
        <w:wordWrap/>
        <w:overflowPunct/>
        <w:topLinePunct w:val="0"/>
        <w:autoSpaceDE/>
        <w:autoSpaceDN/>
        <w:bidi w:val="0"/>
        <w:adjustRightInd/>
        <w:snapToGrid/>
        <w:spacing w:line="560" w:lineRule="atLeast"/>
        <w:jc w:val="center"/>
        <w:textAlignment w:val="auto"/>
        <w:outlineLvl w:val="0"/>
        <w:rPr>
          <w:rFonts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val="en-US" w:eastAsia="zh-CN"/>
        </w:rPr>
        <w:t xml:space="preserve">第二部分 </w:t>
      </w:r>
      <w:r>
        <w:rPr>
          <w:rFonts w:hint="eastAsia" w:ascii="方正小标宋简体" w:hAnsi="方正小标宋简体" w:eastAsia="方正小标宋简体" w:cs="方正小标宋简体"/>
          <w:sz w:val="44"/>
          <w:szCs w:val="44"/>
          <w:highlight w:val="none"/>
        </w:rPr>
        <w:t>项目需求书</w:t>
      </w:r>
    </w:p>
    <w:p w14:paraId="7656143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sz w:val="32"/>
          <w:szCs w:val="32"/>
          <w:highlight w:val="none"/>
          <w:lang w:val="en-US" w:eastAsia="zh-CN"/>
        </w:rPr>
        <w:t>一、项目概况</w:t>
      </w:r>
      <w:bookmarkEnd w:id="1"/>
    </w:p>
    <w:p w14:paraId="0C640A6B">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bookmarkStart w:id="2" w:name="_Toc410197441"/>
      <w:bookmarkStart w:id="3" w:name="_Toc307475513"/>
      <w:r>
        <w:rPr>
          <w:rFonts w:hint="eastAsia" w:ascii="仿宋_GB2312" w:hAnsi="仿宋_GB2312" w:eastAsia="仿宋_GB2312" w:cs="仿宋_GB2312"/>
          <w:sz w:val="32"/>
          <w:szCs w:val="32"/>
          <w:highlight w:val="none"/>
        </w:rPr>
        <w:t>广州南沙</w:t>
      </w:r>
      <w:r>
        <w:rPr>
          <w:rFonts w:hint="eastAsia" w:ascii="仿宋_GB2312" w:hAnsi="仿宋_GB2312" w:eastAsia="仿宋_GB2312" w:cs="仿宋_GB2312"/>
          <w:sz w:val="32"/>
          <w:szCs w:val="32"/>
          <w:highlight w:val="none"/>
          <w:lang w:val="en-US" w:eastAsia="zh-CN"/>
        </w:rPr>
        <w:t>综合保税</w:t>
      </w:r>
      <w:r>
        <w:rPr>
          <w:rFonts w:hint="eastAsia" w:ascii="仿宋_GB2312" w:hAnsi="仿宋_GB2312" w:eastAsia="仿宋_GB2312" w:cs="仿宋_GB2312"/>
          <w:sz w:val="32"/>
          <w:szCs w:val="32"/>
          <w:highlight w:val="none"/>
        </w:rPr>
        <w:t>区加工区位于南沙区万顷沙镇,园区内主要为出口加工企业，园区已建一套生活污水</w:t>
      </w:r>
      <w:r>
        <w:rPr>
          <w:rFonts w:hint="eastAsia" w:ascii="仿宋_GB2312" w:hAnsi="仿宋_GB2312" w:eastAsia="仿宋_GB2312" w:cs="仿宋_GB2312"/>
          <w:sz w:val="32"/>
          <w:szCs w:val="32"/>
          <w:highlight w:val="none"/>
          <w:lang w:val="en-US" w:eastAsia="zh-CN"/>
        </w:rPr>
        <w:t>站</w:t>
      </w:r>
      <w:r>
        <w:rPr>
          <w:rFonts w:hint="eastAsia" w:ascii="仿宋_GB2312" w:hAnsi="仿宋_GB2312" w:eastAsia="仿宋_GB2312" w:cs="仿宋_GB2312"/>
          <w:sz w:val="32"/>
          <w:szCs w:val="32"/>
          <w:highlight w:val="none"/>
        </w:rPr>
        <w:t>，主要处理园区内办公、卫生间及生活污水及部分工业废水。污水站占地面积1347平方米，设计污水处理能力为500</w:t>
      </w:r>
      <w:r>
        <w:rPr>
          <w:rFonts w:hint="eastAsia" w:ascii="仿宋_GB2312" w:hAnsi="仿宋_GB2312" w:eastAsia="仿宋_GB2312" w:cs="仿宋_GB2312"/>
          <w:sz w:val="32"/>
          <w:szCs w:val="32"/>
          <w:highlight w:val="none"/>
          <w:lang w:eastAsia="zh-CN"/>
        </w:rPr>
        <w:t>m³</w:t>
      </w:r>
      <w:r>
        <w:rPr>
          <w:rFonts w:hint="eastAsia" w:ascii="仿宋_GB2312" w:hAnsi="仿宋_GB2312" w:eastAsia="仿宋_GB2312" w:cs="仿宋_GB2312"/>
          <w:sz w:val="32"/>
          <w:szCs w:val="32"/>
          <w:highlight w:val="none"/>
        </w:rPr>
        <w:t>/d，处理工艺为“快速生物过滤+消毒”。主要构筑物包括调试池、快速生物过滤装置、综合间、污泥脱水间，主要设备包括潜水泵、浮球液位计、离心泵、鼓风机、快速生物过滤装置、PLC控制器、在线监测设备、污泥脱水系统、消毒装置、加药设备等。污水处理设施已安装完毕，经运行调试污水处理后能稳定达到《城镇污水处理厂污染物排放标准》（GB18918-2002）一级标准B标准及《广东省水污染排放限值》</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DB44/26-2001</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b w:val="0"/>
          <w:kern w:val="2"/>
          <w:sz w:val="32"/>
          <w:szCs w:val="32"/>
          <w:highlight w:val="none"/>
          <w:lang w:val="en-US" w:eastAsia="zh-CN" w:bidi="ar-SA"/>
        </w:rPr>
        <w:t>第二时段一级标准</w:t>
      </w:r>
      <w:r>
        <w:rPr>
          <w:rFonts w:hint="eastAsia" w:ascii="仿宋_GB2312" w:hAnsi="仿宋_GB2312" w:eastAsia="仿宋_GB2312" w:cs="仿宋_GB2312"/>
          <w:sz w:val="32"/>
          <w:szCs w:val="32"/>
          <w:highlight w:val="none"/>
        </w:rPr>
        <w:t>。现在此基础上进行运营服务邀请招标，确定一家</w:t>
      </w:r>
      <w:r>
        <w:rPr>
          <w:rFonts w:hint="eastAsia" w:ascii="仿宋_GB2312" w:hAnsi="仿宋_GB2312" w:eastAsia="仿宋_GB2312" w:cs="仿宋_GB2312"/>
          <w:sz w:val="32"/>
          <w:szCs w:val="32"/>
          <w:highlight w:val="none"/>
          <w:lang w:eastAsia="zh-CN"/>
        </w:rPr>
        <w:t>中标人</w:t>
      </w:r>
      <w:r>
        <w:rPr>
          <w:rFonts w:hint="eastAsia" w:ascii="仿宋_GB2312" w:hAnsi="仿宋_GB2312" w:eastAsia="仿宋_GB2312" w:cs="仿宋_GB2312"/>
          <w:sz w:val="32"/>
          <w:szCs w:val="32"/>
          <w:highlight w:val="none"/>
        </w:rPr>
        <w:t>对该污水处理系统进行统一管理，达标排放。</w:t>
      </w:r>
    </w:p>
    <w:p w14:paraId="5020ECB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sz w:val="32"/>
          <w:szCs w:val="32"/>
          <w:highlight w:val="none"/>
          <w:lang w:val="en-US" w:eastAsia="zh-CN"/>
        </w:rPr>
        <w:t>二、运营服务模式</w:t>
      </w:r>
      <w:bookmarkEnd w:id="2"/>
      <w:bookmarkEnd w:id="3"/>
    </w:p>
    <w:p w14:paraId="76BC27A5">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（一）通过邀请招标确定一家中标人为招标人提供综合运营管理服务。</w:t>
      </w:r>
    </w:p>
    <w:p w14:paraId="1C2B3308">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二）中标人应按合同和招标人管理服务办法和相关法律法规的规定，在合同期限内行使和履行合同规定的全部权利义务和责任，承担相应风险，项目法人单位实行自主经营、独立核算，每月向招标人报送经费使用报表。</w:t>
      </w:r>
    </w:p>
    <w:p w14:paraId="3DA86B9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bookmarkStart w:id="4" w:name="_Toc410197442"/>
      <w:bookmarkStart w:id="5" w:name="_Toc307475514"/>
      <w:r>
        <w:rPr>
          <w:rFonts w:hint="eastAsia" w:ascii="黑体" w:hAnsi="黑体" w:eastAsia="黑体" w:cs="黑体"/>
          <w:b w:val="0"/>
          <w:bCs/>
          <w:sz w:val="32"/>
          <w:szCs w:val="32"/>
          <w:highlight w:val="none"/>
          <w:lang w:val="en-US" w:eastAsia="zh-CN"/>
        </w:rPr>
        <w:t>三、运营服务内容</w:t>
      </w:r>
      <w:bookmarkEnd w:id="4"/>
      <w:bookmarkEnd w:id="5"/>
    </w:p>
    <w:p w14:paraId="7F41326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kern w:val="2"/>
          <w:sz w:val="32"/>
          <w:szCs w:val="32"/>
          <w:highlight w:val="none"/>
          <w:lang w:val="en-US" w:eastAsia="zh-CN" w:bidi="ar-SA"/>
        </w:rPr>
      </w:pPr>
      <w:r>
        <w:rPr>
          <w:rFonts w:hint="eastAsia" w:ascii="楷体" w:hAnsi="楷体" w:eastAsia="楷体" w:cs="楷体"/>
          <w:kern w:val="2"/>
          <w:sz w:val="32"/>
          <w:szCs w:val="32"/>
          <w:highlight w:val="none"/>
          <w:lang w:val="en-US" w:eastAsia="zh-CN" w:bidi="ar-SA"/>
        </w:rPr>
        <w:t>（一）污水站运营管理</w:t>
      </w:r>
    </w:p>
    <w:p w14:paraId="7BF8E373">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w:t>
      </w:r>
      <w:r>
        <w:rPr>
          <w:rFonts w:hint="eastAsia" w:ascii="仿宋_GB2312" w:hAnsi="仿宋_GB2312" w:eastAsia="仿宋_GB2312" w:cs="仿宋_GB2312"/>
          <w:b w:val="0"/>
          <w:kern w:val="2"/>
          <w:sz w:val="32"/>
          <w:szCs w:val="32"/>
          <w:highlight w:val="none"/>
          <w:lang w:val="en-US" w:eastAsia="zh-CN" w:bidi="ar-SA"/>
        </w:rPr>
        <w:t>派驻有经验的操作人员</w:t>
      </w:r>
      <w:r>
        <w:rPr>
          <w:rFonts w:hint="eastAsia" w:ascii="仿宋_GB2312" w:hAnsi="仿宋_GB2312" w:eastAsia="仿宋_GB2312" w:cs="仿宋_GB2312"/>
          <w:kern w:val="2"/>
          <w:sz w:val="32"/>
          <w:szCs w:val="32"/>
          <w:highlight w:val="none"/>
          <w:lang w:val="en-US" w:eastAsia="zh-CN" w:bidi="ar-SA"/>
        </w:rPr>
        <w:t>对污水站设备进行日常运营、管理和维护。</w:t>
      </w:r>
    </w:p>
    <w:p w14:paraId="28F286B4">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2.对污水站在运行过程中存在的问题提供技术指导。</w:t>
      </w:r>
    </w:p>
    <w:p w14:paraId="22686726">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3.对操作人员进行相关技能培训。</w:t>
      </w:r>
    </w:p>
    <w:p w14:paraId="3E6E5C59">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4.做好运行记录台账。</w:t>
      </w:r>
    </w:p>
    <w:p w14:paraId="1593A809">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5.对进水水质进行监控处理。</w:t>
      </w:r>
    </w:p>
    <w:p w14:paraId="35FB60F2">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6.日常化验检测、设备校准：监测水质中CODcr、BOD5、SS、NH3-N、总磷、LAS的含量及pH值。</w:t>
      </w:r>
    </w:p>
    <w:p w14:paraId="4E6546C1">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7.对微生物的生长情况进行镜检和跟踪。</w:t>
      </w:r>
    </w:p>
    <w:p w14:paraId="0532AEC6">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8.运营期间化学药剂：运营期间污水处理量按500m³/d计算，由乙方承担污水站运营过程中产生的化学药剂费用。</w:t>
      </w:r>
    </w:p>
    <w:p w14:paraId="08F0024C">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9.污泥处置：本项目污泥处置费用由中标人负责。要求采用合法合规的处置方式。</w:t>
      </w:r>
    </w:p>
    <w:p w14:paraId="0AE881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kern w:val="2"/>
          <w:sz w:val="32"/>
          <w:szCs w:val="32"/>
          <w:highlight w:val="none"/>
          <w:lang w:val="en-US" w:eastAsia="zh-CN" w:bidi="ar-SA"/>
        </w:rPr>
      </w:pPr>
      <w:r>
        <w:rPr>
          <w:rFonts w:hint="eastAsia" w:ascii="楷体" w:hAnsi="楷体" w:eastAsia="楷体" w:cs="楷体"/>
          <w:kern w:val="2"/>
          <w:sz w:val="32"/>
          <w:szCs w:val="32"/>
          <w:highlight w:val="none"/>
          <w:lang w:val="en-US" w:eastAsia="zh-CN" w:bidi="ar-SA"/>
        </w:rPr>
        <w:t>（二）污水站在线监测运营服务</w:t>
      </w:r>
    </w:p>
    <w:p w14:paraId="4F6B986D">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w:t>
      </w:r>
      <w:r>
        <w:rPr>
          <w:rFonts w:hint="eastAsia" w:ascii="仿宋_GB2312" w:hAnsi="仿宋_GB2312" w:eastAsia="仿宋_GB2312" w:cs="仿宋_GB2312"/>
          <w:b w:val="0"/>
          <w:kern w:val="2"/>
          <w:sz w:val="32"/>
          <w:szCs w:val="32"/>
          <w:highlight w:val="none"/>
          <w:lang w:val="en-US" w:eastAsia="zh-CN" w:bidi="ar-SA"/>
        </w:rPr>
        <w:t>派驻专业技术人员</w:t>
      </w:r>
      <w:r>
        <w:rPr>
          <w:rFonts w:hint="eastAsia" w:ascii="仿宋_GB2312" w:hAnsi="仿宋_GB2312" w:eastAsia="仿宋_GB2312" w:cs="仿宋_GB2312"/>
          <w:kern w:val="2"/>
          <w:sz w:val="32"/>
          <w:szCs w:val="32"/>
          <w:highlight w:val="none"/>
          <w:lang w:val="en-US" w:eastAsia="zh-CN" w:bidi="ar-SA"/>
        </w:rPr>
        <w:t>对污水站在线监测设备进行日常运营、管理。</w:t>
      </w:r>
    </w:p>
    <w:p w14:paraId="6280144C">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w:t>
      </w:r>
      <w:r>
        <w:rPr>
          <w:rFonts w:hint="eastAsia" w:ascii="仿宋_GB2312" w:hAnsi="仿宋_GB2312" w:eastAsia="仿宋_GB2312" w:cs="仿宋_GB2312"/>
          <w:b w:val="0"/>
          <w:kern w:val="2"/>
          <w:sz w:val="32"/>
          <w:szCs w:val="32"/>
          <w:highlight w:val="none"/>
          <w:lang w:val="en-US" w:eastAsia="zh-CN" w:bidi="ar-SA"/>
        </w:rPr>
        <w:t>及时</w:t>
      </w:r>
      <w:r>
        <w:rPr>
          <w:rFonts w:hint="eastAsia" w:ascii="仿宋_GB2312" w:hAnsi="仿宋_GB2312" w:eastAsia="仿宋_GB2312" w:cs="仿宋_GB2312"/>
          <w:kern w:val="2"/>
          <w:sz w:val="32"/>
          <w:szCs w:val="32"/>
          <w:highlight w:val="none"/>
          <w:lang w:val="en-US" w:eastAsia="zh-CN" w:bidi="ar-SA"/>
        </w:rPr>
        <w:t>配合环保部门的例行监测、检查</w:t>
      </w:r>
      <w:r>
        <w:rPr>
          <w:rFonts w:hint="eastAsia" w:ascii="仿宋_GB2312" w:hAnsi="仿宋_GB2312" w:eastAsia="仿宋_GB2312" w:cs="仿宋_GB2312"/>
          <w:b w:val="0"/>
          <w:kern w:val="2"/>
          <w:sz w:val="32"/>
          <w:szCs w:val="32"/>
          <w:highlight w:val="none"/>
          <w:lang w:val="en-US" w:eastAsia="zh-CN" w:bidi="ar-SA"/>
        </w:rPr>
        <w:t>；做好台账记录</w:t>
      </w:r>
      <w:r>
        <w:rPr>
          <w:rFonts w:hint="eastAsia" w:ascii="仿宋_GB2312" w:hAnsi="仿宋_GB2312" w:eastAsia="仿宋_GB2312" w:cs="仿宋_GB2312"/>
          <w:kern w:val="2"/>
          <w:sz w:val="32"/>
          <w:szCs w:val="32"/>
          <w:highlight w:val="none"/>
          <w:lang w:val="en-US" w:eastAsia="zh-CN" w:bidi="ar-SA"/>
        </w:rPr>
        <w:t>。</w:t>
      </w:r>
    </w:p>
    <w:p w14:paraId="25B85E0A">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3.废液处置：在线监测设备产生的废液处置采用定期交由</w:t>
      </w:r>
      <w:r>
        <w:rPr>
          <w:rFonts w:hint="eastAsia" w:ascii="仿宋_GB2312" w:hAnsi="仿宋_GB2312" w:eastAsia="仿宋_GB2312" w:cs="仿宋_GB2312"/>
          <w:b w:val="0"/>
          <w:kern w:val="2"/>
          <w:sz w:val="32"/>
          <w:szCs w:val="32"/>
          <w:highlight w:val="none"/>
          <w:lang w:val="en-US" w:eastAsia="zh-CN" w:bidi="ar-SA"/>
        </w:rPr>
        <w:t>具备相关</w:t>
      </w:r>
      <w:r>
        <w:rPr>
          <w:rFonts w:hint="eastAsia" w:ascii="仿宋_GB2312" w:hAnsi="仿宋_GB2312" w:eastAsia="仿宋_GB2312" w:cs="仿宋_GB2312"/>
          <w:kern w:val="2"/>
          <w:sz w:val="32"/>
          <w:szCs w:val="32"/>
          <w:highlight w:val="none"/>
          <w:lang w:val="en-US" w:eastAsia="zh-CN" w:bidi="ar-SA"/>
        </w:rPr>
        <w:t>资质的单位外运处理的方式。运输费用由</w:t>
      </w:r>
      <w:r>
        <w:rPr>
          <w:rFonts w:hint="eastAsia" w:ascii="仿宋_GB2312" w:hAnsi="仿宋_GB2312" w:eastAsia="仿宋_GB2312" w:cs="仿宋_GB2312"/>
          <w:b w:val="0"/>
          <w:kern w:val="2"/>
          <w:sz w:val="32"/>
          <w:szCs w:val="32"/>
          <w:highlight w:val="none"/>
          <w:lang w:val="en-US" w:eastAsia="zh-CN" w:bidi="ar-SA"/>
        </w:rPr>
        <w:t>中标人</w:t>
      </w:r>
      <w:r>
        <w:rPr>
          <w:rFonts w:hint="eastAsia" w:ascii="仿宋_GB2312" w:hAnsi="仿宋_GB2312" w:eastAsia="仿宋_GB2312" w:cs="仿宋_GB2312"/>
          <w:kern w:val="2"/>
          <w:sz w:val="32"/>
          <w:szCs w:val="32"/>
          <w:highlight w:val="none"/>
          <w:lang w:val="en-US" w:eastAsia="zh-CN" w:bidi="ar-SA"/>
        </w:rPr>
        <w:t>承担，处置费用由</w:t>
      </w:r>
      <w:r>
        <w:rPr>
          <w:rFonts w:hint="eastAsia" w:ascii="仿宋_GB2312" w:hAnsi="仿宋_GB2312" w:eastAsia="仿宋_GB2312" w:cs="仿宋_GB2312"/>
          <w:b w:val="0"/>
          <w:kern w:val="2"/>
          <w:sz w:val="32"/>
          <w:szCs w:val="32"/>
          <w:highlight w:val="none"/>
          <w:lang w:val="en-US" w:eastAsia="zh-CN" w:bidi="ar-SA"/>
        </w:rPr>
        <w:t>中标人</w:t>
      </w:r>
      <w:r>
        <w:rPr>
          <w:rFonts w:hint="eastAsia" w:ascii="仿宋_GB2312" w:hAnsi="仿宋_GB2312" w:eastAsia="仿宋_GB2312" w:cs="仿宋_GB2312"/>
          <w:kern w:val="2"/>
          <w:sz w:val="32"/>
          <w:szCs w:val="32"/>
          <w:highlight w:val="none"/>
          <w:lang w:val="en-US" w:eastAsia="zh-CN" w:bidi="ar-SA"/>
        </w:rPr>
        <w:t>承担。</w:t>
      </w:r>
    </w:p>
    <w:p w14:paraId="344F168E">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4.运营期间化学药剂：由</w:t>
      </w:r>
      <w:r>
        <w:rPr>
          <w:rFonts w:hint="eastAsia" w:ascii="仿宋_GB2312" w:hAnsi="仿宋_GB2312" w:eastAsia="仿宋_GB2312" w:cs="仿宋_GB2312"/>
          <w:b w:val="0"/>
          <w:kern w:val="2"/>
          <w:sz w:val="32"/>
          <w:szCs w:val="32"/>
          <w:highlight w:val="none"/>
          <w:lang w:val="en-US" w:eastAsia="zh-CN" w:bidi="ar-SA"/>
        </w:rPr>
        <w:t>中标人</w:t>
      </w:r>
      <w:r>
        <w:rPr>
          <w:rFonts w:hint="eastAsia" w:ascii="仿宋_GB2312" w:hAnsi="仿宋_GB2312" w:eastAsia="仿宋_GB2312" w:cs="仿宋_GB2312"/>
          <w:kern w:val="2"/>
          <w:sz w:val="32"/>
          <w:szCs w:val="32"/>
          <w:highlight w:val="none"/>
          <w:lang w:val="en-US" w:eastAsia="zh-CN" w:bidi="ar-SA"/>
        </w:rPr>
        <w:t>承担COD、氨氮在线监测设备运营过程中产生的化学药剂费用。</w:t>
      </w:r>
    </w:p>
    <w:p w14:paraId="2587AFD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kern w:val="2"/>
          <w:sz w:val="32"/>
          <w:szCs w:val="32"/>
          <w:highlight w:val="none"/>
          <w:lang w:val="en-US" w:eastAsia="zh-CN" w:bidi="ar-SA"/>
        </w:rPr>
      </w:pPr>
      <w:r>
        <w:rPr>
          <w:rFonts w:hint="eastAsia" w:ascii="楷体" w:hAnsi="楷体" w:eastAsia="楷体" w:cs="楷体"/>
          <w:kern w:val="2"/>
          <w:sz w:val="32"/>
          <w:szCs w:val="32"/>
          <w:highlight w:val="none"/>
          <w:lang w:val="en-US" w:eastAsia="zh-CN" w:bidi="ar-SA"/>
        </w:rPr>
        <w:t>（三）污水站在线监测维护保养服务</w:t>
      </w:r>
    </w:p>
    <w:p w14:paraId="6D3CC156">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1.定期对污水站在线监测设备进行校准、保养维护。</w:t>
      </w:r>
    </w:p>
    <w:p w14:paraId="4F5713C1">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2.负责</w:t>
      </w:r>
      <w:r>
        <w:rPr>
          <w:rFonts w:hint="eastAsia" w:ascii="仿宋_GB2312" w:hAnsi="仿宋_GB2312" w:eastAsia="仿宋_GB2312" w:cs="仿宋_GB2312"/>
          <w:b w:val="0"/>
          <w:kern w:val="2"/>
          <w:sz w:val="32"/>
          <w:szCs w:val="32"/>
          <w:highlight w:val="none"/>
          <w:lang w:val="en-US" w:eastAsia="zh-CN" w:bidi="ar-SA"/>
        </w:rPr>
        <w:t>在线监测</w:t>
      </w:r>
      <w:r>
        <w:rPr>
          <w:rFonts w:hint="eastAsia" w:ascii="仿宋_GB2312" w:hAnsi="仿宋_GB2312" w:eastAsia="仿宋_GB2312" w:cs="仿宋_GB2312"/>
          <w:kern w:val="2"/>
          <w:sz w:val="32"/>
          <w:szCs w:val="32"/>
          <w:highlight w:val="none"/>
          <w:lang w:val="en-US" w:eastAsia="zh-CN" w:bidi="ar-SA"/>
        </w:rPr>
        <w:t>设备的计量校准工作。</w:t>
      </w:r>
    </w:p>
    <w:p w14:paraId="40786EAD">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3.定期对现场的操作人员进行培训，使操作人员能够熟练上岗操作。</w:t>
      </w:r>
    </w:p>
    <w:p w14:paraId="7637D39D">
      <w:pPr>
        <w:pStyle w:val="24"/>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4.固体废物监控工程线路接入维护。</w:t>
      </w:r>
    </w:p>
    <w:p w14:paraId="1DD7CD1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bookmarkStart w:id="6" w:name="_Toc307475515"/>
      <w:r>
        <w:rPr>
          <w:rFonts w:hint="eastAsia" w:ascii="楷体" w:hAnsi="楷体" w:eastAsia="楷体" w:cs="楷体"/>
          <w:kern w:val="2"/>
          <w:sz w:val="32"/>
          <w:szCs w:val="32"/>
          <w:highlight w:val="none"/>
          <w:lang w:val="en-US" w:eastAsia="zh-CN" w:bidi="ar-SA"/>
        </w:rPr>
        <w:t>（四）项目用水用电：</w:t>
      </w:r>
      <w:r>
        <w:rPr>
          <w:rFonts w:hint="eastAsia" w:ascii="仿宋_GB2312" w:hAnsi="仿宋_GB2312" w:eastAsia="仿宋_GB2312" w:cs="仿宋_GB2312"/>
          <w:kern w:val="2"/>
          <w:sz w:val="32"/>
          <w:szCs w:val="32"/>
          <w:highlight w:val="none"/>
          <w:lang w:val="en-US" w:eastAsia="zh-CN" w:bidi="ar-SA"/>
        </w:rPr>
        <w:t>该污水站用水用电由招标人提供。</w:t>
      </w:r>
    </w:p>
    <w:p w14:paraId="652F484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kern w:val="2"/>
          <w:sz w:val="32"/>
          <w:szCs w:val="32"/>
          <w:highlight w:val="none"/>
          <w:lang w:val="en-US" w:eastAsia="zh-CN" w:bidi="ar-SA"/>
        </w:rPr>
      </w:pPr>
      <w:r>
        <w:rPr>
          <w:rFonts w:hint="eastAsia" w:ascii="楷体" w:hAnsi="楷体" w:eastAsia="楷体" w:cs="楷体"/>
          <w:kern w:val="2"/>
          <w:sz w:val="32"/>
          <w:szCs w:val="32"/>
          <w:highlight w:val="none"/>
          <w:lang w:val="en-US" w:eastAsia="zh-CN" w:bidi="ar-SA"/>
        </w:rPr>
        <w:t>（五）满足污水处理站运维需要的基础设施。</w:t>
      </w:r>
    </w:p>
    <w:p w14:paraId="5EBA527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bookmarkStart w:id="7" w:name="_Toc410197443"/>
      <w:r>
        <w:rPr>
          <w:rFonts w:hint="eastAsia" w:ascii="黑体" w:hAnsi="黑体" w:eastAsia="黑体" w:cs="黑体"/>
          <w:b w:val="0"/>
          <w:bCs/>
          <w:sz w:val="32"/>
          <w:szCs w:val="32"/>
          <w:highlight w:val="none"/>
          <w:lang w:val="en-US" w:eastAsia="zh-CN"/>
        </w:rPr>
        <w:t>四、运营服务目标</w:t>
      </w:r>
      <w:bookmarkEnd w:id="6"/>
      <w:bookmarkEnd w:id="7"/>
    </w:p>
    <w:p w14:paraId="5F3E79E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保障园区内的污水排放处理达到《城镇污水处理厂污染物排放标准》（GB18918-2002）一级标准B标准</w:t>
      </w:r>
      <w:r>
        <w:rPr>
          <w:rFonts w:hint="eastAsia" w:ascii="仿宋_GB2312" w:hAnsi="仿宋_GB2312" w:eastAsia="仿宋_GB2312" w:cs="仿宋_GB2312"/>
          <w:b w:val="0"/>
          <w:kern w:val="2"/>
          <w:sz w:val="32"/>
          <w:szCs w:val="32"/>
          <w:highlight w:val="none"/>
          <w:lang w:val="en-US" w:eastAsia="zh-CN" w:bidi="ar-SA"/>
        </w:rPr>
        <w:t>和《水污染排放限值》（DB44/26-2001）第二时段一级标准</w:t>
      </w:r>
      <w:r>
        <w:rPr>
          <w:rFonts w:hint="eastAsia" w:ascii="仿宋_GB2312" w:hAnsi="仿宋_GB2312" w:eastAsia="仿宋_GB2312" w:cs="仿宋_GB2312"/>
          <w:kern w:val="2"/>
          <w:sz w:val="32"/>
          <w:szCs w:val="32"/>
          <w:highlight w:val="none"/>
          <w:lang w:val="en-US" w:eastAsia="zh-CN" w:bidi="ar-SA"/>
        </w:rPr>
        <w:t>。</w:t>
      </w:r>
    </w:p>
    <w:p w14:paraId="68F576E0">
      <w:pPr>
        <w:spacing w:line="560" w:lineRule="exact"/>
        <w:ind w:firstLine="480"/>
        <w:jc w:val="center"/>
        <w:rPr>
          <w:rFonts w:hint="eastAsia" w:ascii="楷体" w:hAnsi="楷体" w:eastAsia="楷体" w:cs="楷体"/>
          <w:b/>
          <w:color w:val="000000" w:themeColor="text1"/>
          <w:sz w:val="32"/>
          <w:szCs w:val="32"/>
          <w:highlight w:val="none"/>
          <w14:textFill>
            <w14:solidFill>
              <w14:schemeClr w14:val="tx1"/>
            </w14:solidFill>
          </w14:textFill>
        </w:rPr>
      </w:pPr>
      <w:r>
        <w:rPr>
          <w:rFonts w:hint="eastAsia" w:ascii="楷体" w:hAnsi="楷体" w:eastAsia="楷体" w:cs="楷体"/>
          <w:b/>
          <w:color w:val="000000" w:themeColor="text1"/>
          <w:sz w:val="32"/>
          <w:szCs w:val="32"/>
          <w:highlight w:val="none"/>
          <w14:textFill>
            <w14:solidFill>
              <w14:schemeClr w14:val="tx1"/>
            </w14:solidFill>
          </w14:textFill>
        </w:rPr>
        <w:t>进水水质参考及排放标准</w:t>
      </w:r>
    </w:p>
    <w:tbl>
      <w:tblPr>
        <w:tblStyle w:val="12"/>
        <w:tblW w:w="8789" w:type="dxa"/>
        <w:jc w:val="center"/>
        <w:tblBorders>
          <w:top w:val="single" w:color="008000" w:sz="12" w:space="0"/>
          <w:left w:val="none" w:color="auto" w:sz="0" w:space="0"/>
          <w:bottom w:val="single" w:color="008000"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244"/>
        <w:gridCol w:w="1024"/>
        <w:gridCol w:w="1276"/>
        <w:gridCol w:w="1276"/>
        <w:gridCol w:w="1276"/>
        <w:gridCol w:w="1275"/>
        <w:gridCol w:w="1418"/>
      </w:tblGrid>
      <w:tr w14:paraId="62EA86C5">
        <w:tblPrEx>
          <w:tblBorders>
            <w:top w:val="single" w:color="008000" w:sz="12" w:space="0"/>
            <w:left w:val="none" w:color="auto" w:sz="0" w:space="0"/>
            <w:bottom w:val="single" w:color="008000"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44" w:type="dxa"/>
            <w:vAlign w:val="center"/>
          </w:tcPr>
          <w:p w14:paraId="15F5A163">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项目</w:t>
            </w:r>
          </w:p>
        </w:tc>
        <w:tc>
          <w:tcPr>
            <w:tcW w:w="1024" w:type="dxa"/>
            <w:vAlign w:val="center"/>
          </w:tcPr>
          <w:p w14:paraId="6598500A">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pH</w:t>
            </w:r>
          </w:p>
        </w:tc>
        <w:tc>
          <w:tcPr>
            <w:tcW w:w="1276" w:type="dxa"/>
            <w:vAlign w:val="center"/>
          </w:tcPr>
          <w:p w14:paraId="62121D96">
            <w:pPr>
              <w:spacing w:line="560" w:lineRule="exact"/>
              <w:jc w:val="center"/>
              <w:rPr>
                <w:rFonts w:ascii="宋体" w:hAnsi="宋体"/>
                <w:color w:val="000000" w:themeColor="text1"/>
                <w:sz w:val="24"/>
                <w:szCs w:val="24"/>
                <w:highlight w:val="none"/>
                <w:vertAlign w:val="subscript"/>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COD</w:t>
            </w:r>
            <w:r>
              <w:rPr>
                <w:rFonts w:hint="eastAsia" w:ascii="宋体" w:hAnsi="宋体"/>
                <w:color w:val="000000" w:themeColor="text1"/>
                <w:sz w:val="24"/>
                <w:szCs w:val="24"/>
                <w:highlight w:val="none"/>
                <w:vertAlign w:val="subscript"/>
                <w14:textFill>
                  <w14:solidFill>
                    <w14:schemeClr w14:val="tx1"/>
                  </w14:solidFill>
                </w14:textFill>
              </w:rPr>
              <w:t>Cr</w:t>
            </w:r>
            <w:r>
              <w:rPr>
                <w:rFonts w:hint="eastAsia" w:ascii="宋体" w:hAnsi="宋体"/>
                <w:color w:val="000000" w:themeColor="text1"/>
                <w:sz w:val="24"/>
                <w:szCs w:val="24"/>
                <w:highlight w:val="none"/>
                <w14:textFill>
                  <w14:solidFill>
                    <w14:schemeClr w14:val="tx1"/>
                  </w14:solidFill>
                </w14:textFill>
              </w:rPr>
              <w:t>（mg/L）</w:t>
            </w:r>
          </w:p>
        </w:tc>
        <w:tc>
          <w:tcPr>
            <w:tcW w:w="1276" w:type="dxa"/>
            <w:vAlign w:val="center"/>
          </w:tcPr>
          <w:p w14:paraId="47CE62CA">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BOD（mg/L）</w:t>
            </w:r>
          </w:p>
        </w:tc>
        <w:tc>
          <w:tcPr>
            <w:tcW w:w="1276" w:type="dxa"/>
            <w:vAlign w:val="center"/>
          </w:tcPr>
          <w:p w14:paraId="0132DE67">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SS</w:t>
            </w:r>
          </w:p>
          <w:p w14:paraId="468881F4">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（mg/L）</w:t>
            </w:r>
          </w:p>
        </w:tc>
        <w:tc>
          <w:tcPr>
            <w:tcW w:w="1275" w:type="dxa"/>
            <w:vAlign w:val="center"/>
          </w:tcPr>
          <w:p w14:paraId="090C01B2">
            <w:pPr>
              <w:pStyle w:val="4"/>
              <w:spacing w:line="560" w:lineRule="exact"/>
              <w:jc w:val="center"/>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NH</w:t>
            </w:r>
            <w:r>
              <w:rPr>
                <w:rFonts w:hint="eastAsia" w:hAnsi="宋体"/>
                <w:color w:val="000000" w:themeColor="text1"/>
                <w:sz w:val="24"/>
                <w:szCs w:val="24"/>
                <w:highlight w:val="none"/>
                <w:vertAlign w:val="subscript"/>
                <w14:textFill>
                  <w14:solidFill>
                    <w14:schemeClr w14:val="tx1"/>
                  </w14:solidFill>
                </w14:textFill>
              </w:rPr>
              <w:t>3</w:t>
            </w:r>
            <w:r>
              <w:rPr>
                <w:rFonts w:hint="eastAsia" w:hAnsi="宋体"/>
                <w:color w:val="000000" w:themeColor="text1"/>
                <w:sz w:val="24"/>
                <w:szCs w:val="24"/>
                <w:highlight w:val="none"/>
                <w14:textFill>
                  <w14:solidFill>
                    <w14:schemeClr w14:val="tx1"/>
                  </w14:solidFill>
                </w14:textFill>
              </w:rPr>
              <w:t>-N（mg/L）</w:t>
            </w:r>
          </w:p>
        </w:tc>
        <w:tc>
          <w:tcPr>
            <w:tcW w:w="1418" w:type="dxa"/>
            <w:vAlign w:val="center"/>
          </w:tcPr>
          <w:p w14:paraId="13FD50CB">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总磷</w:t>
            </w:r>
          </w:p>
          <w:p w14:paraId="5DC813E0">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（mg/L）</w:t>
            </w:r>
          </w:p>
        </w:tc>
      </w:tr>
      <w:tr w14:paraId="4BE2C6AF">
        <w:tblPrEx>
          <w:tblBorders>
            <w:top w:val="single" w:color="008000" w:sz="12" w:space="0"/>
            <w:left w:val="none" w:color="auto" w:sz="0" w:space="0"/>
            <w:bottom w:val="single" w:color="008000"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44" w:type="dxa"/>
            <w:vAlign w:val="center"/>
          </w:tcPr>
          <w:p w14:paraId="364A35EB">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设计水质</w:t>
            </w:r>
          </w:p>
        </w:tc>
        <w:tc>
          <w:tcPr>
            <w:tcW w:w="1024" w:type="dxa"/>
            <w:vAlign w:val="center"/>
          </w:tcPr>
          <w:p w14:paraId="36BCF946">
            <w:pPr>
              <w:spacing w:line="560" w:lineRule="exact"/>
              <w:jc w:val="center"/>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6-9</w:t>
            </w:r>
          </w:p>
        </w:tc>
        <w:tc>
          <w:tcPr>
            <w:tcW w:w="1276" w:type="dxa"/>
            <w:vAlign w:val="center"/>
          </w:tcPr>
          <w:p w14:paraId="1E13914B">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300</w:t>
            </w:r>
          </w:p>
        </w:tc>
        <w:tc>
          <w:tcPr>
            <w:tcW w:w="1276" w:type="dxa"/>
            <w:vAlign w:val="center"/>
          </w:tcPr>
          <w:p w14:paraId="76B7EFBC">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150</w:t>
            </w:r>
          </w:p>
        </w:tc>
        <w:tc>
          <w:tcPr>
            <w:tcW w:w="1276" w:type="dxa"/>
            <w:vAlign w:val="center"/>
          </w:tcPr>
          <w:p w14:paraId="361FEB1C">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200</w:t>
            </w:r>
          </w:p>
        </w:tc>
        <w:tc>
          <w:tcPr>
            <w:tcW w:w="1275" w:type="dxa"/>
            <w:vAlign w:val="center"/>
          </w:tcPr>
          <w:p w14:paraId="2E787811">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30</w:t>
            </w:r>
          </w:p>
        </w:tc>
        <w:tc>
          <w:tcPr>
            <w:tcW w:w="1418" w:type="dxa"/>
            <w:vAlign w:val="center"/>
          </w:tcPr>
          <w:p w14:paraId="72E9C14A">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5</w:t>
            </w:r>
          </w:p>
        </w:tc>
      </w:tr>
      <w:tr w14:paraId="034100DA">
        <w:tblPrEx>
          <w:tblBorders>
            <w:top w:val="single" w:color="008000" w:sz="12" w:space="0"/>
            <w:left w:val="none" w:color="auto" w:sz="0" w:space="0"/>
            <w:bottom w:val="single" w:color="008000"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44" w:type="dxa"/>
            <w:vAlign w:val="center"/>
          </w:tcPr>
          <w:p w14:paraId="65D14E72">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排放标准</w:t>
            </w:r>
          </w:p>
        </w:tc>
        <w:tc>
          <w:tcPr>
            <w:tcW w:w="1024" w:type="dxa"/>
            <w:vAlign w:val="center"/>
          </w:tcPr>
          <w:p w14:paraId="6569E00E">
            <w:pPr>
              <w:spacing w:line="560" w:lineRule="exact"/>
              <w:jc w:val="center"/>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6-9</w:t>
            </w:r>
          </w:p>
        </w:tc>
        <w:tc>
          <w:tcPr>
            <w:tcW w:w="1276" w:type="dxa"/>
            <w:vAlign w:val="center"/>
          </w:tcPr>
          <w:p w14:paraId="547672AB">
            <w:pPr>
              <w:spacing w:line="560" w:lineRule="exact"/>
              <w:jc w:val="center"/>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60</w:t>
            </w:r>
          </w:p>
        </w:tc>
        <w:tc>
          <w:tcPr>
            <w:tcW w:w="1276" w:type="dxa"/>
            <w:vAlign w:val="center"/>
          </w:tcPr>
          <w:p w14:paraId="37C09FE1">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10</w:t>
            </w:r>
          </w:p>
        </w:tc>
        <w:tc>
          <w:tcPr>
            <w:tcW w:w="1276" w:type="dxa"/>
            <w:vAlign w:val="center"/>
          </w:tcPr>
          <w:p w14:paraId="1959926B">
            <w:pPr>
              <w:spacing w:line="560" w:lineRule="exact"/>
              <w:jc w:val="center"/>
              <w:rPr>
                <w:rFonts w:ascii="宋体" w:hAnsi="宋体"/>
                <w:bCs/>
                <w:color w:val="000000" w:themeColor="text1"/>
                <w:sz w:val="24"/>
                <w:szCs w:val="24"/>
                <w:highlight w:val="none"/>
                <w14:textFill>
                  <w14:solidFill>
                    <w14:schemeClr w14:val="tx1"/>
                  </w14:solidFill>
                </w14:textFill>
              </w:rPr>
            </w:pPr>
            <w:r>
              <w:rPr>
                <w:rFonts w:hint="eastAsia" w:ascii="宋体" w:hAnsi="宋体"/>
                <w:bCs/>
                <w:color w:val="000000" w:themeColor="text1"/>
                <w:sz w:val="24"/>
                <w:szCs w:val="24"/>
                <w:highlight w:val="none"/>
                <w14:textFill>
                  <w14:solidFill>
                    <w14:schemeClr w14:val="tx1"/>
                  </w14:solidFill>
                </w14:textFill>
              </w:rPr>
              <w:t>20</w:t>
            </w:r>
          </w:p>
        </w:tc>
        <w:tc>
          <w:tcPr>
            <w:tcW w:w="1275" w:type="dxa"/>
            <w:vAlign w:val="center"/>
          </w:tcPr>
          <w:p w14:paraId="0ED5EFE1">
            <w:pPr>
              <w:spacing w:line="5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8（15）</w:t>
            </w:r>
          </w:p>
        </w:tc>
        <w:tc>
          <w:tcPr>
            <w:tcW w:w="1418" w:type="dxa"/>
            <w:vAlign w:val="center"/>
          </w:tcPr>
          <w:p w14:paraId="43FBF197">
            <w:pPr>
              <w:spacing w:line="560" w:lineRule="exact"/>
              <w:jc w:val="center"/>
              <w:rPr>
                <w:rFonts w:ascii="宋体" w:hAnsi="宋体" w:eastAsia="宋体"/>
                <w:color w:val="000000" w:themeColor="text1"/>
                <w:sz w:val="24"/>
                <w:szCs w:val="24"/>
                <w:highlight w:val="none"/>
                <w14:textFill>
                  <w14:solidFill>
                    <w14:schemeClr w14:val="tx1"/>
                  </w14:solidFill>
                </w14:textFill>
              </w:rPr>
            </w:pPr>
            <w:r>
              <w:rPr>
                <w:rFonts w:hint="eastAsia" w:ascii="宋体" w:hAnsi="宋体"/>
                <w:sz w:val="24"/>
                <w:szCs w:val="24"/>
                <w:highlight w:val="none"/>
              </w:rPr>
              <w:t>0.5</w:t>
            </w:r>
          </w:p>
        </w:tc>
      </w:tr>
    </w:tbl>
    <w:p w14:paraId="209B7AE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污水的排放标准执行《城镇污水处理厂污染物排放标准》（GB18918-2002）一级标准B标准</w:t>
      </w:r>
      <w:bookmarkStart w:id="8" w:name="_Toc307475516"/>
      <w:r>
        <w:rPr>
          <w:rFonts w:hint="eastAsia" w:ascii="仿宋_GB2312" w:hAnsi="仿宋_GB2312" w:eastAsia="仿宋_GB2312" w:cs="仿宋_GB2312"/>
          <w:b w:val="0"/>
          <w:kern w:val="2"/>
          <w:sz w:val="32"/>
          <w:szCs w:val="32"/>
          <w:highlight w:val="none"/>
          <w:lang w:val="en-US" w:eastAsia="zh-CN" w:bidi="ar-SA"/>
        </w:rPr>
        <w:t>和《水污染排放限值》（DB44/26-2001）第二时段一级标准</w:t>
      </w:r>
      <w:r>
        <w:rPr>
          <w:rFonts w:hint="eastAsia" w:ascii="仿宋_GB2312" w:hAnsi="仿宋_GB2312" w:eastAsia="仿宋_GB2312" w:cs="仿宋_GB2312"/>
          <w:kern w:val="2"/>
          <w:sz w:val="32"/>
          <w:szCs w:val="32"/>
          <w:highlight w:val="none"/>
          <w:lang w:val="en-US" w:eastAsia="zh-CN" w:bidi="ar-SA"/>
        </w:rPr>
        <w:t>。</w:t>
      </w:r>
    </w:p>
    <w:p w14:paraId="64D9916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bookmarkStart w:id="9" w:name="_Toc410197444"/>
      <w:r>
        <w:rPr>
          <w:rFonts w:hint="eastAsia" w:ascii="黑体" w:hAnsi="黑体" w:eastAsia="黑体" w:cs="黑体"/>
          <w:b w:val="0"/>
          <w:bCs/>
          <w:sz w:val="32"/>
          <w:szCs w:val="32"/>
          <w:highlight w:val="none"/>
          <w:lang w:val="en-US" w:eastAsia="zh-CN"/>
        </w:rPr>
        <w:t>五、运营服务期限</w:t>
      </w:r>
      <w:bookmarkEnd w:id="8"/>
      <w:bookmarkEnd w:id="9"/>
    </w:p>
    <w:p w14:paraId="4AC5BF37">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（一）污水站运营管理服务：</w:t>
      </w:r>
      <w:r>
        <w:rPr>
          <w:rFonts w:hint="eastAsia" w:ascii="仿宋_GB2312" w:hAnsi="仿宋_GB2312" w:eastAsia="仿宋_GB2312" w:cs="仿宋_GB2312"/>
          <w:b w:val="0"/>
          <w:kern w:val="2"/>
          <w:sz w:val="32"/>
          <w:szCs w:val="32"/>
          <w:highlight w:val="none"/>
          <w:lang w:val="en-US" w:eastAsia="zh-CN" w:bidi="ar-SA"/>
        </w:rPr>
        <w:t>管理服务期限为1年，自2025年6月11日起至2026年6月10日止。</w:t>
      </w:r>
    </w:p>
    <w:p w14:paraId="7906AB41">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（二）污水站在线监测运营服务：</w:t>
      </w:r>
      <w:r>
        <w:rPr>
          <w:rFonts w:hint="eastAsia" w:ascii="仿宋_GB2312" w:hAnsi="仿宋_GB2312" w:eastAsia="仿宋_GB2312" w:cs="仿宋_GB2312"/>
          <w:b w:val="0"/>
          <w:kern w:val="2"/>
          <w:sz w:val="32"/>
          <w:szCs w:val="32"/>
          <w:highlight w:val="none"/>
          <w:lang w:val="en-US" w:eastAsia="zh-CN" w:bidi="ar-SA"/>
        </w:rPr>
        <w:t>管理服务期限为1年，自2025年6月11日起至2026年6月10日止。</w:t>
      </w:r>
    </w:p>
    <w:p w14:paraId="1A892A09">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（三）污水站在线监测维护保养服务：</w:t>
      </w:r>
      <w:bookmarkStart w:id="10" w:name="_Toc307475517"/>
      <w:r>
        <w:rPr>
          <w:rFonts w:hint="eastAsia" w:ascii="仿宋_GB2312" w:hAnsi="仿宋_GB2312" w:eastAsia="仿宋_GB2312" w:cs="仿宋_GB2312"/>
          <w:b w:val="0"/>
          <w:kern w:val="2"/>
          <w:sz w:val="32"/>
          <w:szCs w:val="32"/>
          <w:highlight w:val="none"/>
          <w:lang w:val="en-US" w:eastAsia="zh-CN" w:bidi="ar-SA"/>
        </w:rPr>
        <w:t>管理服务期限为1年，自2025年6月11日起至2026年6月10日止。</w:t>
      </w:r>
    </w:p>
    <w:p w14:paraId="4EF9203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bookmarkStart w:id="11" w:name="_Toc410197445"/>
      <w:r>
        <w:rPr>
          <w:rFonts w:hint="eastAsia" w:ascii="黑体" w:hAnsi="黑体" w:eastAsia="黑体" w:cs="黑体"/>
          <w:b w:val="0"/>
          <w:bCs/>
          <w:sz w:val="32"/>
          <w:szCs w:val="32"/>
          <w:highlight w:val="none"/>
          <w:lang w:val="en-US" w:eastAsia="zh-CN"/>
        </w:rPr>
        <w:t>六、运营服务要求</w:t>
      </w:r>
      <w:bookmarkEnd w:id="10"/>
      <w:bookmarkEnd w:id="11"/>
    </w:p>
    <w:p w14:paraId="2BA699CE">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（一）污水站运营服务：</w:t>
      </w:r>
    </w:p>
    <w:p w14:paraId="7A76E6BD">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1.派驻有经验的操作人员对污水站进行运营、管理和维护；</w:t>
      </w:r>
    </w:p>
    <w:p w14:paraId="32F30535">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2.对污水站在运行过程中存在的问题提供技术指导,项目负责人及时到污水站与操作人员交流，了解运行情况，对存在的问题解决；</w:t>
      </w:r>
    </w:p>
    <w:p w14:paraId="2D98CA58">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3.定期对派驻现场的操作人员进行培训，使操作人员能够熟练上岗操作，并能应对在设计进水水质条件下，确保处理出水符合环保排放标准；</w:t>
      </w:r>
    </w:p>
    <w:p w14:paraId="3B367663">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4.配合环保部门的例行监测、检查；</w:t>
      </w:r>
    </w:p>
    <w:p w14:paraId="75EF1A9E">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5.做好运行记录台账；</w:t>
      </w:r>
    </w:p>
    <w:p w14:paraId="3657C871">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6.对进水水质恶化等突发事件的及时处理，确保污水处理系统正常运行。</w:t>
      </w:r>
    </w:p>
    <w:p w14:paraId="3BC406CD">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7.日常化验检测、设备校准：</w:t>
      </w:r>
    </w:p>
    <w:p w14:paraId="39203DAD">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（1）每周一次日常的水质检测，检测指标：CODcr、BOD5、SS、NH3-N、总磷、LAS及pH值；</w:t>
      </w:r>
    </w:p>
    <w:p w14:paraId="18B0AC58">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（2）对微生物的生长情况进行镜检和跟踪，使污水处理站始运行终处于良好的运行状态，每周一次检测MLSS、MLVSS及SVI等。</w:t>
      </w:r>
    </w:p>
    <w:p w14:paraId="74FA04F6">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8.运营期间化学药剂：运营期间水量按500m³/d计算，由中标人承担污水站运营及COD、氨氮在线监测设备运营过程中产生的化学药剂费用。</w:t>
      </w:r>
    </w:p>
    <w:p w14:paraId="3632B72E">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9.污泥处置：本项目污泥处置费用由中标人负责。要求采用合法合规的处置方式。</w:t>
      </w:r>
    </w:p>
    <w:p w14:paraId="7918862E">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10.污水处理站设施设备的日常维护保养。</w:t>
      </w:r>
    </w:p>
    <w:p w14:paraId="761EAB43">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11.进水保底水量：本项目设计进水水量为500m³/d；项目进水量不超过600 m³/d的，招标人按中标价支付服务费；进水量超过600 m³/d的，超出部分由招标人另行支付费用，支付标准由双方另行协定。</w:t>
      </w:r>
    </w:p>
    <w:p w14:paraId="523FB003">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12.根据污水站运维需要增加维护护栏和卫生间。</w:t>
      </w:r>
    </w:p>
    <w:p w14:paraId="278C04B3">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13.项目用水用电：该污水站用水用电由招标人提供。</w:t>
      </w:r>
    </w:p>
    <w:p w14:paraId="3AC46E71">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b w:val="0"/>
          <w:kern w:val="2"/>
          <w:sz w:val="32"/>
          <w:szCs w:val="32"/>
          <w:highlight w:val="none"/>
          <w:lang w:val="en-US" w:eastAsia="zh-CN" w:bidi="ar-SA"/>
        </w:rPr>
      </w:pPr>
      <w:bookmarkStart w:id="12" w:name="_Toc307475519"/>
      <w:r>
        <w:rPr>
          <w:rFonts w:hint="eastAsia" w:ascii="楷体" w:hAnsi="楷体" w:eastAsia="楷体" w:cs="楷体"/>
          <w:b w:val="0"/>
          <w:kern w:val="2"/>
          <w:sz w:val="32"/>
          <w:szCs w:val="32"/>
          <w:highlight w:val="none"/>
          <w:lang w:val="en-US" w:eastAsia="zh-CN" w:bidi="ar-SA"/>
        </w:rPr>
        <w:t>（二）污水站在线监测运营服务</w:t>
      </w:r>
    </w:p>
    <w:p w14:paraId="12F2907C">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1.派驻专业技术人员对污水站在线监测设备进行日常运营、管理。</w:t>
      </w:r>
    </w:p>
    <w:p w14:paraId="3BAF4D71">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2.及时配合环保部门的例行监测、检查；做好台账记录。</w:t>
      </w:r>
    </w:p>
    <w:p w14:paraId="29AE26AC">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3.废液处置：在线监测设备产生的废液处置采用定期交由具备相关资质的单位外运处理的方式。运输费用由中标人承担，处置费用由中标人承担。</w:t>
      </w:r>
    </w:p>
    <w:p w14:paraId="5F5D90B7">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4. 运营期间化学药剂：由中标人承担COD、氨氮在线监测设备运营过程中产生的化学药剂费用。</w:t>
      </w:r>
    </w:p>
    <w:p w14:paraId="4C511F3E">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（三）污水站在线监测维护保养服务</w:t>
      </w:r>
    </w:p>
    <w:p w14:paraId="698BF5E2">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1.定期对污水站在线监测设备进行保养、维护。</w:t>
      </w:r>
    </w:p>
    <w:p w14:paraId="5C118854">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2.负责在线监测设备的计量校准工作。</w:t>
      </w:r>
    </w:p>
    <w:p w14:paraId="462C0D25">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3.定期对现场的操作人员进行培训，使操作人员能够熟练上岗操作。</w:t>
      </w:r>
    </w:p>
    <w:p w14:paraId="63ECCD86">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kern w:val="2"/>
          <w:sz w:val="32"/>
          <w:szCs w:val="32"/>
          <w:highlight w:val="none"/>
          <w:lang w:val="en-US" w:eastAsia="zh-CN" w:bidi="ar-SA"/>
        </w:rPr>
      </w:pPr>
      <w:r>
        <w:rPr>
          <w:rFonts w:hint="eastAsia" w:ascii="仿宋_GB2312" w:hAnsi="仿宋_GB2312" w:eastAsia="仿宋_GB2312" w:cs="仿宋_GB2312"/>
          <w:b w:val="0"/>
          <w:bCs/>
          <w:kern w:val="2"/>
          <w:sz w:val="32"/>
          <w:szCs w:val="32"/>
          <w:highlight w:val="none"/>
          <w:lang w:val="en-US" w:eastAsia="zh-CN" w:bidi="ar-SA"/>
        </w:rPr>
        <w:t>4.固体废物监控工程线路接入维护。</w:t>
      </w:r>
    </w:p>
    <w:p w14:paraId="1415A822">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（四）项目用水用电：</w:t>
      </w:r>
      <w:r>
        <w:rPr>
          <w:rFonts w:hint="eastAsia" w:ascii="仿宋_GB2312" w:hAnsi="仿宋_GB2312" w:eastAsia="仿宋_GB2312" w:cs="仿宋_GB2312"/>
          <w:b w:val="0"/>
          <w:kern w:val="2"/>
          <w:sz w:val="32"/>
          <w:szCs w:val="32"/>
          <w:highlight w:val="none"/>
          <w:lang w:val="en-US" w:eastAsia="zh-CN" w:bidi="ar-SA"/>
        </w:rPr>
        <w:t>该污水站用水用电由招标人提供。</w:t>
      </w:r>
    </w:p>
    <w:p w14:paraId="7A00A32B">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b w:val="0"/>
          <w:kern w:val="2"/>
          <w:sz w:val="32"/>
          <w:szCs w:val="32"/>
          <w:highlight w:val="none"/>
          <w:lang w:val="en-US" w:eastAsia="zh-CN" w:bidi="ar-SA"/>
        </w:rPr>
      </w:pPr>
      <w:r>
        <w:rPr>
          <w:rFonts w:hint="eastAsia" w:ascii="楷体" w:hAnsi="楷体" w:eastAsia="楷体" w:cs="楷体"/>
          <w:b w:val="0"/>
          <w:kern w:val="2"/>
          <w:sz w:val="32"/>
          <w:szCs w:val="32"/>
          <w:highlight w:val="none"/>
          <w:lang w:val="en-US" w:eastAsia="zh-CN" w:bidi="ar-SA"/>
        </w:rPr>
        <w:t>（五）满足污水站运维需要的基础设施。</w:t>
      </w:r>
    </w:p>
    <w:p w14:paraId="24BF9B3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bookmarkStart w:id="13" w:name="_Toc410197446"/>
      <w:r>
        <w:rPr>
          <w:rFonts w:hint="eastAsia" w:ascii="黑体" w:hAnsi="黑体" w:eastAsia="黑体" w:cs="黑体"/>
          <w:b w:val="0"/>
          <w:bCs/>
          <w:sz w:val="32"/>
          <w:szCs w:val="32"/>
          <w:highlight w:val="none"/>
          <w:lang w:val="en-US" w:eastAsia="zh-CN"/>
        </w:rPr>
        <w:t>七、运营服务标准内容</w:t>
      </w:r>
      <w:bookmarkEnd w:id="12"/>
      <w:bookmarkEnd w:id="13"/>
    </w:p>
    <w:p w14:paraId="730E7B69">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（一）中标人对整个运营服务的质量与安全负有不可推卸的责任。</w:t>
      </w:r>
    </w:p>
    <w:p w14:paraId="25A292B4">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（二）投标人应充分了解项目整体情况，把项目服务期间内发生的所有费用及不可预估费用统筹考虑进行投标报价。</w:t>
      </w:r>
    </w:p>
    <w:p w14:paraId="7CBEF372">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bookmarkStart w:id="14" w:name="_Toc312244339"/>
      <w:r>
        <w:rPr>
          <w:rFonts w:hint="eastAsia" w:ascii="仿宋_GB2312" w:hAnsi="仿宋_GB2312" w:eastAsia="仿宋_GB2312" w:cs="仿宋_GB2312"/>
          <w:b w:val="0"/>
          <w:kern w:val="2"/>
          <w:sz w:val="32"/>
          <w:szCs w:val="32"/>
          <w:highlight w:val="none"/>
          <w:lang w:val="en-US" w:eastAsia="zh-CN" w:bidi="ar-SA"/>
        </w:rPr>
        <w:t>（三）本运营服务的质量要求为合格。即污水处理后能稳定达到《城镇污水处理厂污染物排放标准》（GB18918-2002）一级标准B标准和《水污染排放限值》（DB44/26-2001）第二时段一级标准。</w:t>
      </w:r>
      <w:bookmarkEnd w:id="14"/>
    </w:p>
    <w:p w14:paraId="33ACE26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bookmarkStart w:id="15" w:name="_Toc312244340"/>
      <w:bookmarkStart w:id="16" w:name="_Toc217274642"/>
      <w:r>
        <w:rPr>
          <w:rFonts w:hint="eastAsia" w:ascii="黑体" w:hAnsi="黑体" w:eastAsia="黑体" w:cs="黑体"/>
          <w:b w:val="0"/>
          <w:bCs/>
          <w:sz w:val="32"/>
          <w:szCs w:val="32"/>
          <w:highlight w:val="none"/>
          <w:lang w:val="en-US" w:eastAsia="zh-CN"/>
        </w:rPr>
        <w:t>八、招标范围</w:t>
      </w:r>
      <w:bookmarkEnd w:id="15"/>
      <w:bookmarkEnd w:id="16"/>
    </w:p>
    <w:p w14:paraId="2DB1A5C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本项目为运营总包干项目，项目费用包括服务期内项目最大进水量不超过600m³/d的人工费、委托运营服务费用、设施设备的日常维护保养、日常化验检测及常规环保监测费用、运营期间产生的化学药剂费用、污泥处置费、在线监测设备的废液处理费用、在线监测设备日常运行维护、维护护栏和卫生间以及投标人认为为完成本项目服务必要的其他费用，不含水电费。</w:t>
      </w:r>
    </w:p>
    <w:p w14:paraId="70F831F8">
      <w:pPr>
        <w:pStyle w:val="7"/>
        <w:ind w:firstLine="640" w:firstLineChars="200"/>
        <w:rPr>
          <w:rFonts w:hint="eastAsia" w:ascii="黑体" w:hAnsi="黑体" w:eastAsia="黑体" w:cs="黑体"/>
          <w:b w:val="0"/>
          <w:bCs/>
          <w:sz w:val="32"/>
          <w:szCs w:val="32"/>
          <w:highlight w:val="none"/>
          <w:lang w:val="en-US" w:eastAsia="zh-CN"/>
        </w:rPr>
      </w:pPr>
      <w:bookmarkStart w:id="17" w:name="_Toc307388873"/>
      <w:bookmarkStart w:id="18" w:name="_Toc307475520"/>
      <w:bookmarkStart w:id="19" w:name="_Toc410197447"/>
      <w:r>
        <w:rPr>
          <w:rFonts w:hint="eastAsia" w:ascii="黑体" w:hAnsi="黑体" w:eastAsia="黑体" w:cs="黑体"/>
          <w:b w:val="0"/>
          <w:bCs/>
          <w:sz w:val="32"/>
          <w:szCs w:val="32"/>
          <w:highlight w:val="none"/>
          <w:lang w:val="en-US" w:eastAsia="zh-CN"/>
        </w:rPr>
        <w:t>九、其他要求</w:t>
      </w:r>
      <w:bookmarkEnd w:id="17"/>
      <w:bookmarkEnd w:id="18"/>
      <w:bookmarkEnd w:id="19"/>
    </w:p>
    <w:p w14:paraId="5D16607F">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（一）本项目不允许分包。</w:t>
      </w:r>
    </w:p>
    <w:p w14:paraId="498C70C3">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二）如现有设备不足以满足本项目日常运作需求，由中标人义务性免费提供相关设备（包括二氧化氯消毒剂发生器、氨氮水质自动在线监测仪、环保检测数采仪、PH计、明渠流量计、COD监测仪、总磷检测设备、在线传输机等）以维持正常运作。</w:t>
      </w:r>
    </w:p>
    <w:p w14:paraId="09F7FBD8">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（三）中标人需配合招标人办理《固定污染源排污登记表》或其他与项目相关证件的手续。</w:t>
      </w:r>
    </w:p>
    <w:p w14:paraId="3DA0C418">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（四）如中标人因污水排放不达标或操作不规范被相关执法部门处罚，由中标人全责承担，与招标人无关。</w:t>
      </w:r>
    </w:p>
    <w:p w14:paraId="788ACD7A">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五）中标人应承担，包括人员住宿场所、计划生育、综合治理、刑事、民事、工伤、社保、员工劳保福利等的全部责任。如中标人的工作人员发生违法、违规行为，所造成一切后果及损失，由中标人承担责任和负责赔偿。</w:t>
      </w:r>
    </w:p>
    <w:p w14:paraId="233EE731">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（六）招标人对岗位设置、工作人员选用与日常管理具有监督权和协调权。中标人必须保证派驻工作人员的稳定性，如有工作人员调离，需提前书面通知招标人。</w:t>
      </w:r>
    </w:p>
    <w:p w14:paraId="33EA548A">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（七）中标人应向工作人员提供业务知识培训，特种工岗位需持证上岗。</w:t>
      </w:r>
    </w:p>
    <w:p w14:paraId="0131B95B">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（八）中标人根据不同的工种配备相应的工作服装，并有工作号牌等标识物及必要的装备，中标人需负责各工作人员的制服、劳动工具、个人劳动防护用品等。</w:t>
      </w:r>
    </w:p>
    <w:p w14:paraId="1A417E8F">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九）中标人须要求工作人员遵守招标人相关规章制度规定，服从招标人指挥和合理的工作安排，如有违反或损害招标人利益的，招标人有权拒绝中标人违规的工作人员在此工作，问题严重的，有权终止合同，一切责任由中标人承担。</w:t>
      </w:r>
    </w:p>
    <w:p w14:paraId="2DFD9F26">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（十）完成招标人提出的临时性后勤工作任务。</w:t>
      </w:r>
    </w:p>
    <w:p w14:paraId="22A3FCF9">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（十一）工作人员工资不得低于当前广州市企业职工最低工资标准。</w:t>
      </w:r>
    </w:p>
    <w:p w14:paraId="6BBCCC8E">
      <w:pPr>
        <w:pStyle w:val="7"/>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（十二）工作人员薪金待遇等要符合当前广州市劳动用工现行政策法规，请投标人充分考虑服务期内物价水平及人员薪金的调整因素，如因用工引起的劳动纠纷问题由中标人负责解决。</w:t>
      </w:r>
      <w:bookmarkStart w:id="20" w:name="_Toc307388876"/>
      <w:bookmarkStart w:id="21" w:name="_Toc307475521"/>
    </w:p>
    <w:p w14:paraId="6E8FD19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highlight w:val="none"/>
          <w:lang w:val="en-US" w:eastAsia="zh-CN"/>
        </w:rPr>
      </w:pPr>
      <w:bookmarkStart w:id="22" w:name="_Toc410197448"/>
      <w:r>
        <w:rPr>
          <w:rFonts w:hint="eastAsia" w:ascii="黑体" w:hAnsi="黑体" w:eastAsia="黑体" w:cs="黑体"/>
          <w:b w:val="0"/>
          <w:bCs/>
          <w:sz w:val="32"/>
          <w:szCs w:val="32"/>
          <w:highlight w:val="none"/>
          <w:lang w:val="en-US" w:eastAsia="zh-CN"/>
        </w:rPr>
        <w:t>十、运营服务费范围及支付方式</w:t>
      </w:r>
      <w:bookmarkEnd w:id="20"/>
      <w:bookmarkEnd w:id="21"/>
      <w:bookmarkEnd w:id="22"/>
    </w:p>
    <w:p w14:paraId="1A168FE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一）运营服务费范围：本项目为运营总价包干项目，项目费用包括服务期内项目最大进水量不超过600m³/d的人工费、委托运营服务费用、设施设备的日常维护保养、日常化验检测及常规环保监测费用、运营期间产生的化学药剂费用、污泥处置费、在线监测设备的废液处理费用、在线监测设备日常运行维护、维护护栏和卫生间以及投标人认为为完成本项目服务必要的其他费用，不含水电费。</w:t>
      </w:r>
    </w:p>
    <w:p w14:paraId="0DD1F59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二）运营服务费支付方式：服务费每三个月支付一次。招标人在每次支付的第三个月底收到中标人开具的增值税专用发票后15天内支付费用（如遇节假日顺延至下一个工作日）。如中标人提供的服务不足三个月的服务周期，则按日计算服务费。</w:t>
      </w:r>
    </w:p>
    <w:p w14:paraId="35235BAE">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left"/>
        <w:textAlignment w:val="auto"/>
        <w:rPr>
          <w:rFonts w:hint="eastAsia" w:ascii="方正小标宋简体" w:hAnsi="方正小标宋简体" w:eastAsia="方正小标宋简体" w:cs="方正小标宋简体"/>
          <w:b w:val="0"/>
          <w:kern w:val="2"/>
          <w:sz w:val="44"/>
          <w:szCs w:val="44"/>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br w:type="page"/>
      </w:r>
    </w:p>
    <w:p w14:paraId="54D7A2F9">
      <w:pPr>
        <w:numPr>
          <w:ilvl w:val="0"/>
          <w:numId w:val="0"/>
        </w:numPr>
        <w:spacing w:line="360" w:lineRule="auto"/>
        <w:jc w:val="center"/>
        <w:outlineLvl w:val="0"/>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kern w:val="2"/>
          <w:sz w:val="44"/>
          <w:szCs w:val="44"/>
          <w:lang w:val="en-US" w:eastAsia="zh-CN" w:bidi="ar-SA"/>
        </w:rPr>
        <w:t xml:space="preserve">第三部分 </w:t>
      </w:r>
      <w:r>
        <w:rPr>
          <w:rFonts w:hint="eastAsia" w:ascii="方正小标宋简体" w:hAnsi="方正小标宋简体" w:eastAsia="方正小标宋简体" w:cs="方正小标宋简体"/>
          <w:sz w:val="44"/>
          <w:szCs w:val="44"/>
          <w:highlight w:val="none"/>
          <w:lang w:val="en-US" w:eastAsia="zh-CN"/>
        </w:rPr>
        <w:t>投标文件</w:t>
      </w:r>
    </w:p>
    <w:p w14:paraId="147984A9">
      <w:pPr>
        <w:numPr>
          <w:ilvl w:val="-1"/>
          <w:numId w:val="0"/>
        </w:numPr>
        <w:spacing w:line="360" w:lineRule="auto"/>
        <w:ind w:firstLine="0" w:firstLineChars="0"/>
        <w:jc w:val="center"/>
        <w:outlineLvl w:val="1"/>
        <w:rPr>
          <w:rFonts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val="en-US" w:eastAsia="zh-CN"/>
        </w:rPr>
        <w:t>一、</w:t>
      </w:r>
      <w:r>
        <w:rPr>
          <w:rFonts w:hint="eastAsia" w:ascii="方正小标宋简体" w:hAnsi="方正小标宋简体" w:eastAsia="方正小标宋简体" w:cs="方正小标宋简体"/>
          <w:sz w:val="44"/>
          <w:szCs w:val="44"/>
          <w:highlight w:val="none"/>
        </w:rPr>
        <w:t>投标函</w:t>
      </w:r>
    </w:p>
    <w:p w14:paraId="1061CF48">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 xml:space="preserve">致：广州南沙口岸服务有限公司        </w:t>
      </w:r>
    </w:p>
    <w:p w14:paraId="31B1CF29">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根据贵公司的</w:t>
      </w:r>
      <w:r>
        <w:rPr>
          <w:rFonts w:hint="eastAsia" w:ascii="仿宋_GB2312" w:hAnsi="仿宋_GB2312" w:eastAsia="仿宋_GB2312" w:cs="仿宋_GB2312"/>
          <w:sz w:val="32"/>
          <w:szCs w:val="32"/>
          <w:highlight w:val="none"/>
          <w:u w:val="single"/>
        </w:rPr>
        <w:t>广州南沙综合保税区加工区污水站运营项目</w:t>
      </w:r>
      <w:r>
        <w:rPr>
          <w:rFonts w:hint="eastAsia" w:ascii="仿宋_GB2312" w:hAnsi="仿宋_GB2312" w:eastAsia="仿宋_GB2312" w:cs="仿宋_GB2312"/>
          <w:b w:val="0"/>
          <w:kern w:val="2"/>
          <w:sz w:val="32"/>
          <w:szCs w:val="32"/>
          <w:highlight w:val="none"/>
          <w:lang w:val="en-US" w:eastAsia="zh-CN" w:bidi="ar-SA"/>
        </w:rPr>
        <w:t>（项目名称），正式授权</w:t>
      </w:r>
      <w:r>
        <w:rPr>
          <w:rFonts w:hint="eastAsia" w:ascii="仿宋_GB2312" w:hAnsi="仿宋_GB2312" w:eastAsia="仿宋_GB2312" w:cs="仿宋_GB2312"/>
          <w:b w:val="0"/>
          <w:kern w:val="2"/>
          <w:sz w:val="32"/>
          <w:szCs w:val="32"/>
          <w:highlight w:val="none"/>
          <w:u w:val="single"/>
          <w:lang w:val="en-US" w:eastAsia="zh-CN" w:bidi="ar-SA"/>
        </w:rPr>
        <w:t xml:space="preserve">        </w:t>
      </w:r>
      <w:r>
        <w:rPr>
          <w:rFonts w:hint="eastAsia" w:ascii="仿宋_GB2312" w:hAnsi="仿宋_GB2312" w:eastAsia="仿宋_GB2312" w:cs="仿宋_GB2312"/>
          <w:b w:val="0"/>
          <w:kern w:val="2"/>
          <w:sz w:val="32"/>
          <w:szCs w:val="32"/>
          <w:highlight w:val="none"/>
          <w:lang w:val="en-US" w:eastAsia="zh-CN" w:bidi="ar-SA"/>
        </w:rPr>
        <w:t>（姓名和职务）代表投标人</w:t>
      </w:r>
      <w:r>
        <w:rPr>
          <w:rFonts w:hint="eastAsia" w:ascii="仿宋_GB2312" w:hAnsi="仿宋_GB2312" w:eastAsia="仿宋_GB2312" w:cs="仿宋_GB2312"/>
          <w:b w:val="0"/>
          <w:kern w:val="2"/>
          <w:sz w:val="32"/>
          <w:szCs w:val="32"/>
          <w:highlight w:val="none"/>
          <w:u w:val="single"/>
          <w:lang w:val="en-US" w:eastAsia="zh-CN" w:bidi="ar-SA"/>
        </w:rPr>
        <w:t xml:space="preserve">          </w:t>
      </w:r>
      <w:r>
        <w:rPr>
          <w:rFonts w:hint="eastAsia" w:ascii="仿宋_GB2312" w:hAnsi="仿宋_GB2312" w:eastAsia="仿宋_GB2312" w:cs="仿宋_GB2312"/>
          <w:b w:val="0"/>
          <w:kern w:val="2"/>
          <w:sz w:val="32"/>
          <w:szCs w:val="32"/>
          <w:highlight w:val="none"/>
          <w:lang w:val="en-US" w:eastAsia="zh-CN" w:bidi="ar-SA"/>
        </w:rPr>
        <w:t>（投标单位的名称），提交下述文件，一式两份。</w:t>
      </w:r>
    </w:p>
    <w:p w14:paraId="45ED0840">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rPr>
        <w:t>一、投标函</w:t>
      </w:r>
    </w:p>
    <w:p w14:paraId="1DF31899">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rPr>
        <w:t>二、</w:t>
      </w:r>
      <w:r>
        <w:rPr>
          <w:rFonts w:hint="eastAsia" w:ascii="黑体" w:hAnsi="黑体" w:eastAsia="黑体" w:cs="黑体"/>
          <w:sz w:val="32"/>
          <w:szCs w:val="32"/>
          <w:highlight w:val="none"/>
          <w:lang w:val="en-US" w:eastAsia="zh-CN"/>
        </w:rPr>
        <w:t>资格声明函</w:t>
      </w:r>
    </w:p>
    <w:p w14:paraId="1F1260CE">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lang w:val="en-US" w:eastAsia="zh-CN"/>
        </w:rPr>
        <w:t>三、</w:t>
      </w:r>
      <w:r>
        <w:rPr>
          <w:rFonts w:hint="eastAsia" w:ascii="黑体" w:hAnsi="黑体" w:eastAsia="黑体" w:cs="黑体"/>
          <w:sz w:val="32"/>
          <w:szCs w:val="32"/>
          <w:highlight w:val="none"/>
        </w:rPr>
        <w:t>关联性承诺函</w:t>
      </w:r>
    </w:p>
    <w:p w14:paraId="4DA2958E">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黑体" w:hAnsi="黑体" w:eastAsia="黑体" w:cs="黑体"/>
          <w:sz w:val="32"/>
          <w:szCs w:val="32"/>
          <w:highlight w:val="none"/>
          <w:lang w:val="en-US" w:eastAsia="zh-CN"/>
        </w:rPr>
        <w:t>四</w:t>
      </w:r>
      <w:r>
        <w:rPr>
          <w:rFonts w:hint="eastAsia" w:ascii="黑体" w:hAnsi="黑体" w:eastAsia="黑体" w:cs="黑体"/>
          <w:sz w:val="32"/>
          <w:szCs w:val="32"/>
          <w:highlight w:val="none"/>
        </w:rPr>
        <w:t>、资质证明文件：</w:t>
      </w:r>
      <w:r>
        <w:rPr>
          <w:rFonts w:hint="eastAsia" w:ascii="仿宋_GB2312" w:hAnsi="仿宋_GB2312" w:eastAsia="仿宋_GB2312" w:cs="仿宋_GB2312"/>
          <w:b w:val="0"/>
          <w:kern w:val="2"/>
          <w:sz w:val="32"/>
          <w:szCs w:val="32"/>
          <w:highlight w:val="none"/>
          <w:lang w:val="en-US" w:eastAsia="zh-CN" w:bidi="ar-SA"/>
        </w:rPr>
        <w:t>有效的营业执照</w:t>
      </w:r>
      <w:r>
        <w:rPr>
          <w:rFonts w:hint="eastAsia" w:ascii="仿宋_GB2312" w:hAnsi="仿宋_GB2312" w:eastAsia="仿宋_GB2312" w:cs="仿宋_GB2312"/>
          <w:sz w:val="32"/>
          <w:szCs w:val="32"/>
          <w:highlight w:val="none"/>
        </w:rPr>
        <w:t>或法人登记证书</w:t>
      </w:r>
      <w:r>
        <w:rPr>
          <w:rFonts w:hint="eastAsia" w:ascii="仿宋_GB2312" w:hAnsi="仿宋_GB2312" w:eastAsia="仿宋_GB2312" w:cs="仿宋_GB2312"/>
          <w:b w:val="0"/>
          <w:kern w:val="2"/>
          <w:sz w:val="32"/>
          <w:szCs w:val="32"/>
          <w:highlight w:val="none"/>
          <w:lang w:val="en-US" w:eastAsia="zh-CN" w:bidi="ar-SA"/>
        </w:rPr>
        <w:t>复印件、</w:t>
      </w:r>
      <w:r>
        <w:rPr>
          <w:rFonts w:hint="eastAsia" w:ascii="仿宋_GB2312" w:hAnsi="仿宋_GB2312" w:eastAsia="仿宋_GB2312" w:cs="仿宋_GB2312"/>
          <w:b w:val="0"/>
          <w:sz w:val="32"/>
          <w:szCs w:val="32"/>
          <w:highlight w:val="none"/>
        </w:rPr>
        <w:t>法定代表人</w:t>
      </w:r>
      <w:r>
        <w:rPr>
          <w:rFonts w:hint="eastAsia" w:ascii="仿宋_GB2312" w:hAnsi="仿宋_GB2312" w:eastAsia="仿宋_GB2312" w:cs="仿宋_GB2312"/>
          <w:b w:val="0"/>
          <w:sz w:val="32"/>
          <w:szCs w:val="32"/>
          <w:highlight w:val="none"/>
          <w:lang w:val="en-US" w:eastAsia="zh-CN"/>
        </w:rPr>
        <w:t>证明书、</w:t>
      </w:r>
      <w:r>
        <w:rPr>
          <w:rFonts w:hint="eastAsia" w:ascii="仿宋_GB2312" w:hAnsi="仿宋_GB2312" w:eastAsia="仿宋_GB2312" w:cs="仿宋_GB2312"/>
          <w:b w:val="0"/>
          <w:kern w:val="2"/>
          <w:sz w:val="32"/>
          <w:szCs w:val="32"/>
          <w:highlight w:val="none"/>
          <w:lang w:val="en-US" w:eastAsia="zh-CN" w:bidi="ar-SA"/>
        </w:rPr>
        <w:t>法定代表人身份证复印件、</w:t>
      </w:r>
      <w:r>
        <w:rPr>
          <w:rFonts w:hint="eastAsia" w:ascii="仿宋_GB2312" w:hAnsi="仿宋_GB2312" w:eastAsia="仿宋_GB2312" w:cs="仿宋_GB2312"/>
          <w:b w:val="0"/>
          <w:sz w:val="32"/>
          <w:szCs w:val="32"/>
          <w:highlight w:val="none"/>
        </w:rPr>
        <w:t>法定代表人</w:t>
      </w:r>
      <w:r>
        <w:rPr>
          <w:rFonts w:hint="eastAsia" w:ascii="仿宋_GB2312" w:hAnsi="仿宋_GB2312" w:eastAsia="仿宋_GB2312" w:cs="仿宋_GB2312"/>
          <w:b w:val="0"/>
          <w:kern w:val="2"/>
          <w:sz w:val="32"/>
          <w:szCs w:val="32"/>
          <w:highlight w:val="none"/>
          <w:lang w:val="en-US" w:eastAsia="zh-CN" w:bidi="ar-SA"/>
        </w:rPr>
        <w:t>授权委托书、受委托人身份证复印件、近三年税收证明。</w:t>
      </w:r>
    </w:p>
    <w:p w14:paraId="63081772">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五</w:t>
      </w:r>
      <w:r>
        <w:rPr>
          <w:rFonts w:hint="eastAsia" w:ascii="黑体" w:hAnsi="黑体" w:eastAsia="黑体" w:cs="黑体"/>
          <w:sz w:val="32"/>
          <w:szCs w:val="32"/>
          <w:highlight w:val="none"/>
        </w:rPr>
        <w:t>、</w:t>
      </w:r>
      <w:r>
        <w:rPr>
          <w:rFonts w:hint="eastAsia" w:ascii="黑体" w:hAnsi="黑体" w:eastAsia="黑体" w:cs="黑体"/>
          <w:sz w:val="32"/>
          <w:szCs w:val="32"/>
          <w:highlight w:val="none"/>
          <w:lang w:val="en-US" w:eastAsia="zh-CN"/>
        </w:rPr>
        <w:t>报价明细表</w:t>
      </w:r>
    </w:p>
    <w:p w14:paraId="02E47629">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lang w:val="en-US" w:eastAsia="zh-CN"/>
        </w:rPr>
        <w:t>六、</w:t>
      </w:r>
      <w:r>
        <w:rPr>
          <w:rFonts w:hint="eastAsia" w:ascii="黑体" w:hAnsi="黑体" w:eastAsia="黑体" w:cs="黑体"/>
          <w:sz w:val="32"/>
          <w:szCs w:val="32"/>
          <w:highlight w:val="none"/>
        </w:rPr>
        <w:t>同类型业绩证明材料</w:t>
      </w:r>
    </w:p>
    <w:p w14:paraId="09729D2B">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lang w:val="en-US" w:eastAsia="zh-CN"/>
        </w:rPr>
        <w:t>七</w:t>
      </w:r>
      <w:r>
        <w:rPr>
          <w:rFonts w:hint="eastAsia" w:ascii="黑体" w:hAnsi="黑体" w:eastAsia="黑体" w:cs="黑体"/>
          <w:sz w:val="32"/>
          <w:szCs w:val="32"/>
          <w:highlight w:val="none"/>
        </w:rPr>
        <w:t>、项目运营方案</w:t>
      </w:r>
    </w:p>
    <w:p w14:paraId="144E0B1C">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lang w:val="en-US" w:eastAsia="zh-CN"/>
        </w:rPr>
        <w:t>八</w:t>
      </w:r>
      <w:r>
        <w:rPr>
          <w:rFonts w:hint="eastAsia" w:ascii="黑体" w:hAnsi="黑体" w:eastAsia="黑体" w:cs="黑体"/>
          <w:sz w:val="32"/>
          <w:szCs w:val="32"/>
          <w:highlight w:val="none"/>
        </w:rPr>
        <w:t>、据此函，投标人兹宣布同意如下：</w:t>
      </w:r>
    </w:p>
    <w:p w14:paraId="7D61E3B4">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（一）我方将按招标文件的规定履行协议责任和义务。</w:t>
      </w:r>
    </w:p>
    <w:p w14:paraId="3FA35F91">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（二）我方已详细了解招标文件及其有效补充文件的所有内容，</w:t>
      </w:r>
      <w:r>
        <w:rPr>
          <w:rFonts w:hint="eastAsia" w:ascii="仿宋_GB2312" w:hAnsi="仿宋_GB2312" w:eastAsia="仿宋_GB2312" w:cs="仿宋_GB2312"/>
          <w:sz w:val="32"/>
          <w:szCs w:val="32"/>
          <w:highlight w:val="none"/>
        </w:rPr>
        <w:t>我方完全明白并认为此磋商文件没有倾向性，也不存在排斥潜在供应商的内容，我方同意磋商文件的相关条款，放弃对磋商文件提出误解和质疑的一切权力。</w:t>
      </w:r>
    </w:p>
    <w:p w14:paraId="43ABB064">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（三）我方同意从规定的开标日期起遵循本投标文件，并在规定的投标有效期期满之前，本投标文件始终对我方具有约束力；如果中标,本次招标文件和本投标文件将作为协议的附件。</w:t>
      </w:r>
    </w:p>
    <w:p w14:paraId="249B0062">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（四）我方同意向招标人提供贵方可能另外要求的与投标有关的任何证据或资料。</w:t>
      </w:r>
    </w:p>
    <w:p w14:paraId="5652C38B">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（五）一旦我方中标,我们愿意履行自己在投标文件中的全部承诺和责任。</w:t>
      </w:r>
    </w:p>
    <w:p w14:paraId="7A858F42">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（六）我方愿意遵守招标文件中对投标人的所有规定。</w:t>
      </w:r>
    </w:p>
    <w:p w14:paraId="27AB3146">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（七）我方完全理解贵公司有保留在授标之前任何时候接受或拒绝任何投标，以及宣布招标程序无效或拒绝所有投标的权力。我们完全理解贵公司无向未中标人解释未中标理由的义务。</w:t>
      </w:r>
    </w:p>
    <w:p w14:paraId="6636177C">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（八）我方完全理解贵公司不一定以最低价确定中标单位。</w:t>
      </w:r>
    </w:p>
    <w:p w14:paraId="0F698650">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（九）我方知道如用虚假材料或恶意方式向贵公司提出质疑的话，将承担相应的法律责任。同时，我们承诺：我们如果有上述行为的话，我们将无条件承担贵公司相关的调查论证费用。</w:t>
      </w:r>
    </w:p>
    <w:p w14:paraId="21DC4DA5">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（十）我方承诺满足合格的投标人资格要求。</w:t>
      </w:r>
    </w:p>
    <w:p w14:paraId="67FC78EF">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（十一）与本投标有关的正式通讯地址为：</w:t>
      </w:r>
    </w:p>
    <w:p w14:paraId="58119FFC">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地址：</w:t>
      </w:r>
    </w:p>
    <w:p w14:paraId="606120D1">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电话：</w:t>
      </w:r>
    </w:p>
    <w:p w14:paraId="63653301">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投标人名称（盖章）：</w:t>
      </w:r>
    </w:p>
    <w:p w14:paraId="6CAE84F8">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法定代表人或授权代表（签字或签章）：</w:t>
      </w:r>
    </w:p>
    <w:p w14:paraId="1CEFD9E7">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日    期：        年      月      日</w:t>
      </w:r>
    </w:p>
    <w:p w14:paraId="77EC474E">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52E0D6EA">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6EBA5992">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60B361DD">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4AF248BE">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仿宋" w:hAnsi="仿宋" w:eastAsia="仿宋" w:cs="仿宋"/>
          <w:b/>
          <w:sz w:val="32"/>
          <w:szCs w:val="32"/>
          <w:highlight w:val="none"/>
        </w:rPr>
      </w:pPr>
      <w:r>
        <w:rPr>
          <w:rFonts w:hint="eastAsia" w:ascii="仿宋" w:hAnsi="仿宋" w:eastAsia="仿宋" w:cs="仿宋"/>
          <w:sz w:val="32"/>
          <w:szCs w:val="32"/>
          <w:highlight w:val="none"/>
        </w:rPr>
        <w:br w:type="page"/>
      </w:r>
    </w:p>
    <w:p w14:paraId="4DE51491">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after="150" w:line="360" w:lineRule="auto"/>
        <w:jc w:val="center"/>
        <w:textAlignment w:val="auto"/>
        <w:outlineLvl w:val="1"/>
        <w:rPr>
          <w:rFonts w:hint="eastAsia" w:ascii="方正小标宋简体" w:hAnsi="方正小标宋简体" w:eastAsia="方正小标宋简体" w:cs="方正小标宋简体"/>
          <w:b w:val="0"/>
          <w:bCs w:val="0"/>
          <w:color w:val="auto"/>
          <w:kern w:val="0"/>
          <w:sz w:val="44"/>
          <w:szCs w:val="44"/>
          <w:highlight w:val="none"/>
          <w:lang w:val="en-US" w:eastAsia="zh-CN"/>
        </w:rPr>
      </w:pPr>
      <w:r>
        <w:rPr>
          <w:rFonts w:hint="eastAsia" w:ascii="方正小标宋简体" w:hAnsi="方正小标宋简体" w:eastAsia="方正小标宋简体" w:cs="方正小标宋简体"/>
          <w:b w:val="0"/>
          <w:bCs w:val="0"/>
          <w:color w:val="auto"/>
          <w:kern w:val="0"/>
          <w:sz w:val="44"/>
          <w:szCs w:val="44"/>
          <w:lang w:val="en-US" w:eastAsia="zh-CN" w:bidi="ar-SA"/>
        </w:rPr>
        <w:t>二、</w:t>
      </w:r>
      <w:r>
        <w:rPr>
          <w:rFonts w:hint="eastAsia" w:ascii="方正小标宋简体" w:hAnsi="方正小标宋简体" w:eastAsia="方正小标宋简体" w:cs="方正小标宋简体"/>
          <w:b w:val="0"/>
          <w:bCs w:val="0"/>
          <w:color w:val="auto"/>
          <w:kern w:val="0"/>
          <w:sz w:val="44"/>
          <w:szCs w:val="44"/>
          <w:highlight w:val="none"/>
          <w:lang w:val="en-US" w:eastAsia="zh-CN"/>
        </w:rPr>
        <w:t>资格声明函</w:t>
      </w:r>
    </w:p>
    <w:p w14:paraId="47CBCB04">
      <w:pPr>
        <w:snapToGrid w:val="0"/>
        <w:spacing w:line="360" w:lineRule="auto"/>
        <w:rPr>
          <w:rFonts w:hint="eastAsia" w:ascii="仿宋_GB2312" w:hAnsi="仿宋_GB2312" w:eastAsia="仿宋_GB2312" w:cs="仿宋_GB2312"/>
          <w:b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广州南沙口岸服务有限公司</w:t>
      </w:r>
      <w:r>
        <w:rPr>
          <w:rFonts w:hint="eastAsia" w:ascii="仿宋_GB2312" w:hAnsi="仿宋_GB2312" w:eastAsia="仿宋_GB2312" w:cs="仿宋_GB2312"/>
          <w:b w:val="0"/>
          <w:sz w:val="32"/>
          <w:szCs w:val="32"/>
          <w:highlight w:val="none"/>
          <w:u w:val="none"/>
        </w:rPr>
        <w:t>：</w:t>
      </w:r>
    </w:p>
    <w:p w14:paraId="29351019">
      <w:pPr>
        <w:snapToGrid w:val="0"/>
        <w:spacing w:line="360" w:lineRule="auto"/>
        <w:ind w:firstLine="640" w:firstLineChars="200"/>
        <w:rPr>
          <w:rFonts w:hint="eastAsia" w:ascii="仿宋_GB2312" w:hAnsi="仿宋_GB2312" w:eastAsia="仿宋_GB2312" w:cs="仿宋_GB2312"/>
          <w:sz w:val="32"/>
          <w:szCs w:val="32"/>
          <w:highlight w:val="none"/>
          <w:u w:val="none"/>
        </w:rPr>
      </w:pPr>
      <w:r>
        <w:rPr>
          <w:rFonts w:hint="eastAsia" w:ascii="仿宋_GB2312" w:hAnsi="仿宋_GB2312" w:eastAsia="仿宋_GB2312" w:cs="仿宋_GB2312"/>
          <w:sz w:val="32"/>
          <w:szCs w:val="32"/>
          <w:highlight w:val="none"/>
          <w:u w:val="none"/>
        </w:rPr>
        <w:t>关于贵公司</w:t>
      </w:r>
      <w:r>
        <w:rPr>
          <w:rFonts w:hint="eastAsia" w:ascii="仿宋_GB2312" w:hAnsi="仿宋_GB2312" w:eastAsia="仿宋_GB2312" w:cs="仿宋_GB2312"/>
          <w:sz w:val="32"/>
          <w:szCs w:val="32"/>
          <w:highlight w:val="none"/>
          <w:u w:val="none"/>
          <w:lang w:val="en-US" w:eastAsia="zh-CN"/>
        </w:rPr>
        <w:t>组织招标的</w:t>
      </w:r>
      <w:r>
        <w:rPr>
          <w:rFonts w:hint="eastAsia" w:ascii="仿宋_GB2312" w:hAnsi="仿宋_GB2312" w:eastAsia="仿宋_GB2312" w:cs="仿宋_GB2312"/>
          <w:b w:val="0"/>
          <w:bCs w:val="0"/>
          <w:sz w:val="32"/>
          <w:szCs w:val="32"/>
          <w:highlight w:val="none"/>
          <w:u w:val="single"/>
          <w:lang w:eastAsia="zh-CN"/>
        </w:rPr>
        <w:t>（</w:t>
      </w:r>
      <w:r>
        <w:rPr>
          <w:rFonts w:hint="eastAsia" w:ascii="仿宋_GB2312" w:hAnsi="仿宋_GB2312" w:eastAsia="仿宋_GB2312" w:cs="仿宋_GB2312"/>
          <w:b w:val="0"/>
          <w:bCs w:val="0"/>
          <w:sz w:val="32"/>
          <w:szCs w:val="32"/>
          <w:highlight w:val="none"/>
          <w:u w:val="single"/>
          <w:lang w:val="en-US" w:eastAsia="zh-CN"/>
        </w:rPr>
        <w:t>项目名称</w:t>
      </w:r>
      <w:r>
        <w:rPr>
          <w:rFonts w:hint="eastAsia" w:ascii="仿宋_GB2312" w:hAnsi="仿宋_GB2312" w:eastAsia="仿宋_GB2312" w:cs="仿宋_GB2312"/>
          <w:b w:val="0"/>
          <w:bCs w:val="0"/>
          <w:sz w:val="32"/>
          <w:szCs w:val="32"/>
          <w:highlight w:val="none"/>
          <w:u w:val="single"/>
          <w:lang w:eastAsia="zh-CN"/>
        </w:rPr>
        <w:t>）</w:t>
      </w:r>
      <w:r>
        <w:rPr>
          <w:rFonts w:hint="eastAsia" w:ascii="仿宋_GB2312" w:hAnsi="仿宋_GB2312" w:eastAsia="仿宋_GB2312" w:cs="仿宋_GB2312"/>
          <w:sz w:val="32"/>
          <w:szCs w:val="32"/>
          <w:highlight w:val="none"/>
          <w:u w:val="none"/>
        </w:rPr>
        <w:t>的</w:t>
      </w:r>
      <w:r>
        <w:rPr>
          <w:rFonts w:hint="eastAsia" w:ascii="仿宋_GB2312" w:hAnsi="仿宋_GB2312" w:eastAsia="仿宋_GB2312" w:cs="仿宋_GB2312"/>
          <w:sz w:val="32"/>
          <w:szCs w:val="32"/>
          <w:highlight w:val="none"/>
          <w:u w:val="none"/>
          <w:lang w:val="en-US" w:eastAsia="zh-CN"/>
        </w:rPr>
        <w:t>招标文件</w:t>
      </w:r>
      <w:r>
        <w:rPr>
          <w:rFonts w:hint="eastAsia" w:ascii="仿宋_GB2312" w:hAnsi="仿宋_GB2312" w:eastAsia="仿宋_GB2312" w:cs="仿宋_GB2312"/>
          <w:sz w:val="32"/>
          <w:szCs w:val="32"/>
          <w:highlight w:val="none"/>
          <w:u w:val="none"/>
        </w:rPr>
        <w:t>，本</w:t>
      </w:r>
      <w:r>
        <w:rPr>
          <w:rFonts w:hint="eastAsia" w:ascii="仿宋_GB2312" w:hAnsi="仿宋_GB2312" w:eastAsia="仿宋_GB2312" w:cs="仿宋_GB2312"/>
          <w:sz w:val="32"/>
          <w:szCs w:val="32"/>
          <w:highlight w:val="none"/>
          <w:u w:val="none"/>
          <w:lang w:val="en-US" w:eastAsia="zh-CN"/>
        </w:rPr>
        <w:t>公司已理解并</w:t>
      </w:r>
      <w:r>
        <w:rPr>
          <w:rFonts w:hint="eastAsia" w:ascii="仿宋_GB2312" w:hAnsi="仿宋_GB2312" w:eastAsia="仿宋_GB2312" w:cs="仿宋_GB2312"/>
          <w:sz w:val="32"/>
          <w:szCs w:val="32"/>
          <w:highlight w:val="none"/>
          <w:u w:val="none"/>
        </w:rPr>
        <w:t>愿意参</w:t>
      </w:r>
      <w:r>
        <w:rPr>
          <w:rFonts w:hint="eastAsia" w:ascii="仿宋_GB2312" w:hAnsi="仿宋_GB2312" w:eastAsia="仿宋_GB2312" w:cs="仿宋_GB2312"/>
          <w:sz w:val="32"/>
          <w:szCs w:val="32"/>
          <w:highlight w:val="none"/>
          <w:u w:val="none"/>
          <w:lang w:val="en-US" w:eastAsia="zh-CN"/>
        </w:rPr>
        <w:t>与投标</w:t>
      </w:r>
      <w:r>
        <w:rPr>
          <w:rFonts w:hint="eastAsia" w:ascii="仿宋_GB2312" w:hAnsi="仿宋_GB2312" w:eastAsia="仿宋_GB2312" w:cs="仿宋_GB2312"/>
          <w:sz w:val="32"/>
          <w:szCs w:val="32"/>
          <w:highlight w:val="none"/>
          <w:u w:val="none"/>
        </w:rPr>
        <w:t>，并声明本</w:t>
      </w:r>
      <w:r>
        <w:rPr>
          <w:rFonts w:hint="eastAsia" w:ascii="仿宋_GB2312" w:hAnsi="仿宋_GB2312" w:eastAsia="仿宋_GB2312" w:cs="仿宋_GB2312"/>
          <w:sz w:val="32"/>
          <w:szCs w:val="32"/>
          <w:highlight w:val="none"/>
          <w:u w:val="none"/>
          <w:lang w:val="en-US" w:eastAsia="zh-CN"/>
        </w:rPr>
        <w:t>公司</w:t>
      </w:r>
      <w:r>
        <w:rPr>
          <w:rFonts w:hint="eastAsia" w:ascii="仿宋_GB2312" w:hAnsi="仿宋_GB2312" w:eastAsia="仿宋_GB2312" w:cs="仿宋_GB2312"/>
          <w:bCs w:val="0"/>
          <w:sz w:val="32"/>
          <w:szCs w:val="32"/>
          <w:highlight w:val="none"/>
          <w:u w:val="none"/>
        </w:rPr>
        <w:t>具备</w:t>
      </w:r>
      <w:r>
        <w:rPr>
          <w:rFonts w:hint="eastAsia" w:ascii="仿宋_GB2312" w:hAnsi="仿宋_GB2312" w:eastAsia="仿宋_GB2312" w:cs="仿宋_GB2312"/>
          <w:bCs w:val="0"/>
          <w:sz w:val="32"/>
          <w:szCs w:val="32"/>
          <w:highlight w:val="none"/>
          <w:u w:val="none"/>
          <w:lang w:val="en-US" w:eastAsia="zh-CN"/>
        </w:rPr>
        <w:t>以下</w:t>
      </w:r>
      <w:r>
        <w:rPr>
          <w:rFonts w:hint="eastAsia" w:ascii="仿宋_GB2312" w:hAnsi="仿宋_GB2312" w:eastAsia="仿宋_GB2312" w:cs="仿宋_GB2312"/>
          <w:bCs w:val="0"/>
          <w:sz w:val="32"/>
          <w:szCs w:val="32"/>
          <w:highlight w:val="none"/>
          <w:u w:val="none"/>
        </w:rPr>
        <w:t>条件</w:t>
      </w:r>
      <w:r>
        <w:rPr>
          <w:rFonts w:hint="eastAsia" w:ascii="仿宋_GB2312" w:hAnsi="仿宋_GB2312" w:eastAsia="仿宋_GB2312" w:cs="仿宋_GB2312"/>
          <w:sz w:val="32"/>
          <w:szCs w:val="32"/>
          <w:highlight w:val="none"/>
          <w:u w:val="none"/>
        </w:rPr>
        <w:t>：</w:t>
      </w:r>
    </w:p>
    <w:p w14:paraId="3CABA019">
      <w:pPr>
        <w:ind w:firstLine="640" w:firstLineChars="200"/>
        <w:rPr>
          <w:rFonts w:hint="eastAsia" w:ascii="仿宋_GB2312" w:hAnsi="仿宋_GB2312" w:eastAsia="仿宋_GB2312" w:cs="仿宋_GB2312"/>
          <w:bCs w:val="0"/>
          <w:sz w:val="32"/>
          <w:szCs w:val="32"/>
          <w:highlight w:val="none"/>
          <w:u w:val="none"/>
        </w:rPr>
      </w:pPr>
      <w:r>
        <w:rPr>
          <w:rFonts w:hint="eastAsia" w:ascii="仿宋_GB2312" w:hAnsi="仿宋_GB2312" w:eastAsia="仿宋_GB2312" w:cs="仿宋_GB2312"/>
          <w:bCs w:val="0"/>
          <w:sz w:val="32"/>
          <w:szCs w:val="32"/>
          <w:highlight w:val="none"/>
          <w:u w:val="none"/>
          <w:lang w:eastAsia="zh-CN"/>
        </w:rPr>
        <w:t>（</w:t>
      </w:r>
      <w:r>
        <w:rPr>
          <w:rFonts w:hint="eastAsia" w:ascii="仿宋_GB2312" w:hAnsi="仿宋_GB2312" w:eastAsia="仿宋_GB2312" w:cs="仿宋_GB2312"/>
          <w:bCs w:val="0"/>
          <w:sz w:val="32"/>
          <w:szCs w:val="32"/>
          <w:highlight w:val="none"/>
          <w:u w:val="none"/>
          <w:lang w:val="en-US" w:eastAsia="zh-CN"/>
        </w:rPr>
        <w:t>一</w:t>
      </w:r>
      <w:r>
        <w:rPr>
          <w:rFonts w:hint="eastAsia" w:ascii="仿宋_GB2312" w:hAnsi="仿宋_GB2312" w:eastAsia="仿宋_GB2312" w:cs="仿宋_GB2312"/>
          <w:bCs w:val="0"/>
          <w:sz w:val="32"/>
          <w:szCs w:val="32"/>
          <w:highlight w:val="none"/>
          <w:u w:val="none"/>
          <w:lang w:eastAsia="zh-CN"/>
        </w:rPr>
        <w:t>）</w:t>
      </w:r>
      <w:r>
        <w:rPr>
          <w:rFonts w:hint="eastAsia" w:ascii="仿宋_GB2312" w:hAnsi="仿宋_GB2312" w:eastAsia="仿宋_GB2312" w:cs="仿宋_GB2312"/>
          <w:bCs w:val="0"/>
          <w:sz w:val="32"/>
          <w:szCs w:val="32"/>
          <w:highlight w:val="none"/>
          <w:u w:val="none"/>
        </w:rPr>
        <w:t>具有独立承担民事责任的能力；</w:t>
      </w:r>
    </w:p>
    <w:p w14:paraId="236C62BE">
      <w:pPr>
        <w:pStyle w:val="7"/>
        <w:ind w:firstLine="640" w:firstLineChars="200"/>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eastAsia="zh-CN"/>
        </w:rPr>
        <w:t>（</w:t>
      </w:r>
      <w:r>
        <w:rPr>
          <w:rFonts w:hint="eastAsia" w:ascii="仿宋_GB2312" w:hAnsi="仿宋_GB2312" w:eastAsia="仿宋_GB2312" w:cs="仿宋_GB2312"/>
          <w:b w:val="0"/>
          <w:sz w:val="32"/>
          <w:szCs w:val="32"/>
          <w:highlight w:val="none"/>
          <w:lang w:val="en-US" w:eastAsia="zh-CN"/>
        </w:rPr>
        <w:t>二）有依法缴纳税收和社会保障资金的良好记录；</w:t>
      </w:r>
    </w:p>
    <w:p w14:paraId="328E4DD7">
      <w:pPr>
        <w:pStyle w:val="7"/>
        <w:ind w:firstLine="640" w:firstLineChars="200"/>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（三）具有良好的商业信誉和健全的财务会计制度；</w:t>
      </w:r>
    </w:p>
    <w:p w14:paraId="0ABA2ECE">
      <w:pPr>
        <w:pStyle w:val="8"/>
        <w:spacing w:before="0" w:after="0"/>
        <w:ind w:firstLine="640" w:firstLineChars="200"/>
        <w:jc w:val="both"/>
        <w:outlineLvl w:val="9"/>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（四）具备</w:t>
      </w:r>
      <w:r>
        <w:rPr>
          <w:rFonts w:hint="eastAsia" w:ascii="仿宋_GB2312" w:hAnsi="仿宋_GB2312" w:eastAsia="仿宋_GB2312" w:cs="仿宋_GB2312"/>
          <w:b w:val="0"/>
          <w:highlight w:val="none"/>
        </w:rPr>
        <w:t>履行合同所必需的设备和专业技术能力</w:t>
      </w:r>
      <w:r>
        <w:rPr>
          <w:rFonts w:hint="eastAsia" w:ascii="仿宋_GB2312" w:hAnsi="仿宋_GB2312" w:eastAsia="仿宋_GB2312" w:cs="仿宋_GB2312"/>
          <w:b w:val="0"/>
          <w:sz w:val="32"/>
          <w:szCs w:val="32"/>
          <w:highlight w:val="none"/>
          <w:lang w:val="en-US" w:eastAsia="zh-CN"/>
        </w:rPr>
        <w:t>；</w:t>
      </w:r>
    </w:p>
    <w:p w14:paraId="6306D4AB">
      <w:pPr>
        <w:pStyle w:val="8"/>
        <w:spacing w:before="0" w:after="0"/>
        <w:ind w:firstLine="640" w:firstLineChars="200"/>
        <w:jc w:val="both"/>
        <w:outlineLvl w:val="9"/>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（五）具备法律、法规规定的其他条件；</w:t>
      </w:r>
    </w:p>
    <w:p w14:paraId="235BFCCE">
      <w:pPr>
        <w:ind w:firstLine="640" w:firstLineChars="200"/>
        <w:rPr>
          <w:rFonts w:hint="eastAsia" w:ascii="仿宋_GB2312" w:hAnsi="仿宋_GB2312" w:eastAsia="仿宋_GB2312" w:cs="仿宋_GB2312"/>
          <w:b w:val="0"/>
          <w:sz w:val="32"/>
          <w:szCs w:val="32"/>
          <w:highlight w:val="none"/>
          <w:lang w:val="en-US" w:eastAsia="zh-CN"/>
        </w:rPr>
      </w:pPr>
      <w:r>
        <w:rPr>
          <w:rFonts w:hint="eastAsia" w:ascii="仿宋_GB2312" w:hAnsi="仿宋_GB2312" w:eastAsia="仿宋_GB2312" w:cs="仿宋_GB2312"/>
          <w:b w:val="0"/>
          <w:sz w:val="32"/>
          <w:szCs w:val="32"/>
          <w:highlight w:val="none"/>
          <w:lang w:val="en-US" w:eastAsia="zh-CN"/>
        </w:rPr>
        <w:t>（六）投标截止时间前最近三年内没有骗取中标、严重违约、出现质量不过关等问题。</w:t>
      </w:r>
    </w:p>
    <w:p w14:paraId="67AC2778">
      <w:pPr>
        <w:snapToGrid w:val="0"/>
        <w:spacing w:line="360" w:lineRule="auto"/>
        <w:ind w:firstLine="640" w:firstLineChars="200"/>
        <w:rPr>
          <w:rFonts w:hint="eastAsia" w:ascii="仿宋_GB2312" w:hAnsi="仿宋_GB2312" w:eastAsia="仿宋_GB2312" w:cs="仿宋_GB2312"/>
          <w:sz w:val="32"/>
          <w:szCs w:val="32"/>
          <w:highlight w:val="none"/>
          <w:u w:val="none"/>
        </w:rPr>
      </w:pPr>
      <w:r>
        <w:rPr>
          <w:rFonts w:hint="eastAsia" w:ascii="仿宋_GB2312" w:hAnsi="仿宋_GB2312" w:eastAsia="仿宋_GB2312" w:cs="仿宋_GB2312"/>
          <w:sz w:val="32"/>
          <w:szCs w:val="32"/>
          <w:highlight w:val="none"/>
          <w:u w:val="none"/>
        </w:rPr>
        <w:t>本</w:t>
      </w:r>
      <w:r>
        <w:rPr>
          <w:rFonts w:hint="eastAsia" w:ascii="仿宋_GB2312" w:hAnsi="仿宋_GB2312" w:eastAsia="仿宋_GB2312" w:cs="仿宋_GB2312"/>
          <w:sz w:val="32"/>
          <w:szCs w:val="32"/>
          <w:highlight w:val="none"/>
          <w:u w:val="none"/>
          <w:lang w:val="en-US" w:eastAsia="zh-CN"/>
        </w:rPr>
        <w:t>公司</w:t>
      </w:r>
      <w:r>
        <w:rPr>
          <w:rFonts w:hint="eastAsia" w:ascii="仿宋_GB2312" w:hAnsi="仿宋_GB2312" w:eastAsia="仿宋_GB2312" w:cs="仿宋_GB2312"/>
          <w:sz w:val="32"/>
          <w:szCs w:val="32"/>
          <w:highlight w:val="none"/>
          <w:u w:val="none"/>
        </w:rPr>
        <w:t>承诺在本次</w:t>
      </w:r>
      <w:r>
        <w:rPr>
          <w:rFonts w:hint="eastAsia" w:ascii="仿宋_GB2312" w:hAnsi="仿宋_GB2312" w:eastAsia="仿宋_GB2312" w:cs="仿宋_GB2312"/>
          <w:sz w:val="32"/>
          <w:szCs w:val="32"/>
          <w:highlight w:val="none"/>
          <w:u w:val="none"/>
          <w:lang w:val="en-US" w:eastAsia="zh-CN"/>
        </w:rPr>
        <w:t>招标</w:t>
      </w:r>
      <w:r>
        <w:rPr>
          <w:rFonts w:hint="eastAsia" w:ascii="仿宋_GB2312" w:hAnsi="仿宋_GB2312" w:eastAsia="仿宋_GB2312" w:cs="仿宋_GB2312"/>
          <w:sz w:val="32"/>
          <w:szCs w:val="32"/>
          <w:highlight w:val="none"/>
          <w:u w:val="none"/>
        </w:rPr>
        <w:t>活动中，如有违法、违规、弄虚作假行为，所造成的损失、不良后果及法律责任，一律由我</w:t>
      </w:r>
      <w:r>
        <w:rPr>
          <w:rFonts w:hint="eastAsia" w:ascii="仿宋_GB2312" w:hAnsi="仿宋_GB2312" w:eastAsia="仿宋_GB2312" w:cs="仿宋_GB2312"/>
          <w:sz w:val="32"/>
          <w:szCs w:val="32"/>
          <w:highlight w:val="none"/>
          <w:u w:val="none"/>
          <w:lang w:val="en-US" w:eastAsia="zh-CN"/>
        </w:rPr>
        <w:t>公司</w:t>
      </w:r>
      <w:r>
        <w:rPr>
          <w:rFonts w:hint="eastAsia" w:ascii="仿宋_GB2312" w:hAnsi="仿宋_GB2312" w:eastAsia="仿宋_GB2312" w:cs="仿宋_GB2312"/>
          <w:sz w:val="32"/>
          <w:szCs w:val="32"/>
          <w:highlight w:val="none"/>
          <w:u w:val="none"/>
        </w:rPr>
        <w:t>承担。</w:t>
      </w:r>
    </w:p>
    <w:p w14:paraId="7D667EAB">
      <w:pPr>
        <w:snapToGrid w:val="0"/>
        <w:spacing w:line="360" w:lineRule="auto"/>
        <w:ind w:firstLine="640" w:firstLineChars="200"/>
        <w:rPr>
          <w:rFonts w:hint="eastAsia" w:ascii="仿宋_GB2312" w:hAnsi="仿宋_GB2312" w:eastAsia="仿宋_GB2312" w:cs="仿宋_GB2312"/>
          <w:sz w:val="32"/>
          <w:szCs w:val="32"/>
          <w:highlight w:val="none"/>
          <w:u w:val="none"/>
        </w:rPr>
      </w:pPr>
      <w:r>
        <w:rPr>
          <w:rFonts w:hint="eastAsia" w:ascii="仿宋_GB2312" w:hAnsi="仿宋_GB2312" w:eastAsia="仿宋_GB2312" w:cs="仿宋_GB2312"/>
          <w:sz w:val="32"/>
          <w:szCs w:val="32"/>
          <w:highlight w:val="none"/>
          <w:u w:val="none"/>
        </w:rPr>
        <w:t>特此声明！</w:t>
      </w:r>
    </w:p>
    <w:p w14:paraId="691E6C89">
      <w:pPr>
        <w:snapToGrid w:val="0"/>
        <w:spacing w:line="360" w:lineRule="auto"/>
        <w:rPr>
          <w:rFonts w:hint="eastAsia" w:ascii="仿宋_GB2312" w:hAnsi="仿宋_GB2312" w:eastAsia="仿宋_GB2312" w:cs="仿宋_GB2312"/>
          <w:bCs w:val="0"/>
          <w:sz w:val="32"/>
          <w:szCs w:val="32"/>
          <w:highlight w:val="none"/>
          <w:u w:val="none"/>
        </w:rPr>
      </w:pPr>
    </w:p>
    <w:p w14:paraId="2E5A266F">
      <w:pPr>
        <w:snapToGrid w:val="0"/>
        <w:spacing w:line="360" w:lineRule="auto"/>
        <w:ind w:firstLine="0"/>
        <w:jc w:val="left"/>
        <w:rPr>
          <w:rFonts w:hint="eastAsia" w:ascii="仿宋_GB2312" w:hAnsi="仿宋_GB2312" w:eastAsia="仿宋_GB2312" w:cs="仿宋_GB2312"/>
          <w:sz w:val="32"/>
          <w:szCs w:val="32"/>
          <w:highlight w:val="none"/>
          <w:u w:val="none"/>
        </w:rPr>
      </w:pPr>
      <w:r>
        <w:rPr>
          <w:rFonts w:hint="eastAsia" w:ascii="仿宋_GB2312" w:hAnsi="仿宋_GB2312" w:eastAsia="仿宋_GB2312" w:cs="仿宋_GB2312"/>
          <w:sz w:val="32"/>
          <w:szCs w:val="32"/>
          <w:highlight w:val="none"/>
          <w:u w:val="none"/>
          <w:lang w:val="en-US" w:eastAsia="zh-CN"/>
        </w:rPr>
        <w:t>投标人</w:t>
      </w:r>
      <w:r>
        <w:rPr>
          <w:rFonts w:hint="eastAsia" w:ascii="仿宋_GB2312" w:hAnsi="仿宋_GB2312" w:eastAsia="仿宋_GB2312" w:cs="仿宋_GB2312"/>
          <w:sz w:val="32"/>
          <w:szCs w:val="32"/>
          <w:highlight w:val="none"/>
          <w:u w:val="none"/>
        </w:rPr>
        <w:t xml:space="preserve">名称（盖章）： </w:t>
      </w:r>
    </w:p>
    <w:p w14:paraId="6702A4E7">
      <w:pPr>
        <w:snapToGrid w:val="0"/>
        <w:spacing w:line="360" w:lineRule="auto"/>
        <w:ind w:firstLine="0"/>
        <w:jc w:val="left"/>
        <w:rPr>
          <w:rFonts w:hint="eastAsia" w:ascii="仿宋_GB2312" w:hAnsi="仿宋_GB2312" w:eastAsia="仿宋_GB2312" w:cs="仿宋_GB2312"/>
          <w:sz w:val="32"/>
          <w:szCs w:val="32"/>
          <w:highlight w:val="none"/>
          <w:u w:val="none"/>
        </w:rPr>
      </w:pPr>
      <w:r>
        <w:rPr>
          <w:rFonts w:hint="eastAsia" w:ascii="仿宋_GB2312" w:hAnsi="仿宋_GB2312" w:eastAsia="仿宋_GB2312" w:cs="仿宋_GB2312"/>
          <w:sz w:val="32"/>
          <w:szCs w:val="32"/>
          <w:highlight w:val="none"/>
          <w:u w:val="none"/>
        </w:rPr>
        <w:t>日期：</w:t>
      </w:r>
      <w:r>
        <w:rPr>
          <w:rFonts w:hint="eastAsia" w:ascii="仿宋_GB2312" w:hAnsi="仿宋_GB2312" w:eastAsia="仿宋_GB2312" w:cs="仿宋_GB2312"/>
          <w:spacing w:val="0"/>
          <w:sz w:val="32"/>
          <w:szCs w:val="32"/>
          <w:highlight w:val="none"/>
          <w:u w:val="none"/>
          <w:lang w:val="en-US" w:eastAsia="zh-CN"/>
        </w:rPr>
        <w:t xml:space="preserve">    年   月   日</w:t>
      </w:r>
    </w:p>
    <w:p w14:paraId="1D0AD79D">
      <w:pPr>
        <w:keepNext w:val="0"/>
        <w:keepLines w:val="0"/>
        <w:pageBreakBefore w:val="0"/>
        <w:widowControl/>
        <w:shd w:val="clear"/>
        <w:kinsoku/>
        <w:wordWrap/>
        <w:overflowPunct/>
        <w:topLinePunct w:val="0"/>
        <w:autoSpaceDE/>
        <w:autoSpaceDN/>
        <w:bidi w:val="0"/>
        <w:adjustRightInd/>
        <w:snapToGrid/>
        <w:spacing w:after="0" w:line="240" w:lineRule="auto"/>
        <w:jc w:val="left"/>
        <w:textAlignment w:val="auto"/>
        <w:outlineLvl w:val="9"/>
        <w:rPr>
          <w:rFonts w:hint="eastAsia" w:ascii="方正小标宋简体" w:hAnsi="方正小标宋简体" w:eastAsia="方正小标宋简体" w:cs="方正小标宋简体"/>
          <w:b w:val="0"/>
          <w:bCs w:val="0"/>
          <w:color w:val="auto"/>
          <w:kern w:val="0"/>
          <w:sz w:val="44"/>
          <w:szCs w:val="44"/>
          <w:lang w:val="en-US" w:eastAsia="zh-CN" w:bidi="ar-SA"/>
        </w:rPr>
      </w:pPr>
      <w:r>
        <w:rPr>
          <w:rFonts w:hint="eastAsia" w:ascii="方正小标宋简体" w:hAnsi="方正小标宋简体" w:eastAsia="方正小标宋简体" w:cs="方正小标宋简体"/>
          <w:b w:val="0"/>
          <w:bCs w:val="0"/>
          <w:color w:val="auto"/>
          <w:kern w:val="0"/>
          <w:sz w:val="44"/>
          <w:szCs w:val="44"/>
          <w:lang w:val="en-US" w:eastAsia="zh-CN" w:bidi="ar-SA"/>
        </w:rPr>
        <w:br w:type="page"/>
      </w:r>
    </w:p>
    <w:p w14:paraId="24BD1C0D">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after="150" w:line="360" w:lineRule="auto"/>
        <w:jc w:val="center"/>
        <w:textAlignment w:val="auto"/>
        <w:outlineLvl w:val="1"/>
        <w:rPr>
          <w:rFonts w:hint="eastAsia" w:ascii="方正小标宋简体" w:hAnsi="方正小标宋简体" w:eastAsia="方正小标宋简体" w:cs="方正小标宋简体"/>
          <w:b w:val="0"/>
          <w:bCs w:val="0"/>
          <w:color w:val="auto"/>
          <w:kern w:val="0"/>
          <w:sz w:val="44"/>
          <w:szCs w:val="44"/>
          <w:highlight w:val="none"/>
        </w:rPr>
      </w:pPr>
      <w:r>
        <w:rPr>
          <w:rFonts w:hint="eastAsia" w:ascii="方正小标宋简体" w:hAnsi="方正小标宋简体" w:eastAsia="方正小标宋简体" w:cs="方正小标宋简体"/>
          <w:b w:val="0"/>
          <w:bCs w:val="0"/>
          <w:color w:val="auto"/>
          <w:kern w:val="0"/>
          <w:sz w:val="44"/>
          <w:szCs w:val="44"/>
          <w:lang w:val="en-US" w:eastAsia="zh-CN" w:bidi="ar-SA"/>
        </w:rPr>
        <w:t>三、</w:t>
      </w:r>
      <w:r>
        <w:rPr>
          <w:rFonts w:hint="eastAsia" w:ascii="方正小标宋简体" w:hAnsi="方正小标宋简体" w:eastAsia="方正小标宋简体" w:cs="方正小标宋简体"/>
          <w:b w:val="0"/>
          <w:bCs w:val="0"/>
          <w:color w:val="auto"/>
          <w:kern w:val="0"/>
          <w:sz w:val="44"/>
          <w:szCs w:val="44"/>
          <w:highlight w:val="none"/>
          <w:lang w:val="en-US" w:eastAsia="zh-CN"/>
        </w:rPr>
        <w:t>关联性</w:t>
      </w:r>
      <w:r>
        <w:rPr>
          <w:rFonts w:hint="eastAsia" w:ascii="方正小标宋简体" w:hAnsi="方正小标宋简体" w:eastAsia="方正小标宋简体" w:cs="方正小标宋简体"/>
          <w:b w:val="0"/>
          <w:bCs w:val="0"/>
          <w:color w:val="auto"/>
          <w:kern w:val="0"/>
          <w:sz w:val="44"/>
          <w:szCs w:val="44"/>
          <w:highlight w:val="none"/>
        </w:rPr>
        <w:t>承诺函</w:t>
      </w:r>
    </w:p>
    <w:p w14:paraId="4A04B98D">
      <w:pPr>
        <w:keepNext w:val="0"/>
        <w:keepLines w:val="0"/>
        <w:pageBreakBefore w:val="0"/>
        <w:widowControl w:val="0"/>
        <w:kinsoku/>
        <w:wordWrap/>
        <w:overflowPunct/>
        <w:topLinePunct w:val="0"/>
        <w:autoSpaceDE/>
        <w:autoSpaceDN/>
        <w:bidi w:val="0"/>
        <w:adjustRightInd/>
        <w:snapToGrid w:val="0"/>
        <w:spacing w:after="0" w:line="560" w:lineRule="exact"/>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广州南沙口岸服务有限公司：</w:t>
      </w:r>
    </w:p>
    <w:p w14:paraId="4759ED0F">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我方承诺与其他投标人之间不存在任何关联关系，不存在围标、串标等其他影响公平、公正招标的情形。</w:t>
      </w:r>
    </w:p>
    <w:p w14:paraId="4AAB07EA">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如我方存在以上情形，我方自愿放弃投标，自愿放弃追究招标人任何责任的权利。</w:t>
      </w:r>
    </w:p>
    <w:p w14:paraId="0A458B72">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特此承诺。</w:t>
      </w:r>
    </w:p>
    <w:p w14:paraId="205EFEFC">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p>
    <w:p w14:paraId="372CC10F">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p>
    <w:p w14:paraId="280ABF27">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p>
    <w:p w14:paraId="2EB63E6B">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投标人名称（盖章）：</w:t>
      </w:r>
    </w:p>
    <w:p w14:paraId="53D8CD96">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法定代表人或授权代表（签字或签章）：</w:t>
      </w:r>
    </w:p>
    <w:p w14:paraId="7D063365">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日    期：        年      月      日</w:t>
      </w:r>
    </w:p>
    <w:p w14:paraId="08C3621B">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_GB2312" w:hAnsi="仿宋_GB2312" w:eastAsia="仿宋_GB2312" w:cs="仿宋_GB2312"/>
          <w:sz w:val="32"/>
          <w:szCs w:val="32"/>
          <w:highlight w:val="none"/>
        </w:rPr>
      </w:pPr>
    </w:p>
    <w:p w14:paraId="69DC5DB0">
      <w:pPr>
        <w:snapToGrid w:val="0"/>
        <w:spacing w:line="360" w:lineRule="auto"/>
        <w:rPr>
          <w:rFonts w:hint="eastAsia" w:ascii="仿宋_GB2312" w:hAnsi="仿宋_GB2312" w:eastAsia="仿宋_GB2312" w:cs="仿宋_GB2312"/>
          <w:sz w:val="32"/>
          <w:szCs w:val="32"/>
          <w:highlight w:val="none"/>
        </w:rPr>
      </w:pPr>
    </w:p>
    <w:p w14:paraId="78B8125A">
      <w:pPr>
        <w:snapToGrid w:val="0"/>
        <w:spacing w:line="360" w:lineRule="auto"/>
        <w:rPr>
          <w:rFonts w:hint="eastAsia" w:ascii="仿宋_GB2312" w:hAnsi="仿宋_GB2312" w:eastAsia="仿宋_GB2312" w:cs="仿宋_GB2312"/>
          <w:sz w:val="32"/>
          <w:szCs w:val="32"/>
          <w:highlight w:val="none"/>
        </w:rPr>
      </w:pPr>
    </w:p>
    <w:p w14:paraId="18B8AB6E">
      <w:pPr>
        <w:snapToGrid w:val="0"/>
        <w:spacing w:line="360" w:lineRule="auto"/>
        <w:rPr>
          <w:rFonts w:hint="eastAsia" w:ascii="仿宋_GB2312" w:hAnsi="仿宋_GB2312" w:eastAsia="仿宋_GB2312" w:cs="仿宋_GB2312"/>
          <w:sz w:val="32"/>
          <w:szCs w:val="32"/>
          <w:highlight w:val="none"/>
        </w:rPr>
      </w:pPr>
    </w:p>
    <w:p w14:paraId="6C434672">
      <w:pPr>
        <w:snapToGrid w:val="0"/>
        <w:spacing w:line="360" w:lineRule="auto"/>
        <w:rPr>
          <w:rFonts w:hint="eastAsia" w:ascii="仿宋_GB2312" w:hAnsi="仿宋_GB2312" w:eastAsia="仿宋_GB2312" w:cs="仿宋_GB2312"/>
          <w:sz w:val="32"/>
          <w:szCs w:val="32"/>
          <w:highlight w:val="none"/>
        </w:rPr>
      </w:pPr>
    </w:p>
    <w:p w14:paraId="0D8CB8F1">
      <w:pPr>
        <w:snapToGrid w:val="0"/>
        <w:spacing w:line="360" w:lineRule="auto"/>
        <w:rPr>
          <w:rFonts w:hint="eastAsia" w:ascii="仿宋_GB2312" w:hAnsi="仿宋_GB2312" w:eastAsia="仿宋_GB2312" w:cs="仿宋_GB2312"/>
          <w:sz w:val="32"/>
          <w:szCs w:val="32"/>
          <w:highlight w:val="none"/>
        </w:rPr>
      </w:pPr>
    </w:p>
    <w:p w14:paraId="61869AF6">
      <w:pPr>
        <w:snapToGrid w:val="0"/>
        <w:spacing w:line="360" w:lineRule="auto"/>
        <w:rPr>
          <w:rFonts w:hint="eastAsia" w:ascii="仿宋_GB2312" w:hAnsi="仿宋_GB2312" w:eastAsia="仿宋_GB2312" w:cs="仿宋_GB2312"/>
          <w:sz w:val="32"/>
          <w:szCs w:val="32"/>
          <w:highlight w:val="none"/>
        </w:rPr>
      </w:pPr>
    </w:p>
    <w:p w14:paraId="1467BB3F">
      <w:pPr>
        <w:snapToGrid w:val="0"/>
        <w:spacing w:line="360" w:lineRule="auto"/>
        <w:rPr>
          <w:rFonts w:hint="eastAsia" w:ascii="仿宋_GB2312" w:hAnsi="仿宋_GB2312" w:eastAsia="仿宋_GB2312" w:cs="仿宋_GB2312"/>
          <w:sz w:val="32"/>
          <w:szCs w:val="32"/>
          <w:highlight w:val="none"/>
        </w:rPr>
      </w:pPr>
    </w:p>
    <w:p w14:paraId="3902BBAF">
      <w:pPr>
        <w:snapToGrid/>
        <w:spacing w:line="240" w:lineRule="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br w:type="page"/>
      </w:r>
    </w:p>
    <w:p w14:paraId="3196A4D9">
      <w:pPr>
        <w:keepNext w:val="0"/>
        <w:keepLines w:val="0"/>
        <w:pageBreakBefore w:val="0"/>
        <w:numPr>
          <w:ilvl w:val="0"/>
          <w:numId w:val="0"/>
        </w:numPr>
        <w:kinsoku/>
        <w:wordWrap/>
        <w:overflowPunct/>
        <w:topLinePunct w:val="0"/>
        <w:autoSpaceDE/>
        <w:autoSpaceDN/>
        <w:bidi w:val="0"/>
        <w:adjustRightInd/>
        <w:snapToGrid/>
        <w:spacing w:line="560" w:lineRule="exact"/>
        <w:jc w:val="center"/>
        <w:textAlignment w:val="auto"/>
        <w:outlineLvl w:val="1"/>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kern w:val="2"/>
          <w:sz w:val="44"/>
          <w:szCs w:val="44"/>
          <w:lang w:val="en-US" w:eastAsia="zh-CN" w:bidi="ar-SA"/>
        </w:rPr>
        <w:t>四、</w:t>
      </w:r>
      <w:r>
        <w:rPr>
          <w:rFonts w:hint="eastAsia" w:ascii="方正小标宋简体" w:hAnsi="方正小标宋简体" w:eastAsia="方正小标宋简体" w:cs="方正小标宋简体"/>
          <w:sz w:val="44"/>
          <w:szCs w:val="44"/>
          <w:highlight w:val="none"/>
          <w:lang w:val="en-US" w:eastAsia="zh-CN"/>
        </w:rPr>
        <w:t>法定代表人证明书</w:t>
      </w:r>
    </w:p>
    <w:p w14:paraId="07A042A6">
      <w:pPr>
        <w:pStyle w:val="7"/>
        <w:numPr>
          <w:ilvl w:val="-1"/>
          <w:numId w:val="0"/>
        </w:numPr>
        <w:rPr>
          <w:rFonts w:hint="eastAsia"/>
          <w:lang w:val="en-US" w:eastAsia="zh-CN"/>
        </w:rPr>
      </w:pPr>
    </w:p>
    <w:p w14:paraId="1F39D27B">
      <w:pPr>
        <w:pStyle w:val="30"/>
        <w:ind w:firstLine="480"/>
        <w:rPr>
          <w:rFonts w:ascii="仿宋_GB2312" w:hAnsi="仿宋_GB2312" w:eastAsia="仿宋_GB2312" w:cs="仿宋_GB2312"/>
          <w:kern w:val="2"/>
          <w:sz w:val="32"/>
          <w:szCs w:val="32"/>
          <w:highlight w:val="none"/>
          <w:lang w:eastAsia="zh-CN"/>
        </w:rPr>
      </w:pPr>
      <w:r>
        <w:rPr>
          <w:rFonts w:ascii="仿宋_GB2312" w:hAnsi="仿宋_GB2312" w:eastAsia="仿宋_GB2312" w:cs="仿宋_GB2312"/>
          <w:kern w:val="2"/>
          <w:sz w:val="32"/>
          <w:szCs w:val="32"/>
          <w:highlight w:val="none"/>
          <w:lang w:eastAsia="zh-CN"/>
        </w:rPr>
        <w:t>现任我单位</w:t>
      </w:r>
      <w:r>
        <w:rPr>
          <w:rFonts w:hint="eastAsia" w:ascii="仿宋_GB2312" w:hAnsi="仿宋_GB2312" w:eastAsia="仿宋_GB2312" w:cs="仿宋_GB2312"/>
          <w:kern w:val="2"/>
          <w:sz w:val="32"/>
          <w:szCs w:val="32"/>
          <w:highlight w:val="none"/>
          <w:u w:val="single"/>
          <w:lang w:val="en-US" w:eastAsia="zh-CN"/>
        </w:rPr>
        <w:t xml:space="preserve">       </w:t>
      </w:r>
      <w:r>
        <w:rPr>
          <w:rFonts w:ascii="仿宋_GB2312" w:hAnsi="仿宋_GB2312" w:eastAsia="仿宋_GB2312" w:cs="仿宋_GB2312"/>
          <w:kern w:val="2"/>
          <w:sz w:val="32"/>
          <w:szCs w:val="32"/>
          <w:highlight w:val="none"/>
          <w:lang w:eastAsia="zh-CN"/>
        </w:rPr>
        <w:t>职务</w:t>
      </w:r>
      <w:r>
        <w:rPr>
          <w:rFonts w:hint="eastAsia" w:ascii="仿宋_GB2312" w:hAnsi="仿宋_GB2312" w:eastAsia="仿宋_GB2312" w:cs="仿宋_GB2312"/>
          <w:kern w:val="2"/>
          <w:sz w:val="32"/>
          <w:szCs w:val="32"/>
          <w:highlight w:val="none"/>
          <w:u w:val="single"/>
          <w:lang w:val="en-US" w:eastAsia="zh-CN"/>
        </w:rPr>
        <w:t xml:space="preserve">       </w:t>
      </w:r>
      <w:r>
        <w:rPr>
          <w:rFonts w:ascii="仿宋_GB2312" w:hAnsi="仿宋_GB2312" w:eastAsia="仿宋_GB2312" w:cs="仿宋_GB2312"/>
          <w:kern w:val="2"/>
          <w:sz w:val="32"/>
          <w:szCs w:val="32"/>
          <w:highlight w:val="none"/>
          <w:lang w:eastAsia="zh-CN"/>
        </w:rPr>
        <w:t>为法定代表人，特此证明。</w:t>
      </w:r>
    </w:p>
    <w:p w14:paraId="668B7024">
      <w:pPr>
        <w:pStyle w:val="30"/>
        <w:ind w:firstLine="480"/>
        <w:rPr>
          <w:rFonts w:ascii="仿宋_GB2312" w:hAnsi="仿宋_GB2312" w:eastAsia="仿宋_GB2312" w:cs="仿宋_GB2312"/>
          <w:kern w:val="2"/>
          <w:sz w:val="32"/>
          <w:szCs w:val="32"/>
          <w:highlight w:val="none"/>
          <w:lang w:eastAsia="zh-CN"/>
        </w:rPr>
      </w:pPr>
      <w:r>
        <w:rPr>
          <w:rFonts w:ascii="仿宋_GB2312" w:hAnsi="仿宋_GB2312" w:eastAsia="仿宋_GB2312" w:cs="仿宋_GB2312"/>
          <w:kern w:val="2"/>
          <w:sz w:val="32"/>
          <w:szCs w:val="32"/>
          <w:highlight w:val="none"/>
          <w:lang w:eastAsia="zh-CN"/>
        </w:rPr>
        <w:t>有效期限：</w:t>
      </w:r>
      <w:r>
        <w:rPr>
          <w:rFonts w:hint="eastAsia" w:ascii="仿宋_GB2312" w:hAnsi="仿宋_GB2312" w:eastAsia="仿宋_GB2312" w:cs="仿宋_GB2312"/>
          <w:kern w:val="2"/>
          <w:sz w:val="32"/>
          <w:szCs w:val="32"/>
          <w:highlight w:val="none"/>
          <w:u w:val="single"/>
          <w:lang w:val="en-US" w:eastAsia="zh-CN"/>
        </w:rPr>
        <w:t xml:space="preserve">       </w:t>
      </w:r>
    </w:p>
    <w:p w14:paraId="7B848FB8">
      <w:pPr>
        <w:pStyle w:val="30"/>
        <w:ind w:left="638" w:leftChars="304" w:firstLine="86" w:firstLineChars="27"/>
        <w:rPr>
          <w:rFonts w:hint="eastAsia" w:ascii="仿宋_GB2312" w:hAnsi="仿宋_GB2312" w:eastAsia="仿宋_GB2312" w:cs="仿宋_GB2312"/>
          <w:kern w:val="2"/>
          <w:sz w:val="32"/>
          <w:szCs w:val="32"/>
          <w:highlight w:val="none"/>
          <w:u w:val="single"/>
          <w:lang w:val="en-US" w:eastAsia="zh-CN"/>
        </w:rPr>
      </w:pPr>
      <w:r>
        <w:rPr>
          <w:rFonts w:ascii="仿宋_GB2312" w:hAnsi="仿宋_GB2312" w:eastAsia="仿宋_GB2312" w:cs="仿宋_GB2312"/>
          <w:kern w:val="2"/>
          <w:sz w:val="32"/>
          <w:szCs w:val="32"/>
          <w:highlight w:val="none"/>
          <w:lang w:eastAsia="zh-CN"/>
        </w:rPr>
        <w:t>附：代表人性别：</w:t>
      </w:r>
      <w:r>
        <w:rPr>
          <w:rFonts w:hint="eastAsia" w:ascii="仿宋_GB2312" w:hAnsi="仿宋_GB2312" w:eastAsia="仿宋_GB2312" w:cs="仿宋_GB2312"/>
          <w:kern w:val="2"/>
          <w:sz w:val="32"/>
          <w:szCs w:val="32"/>
          <w:highlight w:val="none"/>
          <w:u w:val="single"/>
          <w:lang w:val="en-US" w:eastAsia="zh-CN"/>
        </w:rPr>
        <w:t xml:space="preserve">   </w:t>
      </w:r>
      <w:r>
        <w:rPr>
          <w:rFonts w:ascii="仿宋_GB2312" w:hAnsi="仿宋_GB2312" w:eastAsia="仿宋_GB2312" w:cs="仿宋_GB2312"/>
          <w:kern w:val="2"/>
          <w:sz w:val="32"/>
          <w:szCs w:val="32"/>
          <w:highlight w:val="none"/>
          <w:lang w:eastAsia="zh-CN"/>
        </w:rPr>
        <w:t>年龄：</w:t>
      </w:r>
      <w:r>
        <w:rPr>
          <w:rFonts w:hint="eastAsia" w:ascii="仿宋_GB2312" w:hAnsi="仿宋_GB2312" w:eastAsia="仿宋_GB2312" w:cs="仿宋_GB2312"/>
          <w:kern w:val="2"/>
          <w:sz w:val="32"/>
          <w:szCs w:val="32"/>
          <w:highlight w:val="none"/>
          <w:u w:val="single"/>
          <w:lang w:val="en-US" w:eastAsia="zh-CN"/>
        </w:rPr>
        <w:t xml:space="preserve">   </w:t>
      </w:r>
      <w:r>
        <w:rPr>
          <w:rFonts w:ascii="仿宋_GB2312" w:hAnsi="仿宋_GB2312" w:eastAsia="仿宋_GB2312" w:cs="仿宋_GB2312"/>
          <w:kern w:val="2"/>
          <w:sz w:val="32"/>
          <w:szCs w:val="32"/>
          <w:highlight w:val="none"/>
          <w:lang w:eastAsia="zh-CN"/>
        </w:rPr>
        <w:t>身份证号码：</w:t>
      </w:r>
      <w:r>
        <w:rPr>
          <w:rFonts w:hint="eastAsia" w:ascii="仿宋_GB2312" w:hAnsi="仿宋_GB2312" w:eastAsia="仿宋_GB2312" w:cs="仿宋_GB2312"/>
          <w:kern w:val="2"/>
          <w:sz w:val="32"/>
          <w:szCs w:val="32"/>
          <w:highlight w:val="none"/>
          <w:u w:val="single"/>
          <w:lang w:val="en-US" w:eastAsia="zh-CN"/>
        </w:rPr>
        <w:t xml:space="preserve">                </w:t>
      </w:r>
    </w:p>
    <w:p w14:paraId="627BAAB3">
      <w:pPr>
        <w:pStyle w:val="30"/>
        <w:ind w:left="638" w:leftChars="304" w:firstLine="86" w:firstLineChars="27"/>
        <w:rPr>
          <w:rFonts w:ascii="仿宋_GB2312" w:hAnsi="仿宋_GB2312" w:eastAsia="仿宋_GB2312" w:cs="仿宋_GB2312"/>
          <w:kern w:val="2"/>
          <w:sz w:val="32"/>
          <w:szCs w:val="32"/>
          <w:highlight w:val="none"/>
          <w:lang w:eastAsia="zh-CN"/>
        </w:rPr>
      </w:pPr>
      <w:r>
        <w:rPr>
          <w:rFonts w:ascii="仿宋_GB2312" w:hAnsi="仿宋_GB2312" w:eastAsia="仿宋_GB2312" w:cs="仿宋_GB2312"/>
          <w:kern w:val="2"/>
          <w:sz w:val="32"/>
          <w:szCs w:val="32"/>
          <w:highlight w:val="none"/>
          <w:lang w:eastAsia="zh-CN"/>
        </w:rPr>
        <w:t>注册号码：</w:t>
      </w:r>
      <w:r>
        <w:rPr>
          <w:rFonts w:hint="eastAsia" w:ascii="仿宋_GB2312" w:hAnsi="仿宋_GB2312" w:eastAsia="仿宋_GB2312" w:cs="仿宋_GB2312"/>
          <w:kern w:val="2"/>
          <w:sz w:val="32"/>
          <w:szCs w:val="32"/>
          <w:highlight w:val="none"/>
          <w:u w:val="single"/>
          <w:lang w:val="en-US" w:eastAsia="zh-CN"/>
        </w:rPr>
        <w:t xml:space="preserve">       </w:t>
      </w:r>
      <w:r>
        <w:rPr>
          <w:rFonts w:ascii="仿宋_GB2312" w:hAnsi="仿宋_GB2312" w:eastAsia="仿宋_GB2312" w:cs="仿宋_GB2312"/>
          <w:kern w:val="2"/>
          <w:sz w:val="32"/>
          <w:szCs w:val="32"/>
          <w:highlight w:val="none"/>
          <w:lang w:eastAsia="zh-CN"/>
        </w:rPr>
        <w:t>企业类型：</w:t>
      </w:r>
      <w:r>
        <w:rPr>
          <w:rFonts w:hint="eastAsia" w:ascii="仿宋_GB2312" w:hAnsi="仿宋_GB2312" w:eastAsia="仿宋_GB2312" w:cs="仿宋_GB2312"/>
          <w:kern w:val="2"/>
          <w:sz w:val="32"/>
          <w:szCs w:val="32"/>
          <w:highlight w:val="none"/>
          <w:u w:val="single"/>
          <w:lang w:val="en-US" w:eastAsia="zh-CN"/>
        </w:rPr>
        <w:t xml:space="preserve">       </w:t>
      </w:r>
      <w:r>
        <w:rPr>
          <w:rFonts w:ascii="仿宋_GB2312" w:hAnsi="仿宋_GB2312" w:eastAsia="仿宋_GB2312" w:cs="仿宋_GB2312"/>
          <w:kern w:val="2"/>
          <w:sz w:val="32"/>
          <w:szCs w:val="32"/>
          <w:highlight w:val="none"/>
          <w:lang w:eastAsia="zh-CN"/>
        </w:rPr>
        <w:t>_</w:t>
      </w:r>
    </w:p>
    <w:p w14:paraId="5F514142">
      <w:pPr>
        <w:pStyle w:val="30"/>
        <w:ind w:left="638" w:leftChars="304" w:firstLine="86" w:firstLineChars="27"/>
        <w:rPr>
          <w:rFonts w:hint="eastAsia" w:ascii="仿宋_GB2312" w:hAnsi="仿宋_GB2312" w:eastAsia="仿宋_GB2312" w:cs="仿宋_GB2312"/>
          <w:kern w:val="2"/>
          <w:sz w:val="32"/>
          <w:szCs w:val="32"/>
          <w:highlight w:val="none"/>
          <w:u w:val="single"/>
          <w:lang w:val="en-US" w:eastAsia="zh-CN"/>
        </w:rPr>
      </w:pPr>
      <w:r>
        <w:rPr>
          <w:rFonts w:ascii="仿宋_GB2312" w:hAnsi="仿宋_GB2312" w:eastAsia="仿宋_GB2312" w:cs="仿宋_GB2312"/>
          <w:kern w:val="2"/>
          <w:sz w:val="32"/>
          <w:szCs w:val="32"/>
          <w:highlight w:val="none"/>
          <w:lang w:eastAsia="zh-CN"/>
        </w:rPr>
        <w:t>经营范围：</w:t>
      </w:r>
      <w:r>
        <w:rPr>
          <w:rFonts w:hint="eastAsia" w:ascii="仿宋_GB2312" w:hAnsi="仿宋_GB2312" w:eastAsia="仿宋_GB2312" w:cs="仿宋_GB2312"/>
          <w:kern w:val="2"/>
          <w:sz w:val="32"/>
          <w:szCs w:val="32"/>
          <w:highlight w:val="none"/>
          <w:u w:val="single"/>
          <w:lang w:val="en-US" w:eastAsia="zh-CN"/>
        </w:rPr>
        <w:t xml:space="preserve">       </w:t>
      </w:r>
    </w:p>
    <w:p w14:paraId="3076233D">
      <w:pPr>
        <w:pStyle w:val="30"/>
        <w:ind w:left="638" w:leftChars="304" w:firstLine="86" w:firstLineChars="27"/>
        <w:rPr>
          <w:rFonts w:hint="eastAsia" w:ascii="仿宋_GB2312" w:hAnsi="仿宋_GB2312" w:eastAsia="仿宋_GB2312" w:cs="仿宋_GB2312"/>
          <w:kern w:val="2"/>
          <w:sz w:val="32"/>
          <w:szCs w:val="32"/>
          <w:highlight w:val="none"/>
          <w:u w:val="single"/>
          <w:lang w:val="en-US" w:eastAsia="zh-CN"/>
        </w:rPr>
      </w:pPr>
    </w:p>
    <w:p w14:paraId="1F8C5E77">
      <w:pPr>
        <w:pStyle w:val="30"/>
        <w:ind w:left="638" w:leftChars="304" w:firstLine="86" w:firstLineChars="27"/>
        <w:rPr>
          <w:rFonts w:hint="eastAsia" w:ascii="仿宋_GB2312" w:hAnsi="仿宋_GB2312" w:eastAsia="仿宋_GB2312" w:cs="仿宋_GB2312"/>
          <w:kern w:val="2"/>
          <w:sz w:val="32"/>
          <w:szCs w:val="32"/>
          <w:highlight w:val="none"/>
          <w:u w:val="single"/>
          <w:lang w:val="en-US" w:eastAsia="zh-CN"/>
        </w:rPr>
      </w:pPr>
      <w:r>
        <w:rPr>
          <w:rFonts w:hint="eastAsia" w:ascii="仿宋_GB2312" w:hAnsi="仿宋_GB2312" w:eastAsia="仿宋_GB2312" w:cs="仿宋_GB2312"/>
          <w:b w:val="0"/>
          <w:kern w:val="2"/>
          <w:sz w:val="32"/>
          <w:szCs w:val="32"/>
          <w:highlight w:val="none"/>
          <w:lang w:val="en-US" w:eastAsia="zh-CN" w:bidi="ar-SA"/>
        </w:rPr>
        <w:t>附：法定代表人身份证正反面</w:t>
      </w:r>
    </w:p>
    <w:p w14:paraId="2B242A62">
      <w:pPr>
        <w:pStyle w:val="30"/>
        <w:jc w:val="right"/>
        <w:rPr>
          <w:rFonts w:hint="eastAsia" w:ascii="仿宋_GB2312" w:hAnsi="仿宋_GB2312" w:eastAsia="仿宋_GB2312" w:cs="仿宋_GB2312"/>
          <w:kern w:val="2"/>
          <w:sz w:val="32"/>
          <w:szCs w:val="32"/>
          <w:highlight w:val="none"/>
          <w:lang w:val="en-US" w:eastAsia="zh-CN"/>
        </w:rPr>
      </w:pPr>
    </w:p>
    <w:p w14:paraId="2283D54E">
      <w:pPr>
        <w:pStyle w:val="30"/>
        <w:jc w:val="right"/>
        <w:rPr>
          <w:rFonts w:hint="eastAsia" w:ascii="仿宋_GB2312" w:hAnsi="仿宋_GB2312" w:eastAsia="仿宋_GB2312" w:cs="仿宋_GB2312"/>
          <w:kern w:val="2"/>
          <w:sz w:val="32"/>
          <w:szCs w:val="32"/>
          <w:highlight w:val="none"/>
          <w:lang w:val="en-US" w:eastAsia="zh-CN"/>
        </w:rPr>
      </w:pPr>
    </w:p>
    <w:p w14:paraId="10E03F0E">
      <w:pPr>
        <w:pStyle w:val="30"/>
        <w:jc w:val="right"/>
        <w:rPr>
          <w:rFonts w:hint="eastAsia" w:ascii="仿宋_GB2312" w:hAnsi="仿宋_GB2312" w:eastAsia="仿宋_GB2312" w:cs="仿宋_GB2312"/>
          <w:kern w:val="2"/>
          <w:sz w:val="32"/>
          <w:szCs w:val="32"/>
          <w:highlight w:val="none"/>
          <w:lang w:val="en-US" w:eastAsia="zh-CN"/>
        </w:rPr>
      </w:pPr>
    </w:p>
    <w:p w14:paraId="15FFED74">
      <w:pPr>
        <w:pStyle w:val="30"/>
        <w:jc w:val="right"/>
        <w:rPr>
          <w:rFonts w:hint="eastAsia" w:ascii="仿宋_GB2312" w:hAnsi="仿宋_GB2312" w:eastAsia="仿宋_GB2312" w:cs="仿宋_GB2312"/>
          <w:kern w:val="2"/>
          <w:sz w:val="32"/>
          <w:szCs w:val="32"/>
          <w:highlight w:val="none"/>
          <w:lang w:val="en-US" w:eastAsia="zh-CN"/>
        </w:rPr>
      </w:pPr>
    </w:p>
    <w:p w14:paraId="34C2FE58">
      <w:pPr>
        <w:pStyle w:val="30"/>
        <w:jc w:val="right"/>
        <w:rPr>
          <w:rFonts w:ascii="仿宋_GB2312" w:hAnsi="仿宋_GB2312" w:eastAsia="仿宋_GB2312" w:cs="仿宋_GB2312"/>
          <w:kern w:val="2"/>
          <w:sz w:val="32"/>
          <w:szCs w:val="32"/>
          <w:highlight w:val="none"/>
          <w:lang w:eastAsia="zh-CN"/>
        </w:rPr>
      </w:pPr>
      <w:r>
        <w:rPr>
          <w:rFonts w:hint="eastAsia" w:ascii="仿宋_GB2312" w:hAnsi="仿宋_GB2312" w:eastAsia="仿宋_GB2312" w:cs="仿宋_GB2312"/>
          <w:kern w:val="2"/>
          <w:sz w:val="32"/>
          <w:szCs w:val="32"/>
          <w:highlight w:val="none"/>
          <w:lang w:val="en-US" w:eastAsia="zh-CN"/>
        </w:rPr>
        <w:t>投标人</w:t>
      </w:r>
      <w:r>
        <w:rPr>
          <w:rFonts w:ascii="仿宋_GB2312" w:hAnsi="仿宋_GB2312" w:eastAsia="仿宋_GB2312" w:cs="仿宋_GB2312"/>
          <w:kern w:val="2"/>
          <w:sz w:val="32"/>
          <w:szCs w:val="32"/>
          <w:highlight w:val="none"/>
          <w:lang w:eastAsia="zh-CN"/>
        </w:rPr>
        <w:t>名称（盖章）：__________________</w:t>
      </w:r>
    </w:p>
    <w:p w14:paraId="11C0DCB9">
      <w:pPr>
        <w:pStyle w:val="30"/>
        <w:jc w:val="right"/>
        <w:rPr>
          <w:rFonts w:ascii="仿宋_GB2312" w:hAnsi="仿宋_GB2312" w:eastAsia="仿宋_GB2312" w:cs="仿宋_GB2312"/>
          <w:kern w:val="2"/>
          <w:sz w:val="32"/>
          <w:szCs w:val="32"/>
          <w:highlight w:val="none"/>
          <w:lang w:eastAsia="zh-CN"/>
        </w:rPr>
      </w:pPr>
      <w:r>
        <w:rPr>
          <w:rFonts w:ascii="仿宋_GB2312" w:hAnsi="仿宋_GB2312" w:eastAsia="仿宋_GB2312" w:cs="仿宋_GB2312"/>
          <w:kern w:val="2"/>
          <w:sz w:val="32"/>
          <w:szCs w:val="32"/>
          <w:highlight w:val="none"/>
          <w:lang w:eastAsia="zh-CN"/>
        </w:rPr>
        <w:t xml:space="preserve"> 地  址：__________________</w:t>
      </w:r>
    </w:p>
    <w:p w14:paraId="619ECDC1">
      <w:pPr>
        <w:pStyle w:val="30"/>
        <w:jc w:val="right"/>
        <w:rPr>
          <w:rFonts w:ascii="仿宋_GB2312" w:hAnsi="仿宋_GB2312" w:eastAsia="仿宋_GB2312" w:cs="仿宋_GB2312"/>
          <w:kern w:val="2"/>
          <w:sz w:val="32"/>
          <w:szCs w:val="32"/>
          <w:highlight w:val="none"/>
          <w:lang w:eastAsia="zh-CN"/>
        </w:rPr>
      </w:pPr>
      <w:r>
        <w:rPr>
          <w:rFonts w:ascii="仿宋_GB2312" w:hAnsi="仿宋_GB2312" w:eastAsia="仿宋_GB2312" w:cs="仿宋_GB2312"/>
          <w:kern w:val="2"/>
          <w:sz w:val="32"/>
          <w:szCs w:val="32"/>
          <w:highlight w:val="none"/>
          <w:lang w:eastAsia="zh-CN"/>
        </w:rPr>
        <w:t xml:space="preserve"> 法定代表人（签字或盖章）：__________________</w:t>
      </w:r>
    </w:p>
    <w:p w14:paraId="366440C6">
      <w:pPr>
        <w:pStyle w:val="30"/>
        <w:jc w:val="right"/>
        <w:rPr>
          <w:rFonts w:ascii="仿宋_GB2312" w:hAnsi="仿宋_GB2312" w:eastAsia="仿宋_GB2312" w:cs="仿宋_GB2312"/>
          <w:kern w:val="2"/>
          <w:sz w:val="32"/>
          <w:szCs w:val="32"/>
          <w:highlight w:val="none"/>
          <w:lang w:eastAsia="zh-CN"/>
        </w:rPr>
      </w:pPr>
      <w:r>
        <w:rPr>
          <w:rFonts w:ascii="仿宋_GB2312" w:hAnsi="仿宋_GB2312" w:eastAsia="仿宋_GB2312" w:cs="仿宋_GB2312"/>
          <w:kern w:val="2"/>
          <w:sz w:val="32"/>
          <w:szCs w:val="32"/>
          <w:highlight w:val="none"/>
          <w:lang w:eastAsia="zh-CN"/>
        </w:rPr>
        <w:t xml:space="preserve"> 职  务：__________________</w:t>
      </w:r>
    </w:p>
    <w:p w14:paraId="1AE4D9CA">
      <w:pPr>
        <w:pStyle w:val="30"/>
        <w:jc w:val="right"/>
        <w:rPr>
          <w:rFonts w:ascii="仿宋_GB2312" w:hAnsi="仿宋_GB2312" w:eastAsia="仿宋_GB2312" w:cs="仿宋_GB2312"/>
          <w:kern w:val="2"/>
          <w:sz w:val="32"/>
          <w:szCs w:val="32"/>
          <w:highlight w:val="none"/>
          <w:lang w:eastAsia="zh-CN"/>
        </w:rPr>
      </w:pPr>
      <w:r>
        <w:rPr>
          <w:rFonts w:ascii="仿宋_GB2312" w:hAnsi="仿宋_GB2312" w:eastAsia="仿宋_GB2312" w:cs="仿宋_GB2312"/>
          <w:kern w:val="2"/>
          <w:sz w:val="32"/>
          <w:szCs w:val="32"/>
          <w:highlight w:val="none"/>
          <w:lang w:eastAsia="zh-CN"/>
        </w:rPr>
        <w:t xml:space="preserve"> 日  期：__________________</w:t>
      </w:r>
    </w:p>
    <w:p w14:paraId="0E1314A1">
      <w:pPr>
        <w:pStyle w:val="7"/>
        <w:numPr>
          <w:ilvl w:val="-1"/>
          <w:numId w:val="0"/>
        </w:numPr>
        <w:rPr>
          <w:rFonts w:hint="eastAsia"/>
          <w:lang w:val="en-US" w:eastAsia="zh-CN"/>
        </w:rPr>
      </w:pPr>
    </w:p>
    <w:p w14:paraId="18C8CE1C">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br w:type="page"/>
      </w:r>
    </w:p>
    <w:p w14:paraId="2545B5BE">
      <w:pPr>
        <w:keepNext w:val="0"/>
        <w:keepLines w:val="0"/>
        <w:pageBreakBefore w:val="0"/>
        <w:kinsoku/>
        <w:wordWrap/>
        <w:overflowPunct/>
        <w:topLinePunct w:val="0"/>
        <w:autoSpaceDE/>
        <w:autoSpaceDN/>
        <w:bidi w:val="0"/>
        <w:adjustRightInd/>
        <w:snapToGrid/>
        <w:spacing w:line="560" w:lineRule="exact"/>
        <w:jc w:val="center"/>
        <w:textAlignment w:val="auto"/>
        <w:outlineLvl w:val="1"/>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val="en-US" w:eastAsia="zh-CN"/>
        </w:rPr>
        <w:t>五、</w:t>
      </w:r>
      <w:r>
        <w:rPr>
          <w:rFonts w:hint="eastAsia" w:ascii="方正小标宋简体" w:hAnsi="方正小标宋简体" w:eastAsia="方正小标宋简体" w:cs="方正小标宋简体"/>
          <w:sz w:val="44"/>
          <w:szCs w:val="44"/>
          <w:highlight w:val="none"/>
        </w:rPr>
        <w:t>法定代表人授权委托书</w:t>
      </w:r>
    </w:p>
    <w:p w14:paraId="1251FD4A">
      <w:pPr>
        <w:pStyle w:val="7"/>
        <w:rPr>
          <w:highlight w:val="none"/>
        </w:rPr>
      </w:pPr>
    </w:p>
    <w:p w14:paraId="4EAE9060">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本人（法定代表人）</w:t>
      </w:r>
      <w:r>
        <w:rPr>
          <w:rFonts w:hint="eastAsia" w:ascii="仿宋_GB2312" w:hAnsi="仿宋_GB2312" w:eastAsia="仿宋_GB2312" w:cs="仿宋_GB2312"/>
          <w:b w:val="0"/>
          <w:kern w:val="2"/>
          <w:sz w:val="32"/>
          <w:szCs w:val="32"/>
          <w:highlight w:val="none"/>
          <w:u w:val="single"/>
          <w:lang w:val="en-US" w:eastAsia="zh-CN" w:bidi="ar-SA"/>
        </w:rPr>
        <w:t xml:space="preserve">         </w:t>
      </w:r>
      <w:r>
        <w:rPr>
          <w:rFonts w:hint="eastAsia" w:ascii="仿宋_GB2312" w:hAnsi="仿宋_GB2312" w:eastAsia="仿宋_GB2312" w:cs="仿宋_GB2312"/>
          <w:b w:val="0"/>
          <w:kern w:val="2"/>
          <w:sz w:val="32"/>
          <w:szCs w:val="32"/>
          <w:highlight w:val="none"/>
          <w:lang w:val="en-US" w:eastAsia="zh-CN" w:bidi="ar-SA"/>
        </w:rPr>
        <w:t>身份证号：</w:t>
      </w:r>
      <w:r>
        <w:rPr>
          <w:rFonts w:hint="eastAsia" w:ascii="仿宋_GB2312" w:hAnsi="仿宋_GB2312" w:eastAsia="仿宋_GB2312" w:cs="仿宋_GB2312"/>
          <w:b w:val="0"/>
          <w:kern w:val="2"/>
          <w:sz w:val="32"/>
          <w:szCs w:val="32"/>
          <w:highlight w:val="none"/>
          <w:u w:val="single"/>
          <w:lang w:val="en-US" w:eastAsia="zh-CN" w:bidi="ar-SA"/>
        </w:rPr>
        <w:t xml:space="preserve">                </w:t>
      </w:r>
      <w:r>
        <w:rPr>
          <w:rFonts w:hint="eastAsia" w:ascii="仿宋_GB2312" w:hAnsi="仿宋_GB2312" w:eastAsia="仿宋_GB2312" w:cs="仿宋_GB2312"/>
          <w:b w:val="0"/>
          <w:kern w:val="2"/>
          <w:sz w:val="32"/>
          <w:szCs w:val="32"/>
          <w:highlight w:val="none"/>
          <w:lang w:val="en-US" w:eastAsia="zh-CN" w:bidi="ar-SA"/>
        </w:rPr>
        <w:t>现授权委托我司</w:t>
      </w:r>
      <w:r>
        <w:rPr>
          <w:rFonts w:hint="eastAsia" w:ascii="仿宋_GB2312" w:hAnsi="仿宋_GB2312" w:eastAsia="仿宋_GB2312" w:cs="仿宋_GB2312"/>
          <w:b w:val="0"/>
          <w:kern w:val="2"/>
          <w:sz w:val="32"/>
          <w:szCs w:val="32"/>
          <w:highlight w:val="none"/>
          <w:u w:val="single"/>
          <w:lang w:val="en-US" w:eastAsia="zh-CN" w:bidi="ar-SA"/>
        </w:rPr>
        <w:t xml:space="preserve">       </w:t>
      </w:r>
      <w:r>
        <w:rPr>
          <w:rFonts w:hint="eastAsia" w:ascii="仿宋_GB2312" w:hAnsi="仿宋_GB2312" w:eastAsia="仿宋_GB2312" w:cs="仿宋_GB2312"/>
          <w:b w:val="0"/>
          <w:kern w:val="2"/>
          <w:sz w:val="32"/>
          <w:szCs w:val="32"/>
          <w:highlight w:val="none"/>
          <w:lang w:val="en-US" w:eastAsia="zh-CN" w:bidi="ar-SA"/>
        </w:rPr>
        <w:t>（身份证号：</w:t>
      </w:r>
      <w:r>
        <w:rPr>
          <w:rFonts w:hint="eastAsia" w:ascii="仿宋_GB2312" w:hAnsi="仿宋_GB2312" w:eastAsia="仿宋_GB2312" w:cs="仿宋_GB2312"/>
          <w:b w:val="0"/>
          <w:kern w:val="2"/>
          <w:sz w:val="32"/>
          <w:szCs w:val="32"/>
          <w:highlight w:val="none"/>
          <w:u w:val="single"/>
          <w:lang w:val="en-US" w:eastAsia="zh-CN" w:bidi="ar-SA"/>
        </w:rPr>
        <w:t xml:space="preserve">                </w:t>
      </w:r>
      <w:r>
        <w:rPr>
          <w:rFonts w:hint="eastAsia" w:ascii="仿宋_GB2312" w:hAnsi="仿宋_GB2312" w:eastAsia="仿宋_GB2312" w:cs="仿宋_GB2312"/>
          <w:b w:val="0"/>
          <w:kern w:val="2"/>
          <w:sz w:val="32"/>
          <w:szCs w:val="32"/>
          <w:highlight w:val="none"/>
          <w:lang w:val="en-US" w:eastAsia="zh-CN" w:bidi="ar-SA"/>
        </w:rPr>
        <w:t>）为我司代理人，参与贵司的《广州南沙综合保税区加工区污水站运营项目》投标事宜，代理人在投标、合同谈判、项目实施过程中签署的一切与项目有关的文件，我司均予以承认，并承担相应的法律责任。</w:t>
      </w:r>
    </w:p>
    <w:p w14:paraId="1C407F23">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附：授权代表身份证正反面</w:t>
      </w:r>
    </w:p>
    <w:p w14:paraId="4CBBB308">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p>
    <w:p w14:paraId="3B90ACE9">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p>
    <w:p w14:paraId="17E3913E">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p>
    <w:p w14:paraId="4582B671">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p>
    <w:p w14:paraId="45E07B0D">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法定代表人：</w:t>
      </w:r>
    </w:p>
    <w:p w14:paraId="3F572688">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kern w:val="2"/>
          <w:sz w:val="32"/>
          <w:szCs w:val="32"/>
          <w:highlight w:val="none"/>
          <w:lang w:val="en-US" w:eastAsia="zh-CN" w:bidi="ar-SA"/>
        </w:rPr>
      </w:pPr>
      <w:r>
        <w:rPr>
          <w:rFonts w:hint="eastAsia" w:ascii="仿宋_GB2312" w:hAnsi="仿宋_GB2312" w:eastAsia="仿宋_GB2312" w:cs="仿宋_GB2312"/>
          <w:b w:val="0"/>
          <w:kern w:val="2"/>
          <w:sz w:val="32"/>
          <w:szCs w:val="32"/>
          <w:highlight w:val="none"/>
          <w:lang w:val="en-US" w:eastAsia="zh-CN" w:bidi="ar-SA"/>
        </w:rPr>
        <w:t>授权代表：</w:t>
      </w:r>
    </w:p>
    <w:p w14:paraId="61A36A4D">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投标人名称（盖章）：</w:t>
      </w:r>
    </w:p>
    <w:p w14:paraId="01DBE57B">
      <w:pPr>
        <w:pStyle w:val="7"/>
        <w:keepNext w:val="0"/>
        <w:keepLines w:val="0"/>
        <w:pageBreakBefore w:val="0"/>
        <w:widowControl w:val="0"/>
        <w:kinsoku/>
        <w:wordWrap/>
        <w:overflowPunct/>
        <w:topLinePunct w:val="0"/>
        <w:autoSpaceDE/>
        <w:autoSpaceDN/>
        <w:bidi w:val="0"/>
        <w:adjustRightInd/>
        <w:spacing w:line="560" w:lineRule="exact"/>
        <w:ind w:firstLine="562"/>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日    期：        年      月      日</w:t>
      </w:r>
    </w:p>
    <w:p w14:paraId="7D2CF959">
      <w:pPr>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2C40950C">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仿宋" w:hAnsi="仿宋" w:eastAsia="仿宋" w:cs="仿宋"/>
          <w:sz w:val="32"/>
          <w:szCs w:val="32"/>
          <w:highlight w:val="none"/>
        </w:rPr>
      </w:pPr>
    </w:p>
    <w:p w14:paraId="2BA643EC">
      <w:pPr>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27065097">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499F2A02">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21ACA525">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4EC1B89A">
      <w:pPr>
        <w:pStyle w:val="7"/>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highlight w:val="none"/>
        </w:rPr>
      </w:pPr>
    </w:p>
    <w:p w14:paraId="47DE01C8">
      <w:pPr>
        <w:pStyle w:val="7"/>
        <w:keepNext w:val="0"/>
        <w:keepLines w:val="0"/>
        <w:pageBreakBefore w:val="0"/>
        <w:kinsoku/>
        <w:wordWrap/>
        <w:overflowPunct/>
        <w:topLinePunct w:val="0"/>
        <w:autoSpaceDE/>
        <w:autoSpaceDN/>
        <w:bidi w:val="0"/>
        <w:adjustRightInd/>
        <w:snapToGrid/>
        <w:spacing w:line="560" w:lineRule="exact"/>
        <w:textAlignment w:val="auto"/>
        <w:rPr>
          <w:rFonts w:ascii="仿宋" w:hAnsi="仿宋" w:eastAsia="仿宋" w:cstheme="minorEastAsia"/>
          <w:sz w:val="32"/>
          <w:szCs w:val="32"/>
          <w:highlight w:val="none"/>
        </w:rPr>
      </w:pPr>
    </w:p>
    <w:p w14:paraId="795172C3">
      <w:pPr>
        <w:widowControl/>
        <w:jc w:val="left"/>
        <w:rPr>
          <w:rFonts w:ascii="仿宋" w:hAnsi="仿宋" w:eastAsia="仿宋" w:cstheme="minorEastAsia"/>
          <w:b/>
          <w:sz w:val="32"/>
          <w:szCs w:val="32"/>
          <w:highlight w:val="none"/>
        </w:rPr>
      </w:pPr>
      <w:r>
        <w:rPr>
          <w:rFonts w:ascii="仿宋" w:hAnsi="仿宋" w:eastAsia="仿宋" w:cstheme="minorEastAsia"/>
          <w:sz w:val="32"/>
          <w:szCs w:val="32"/>
          <w:highlight w:val="none"/>
        </w:rPr>
        <w:br w:type="page"/>
      </w:r>
    </w:p>
    <w:p w14:paraId="7DE10A11">
      <w:pPr>
        <w:spacing w:line="360" w:lineRule="auto"/>
        <w:jc w:val="center"/>
        <w:outlineLvl w:val="1"/>
        <w:rPr>
          <w:rFonts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val="en-US" w:eastAsia="zh-CN"/>
        </w:rPr>
        <w:t>六、</w:t>
      </w:r>
      <w:r>
        <w:rPr>
          <w:rFonts w:hint="eastAsia" w:ascii="方正小标宋简体" w:hAnsi="方正小标宋简体" w:eastAsia="方正小标宋简体" w:cs="方正小标宋简体"/>
          <w:sz w:val="44"/>
          <w:szCs w:val="44"/>
          <w:highlight w:val="none"/>
        </w:rPr>
        <w:t>报价明细表</w:t>
      </w:r>
    </w:p>
    <w:p w14:paraId="6E5C5D65">
      <w:pPr>
        <w:pStyle w:val="7"/>
        <w:rPr>
          <w:sz w:val="24"/>
          <w:szCs w:val="24"/>
          <w:highlight w:val="none"/>
        </w:rPr>
      </w:pPr>
    </w:p>
    <w:p w14:paraId="605C2068">
      <w:pPr>
        <w:spacing w:line="400" w:lineRule="exact"/>
        <w:textAlignment w:val="baseline"/>
        <w:rPr>
          <w:rFonts w:ascii="宋体" w:hAnsi="宋体" w:cs="宋体"/>
          <w:sz w:val="24"/>
          <w:szCs w:val="24"/>
          <w:highlight w:val="none"/>
        </w:rPr>
      </w:pPr>
      <w:r>
        <w:rPr>
          <w:rFonts w:hint="eastAsia" w:ascii="黑体" w:hAnsi="黑体" w:eastAsia="黑体" w:cs="黑体"/>
          <w:sz w:val="32"/>
          <w:szCs w:val="32"/>
          <w:highlight w:val="none"/>
        </w:rPr>
        <w:t>项目名称：广州南沙综合保稅区加工区污水站运营项目</w:t>
      </w:r>
    </w:p>
    <w:tbl>
      <w:tblPr>
        <w:tblStyle w:val="12"/>
        <w:tblpPr w:leftFromText="180" w:rightFromText="180" w:vertAnchor="text" w:horzAnchor="page" w:tblpX="1202" w:tblpY="407"/>
        <w:tblOverlap w:val="never"/>
        <w:tblW w:w="104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3"/>
        <w:gridCol w:w="1534"/>
        <w:gridCol w:w="4122"/>
        <w:gridCol w:w="843"/>
        <w:gridCol w:w="1023"/>
        <w:gridCol w:w="1230"/>
        <w:gridCol w:w="1170"/>
      </w:tblGrid>
      <w:tr w14:paraId="26FAC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513" w:type="dxa"/>
            <w:vAlign w:val="center"/>
          </w:tcPr>
          <w:p w14:paraId="4BBA7F16">
            <w:pPr>
              <w:spacing w:line="300" w:lineRule="auto"/>
              <w:textAlignment w:val="baseline"/>
              <w:rPr>
                <w:rFonts w:ascii="宋体" w:hAnsi="宋体" w:cs="宋体"/>
                <w:b/>
                <w:bCs/>
                <w:sz w:val="24"/>
                <w:szCs w:val="24"/>
                <w:highlight w:val="none"/>
              </w:rPr>
            </w:pPr>
            <w:r>
              <w:rPr>
                <w:rFonts w:hint="eastAsia" w:ascii="宋体" w:hAnsi="宋体" w:cs="宋体"/>
                <w:b/>
                <w:bCs/>
                <w:sz w:val="24"/>
                <w:szCs w:val="24"/>
                <w:highlight w:val="none"/>
              </w:rPr>
              <w:t>序号</w:t>
            </w:r>
          </w:p>
        </w:tc>
        <w:tc>
          <w:tcPr>
            <w:tcW w:w="1534" w:type="dxa"/>
            <w:vAlign w:val="center"/>
          </w:tcPr>
          <w:p w14:paraId="33941DB7">
            <w:pPr>
              <w:spacing w:line="300" w:lineRule="auto"/>
              <w:jc w:val="center"/>
              <w:textAlignment w:val="baseline"/>
              <w:rPr>
                <w:rFonts w:ascii="宋体" w:hAnsi="宋体" w:cs="宋体"/>
                <w:b/>
                <w:bCs/>
                <w:sz w:val="24"/>
                <w:szCs w:val="24"/>
                <w:highlight w:val="none"/>
              </w:rPr>
            </w:pPr>
            <w:r>
              <w:rPr>
                <w:rFonts w:hint="eastAsia" w:ascii="宋体" w:hAnsi="宋体" w:cs="宋体"/>
                <w:b/>
                <w:bCs/>
                <w:sz w:val="24"/>
                <w:szCs w:val="24"/>
                <w:highlight w:val="none"/>
              </w:rPr>
              <w:t>名称</w:t>
            </w:r>
          </w:p>
        </w:tc>
        <w:tc>
          <w:tcPr>
            <w:tcW w:w="4122" w:type="dxa"/>
            <w:vAlign w:val="center"/>
          </w:tcPr>
          <w:p w14:paraId="4EE8F571">
            <w:pPr>
              <w:spacing w:line="300" w:lineRule="auto"/>
              <w:jc w:val="center"/>
              <w:textAlignment w:val="baseline"/>
              <w:rPr>
                <w:rFonts w:ascii="宋体" w:hAnsi="宋体" w:cs="宋体"/>
                <w:b/>
                <w:bCs/>
                <w:sz w:val="24"/>
                <w:szCs w:val="24"/>
                <w:highlight w:val="none"/>
              </w:rPr>
            </w:pPr>
            <w:r>
              <w:rPr>
                <w:rFonts w:hint="eastAsia" w:ascii="宋体" w:hAnsi="宋体" w:cs="宋体"/>
                <w:b/>
                <w:bCs/>
                <w:sz w:val="24"/>
                <w:szCs w:val="24"/>
                <w:highlight w:val="none"/>
              </w:rPr>
              <w:t>项目特征</w:t>
            </w:r>
          </w:p>
        </w:tc>
        <w:tc>
          <w:tcPr>
            <w:tcW w:w="843" w:type="dxa"/>
            <w:vAlign w:val="center"/>
          </w:tcPr>
          <w:p w14:paraId="4975826E">
            <w:pPr>
              <w:spacing w:line="300" w:lineRule="auto"/>
              <w:jc w:val="center"/>
              <w:textAlignment w:val="baseline"/>
              <w:rPr>
                <w:rFonts w:hint="eastAsia" w:ascii="宋体" w:hAnsi="宋体" w:cs="宋体" w:eastAsiaTheme="minorEastAsia"/>
                <w:b/>
                <w:bCs/>
                <w:sz w:val="24"/>
                <w:szCs w:val="24"/>
                <w:highlight w:val="none"/>
                <w:lang w:eastAsia="zh-CN"/>
              </w:rPr>
            </w:pPr>
            <w:r>
              <w:rPr>
                <w:rFonts w:hint="eastAsia" w:ascii="宋体" w:hAnsi="宋体" w:cs="宋体"/>
                <w:b/>
                <w:bCs/>
                <w:sz w:val="24"/>
                <w:szCs w:val="24"/>
                <w:highlight w:val="none"/>
                <w:lang w:eastAsia="zh-CN"/>
              </w:rPr>
              <w:t>服务期限</w:t>
            </w:r>
          </w:p>
        </w:tc>
        <w:tc>
          <w:tcPr>
            <w:tcW w:w="1023" w:type="dxa"/>
            <w:vAlign w:val="center"/>
          </w:tcPr>
          <w:p w14:paraId="6CB437C8">
            <w:pPr>
              <w:spacing w:line="300" w:lineRule="auto"/>
              <w:jc w:val="center"/>
              <w:textAlignment w:val="baseline"/>
              <w:rPr>
                <w:rFonts w:ascii="宋体" w:hAnsi="宋体" w:eastAsia="宋体" w:cs="宋体"/>
                <w:b/>
                <w:bCs/>
                <w:sz w:val="24"/>
                <w:szCs w:val="24"/>
                <w:highlight w:val="none"/>
              </w:rPr>
            </w:pPr>
            <w:r>
              <w:rPr>
                <w:rFonts w:hint="eastAsia" w:ascii="宋体" w:hAnsi="宋体" w:cs="宋体"/>
                <w:b/>
                <w:bCs/>
                <w:sz w:val="24"/>
                <w:szCs w:val="24"/>
                <w:highlight w:val="none"/>
                <w:lang w:val="en-US" w:eastAsia="zh-CN"/>
              </w:rPr>
              <w:t>不</w:t>
            </w:r>
            <w:r>
              <w:rPr>
                <w:rFonts w:hint="eastAsia" w:ascii="宋体" w:hAnsi="宋体" w:cs="宋体"/>
                <w:b/>
                <w:bCs/>
                <w:sz w:val="24"/>
                <w:szCs w:val="24"/>
                <w:highlight w:val="none"/>
              </w:rPr>
              <w:t>含税价（元）</w:t>
            </w:r>
          </w:p>
        </w:tc>
        <w:tc>
          <w:tcPr>
            <w:tcW w:w="1230" w:type="dxa"/>
            <w:vAlign w:val="center"/>
          </w:tcPr>
          <w:p w14:paraId="4455675C">
            <w:pPr>
              <w:spacing w:line="300" w:lineRule="auto"/>
              <w:jc w:val="center"/>
              <w:textAlignment w:val="baseline"/>
              <w:rPr>
                <w:rFonts w:ascii="宋体" w:hAnsi="宋体" w:eastAsia="宋体" w:cs="宋体"/>
                <w:b/>
                <w:bCs/>
                <w:sz w:val="24"/>
                <w:szCs w:val="24"/>
                <w:highlight w:val="none"/>
              </w:rPr>
            </w:pPr>
            <w:r>
              <w:rPr>
                <w:rFonts w:hint="eastAsia" w:ascii="宋体" w:hAnsi="宋体" w:cs="宋体"/>
                <w:b/>
                <w:bCs/>
                <w:sz w:val="24"/>
                <w:szCs w:val="24"/>
                <w:highlight w:val="none"/>
                <w:lang w:val="en-US" w:eastAsia="zh-CN"/>
              </w:rPr>
              <w:t>不</w:t>
            </w:r>
            <w:r>
              <w:rPr>
                <w:rFonts w:hint="eastAsia" w:ascii="宋体" w:hAnsi="宋体" w:cs="宋体"/>
                <w:b/>
                <w:bCs/>
                <w:sz w:val="24"/>
                <w:szCs w:val="24"/>
                <w:highlight w:val="none"/>
              </w:rPr>
              <w:t>含税总价（元）</w:t>
            </w:r>
          </w:p>
        </w:tc>
        <w:tc>
          <w:tcPr>
            <w:tcW w:w="1170" w:type="dxa"/>
            <w:vAlign w:val="center"/>
          </w:tcPr>
          <w:p w14:paraId="58A46A98">
            <w:pPr>
              <w:spacing w:line="300" w:lineRule="auto"/>
              <w:jc w:val="center"/>
              <w:textAlignment w:val="baseline"/>
              <w:rPr>
                <w:rFonts w:hint="eastAsia" w:ascii="宋体" w:hAnsi="宋体" w:cs="宋体" w:eastAsiaTheme="minorEastAsia"/>
                <w:b/>
                <w:bCs/>
                <w:sz w:val="24"/>
                <w:szCs w:val="24"/>
                <w:highlight w:val="none"/>
                <w:lang w:val="en-US" w:eastAsia="zh-CN"/>
              </w:rPr>
            </w:pPr>
            <w:r>
              <w:rPr>
                <w:rFonts w:hint="eastAsia" w:ascii="宋体" w:hAnsi="宋体" w:cs="宋体"/>
                <w:b/>
                <w:bCs/>
                <w:sz w:val="24"/>
                <w:szCs w:val="24"/>
                <w:highlight w:val="none"/>
                <w:lang w:val="en-US" w:eastAsia="zh-CN"/>
              </w:rPr>
              <w:t>税率</w:t>
            </w:r>
          </w:p>
        </w:tc>
      </w:tr>
      <w:tr w14:paraId="06295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13" w:type="dxa"/>
            <w:vAlign w:val="center"/>
          </w:tcPr>
          <w:p w14:paraId="2EAB404E">
            <w:pPr>
              <w:spacing w:line="300" w:lineRule="auto"/>
              <w:jc w:val="center"/>
              <w:textAlignment w:val="baseline"/>
              <w:rPr>
                <w:rFonts w:ascii="宋体" w:hAnsi="宋体" w:cs="宋体"/>
                <w:sz w:val="24"/>
                <w:szCs w:val="24"/>
                <w:highlight w:val="none"/>
              </w:rPr>
            </w:pPr>
            <w:r>
              <w:rPr>
                <w:rFonts w:hint="eastAsia" w:ascii="宋体" w:hAnsi="宋体" w:cs="宋体"/>
                <w:sz w:val="24"/>
                <w:szCs w:val="24"/>
                <w:highlight w:val="none"/>
              </w:rPr>
              <w:t>1</w:t>
            </w:r>
          </w:p>
        </w:tc>
        <w:tc>
          <w:tcPr>
            <w:tcW w:w="1534" w:type="dxa"/>
            <w:vAlign w:val="center"/>
          </w:tcPr>
          <w:p w14:paraId="1DD3964D">
            <w:pPr>
              <w:spacing w:line="300" w:lineRule="auto"/>
              <w:jc w:val="center"/>
              <w:textAlignment w:val="baseline"/>
              <w:rPr>
                <w:rFonts w:ascii="宋体" w:hAnsi="宋体" w:cs="宋体"/>
                <w:sz w:val="24"/>
                <w:szCs w:val="24"/>
                <w:highlight w:val="none"/>
              </w:rPr>
            </w:pPr>
            <w:r>
              <w:rPr>
                <w:rFonts w:hint="eastAsia" w:ascii="宋体" w:hAnsi="宋体" w:cs="宋体"/>
                <w:sz w:val="24"/>
                <w:szCs w:val="24"/>
                <w:highlight w:val="none"/>
              </w:rPr>
              <w:t>广州南沙综合保稅区加工区污水站运营项目</w:t>
            </w:r>
          </w:p>
        </w:tc>
        <w:tc>
          <w:tcPr>
            <w:tcW w:w="4122" w:type="dxa"/>
            <w:vAlign w:val="center"/>
          </w:tcPr>
          <w:p w14:paraId="4540FE15">
            <w:pPr>
              <w:spacing w:line="300" w:lineRule="auto"/>
              <w:jc w:val="both"/>
              <w:textAlignment w:val="baseline"/>
              <w:rPr>
                <w:rFonts w:ascii="宋体" w:hAnsi="宋体" w:cs="宋体"/>
                <w:sz w:val="24"/>
                <w:szCs w:val="24"/>
                <w:highlight w:val="none"/>
              </w:rPr>
            </w:pPr>
            <w:r>
              <w:rPr>
                <w:rFonts w:ascii="宋体" w:hAnsi="宋体" w:cs="宋体"/>
                <w:sz w:val="24"/>
                <w:szCs w:val="24"/>
                <w:highlight w:val="none"/>
              </w:rPr>
              <w:t>包括服务期内项目</w:t>
            </w:r>
            <w:r>
              <w:rPr>
                <w:rFonts w:hint="eastAsia" w:ascii="宋体" w:hAnsi="宋体" w:cs="宋体"/>
                <w:sz w:val="24"/>
                <w:szCs w:val="24"/>
                <w:highlight w:val="none"/>
                <w:lang w:val="en-US" w:eastAsia="zh-CN"/>
              </w:rPr>
              <w:t>最大进水量不超过600m³/d</w:t>
            </w:r>
            <w:r>
              <w:rPr>
                <w:rFonts w:ascii="宋体" w:hAnsi="宋体" w:cs="宋体"/>
                <w:sz w:val="24"/>
                <w:szCs w:val="24"/>
                <w:highlight w:val="none"/>
              </w:rPr>
              <w:t>的人工费、委托运营服务费用、设施设备的日常维护保养、日常化验检测及常规环保监测费用、运营期间产生的化学药剂费用、污泥处置费、在线监测设备的废液处理费用、在线监测设备日常运行维护、维护护栏和卫生间以及投标方认为</w:t>
            </w:r>
            <w:r>
              <w:rPr>
                <w:rFonts w:hint="eastAsia" w:ascii="宋体" w:hAnsi="宋体" w:cs="宋体"/>
                <w:sz w:val="24"/>
                <w:szCs w:val="24"/>
                <w:highlight w:val="none"/>
              </w:rPr>
              <w:t>为完成本项目服务</w:t>
            </w:r>
            <w:r>
              <w:rPr>
                <w:rFonts w:ascii="宋体" w:hAnsi="宋体" w:cs="宋体"/>
                <w:sz w:val="24"/>
                <w:szCs w:val="24"/>
                <w:highlight w:val="none"/>
              </w:rPr>
              <w:t>必要的其他费用，不含水电费</w:t>
            </w:r>
            <w:r>
              <w:rPr>
                <w:rFonts w:hint="eastAsia" w:ascii="宋体" w:hAnsi="宋体" w:cs="宋体"/>
                <w:sz w:val="24"/>
                <w:szCs w:val="24"/>
                <w:highlight w:val="none"/>
              </w:rPr>
              <w:t>。</w:t>
            </w:r>
          </w:p>
        </w:tc>
        <w:tc>
          <w:tcPr>
            <w:tcW w:w="843" w:type="dxa"/>
            <w:vAlign w:val="center"/>
          </w:tcPr>
          <w:p w14:paraId="7D1D4495">
            <w:pPr>
              <w:spacing w:line="300" w:lineRule="auto"/>
              <w:jc w:val="center"/>
              <w:textAlignment w:val="baseline"/>
              <w:rPr>
                <w:rFonts w:ascii="宋体" w:hAnsi="宋体" w:cs="宋体"/>
                <w:sz w:val="24"/>
                <w:szCs w:val="24"/>
                <w:highlight w:val="none"/>
              </w:rPr>
            </w:pPr>
            <w:r>
              <w:rPr>
                <w:rFonts w:hint="eastAsia" w:ascii="宋体" w:hAnsi="宋体" w:cs="宋体"/>
                <w:sz w:val="24"/>
                <w:szCs w:val="24"/>
                <w:highlight w:val="none"/>
                <w:lang w:val="en-US" w:eastAsia="zh-CN"/>
              </w:rPr>
              <w:t>1年</w:t>
            </w:r>
          </w:p>
        </w:tc>
        <w:tc>
          <w:tcPr>
            <w:tcW w:w="1023" w:type="dxa"/>
          </w:tcPr>
          <w:p w14:paraId="5288DC73">
            <w:pPr>
              <w:spacing w:line="300" w:lineRule="auto"/>
              <w:jc w:val="center"/>
              <w:textAlignment w:val="baseline"/>
              <w:rPr>
                <w:rFonts w:ascii="宋体" w:hAnsi="宋体" w:cs="宋体"/>
                <w:sz w:val="24"/>
                <w:szCs w:val="24"/>
                <w:highlight w:val="none"/>
              </w:rPr>
            </w:pPr>
          </w:p>
        </w:tc>
        <w:tc>
          <w:tcPr>
            <w:tcW w:w="1230" w:type="dxa"/>
            <w:vAlign w:val="center"/>
          </w:tcPr>
          <w:p w14:paraId="6651E3F1">
            <w:pPr>
              <w:spacing w:line="300" w:lineRule="auto"/>
              <w:jc w:val="center"/>
              <w:textAlignment w:val="baseline"/>
              <w:rPr>
                <w:rFonts w:ascii="宋体" w:hAnsi="宋体" w:cs="宋体"/>
                <w:sz w:val="24"/>
                <w:szCs w:val="24"/>
                <w:highlight w:val="none"/>
              </w:rPr>
            </w:pPr>
          </w:p>
        </w:tc>
        <w:tc>
          <w:tcPr>
            <w:tcW w:w="1170" w:type="dxa"/>
            <w:vAlign w:val="center"/>
          </w:tcPr>
          <w:p w14:paraId="1C59A99E">
            <w:pPr>
              <w:spacing w:line="300" w:lineRule="auto"/>
              <w:jc w:val="center"/>
              <w:textAlignment w:val="baseline"/>
              <w:rPr>
                <w:rFonts w:ascii="宋体" w:hAnsi="宋体" w:cs="宋体"/>
                <w:sz w:val="24"/>
                <w:szCs w:val="24"/>
                <w:highlight w:val="none"/>
              </w:rPr>
            </w:pPr>
          </w:p>
        </w:tc>
      </w:tr>
      <w:tr w14:paraId="12EED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513" w:type="dxa"/>
            <w:vAlign w:val="center"/>
          </w:tcPr>
          <w:p w14:paraId="5D950793">
            <w:pPr>
              <w:spacing w:line="300" w:lineRule="auto"/>
              <w:jc w:val="center"/>
              <w:textAlignment w:val="baseline"/>
              <w:rPr>
                <w:rFonts w:ascii="宋体" w:hAnsi="宋体" w:cs="宋体"/>
                <w:sz w:val="24"/>
                <w:szCs w:val="24"/>
                <w:highlight w:val="none"/>
              </w:rPr>
            </w:pPr>
            <w:r>
              <w:rPr>
                <w:rFonts w:hint="eastAsia" w:ascii="宋体" w:hAnsi="宋体" w:cs="宋体"/>
                <w:sz w:val="24"/>
                <w:szCs w:val="24"/>
                <w:highlight w:val="none"/>
              </w:rPr>
              <w:t>2</w:t>
            </w:r>
          </w:p>
        </w:tc>
        <w:tc>
          <w:tcPr>
            <w:tcW w:w="1534" w:type="dxa"/>
            <w:vAlign w:val="center"/>
          </w:tcPr>
          <w:p w14:paraId="7057668B">
            <w:pPr>
              <w:spacing w:line="300" w:lineRule="auto"/>
              <w:textAlignment w:val="baseline"/>
              <w:rPr>
                <w:rFonts w:ascii="宋体" w:hAnsi="宋体" w:cs="宋体"/>
                <w:sz w:val="24"/>
                <w:szCs w:val="24"/>
                <w:highlight w:val="none"/>
              </w:rPr>
            </w:pPr>
            <w:r>
              <w:rPr>
                <w:rFonts w:hint="eastAsia" w:ascii="宋体" w:hAnsi="宋体" w:cs="宋体"/>
                <w:sz w:val="24"/>
                <w:szCs w:val="24"/>
                <w:highlight w:val="none"/>
              </w:rPr>
              <w:t>含税报价（人民币大写） ：</w:t>
            </w:r>
          </w:p>
        </w:tc>
        <w:tc>
          <w:tcPr>
            <w:tcW w:w="8388" w:type="dxa"/>
            <w:gridSpan w:val="5"/>
            <w:vAlign w:val="center"/>
          </w:tcPr>
          <w:p w14:paraId="009D79B7">
            <w:pPr>
              <w:spacing w:line="300" w:lineRule="auto"/>
              <w:jc w:val="both"/>
              <w:textAlignment w:val="baseline"/>
              <w:rPr>
                <w:rFonts w:ascii="宋体" w:hAnsi="宋体" w:cs="宋体"/>
                <w:sz w:val="24"/>
                <w:szCs w:val="24"/>
                <w:highlight w:val="none"/>
              </w:rPr>
            </w:pP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（大写：                       ）</w:t>
            </w:r>
          </w:p>
        </w:tc>
      </w:tr>
    </w:tbl>
    <w:p w14:paraId="4159AD19">
      <w:pPr>
        <w:spacing w:line="440" w:lineRule="exact"/>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sz w:val="32"/>
          <w:szCs w:val="32"/>
          <w:highlight w:val="none"/>
        </w:rPr>
        <w:t>注：</w:t>
      </w:r>
      <w:r>
        <w:rPr>
          <w:rFonts w:hint="eastAsia" w:ascii="仿宋_GB2312" w:hAnsi="仿宋_GB2312" w:eastAsia="仿宋_GB2312" w:cs="仿宋_GB2312"/>
          <w:sz w:val="32"/>
          <w:szCs w:val="32"/>
          <w:highlight w:val="none"/>
        </w:rPr>
        <w:t>投标人按要求填写表格内容。</w:t>
      </w:r>
    </w:p>
    <w:p w14:paraId="24F315A8">
      <w:pPr>
        <w:spacing w:line="440" w:lineRule="exact"/>
        <w:textAlignment w:val="baseline"/>
        <w:rPr>
          <w:rFonts w:hint="eastAsia" w:ascii="仿宋_GB2312" w:hAnsi="仿宋_GB2312" w:eastAsia="仿宋_GB2312" w:cs="仿宋_GB2312"/>
          <w:sz w:val="32"/>
          <w:szCs w:val="32"/>
          <w:highlight w:val="none"/>
        </w:rPr>
      </w:pPr>
    </w:p>
    <w:p w14:paraId="00E2277C">
      <w:pPr>
        <w:spacing w:line="360" w:lineRule="auto"/>
        <w:rPr>
          <w:rFonts w:hint="eastAsia" w:ascii="仿宋_GB2312" w:hAnsi="仿宋_GB2312" w:eastAsia="仿宋_GB2312" w:cs="仿宋_GB2312"/>
          <w:sz w:val="32"/>
          <w:szCs w:val="32"/>
          <w:highlight w:val="none"/>
        </w:rPr>
      </w:pPr>
    </w:p>
    <w:p w14:paraId="5CF38B5F">
      <w:pPr>
        <w:pStyle w:val="7"/>
        <w:rPr>
          <w:rFonts w:hint="eastAsia" w:ascii="仿宋_GB2312" w:hAnsi="仿宋_GB2312" w:eastAsia="仿宋_GB2312" w:cs="仿宋_GB2312"/>
          <w:b w:val="0"/>
          <w:bCs/>
          <w:sz w:val="32"/>
          <w:szCs w:val="32"/>
          <w:highlight w:val="none"/>
        </w:rPr>
      </w:pPr>
      <w:r>
        <w:rPr>
          <w:rFonts w:hint="eastAsia" w:ascii="仿宋_GB2312" w:hAnsi="仿宋_GB2312" w:eastAsia="仿宋_GB2312" w:cs="仿宋_GB2312"/>
          <w:b w:val="0"/>
          <w:bCs/>
          <w:sz w:val="32"/>
          <w:szCs w:val="32"/>
          <w:highlight w:val="none"/>
        </w:rPr>
        <w:t>投标人名称（盖章）：</w:t>
      </w:r>
    </w:p>
    <w:p w14:paraId="4AD033C3">
      <w:pPr>
        <w:pStyle w:val="7"/>
        <w:rPr>
          <w:rFonts w:hint="eastAsia" w:ascii="仿宋_GB2312" w:hAnsi="仿宋_GB2312" w:eastAsia="仿宋_GB2312" w:cs="仿宋_GB2312"/>
          <w:b w:val="0"/>
          <w:bCs/>
          <w:sz w:val="32"/>
          <w:szCs w:val="32"/>
          <w:highlight w:val="none"/>
        </w:rPr>
      </w:pPr>
      <w:r>
        <w:rPr>
          <w:rFonts w:hint="eastAsia" w:ascii="仿宋_GB2312" w:hAnsi="仿宋_GB2312" w:eastAsia="仿宋_GB2312" w:cs="仿宋_GB2312"/>
          <w:b w:val="0"/>
          <w:bCs/>
          <w:sz w:val="32"/>
          <w:szCs w:val="32"/>
          <w:highlight w:val="none"/>
        </w:rPr>
        <w:t>法定代表人或授权代表（签字或签章）：</w:t>
      </w:r>
    </w:p>
    <w:p w14:paraId="56591FBA">
      <w:pPr>
        <w:pStyle w:val="7"/>
        <w:rPr>
          <w:rFonts w:hint="eastAsia" w:ascii="仿宋" w:hAnsi="仿宋" w:eastAsia="仿宋" w:cs="仿宋"/>
          <w:sz w:val="32"/>
          <w:szCs w:val="32"/>
          <w:highlight w:val="none"/>
        </w:rPr>
      </w:pPr>
      <w:r>
        <w:rPr>
          <w:rFonts w:hint="eastAsia" w:ascii="仿宋_GB2312" w:hAnsi="仿宋_GB2312" w:eastAsia="仿宋_GB2312" w:cs="仿宋_GB2312"/>
          <w:b w:val="0"/>
          <w:bCs/>
          <w:sz w:val="32"/>
          <w:szCs w:val="32"/>
          <w:highlight w:val="none"/>
        </w:rPr>
        <w:t>日    期：        年      月      日</w:t>
      </w:r>
      <w:r>
        <w:rPr>
          <w:rFonts w:hint="eastAsia" w:ascii="仿宋_GB2312" w:hAnsi="仿宋_GB2312" w:eastAsia="仿宋_GB2312" w:cs="仿宋_GB2312"/>
          <w:sz w:val="32"/>
          <w:szCs w:val="32"/>
          <w:highlight w:val="none"/>
        </w:rPr>
        <w:br w:type="page"/>
      </w:r>
    </w:p>
    <w:p w14:paraId="7015D19E">
      <w:pPr>
        <w:spacing w:line="360" w:lineRule="auto"/>
        <w:jc w:val="center"/>
        <w:outlineLvl w:val="1"/>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七、同类型业绩证明材料</w:t>
      </w:r>
    </w:p>
    <w:p w14:paraId="460CE33B">
      <w:pP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br w:type="page"/>
      </w:r>
    </w:p>
    <w:p w14:paraId="427CC1BB">
      <w:pPr>
        <w:spacing w:line="360" w:lineRule="auto"/>
        <w:jc w:val="center"/>
        <w:outlineLvl w:val="1"/>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八、其他证明材料</w:t>
      </w:r>
    </w:p>
    <w:p w14:paraId="71F1FDDB">
      <w:pP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br w:type="page"/>
      </w:r>
    </w:p>
    <w:p w14:paraId="05069A0D">
      <w:pPr>
        <w:spacing w:line="360" w:lineRule="auto"/>
        <w:jc w:val="center"/>
        <w:outlineLvl w:val="1"/>
        <w:rPr>
          <w:rFonts w:hint="default"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九、项目运营方案</w:t>
      </w:r>
    </w:p>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A00002EF" w:usb1="4000004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C5CC3">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75C7E7">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275C7E7">
                    <w:pPr>
                      <w:pStyle w:val="9"/>
                    </w:pPr>
                    <w:r>
                      <w:fldChar w:fldCharType="begin"/>
                    </w:r>
                    <w:r>
                      <w:instrText xml:space="preserve"> PAGE  \* MERGEFORMAT </w:instrText>
                    </w:r>
                    <w:r>
                      <w:fldChar w:fldCharType="separate"/>
                    </w:r>
                    <w:r>
                      <w:t>1</w:t>
                    </w:r>
                    <w:r>
                      <w:fldChar w:fldCharType="end"/>
                    </w:r>
                  </w:p>
                </w:txbxContent>
              </v:textbox>
            </v:shape>
          </w:pict>
        </mc:Fallback>
      </mc:AlternateContent>
    </w:r>
    <w:r>
      <w:br w:type="textWrapping"/>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38025A"/>
    <w:multiLevelType w:val="singleLevel"/>
    <w:tmpl w:val="8B38025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kMTUwZmQ3OTdkODIyM2ZjZjk0NzQ3ZTkxY2ExNTYifQ=="/>
  </w:docVars>
  <w:rsids>
    <w:rsidRoot w:val="00000000"/>
    <w:rsid w:val="007B1D22"/>
    <w:rsid w:val="01521A61"/>
    <w:rsid w:val="016C48B0"/>
    <w:rsid w:val="02FF4928"/>
    <w:rsid w:val="06360F5B"/>
    <w:rsid w:val="068E0696"/>
    <w:rsid w:val="06BB49A2"/>
    <w:rsid w:val="07233A53"/>
    <w:rsid w:val="078649C8"/>
    <w:rsid w:val="096C36E7"/>
    <w:rsid w:val="0983332C"/>
    <w:rsid w:val="0AD24639"/>
    <w:rsid w:val="0BF010B3"/>
    <w:rsid w:val="0C060244"/>
    <w:rsid w:val="0D942F8B"/>
    <w:rsid w:val="0DBA315D"/>
    <w:rsid w:val="0E2449B2"/>
    <w:rsid w:val="0E3A735B"/>
    <w:rsid w:val="0E5D1120"/>
    <w:rsid w:val="0EC1319E"/>
    <w:rsid w:val="0F6039F9"/>
    <w:rsid w:val="0FBC1346"/>
    <w:rsid w:val="108F27EE"/>
    <w:rsid w:val="12EC6136"/>
    <w:rsid w:val="14005579"/>
    <w:rsid w:val="14FC6E5B"/>
    <w:rsid w:val="15C96F59"/>
    <w:rsid w:val="16077093"/>
    <w:rsid w:val="16F96DAB"/>
    <w:rsid w:val="16FA7DC1"/>
    <w:rsid w:val="19417D69"/>
    <w:rsid w:val="1D2E13A9"/>
    <w:rsid w:val="202B1BD0"/>
    <w:rsid w:val="20E86453"/>
    <w:rsid w:val="218D65B2"/>
    <w:rsid w:val="22883309"/>
    <w:rsid w:val="22AE0C56"/>
    <w:rsid w:val="23931F66"/>
    <w:rsid w:val="27604476"/>
    <w:rsid w:val="27C96051"/>
    <w:rsid w:val="27E014F2"/>
    <w:rsid w:val="28497097"/>
    <w:rsid w:val="28546167"/>
    <w:rsid w:val="28E86AD0"/>
    <w:rsid w:val="28F434A6"/>
    <w:rsid w:val="29816317"/>
    <w:rsid w:val="2A385615"/>
    <w:rsid w:val="2AF345B0"/>
    <w:rsid w:val="2AF7102C"/>
    <w:rsid w:val="2B410C90"/>
    <w:rsid w:val="2E6D7F83"/>
    <w:rsid w:val="2F68074A"/>
    <w:rsid w:val="2FB42F64"/>
    <w:rsid w:val="318A0C95"/>
    <w:rsid w:val="31ED2DB1"/>
    <w:rsid w:val="3330332D"/>
    <w:rsid w:val="338F1930"/>
    <w:rsid w:val="33FD7565"/>
    <w:rsid w:val="34621C0C"/>
    <w:rsid w:val="34C5219B"/>
    <w:rsid w:val="366A2FFA"/>
    <w:rsid w:val="36BD5820"/>
    <w:rsid w:val="39934616"/>
    <w:rsid w:val="39BA618B"/>
    <w:rsid w:val="3A563E91"/>
    <w:rsid w:val="3B051543"/>
    <w:rsid w:val="3BBF1D70"/>
    <w:rsid w:val="3BD67745"/>
    <w:rsid w:val="3C046992"/>
    <w:rsid w:val="3E4921FA"/>
    <w:rsid w:val="3E5F6601"/>
    <w:rsid w:val="3E665041"/>
    <w:rsid w:val="3FF20561"/>
    <w:rsid w:val="40A06178"/>
    <w:rsid w:val="40BE29D4"/>
    <w:rsid w:val="40E81225"/>
    <w:rsid w:val="41A70AC8"/>
    <w:rsid w:val="425969B9"/>
    <w:rsid w:val="4368192B"/>
    <w:rsid w:val="4393783F"/>
    <w:rsid w:val="439E2535"/>
    <w:rsid w:val="44BC0EC5"/>
    <w:rsid w:val="46176868"/>
    <w:rsid w:val="464B3A05"/>
    <w:rsid w:val="47E36768"/>
    <w:rsid w:val="4882471F"/>
    <w:rsid w:val="497955D6"/>
    <w:rsid w:val="4B0E61F2"/>
    <w:rsid w:val="4CC52CF1"/>
    <w:rsid w:val="4DD179AB"/>
    <w:rsid w:val="4DE81AE2"/>
    <w:rsid w:val="4FA046BA"/>
    <w:rsid w:val="501C0D33"/>
    <w:rsid w:val="517B4F29"/>
    <w:rsid w:val="51CF28BF"/>
    <w:rsid w:val="51DE24D5"/>
    <w:rsid w:val="523E73BD"/>
    <w:rsid w:val="53BC16CA"/>
    <w:rsid w:val="54161C73"/>
    <w:rsid w:val="56252770"/>
    <w:rsid w:val="56BA722E"/>
    <w:rsid w:val="58977827"/>
    <w:rsid w:val="58A3441E"/>
    <w:rsid w:val="58FA7DB6"/>
    <w:rsid w:val="5B0934C6"/>
    <w:rsid w:val="5B157129"/>
    <w:rsid w:val="5D184CAE"/>
    <w:rsid w:val="5DFC6EF1"/>
    <w:rsid w:val="5E5D3E4C"/>
    <w:rsid w:val="62D949F2"/>
    <w:rsid w:val="635078B0"/>
    <w:rsid w:val="64003605"/>
    <w:rsid w:val="65FC1361"/>
    <w:rsid w:val="669F570E"/>
    <w:rsid w:val="67DD2D7C"/>
    <w:rsid w:val="685E2270"/>
    <w:rsid w:val="6B301415"/>
    <w:rsid w:val="6B7B7F92"/>
    <w:rsid w:val="6BC56001"/>
    <w:rsid w:val="6CD72BB6"/>
    <w:rsid w:val="6DCF6076"/>
    <w:rsid w:val="6E1312A6"/>
    <w:rsid w:val="6F03131A"/>
    <w:rsid w:val="71DD22F7"/>
    <w:rsid w:val="720C2A37"/>
    <w:rsid w:val="72C02432"/>
    <w:rsid w:val="737A1DC7"/>
    <w:rsid w:val="74A214E4"/>
    <w:rsid w:val="74A75C68"/>
    <w:rsid w:val="75371F8E"/>
    <w:rsid w:val="768A40CF"/>
    <w:rsid w:val="77D23F80"/>
    <w:rsid w:val="790B5DDB"/>
    <w:rsid w:val="79420C91"/>
    <w:rsid w:val="7A745AA1"/>
    <w:rsid w:val="7B440B11"/>
    <w:rsid w:val="7C460A98"/>
    <w:rsid w:val="7DAF4EFB"/>
    <w:rsid w:val="7FFF75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autoRedefine/>
    <w:unhideWhenUsed/>
    <w:qFormat/>
    <w:uiPriority w:val="9"/>
    <w:pPr>
      <w:keepNext/>
      <w:keepLines/>
      <w:spacing w:before="260" w:after="260" w:line="416" w:lineRule="auto"/>
      <w:outlineLvl w:val="1"/>
    </w:pPr>
    <w:rPr>
      <w:rFonts w:eastAsia="黑体" w:asciiTheme="majorHAnsi" w:hAnsiTheme="majorHAnsi" w:cstheme="majorBidi"/>
      <w:b/>
      <w:bCs/>
      <w:sz w:val="32"/>
      <w:szCs w:val="32"/>
    </w:rPr>
  </w:style>
  <w:style w:type="paragraph" w:styleId="4">
    <w:name w:val="heading 4"/>
    <w:basedOn w:val="1"/>
    <w:next w:val="5"/>
    <w:autoRedefine/>
    <w:qFormat/>
    <w:uiPriority w:val="0"/>
    <w:pPr>
      <w:autoSpaceDE w:val="0"/>
      <w:autoSpaceDN w:val="0"/>
      <w:adjustRightInd w:val="0"/>
      <w:snapToGrid w:val="0"/>
      <w:spacing w:line="360" w:lineRule="auto"/>
      <w:outlineLvl w:val="3"/>
    </w:pPr>
    <w:rPr>
      <w:rFonts w:ascii="宋体" w:hAnsi="Arial" w:cs="宋体"/>
      <w:color w:val="000000"/>
    </w:rPr>
  </w:style>
  <w:style w:type="character" w:default="1" w:styleId="14">
    <w:name w:val="Default Paragraph Font"/>
    <w:autoRedefine/>
    <w:semiHidden/>
    <w:qFormat/>
    <w:uiPriority w:val="0"/>
  </w:style>
  <w:style w:type="table" w:default="1" w:styleId="12">
    <w:name w:val="Normal Table"/>
    <w:autoRedefine/>
    <w:semiHidden/>
    <w:qFormat/>
    <w:uiPriority w:val="0"/>
    <w:tblPr>
      <w:tblCellMar>
        <w:top w:w="0" w:type="dxa"/>
        <w:left w:w="108" w:type="dxa"/>
        <w:bottom w:w="0" w:type="dxa"/>
        <w:right w:w="108" w:type="dxa"/>
      </w:tblCellMar>
    </w:tblPr>
  </w:style>
  <w:style w:type="paragraph" w:styleId="5">
    <w:name w:val="Normal Indent"/>
    <w:basedOn w:val="1"/>
    <w:autoRedefine/>
    <w:unhideWhenUsed/>
    <w:qFormat/>
    <w:uiPriority w:val="0"/>
    <w:pPr>
      <w:ind w:firstLine="420" w:firstLineChars="200"/>
    </w:pPr>
  </w:style>
  <w:style w:type="paragraph" w:styleId="6">
    <w:name w:val="annotation text"/>
    <w:basedOn w:val="1"/>
    <w:qFormat/>
    <w:uiPriority w:val="0"/>
    <w:pPr>
      <w:jc w:val="left"/>
    </w:pPr>
  </w:style>
  <w:style w:type="paragraph" w:styleId="7">
    <w:name w:val="Body Text"/>
    <w:basedOn w:val="1"/>
    <w:next w:val="8"/>
    <w:autoRedefine/>
    <w:qFormat/>
    <w:uiPriority w:val="0"/>
    <w:pPr>
      <w:spacing w:line="480" w:lineRule="atLeast"/>
    </w:pPr>
    <w:rPr>
      <w:rFonts w:ascii="楷体_GB2312" w:eastAsia="楷体_GB2312"/>
      <w:b/>
      <w:sz w:val="30"/>
    </w:rPr>
  </w:style>
  <w:style w:type="paragraph" w:styleId="8">
    <w:name w:val="Title"/>
    <w:basedOn w:val="1"/>
    <w:next w:val="1"/>
    <w:qFormat/>
    <w:uiPriority w:val="0"/>
    <w:pPr>
      <w:spacing w:before="240" w:after="60"/>
      <w:jc w:val="center"/>
      <w:outlineLvl w:val="0"/>
    </w:pPr>
    <w:rPr>
      <w:rFonts w:ascii="Cambria" w:hAnsi="Cambria"/>
      <w:b/>
      <w:bCs/>
      <w:sz w:val="32"/>
      <w:szCs w:val="32"/>
    </w:rPr>
  </w:style>
  <w:style w:type="paragraph" w:styleId="9">
    <w:name w:val="footer"/>
    <w:basedOn w:val="1"/>
    <w:autoRedefine/>
    <w:unhideWhenUsed/>
    <w:qFormat/>
    <w:uiPriority w:val="99"/>
    <w:pPr>
      <w:tabs>
        <w:tab w:val="center" w:pos="4153"/>
        <w:tab w:val="right" w:pos="8306"/>
      </w:tabs>
      <w:snapToGrid w:val="0"/>
      <w:jc w:val="left"/>
    </w:pPr>
    <w:rPr>
      <w:sz w:val="18"/>
      <w:szCs w:val="18"/>
    </w:rPr>
  </w:style>
  <w:style w:type="paragraph" w:styleId="1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Normal (Web)"/>
    <w:basedOn w:val="1"/>
    <w:autoRedefine/>
    <w:qFormat/>
    <w:uiPriority w:val="0"/>
    <w:pPr>
      <w:widowControl/>
      <w:spacing w:before="100" w:beforeAutospacing="1" w:after="100" w:afterAutospacing="1"/>
      <w:jc w:val="left"/>
    </w:pPr>
    <w:rPr>
      <w:rFonts w:ascii="宋体" w:hAnsi="宋体"/>
      <w:color w:val="000000"/>
      <w:kern w:val="0"/>
      <w:sz w:val="24"/>
    </w:rPr>
  </w:style>
  <w:style w:type="table" w:styleId="13">
    <w:name w:val="Table Grid"/>
    <w:basedOn w:val="1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5">
    <w:name w:val="表格文字"/>
    <w:basedOn w:val="1"/>
    <w:autoRedefine/>
    <w:qFormat/>
    <w:uiPriority w:val="0"/>
    <w:pPr>
      <w:spacing w:before="25" w:after="25"/>
    </w:pPr>
    <w:rPr>
      <w:bCs/>
      <w:spacing w:val="10"/>
      <w:kern w:val="0"/>
      <w:sz w:val="24"/>
      <w:szCs w:val="20"/>
    </w:rPr>
  </w:style>
  <w:style w:type="paragraph" w:customStyle="1" w:styleId="16">
    <w:name w:val="List Paragraph"/>
    <w:basedOn w:val="1"/>
    <w:autoRedefine/>
    <w:qFormat/>
    <w:uiPriority w:val="34"/>
    <w:pPr>
      <w:ind w:firstLine="420" w:firstLineChars="200"/>
    </w:pPr>
  </w:style>
  <w:style w:type="paragraph" w:customStyle="1" w:styleId="17">
    <w:name w:val="正文1"/>
    <w:autoRedefine/>
    <w:qFormat/>
    <w:uiPriority w:val="0"/>
    <w:pPr>
      <w:widowControl w:val="0"/>
      <w:jc w:val="both"/>
    </w:pPr>
    <w:rPr>
      <w:rFonts w:hint="eastAsia" w:ascii="Calibri" w:hAnsi="Calibri" w:eastAsiaTheme="minorEastAsia" w:cstheme="minorBidi"/>
      <w:kern w:val="2"/>
      <w:sz w:val="21"/>
      <w:szCs w:val="22"/>
      <w:lang w:val="en-US" w:eastAsia="zh-CN" w:bidi="ar-SA"/>
    </w:rPr>
  </w:style>
  <w:style w:type="character" w:customStyle="1" w:styleId="18">
    <w:name w:val="font11"/>
    <w:autoRedefine/>
    <w:qFormat/>
    <w:uiPriority w:val="0"/>
    <w:rPr>
      <w:rFonts w:ascii="仿宋" w:hAnsi="仿宋" w:eastAsia="仿宋" w:cs="仿宋"/>
      <w:b/>
      <w:color w:val="000000"/>
      <w:sz w:val="20"/>
      <w:szCs w:val="20"/>
      <w:u w:val="none"/>
    </w:rPr>
  </w:style>
  <w:style w:type="character" w:customStyle="1" w:styleId="19">
    <w:name w:val="font21"/>
    <w:autoRedefine/>
    <w:qFormat/>
    <w:uiPriority w:val="0"/>
    <w:rPr>
      <w:rFonts w:hint="eastAsia" w:ascii="仿宋" w:hAnsi="仿宋" w:eastAsia="仿宋" w:cs="仿宋"/>
      <w:color w:val="000000"/>
      <w:sz w:val="20"/>
      <w:szCs w:val="20"/>
      <w:u w:val="none"/>
    </w:rPr>
  </w:style>
  <w:style w:type="character" w:customStyle="1" w:styleId="20">
    <w:name w:val="font31"/>
    <w:autoRedefine/>
    <w:qFormat/>
    <w:uiPriority w:val="0"/>
    <w:rPr>
      <w:rFonts w:hint="default" w:ascii="Times New Roman" w:hAnsi="Times New Roman" w:eastAsia="宋体" w:cs="Times New Roman"/>
      <w:color w:val="000000"/>
      <w:sz w:val="20"/>
      <w:szCs w:val="20"/>
      <w:u w:val="none"/>
    </w:rPr>
  </w:style>
  <w:style w:type="character" w:customStyle="1" w:styleId="21">
    <w:name w:val="font51"/>
    <w:autoRedefine/>
    <w:qFormat/>
    <w:uiPriority w:val="0"/>
    <w:rPr>
      <w:rFonts w:hint="eastAsia" w:ascii="宋体" w:hAnsi="宋体" w:eastAsia="宋体" w:cs="宋体"/>
      <w:color w:val="000000"/>
      <w:sz w:val="20"/>
      <w:szCs w:val="20"/>
      <w:u w:val="none"/>
    </w:rPr>
  </w:style>
  <w:style w:type="paragraph" w:customStyle="1" w:styleId="22">
    <w:name w:val="标题 4_1"/>
    <w:basedOn w:val="23"/>
    <w:next w:val="23"/>
    <w:autoRedefine/>
    <w:qFormat/>
    <w:uiPriority w:val="0"/>
    <w:pPr>
      <w:keepNext/>
      <w:keepLines/>
      <w:widowControl/>
      <w:spacing w:before="280" w:after="290" w:line="376" w:lineRule="auto"/>
      <w:jc w:val="left"/>
      <w:outlineLvl w:val="3"/>
    </w:pPr>
    <w:rPr>
      <w:rFonts w:ascii="Arial" w:hAnsi="Arial" w:eastAsia="黑体"/>
      <w:b/>
      <w:bCs/>
      <w:kern w:val="0"/>
      <w:sz w:val="28"/>
      <w:szCs w:val="28"/>
      <w:lang w:val="zh-CN" w:eastAsia="zh-CN"/>
    </w:rPr>
  </w:style>
  <w:style w:type="paragraph" w:customStyle="1" w:styleId="23">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
    <w:name w:val="正文_1_0"/>
    <w:basedOn w:val="23"/>
    <w:autoRedefine/>
    <w:qFormat/>
    <w:uiPriority w:val="0"/>
    <w:rPr>
      <w:rFonts w:ascii="Calibri" w:hAnsi="Calibri"/>
      <w:szCs w:val="21"/>
    </w:rPr>
  </w:style>
  <w:style w:type="paragraph" w:customStyle="1" w:styleId="25">
    <w:name w:val="正文_0_1"/>
    <w:basedOn w:val="23"/>
    <w:autoRedefine/>
    <w:qFormat/>
    <w:uiPriority w:val="0"/>
    <w:pPr>
      <w:widowControl/>
      <w:spacing w:before="100" w:beforeAutospacing="1" w:after="200" w:line="273" w:lineRule="auto"/>
      <w:jc w:val="left"/>
    </w:pPr>
    <w:rPr>
      <w:rFonts w:ascii="Calibri" w:hAnsi="Calibri"/>
      <w:kern w:val="0"/>
      <w:szCs w:val="21"/>
    </w:rPr>
  </w:style>
  <w:style w:type="paragraph" w:customStyle="1" w:styleId="26">
    <w:name w:val="标题 4_0_0"/>
    <w:basedOn w:val="25"/>
    <w:next w:val="23"/>
    <w:autoRedefine/>
    <w:qFormat/>
    <w:uiPriority w:val="0"/>
    <w:pPr>
      <w:widowControl w:val="0"/>
      <w:autoSpaceDE w:val="0"/>
      <w:autoSpaceDN w:val="0"/>
      <w:adjustRightInd w:val="0"/>
      <w:snapToGrid w:val="0"/>
      <w:spacing w:line="360" w:lineRule="auto"/>
      <w:jc w:val="both"/>
      <w:outlineLvl w:val="3"/>
    </w:pPr>
    <w:rPr>
      <w:rFonts w:ascii="宋体" w:hAnsi="Arial" w:cs="宋体"/>
      <w:color w:val="000000"/>
      <w:sz w:val="20"/>
      <w:szCs w:val="20"/>
    </w:rPr>
  </w:style>
  <w:style w:type="character" w:customStyle="1" w:styleId="27">
    <w:name w:val="15_0"/>
    <w:autoRedefine/>
    <w:qFormat/>
    <w:uiPriority w:val="0"/>
    <w:rPr>
      <w:rFonts w:hint="default" w:ascii="Calibri" w:hAnsi="Calibri"/>
      <w:sz w:val="21"/>
      <w:szCs w:val="21"/>
    </w:rPr>
  </w:style>
  <w:style w:type="paragraph" w:customStyle="1" w:styleId="28">
    <w:name w:val="正文1_0"/>
    <w:basedOn w:val="23"/>
    <w:autoRedefine/>
    <w:qFormat/>
    <w:uiPriority w:val="0"/>
    <w:rPr>
      <w:rFonts w:ascii="Calibri" w:hAnsi="Calibri" w:cs="宋体"/>
      <w:szCs w:val="21"/>
    </w:rPr>
  </w:style>
  <w:style w:type="character" w:customStyle="1" w:styleId="29">
    <w:name w:val="10_0"/>
    <w:autoRedefine/>
    <w:qFormat/>
    <w:uiPriority w:val="0"/>
    <w:rPr>
      <w:rFonts w:hint="default" w:ascii="Times New Roman" w:hAnsi="Times New Roman" w:cs="Times New Roman"/>
    </w:rPr>
  </w:style>
  <w:style w:type="paragraph" w:customStyle="1" w:styleId="30">
    <w:name w:val="null3"/>
    <w:autoRedefine/>
    <w:hidden/>
    <w:qFormat/>
    <w:uiPriority w:val="0"/>
    <w:rPr>
      <w:rFonts w:hint="eastAsia" w:asciiTheme="minorHAnsi" w:hAnsiTheme="minorHAnsi" w:eastAsiaTheme="minorEastAsia" w:cstheme="minorBidi"/>
      <w:lang w:val="en-US" w:eastAsia="zh-Hans" w:bidi="ar-SA"/>
    </w:rPr>
  </w:style>
  <w:style w:type="paragraph" w:customStyle="1" w:styleId="31">
    <w:name w:val="Default1"/>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45</Pages>
  <Words>10320</Words>
  <Characters>10688</Characters>
  <Lines>0</Lines>
  <Paragraphs>0</Paragraphs>
  <TotalTime>73</TotalTime>
  <ScaleCrop>false</ScaleCrop>
  <LinksUpToDate>false</LinksUpToDate>
  <CharactersWithSpaces>10954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涂斌全</cp:lastModifiedBy>
  <dcterms:modified xsi:type="dcterms:W3CDTF">2025-05-22T01:06:50Z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BC39E9B7239C4DD98E77C8786C38E30E_13</vt:lpwstr>
  </property>
  <property fmtid="{D5CDD505-2E9C-101B-9397-08002B2CF9AE}" pid="4" name="commondata">
    <vt:lpwstr>eyJoZGlkIjoiMDA3OTdkYTNiMDUzYjU4ZjA4YTkyODYzZTMxMGQ4MmQifQ==</vt:lpwstr>
  </property>
  <property fmtid="{D5CDD505-2E9C-101B-9397-08002B2CF9AE}" pid="5" name="KSOTemplateDocerSaveRecord">
    <vt:lpwstr>eyJoZGlkIjoiMDgzZjYyYWVjODM0ODAwYmViYmU0MWRiYTBkMjg3ODMiLCJ1c2VySWQiOiIyMzY2ODA4OTkifQ==</vt:lpwstr>
  </property>
</Properties>
</file>