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bookmarkStart w:id="92" w:name="_GoBack"/>
      <w:bookmarkEnd w:id="92"/>
    </w:p>
    <w:p>
      <w:pPr>
        <w:pStyle w:val="27"/>
        <w:rPr>
          <w:color w:val="auto"/>
          <w:highlight w:val="none"/>
        </w:rPr>
      </w:pPr>
    </w:p>
    <w:p>
      <w:pPr>
        <w:pStyle w:val="27"/>
        <w:rPr>
          <w:color w:val="auto"/>
          <w:highlight w:val="none"/>
        </w:rPr>
      </w:pPr>
    </w:p>
    <w:p>
      <w:pPr>
        <w:jc w:val="center"/>
        <w:rPr>
          <w:rFonts w:hint="default" w:ascii="宋体" w:hAnsi="宋体" w:eastAsia="宋体" w:cs="宋体"/>
          <w:b/>
          <w:bCs w:val="0"/>
          <w:color w:val="auto"/>
          <w:sz w:val="44"/>
          <w:szCs w:val="44"/>
          <w:highlight w:val="none"/>
          <w:lang w:val="en-US" w:eastAsia="zh-CN"/>
        </w:rPr>
      </w:pPr>
      <w:r>
        <w:rPr>
          <w:rFonts w:hint="default" w:ascii="宋体" w:hAnsi="宋体" w:eastAsia="宋体" w:cs="宋体"/>
          <w:b/>
          <w:bCs w:val="0"/>
          <w:color w:val="auto"/>
          <w:sz w:val="44"/>
          <w:szCs w:val="44"/>
          <w:highlight w:val="none"/>
          <w:lang w:val="en-US" w:eastAsia="zh-CN"/>
        </w:rPr>
        <w:t>南沙湿地二期亚太钓鱼场护堤及道路应急</w:t>
      </w:r>
    </w:p>
    <w:p>
      <w:pPr>
        <w:jc w:val="center"/>
        <w:rPr>
          <w:rFonts w:hint="eastAsia" w:ascii="宋体" w:hAnsi="宋体" w:eastAsia="宋体" w:cs="宋体"/>
          <w:color w:val="auto"/>
          <w:sz w:val="72"/>
          <w:szCs w:val="72"/>
          <w:highlight w:val="none"/>
        </w:rPr>
      </w:pPr>
      <w:r>
        <w:rPr>
          <w:rFonts w:hint="default" w:ascii="宋体" w:hAnsi="宋体" w:eastAsia="宋体" w:cs="宋体"/>
          <w:b/>
          <w:bCs w:val="0"/>
          <w:color w:val="auto"/>
          <w:sz w:val="44"/>
          <w:szCs w:val="44"/>
          <w:highlight w:val="none"/>
          <w:lang w:val="en-US" w:eastAsia="zh-CN"/>
        </w:rPr>
        <w:t>维修维护项目</w:t>
      </w:r>
    </w:p>
    <w:p>
      <w:pPr>
        <w:pStyle w:val="27"/>
        <w:rPr>
          <w:rFonts w:hint="eastAsia" w:ascii="宋体" w:hAnsi="宋体" w:eastAsia="宋体" w:cs="宋体"/>
          <w:color w:val="auto"/>
          <w:sz w:val="72"/>
          <w:szCs w:val="72"/>
          <w:highlight w:val="none"/>
        </w:rPr>
      </w:pPr>
    </w:p>
    <w:p>
      <w:pPr>
        <w:pStyle w:val="27"/>
        <w:rPr>
          <w:rFonts w:hint="eastAsia" w:ascii="宋体" w:hAnsi="宋体" w:eastAsia="宋体" w:cs="宋体"/>
          <w:color w:val="auto"/>
          <w:sz w:val="72"/>
          <w:szCs w:val="72"/>
          <w:highlight w:val="none"/>
        </w:rPr>
      </w:pP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w:t>
      </w:r>
      <w:r>
        <w:rPr>
          <w:rFonts w:hint="eastAsia" w:ascii="宋体" w:hAnsi="宋体" w:eastAsia="宋体" w:cs="宋体"/>
          <w:b/>
          <w:color w:val="auto"/>
          <w:sz w:val="32"/>
          <w:szCs w:val="32"/>
          <w:highlight w:val="none"/>
          <w:lang w:val="en-US" w:eastAsia="zh-CN"/>
        </w:rPr>
        <w:t>湿地</w:t>
      </w:r>
      <w:r>
        <w:rPr>
          <w:rFonts w:hint="eastAsia" w:ascii="宋体" w:hAnsi="宋体" w:eastAsia="宋体" w:cs="宋体"/>
          <w:b/>
          <w:color w:val="auto"/>
          <w:sz w:val="32"/>
          <w:szCs w:val="32"/>
          <w:highlight w:val="none"/>
          <w:lang w:eastAsia="zh-CN"/>
        </w:rPr>
        <w:t>旅游发展有限公司</w:t>
      </w:r>
    </w:p>
    <w:p>
      <w:pPr>
        <w:spacing w:line="520" w:lineRule="exact"/>
        <w:ind w:right="-101" w:rightChars="-48" w:firstLine="1285" w:firstLineChars="400"/>
        <w:rPr>
          <w:rFonts w:ascii="宋体" w:hAnsi="宋体" w:eastAsia="宋体" w:cs="宋体"/>
          <w:color w:val="auto"/>
          <w:spacing w:val="28"/>
          <w:position w:val="8"/>
          <w:sz w:val="28"/>
          <w:szCs w:val="28"/>
          <w:highlight w:val="none"/>
        </w:rPr>
      </w:pPr>
      <w:bookmarkStart w:id="1" w:name="OLE_LINK4"/>
      <w:bookmarkEnd w:id="1"/>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w:t>
      </w:r>
      <w:r>
        <w:rPr>
          <w:rFonts w:hint="eastAsia" w:ascii="宋体" w:hAnsi="宋体" w:eastAsia="宋体" w:cs="宋体"/>
          <w:b/>
          <w:color w:val="auto"/>
          <w:sz w:val="32"/>
          <w:szCs w:val="32"/>
          <w:highlight w:val="none"/>
          <w:lang w:val="en-US" w:eastAsia="zh-CN"/>
        </w:rPr>
        <w:t>5</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6月</w:t>
      </w:r>
    </w:p>
    <w:p>
      <w:pPr>
        <w:rPr>
          <w:rFonts w:ascii="黑体" w:hAnsi="宋体" w:eastAsia="黑体" w:cs="黑体"/>
          <w:color w:val="auto"/>
          <w:sz w:val="36"/>
          <w:szCs w:val="36"/>
          <w:highlight w:val="none"/>
        </w:rPr>
        <w:sectPr>
          <w:pgSz w:w="11906" w:h="16840"/>
          <w:pgMar w:top="1247" w:right="1135" w:bottom="1247" w:left="1361" w:header="720" w:footer="720" w:gutter="0"/>
          <w:cols w:space="425" w:num="1"/>
          <w:docGrid w:type="lines" w:linePitch="285" w:charSpace="0"/>
        </w:sectPr>
      </w:pPr>
    </w:p>
    <w:p>
      <w:pPr>
        <w:rPr>
          <w:rFonts w:hint="eastAsia" w:ascii="宋体" w:hAnsi="宋体" w:eastAsia="宋体" w:cs="宋体"/>
          <w:color w:val="auto"/>
          <w:sz w:val="24"/>
          <w:szCs w:val="24"/>
          <w:highlight w:val="none"/>
        </w:rPr>
      </w:pPr>
    </w:p>
    <w:bookmarkEnd w:id="0"/>
    <w:sdt>
      <w:sdtPr>
        <w:rPr>
          <w:rFonts w:hint="eastAsia" w:ascii="宋体" w:hAnsi="宋体" w:eastAsia="宋体" w:cs="宋体"/>
          <w:color w:val="auto"/>
          <w:sz w:val="24"/>
          <w:highlight w:val="none"/>
        </w:rPr>
        <w:id w:val="147481204"/>
        <w:docPartObj>
          <w:docPartGallery w:val="Table of Contents"/>
          <w:docPartUnique/>
        </w:docPartObj>
      </w:sdtPr>
      <w:sdtEndPr>
        <w:rPr>
          <w:rFonts w:hint="eastAsia" w:ascii="宋体" w:hAnsi="宋体" w:eastAsia="宋体" w:cs="宋体"/>
          <w:color w:val="auto"/>
          <w:sz w:val="24"/>
          <w:highlight w:val="none"/>
        </w:rPr>
      </w:sdtEndPr>
      <w:sdtContent>
        <w:p>
          <w:pP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目 录</w:t>
          </w:r>
        </w:p>
        <w:p>
          <w:pPr>
            <w:pStyle w:val="14"/>
            <w:tabs>
              <w:tab w:val="right" w:leader="dot" w:pos="9410"/>
            </w:tabs>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"1-1"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_Toc17503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kern w:val="44"/>
              <w:sz w:val="24"/>
              <w:szCs w:val="24"/>
              <w:highlight w:val="none"/>
            </w:rPr>
            <w:t>第1章 投标须知及前附表</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_Toc17503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1</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14"/>
            <w:tabs>
              <w:tab w:val="right" w:leader="dot" w:pos="9410"/>
            </w:tabs>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_Toc28921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kern w:val="44"/>
              <w:sz w:val="24"/>
              <w:szCs w:val="24"/>
              <w:highlight w:val="none"/>
            </w:rPr>
            <w:t>第2章 项目需求书</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_Toc28921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12</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14"/>
            <w:tabs>
              <w:tab w:val="right" w:leader="dot" w:pos="9410"/>
            </w:tabs>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_Toc2908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kern w:val="44"/>
              <w:sz w:val="24"/>
              <w:szCs w:val="24"/>
              <w:highlight w:val="none"/>
            </w:rPr>
            <w:t>第3章 投标格式文件</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_Toc2908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13</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14"/>
            <w:tabs>
              <w:tab w:val="right" w:leader="dot" w:pos="9410"/>
            </w:tabs>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_Toc24523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kern w:val="44"/>
              <w:sz w:val="24"/>
              <w:szCs w:val="24"/>
              <w:highlight w:val="none"/>
            </w:rPr>
            <w:t>第4章 评标办法</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_Toc24523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25</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14"/>
            <w:tabs>
              <w:tab w:val="right" w:leader="dot" w:pos="9410"/>
            </w:tabs>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_Toc11051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lang w:val="en-US" w:eastAsia="zh-CN"/>
            </w:rPr>
            <w:t>第5章 附件</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lang w:eastAsia="zh-CN"/>
            </w:rPr>
            <w:t>3</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lang w:val="en-US" w:eastAsia="zh-CN"/>
            </w:rPr>
            <w:t>2</w:t>
          </w:r>
        </w:p>
        <w:p>
          <w:pPr>
            <w:pStyle w:val="14"/>
            <w:tabs>
              <w:tab w:val="right" w:leader="dot" w:pos="9410"/>
            </w:tabs>
            <w:rPr>
              <w:color w:val="auto"/>
              <w:sz w:val="24"/>
              <w:szCs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fldChar w:fldCharType="end"/>
          </w:r>
        </w:p>
      </w:sdtContent>
    </w:sdt>
    <w:p>
      <w:pPr>
        <w:pStyle w:val="17"/>
        <w:widowControl/>
        <w:spacing w:beforeAutospacing="0" w:after="0"/>
        <w:ind w:firstLine="0"/>
        <w:rPr>
          <w:rFonts w:hint="eastAsia" w:ascii="宋体" w:hAnsi="宋体" w:eastAsia="宋体" w:cs="宋体"/>
          <w:color w:val="auto"/>
          <w:sz w:val="24"/>
          <w:szCs w:val="24"/>
          <w:highlight w:val="none"/>
        </w:rPr>
        <w:sectPr>
          <w:pgSz w:w="11906" w:h="16840"/>
          <w:pgMar w:top="1247" w:right="1135" w:bottom="1247" w:left="1361" w:header="720" w:footer="720" w:gutter="0"/>
          <w:cols w:space="425" w:num="1"/>
          <w:docGrid w:type="lines" w:linePitch="285" w:charSpace="0"/>
        </w:sectPr>
      </w:pPr>
      <w:r>
        <w:rPr>
          <w:rFonts w:hint="eastAsia" w:ascii="宋体" w:hAnsi="宋体" w:eastAsia="宋体" w:cs="宋体"/>
          <w:color w:val="auto"/>
          <w:sz w:val="24"/>
          <w:szCs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17503"/>
      <w:bookmarkStart w:id="3" w:name="_Toc8549"/>
      <w:bookmarkStart w:id="4" w:name="_Toc9159"/>
      <w:bookmarkStart w:id="5" w:name="_Toc374128472"/>
      <w:bookmarkStart w:id="6" w:name="_Toc27659"/>
      <w:bookmarkStart w:id="7" w:name="_Toc23838"/>
      <w:bookmarkStart w:id="8" w:name="_Toc13302"/>
      <w:bookmarkStart w:id="9" w:name="_Toc20698"/>
      <w:bookmarkStart w:id="10" w:name="_Toc13388"/>
      <w:r>
        <w:rPr>
          <w:rFonts w:hint="eastAsia" w:ascii="黑体" w:hAnsi="宋体" w:cs="黑体"/>
          <w:b/>
          <w:color w:val="auto"/>
          <w:kern w:val="44"/>
          <w:sz w:val="44"/>
          <w:szCs w:val="44"/>
          <w:highlight w:val="none"/>
        </w:rPr>
        <w:t>第1章 投标须知及前附表</w:t>
      </w:r>
      <w:bookmarkEnd w:id="2"/>
      <w:bookmarkEnd w:id="3"/>
      <w:bookmarkEnd w:id="4"/>
      <w:bookmarkEnd w:id="5"/>
      <w:bookmarkEnd w:id="6"/>
      <w:bookmarkEnd w:id="7"/>
      <w:bookmarkEnd w:id="8"/>
      <w:bookmarkEnd w:id="9"/>
      <w:bookmarkEnd w:id="10"/>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20"/>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7"/>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jc w:val="both"/>
              <w:rPr>
                <w:rFonts w:hint="eastAsia" w:ascii="宋体" w:hAnsi="宋体" w:eastAsia="宋体" w:cs="宋体"/>
                <w:color w:val="auto"/>
                <w:szCs w:val="21"/>
                <w:highlight w:val="none"/>
                <w:u w:val="none"/>
                <w:lang w:eastAsia="zh-CN"/>
              </w:rPr>
            </w:pPr>
            <w:r>
              <w:rPr>
                <w:rFonts w:hint="default" w:ascii="宋体" w:hAnsi="宋体" w:eastAsia="宋体" w:cs="宋体"/>
                <w:b w:val="0"/>
                <w:bCs w:val="0"/>
                <w:color w:val="auto"/>
                <w:sz w:val="21"/>
                <w:szCs w:val="21"/>
                <w:highlight w:val="none"/>
                <w:lang w:val="en-US" w:eastAsia="zh-CN"/>
              </w:rPr>
              <w:t>南沙湿地二期亚太钓鱼场护堤及道路应急维修维护项目</w:t>
            </w:r>
          </w:p>
        </w:tc>
      </w:tr>
      <w:tr>
        <w:tblPrEx>
          <w:tblCellMar>
            <w:top w:w="0" w:type="dxa"/>
            <w:left w:w="108" w:type="dxa"/>
            <w:bottom w:w="0" w:type="dxa"/>
            <w:right w:w="108" w:type="dxa"/>
          </w:tblCellMar>
        </w:tblPrEx>
        <w:trPr>
          <w:trHeight w:val="90"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jc w:val="left"/>
              <w:rPr>
                <w:rFonts w:hint="default" w:ascii="宋体" w:hAnsi="宋体" w:eastAsia="宋体" w:cs="宋体"/>
                <w:color w:val="auto"/>
                <w:highlight w:val="none"/>
                <w:u w:val="none"/>
                <w:lang w:val="en-US" w:eastAsia="zh-CN"/>
              </w:rPr>
            </w:pPr>
            <w:r>
              <w:rPr>
                <w:rFonts w:hint="eastAsia" w:ascii="宋体" w:hAnsi="宋体" w:eastAsia="宋体" w:cs="宋体"/>
                <w:color w:val="auto"/>
                <w:kern w:val="2"/>
                <w:position w:val="0"/>
                <w:sz w:val="21"/>
                <w:szCs w:val="21"/>
                <w:highlight w:val="none"/>
              </w:rPr>
              <w:t>广州市</w:t>
            </w:r>
            <w:r>
              <w:rPr>
                <w:rFonts w:hint="eastAsia" w:ascii="宋体" w:hAnsi="宋体" w:eastAsia="宋体" w:cs="宋体"/>
                <w:bCs/>
                <w:color w:val="auto"/>
                <w:kern w:val="2"/>
                <w:sz w:val="21"/>
                <w:szCs w:val="21"/>
                <w:highlight w:val="none"/>
              </w:rPr>
              <w:t>南沙湿地景区二期</w:t>
            </w:r>
          </w:p>
        </w:tc>
      </w:tr>
      <w:tr>
        <w:tblPrEx>
          <w:tblCellMar>
            <w:top w:w="0" w:type="dxa"/>
            <w:left w:w="108" w:type="dxa"/>
            <w:bottom w:w="0" w:type="dxa"/>
            <w:right w:w="108" w:type="dxa"/>
          </w:tblCellMar>
        </w:tblPrEx>
        <w:trPr>
          <w:trHeight w:val="1359"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cs="宋体"/>
                <w:color w:val="auto"/>
                <w:highlight w:val="none"/>
                <w:lang w:val="en-US" w:eastAsia="zh-CN"/>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val="0"/>
              <w:spacing w:line="44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color w:val="auto"/>
                <w:kern w:val="2"/>
                <w:sz w:val="21"/>
                <w:szCs w:val="21"/>
                <w:highlight w:val="none"/>
              </w:rPr>
              <w:t>南沙湿地二期亚太钓鱼场位于南沙湿地景区二期西南边，占地面积约30亩，建有钓鱼台49个，周边道路600米，钢结构桥梁2座，现拟对南沙湿地二期亚太钓鱼场护堤及道路进行维修维护，项目总投资为47万元。</w:t>
            </w:r>
          </w:p>
        </w:tc>
      </w:tr>
      <w:tr>
        <w:tblPrEx>
          <w:tblCellMar>
            <w:top w:w="0" w:type="dxa"/>
            <w:left w:w="108" w:type="dxa"/>
            <w:bottom w:w="0" w:type="dxa"/>
            <w:right w:w="108" w:type="dxa"/>
          </w:tblCellMar>
        </w:tblPrEx>
        <w:trPr>
          <w:trHeight w:val="98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u w:val="none"/>
                <w:lang w:val="en-US" w:eastAsia="zh-CN"/>
              </w:rPr>
            </w:pPr>
            <w:r>
              <w:rPr>
                <w:rFonts w:hint="eastAsia" w:ascii="宋体" w:hAnsi="宋体" w:eastAsia="宋体" w:cs="宋体"/>
                <w:color w:val="auto"/>
                <w:highlight w:val="none"/>
                <w:u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spacing w:line="440" w:lineRule="exact"/>
              <w:ind w:firstLine="0"/>
              <w:jc w:val="left"/>
              <w:rPr>
                <w:rFonts w:hint="eastAsia" w:ascii="宋体" w:hAnsi="宋体" w:eastAsia="宋体" w:cs="宋体"/>
                <w:color w:val="auto"/>
                <w:highlight w:val="none"/>
                <w:u w:val="none"/>
                <w:lang w:val="en-US" w:eastAsia="zh-CN"/>
              </w:rPr>
            </w:pPr>
            <w:r>
              <w:rPr>
                <w:rFonts w:hint="eastAsia" w:ascii="宋体" w:hAnsi="宋体" w:eastAsia="宋体" w:cs="宋体"/>
                <w:color w:val="auto"/>
                <w:highlight w:val="none"/>
              </w:rPr>
              <w:t>综合单价包干，工程量按实结算，</w:t>
            </w:r>
            <w:r>
              <w:rPr>
                <w:rFonts w:hint="eastAsia" w:ascii="宋体" w:hAnsi="宋体" w:eastAsia="宋体" w:cs="宋体"/>
                <w:b w:val="0"/>
                <w:bCs/>
                <w:color w:val="auto"/>
                <w:sz w:val="21"/>
                <w:szCs w:val="21"/>
                <w:highlight w:val="none"/>
                <w:lang w:eastAsia="zh-CN"/>
              </w:rPr>
              <w:t>绿色施工安全防护措施费</w:t>
            </w:r>
            <w:r>
              <w:rPr>
                <w:rFonts w:hint="eastAsia" w:ascii="宋体" w:hAnsi="宋体" w:eastAsia="宋体" w:cs="宋体"/>
                <w:color w:val="auto"/>
                <w:highlight w:val="none"/>
              </w:rPr>
              <w:t>固定总价包干。</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u w:val="none"/>
                <w:lang w:eastAsia="zh-CN"/>
              </w:rPr>
              <w:t>项目总投资为</w:t>
            </w:r>
            <w:r>
              <w:rPr>
                <w:rFonts w:hint="eastAsia" w:ascii="宋体" w:hAnsi="宋体" w:cs="宋体"/>
                <w:color w:val="auto"/>
                <w:sz w:val="21"/>
                <w:szCs w:val="21"/>
                <w:highlight w:val="none"/>
                <w:u w:val="none"/>
                <w:lang w:val="en-US" w:eastAsia="zh-CN"/>
              </w:rPr>
              <w:t>47</w:t>
            </w:r>
            <w:r>
              <w:rPr>
                <w:rFonts w:hint="eastAsia" w:ascii="宋体" w:hAnsi="宋体" w:eastAsia="宋体" w:cs="宋体"/>
                <w:color w:val="auto"/>
                <w:sz w:val="21"/>
                <w:szCs w:val="21"/>
                <w:highlight w:val="none"/>
                <w:u w:val="none"/>
                <w:lang w:eastAsia="zh-CN"/>
              </w:rPr>
              <w:t>万元。</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6</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shd w:val="clear" w:color="auto" w:fill="auto"/>
                <w:lang w:bidi="ar-SA"/>
              </w:rPr>
              <w:t>工程质量符合国家验收规范，达到合格标准</w:t>
            </w:r>
            <w:r>
              <w:rPr>
                <w:rFonts w:hint="eastAsia" w:ascii="宋体" w:hAnsi="宋体" w:eastAsia="宋体" w:cs="宋体"/>
                <w:bCs w:val="0"/>
                <w:color w:val="auto"/>
                <w:kern w:val="2"/>
                <w:sz w:val="21"/>
                <w:szCs w:val="21"/>
                <w:highlight w:val="none"/>
                <w:shd w:val="clear" w:color="auto" w:fill="auto"/>
                <w:lang w:eastAsia="zh-CN" w:bidi="ar-SA"/>
              </w:rPr>
              <w:t>。</w:t>
            </w:r>
          </w:p>
        </w:tc>
      </w:tr>
      <w:tr>
        <w:tblPrEx>
          <w:tblCellMar>
            <w:top w:w="0" w:type="dxa"/>
            <w:left w:w="108" w:type="dxa"/>
            <w:bottom w:w="0" w:type="dxa"/>
            <w:right w:w="108" w:type="dxa"/>
          </w:tblCellMar>
        </w:tblPrEx>
        <w:trPr>
          <w:trHeight w:val="90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val="0"/>
              <w:spacing w:line="440" w:lineRule="exact"/>
              <w:rPr>
                <w:rFonts w:hint="eastAsia" w:ascii="宋体" w:hAnsi="宋体" w:eastAsia="宋体" w:cs="宋体"/>
                <w:color w:val="auto"/>
                <w:kern w:val="2"/>
                <w:sz w:val="21"/>
                <w:szCs w:val="21"/>
                <w:highlight w:val="none"/>
                <w:u w:val="none"/>
              </w:rPr>
            </w:pPr>
            <w:r>
              <w:rPr>
                <w:rFonts w:hint="eastAsia" w:ascii="宋体" w:hAnsi="宋体" w:eastAsia="宋体" w:cs="宋体"/>
                <w:b w:val="0"/>
                <w:bCs/>
                <w:color w:val="auto"/>
                <w:sz w:val="21"/>
                <w:szCs w:val="21"/>
                <w:highlight w:val="none"/>
                <w:lang w:eastAsia="zh-CN"/>
              </w:rPr>
              <w:t>主要包括</w:t>
            </w:r>
            <w:r>
              <w:rPr>
                <w:rFonts w:hint="eastAsia" w:ascii="宋体" w:hAnsi="宋体" w:eastAsia="宋体" w:cs="宋体"/>
                <w:b w:val="0"/>
                <w:bCs/>
                <w:color w:val="auto"/>
                <w:kern w:val="2"/>
                <w:sz w:val="21"/>
                <w:szCs w:val="21"/>
                <w:highlight w:val="none"/>
                <w:lang w:val="en-US" w:eastAsia="zh-CN" w:bidi="ar-SA"/>
              </w:rPr>
              <w:t>钓鱼平台面木地板维修、打压毛竹护堤</w:t>
            </w:r>
            <w:r>
              <w:rPr>
                <w:rFonts w:hint="eastAsia" w:ascii="宋体" w:hAnsi="宋体" w:eastAsia="宋体" w:cs="宋体"/>
                <w:bCs/>
                <w:color w:val="auto"/>
                <w:szCs w:val="21"/>
                <w:highlight w:val="none"/>
                <w:lang w:eastAsia="zh-CN"/>
              </w:rPr>
              <w:t>、</w:t>
            </w:r>
            <w:r>
              <w:rPr>
                <w:rFonts w:hint="eastAsia" w:ascii="宋体" w:hAnsi="宋体" w:eastAsia="宋体" w:cs="宋体"/>
                <w:b w:val="0"/>
                <w:bCs/>
                <w:color w:val="auto"/>
                <w:kern w:val="2"/>
                <w:sz w:val="21"/>
                <w:szCs w:val="21"/>
                <w:highlight w:val="none"/>
                <w:lang w:val="en-US" w:eastAsia="zh-CN" w:bidi="ar-SA"/>
              </w:rPr>
              <w:t>路面修复</w:t>
            </w:r>
            <w:r>
              <w:rPr>
                <w:rFonts w:hint="eastAsia" w:ascii="宋体" w:hAnsi="宋体" w:eastAsia="宋体" w:cs="宋体"/>
                <w:bCs/>
                <w:color w:val="auto"/>
                <w:spacing w:val="0"/>
                <w:sz w:val="21"/>
                <w:szCs w:val="21"/>
                <w:highlight w:val="none"/>
                <w:lang w:val="en-US" w:eastAsia="zh-CN"/>
              </w:rPr>
              <w:t>等，最终以实际施工图纸、工程量清单为准。投标人需按招标文件、图纸规范等要求进行施工，如设计图纸有调整时，必须服从要求调整。</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b w:val="0"/>
                <w:bCs/>
                <w:color w:val="auto"/>
                <w:sz w:val="21"/>
                <w:szCs w:val="21"/>
                <w:highlight w:val="none"/>
                <w:lang w:val="en-US" w:eastAsia="zh-CN"/>
              </w:rPr>
              <w:t>45日历天</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numPr>
                <w:ilvl w:val="-1"/>
                <w:numId w:val="0"/>
              </w:numPr>
              <w:spacing w:after="0" w:line="440" w:lineRule="exact"/>
              <w:ind w:firstLine="0"/>
              <w:jc w:val="left"/>
              <w:rPr>
                <w:rFonts w:hint="eastAsia" w:ascii="宋体" w:hAnsi="宋体" w:eastAsia="宋体" w:cs="宋体"/>
                <w:color w:val="auto"/>
                <w:kern w:val="2"/>
                <w:sz w:val="21"/>
                <w:szCs w:val="21"/>
                <w:highlight w:val="none"/>
                <w:u w:val="none"/>
                <w:lang w:val="en-US" w:eastAsia="zh-CN" w:bidi="ar-SA"/>
              </w:rPr>
            </w:pPr>
            <w:r>
              <w:rPr>
                <w:rFonts w:hint="eastAsia" w:asciiTheme="minorHAnsi" w:hAnsiTheme="minorHAnsi" w:eastAsiaTheme="minorEastAsia" w:cstheme="minorBidi"/>
                <w:b w:val="0"/>
                <w:bCs w:val="0"/>
                <w:color w:val="auto"/>
                <w:sz w:val="21"/>
                <w:szCs w:val="24"/>
                <w:highlight w:val="none"/>
                <w:u w:val="none"/>
              </w:rPr>
              <w:t>投标人具有</w:t>
            </w:r>
            <w:r>
              <w:rPr>
                <w:rFonts w:hint="eastAsia" w:asciiTheme="minorHAnsi" w:hAnsiTheme="minorHAnsi" w:eastAsiaTheme="minorEastAsia" w:cstheme="minorBidi"/>
                <w:i w:val="0"/>
                <w:iCs w:val="0"/>
                <w:caps w:val="0"/>
                <w:color w:val="auto"/>
                <w:spacing w:val="0"/>
                <w:sz w:val="21"/>
                <w:szCs w:val="24"/>
                <w:highlight w:val="none"/>
                <w:u w:val="none"/>
                <w:shd w:val="clear"/>
              </w:rPr>
              <w:t>市政公用工程施工总承包</w:t>
            </w:r>
            <w:r>
              <w:rPr>
                <w:rFonts w:hint="eastAsia" w:asciiTheme="minorHAnsi" w:hAnsiTheme="minorHAnsi" w:eastAsiaTheme="minorEastAsia" w:cstheme="minorBidi"/>
                <w:i w:val="0"/>
                <w:iCs w:val="0"/>
                <w:caps w:val="0"/>
                <w:color w:val="auto"/>
                <w:spacing w:val="0"/>
                <w:sz w:val="21"/>
                <w:szCs w:val="24"/>
                <w:highlight w:val="none"/>
                <w:u w:val="none"/>
                <w:shd w:val="clear"/>
                <w:lang w:val="en-US" w:eastAsia="zh-CN"/>
              </w:rPr>
              <w:t>三</w:t>
            </w:r>
            <w:r>
              <w:rPr>
                <w:rFonts w:hint="eastAsia" w:asciiTheme="minorHAnsi" w:hAnsiTheme="minorHAnsi" w:eastAsiaTheme="minorEastAsia" w:cstheme="minorBidi"/>
                <w:i w:val="0"/>
                <w:iCs w:val="0"/>
                <w:caps w:val="0"/>
                <w:color w:val="auto"/>
                <w:spacing w:val="0"/>
                <w:sz w:val="21"/>
                <w:szCs w:val="24"/>
                <w:highlight w:val="none"/>
                <w:u w:val="none"/>
                <w:shd w:val="clear"/>
              </w:rPr>
              <w:t>级或以上级别施工总承包资质</w:t>
            </w:r>
            <w:r>
              <w:rPr>
                <w:rFonts w:hint="eastAsia" w:asciiTheme="minorHAnsi" w:hAnsiTheme="minorHAnsi" w:eastAsiaTheme="minorEastAsia" w:cstheme="minorBidi"/>
                <w:bCs w:val="0"/>
                <w:color w:val="auto"/>
                <w:sz w:val="21"/>
                <w:szCs w:val="24"/>
                <w:highlight w:val="none"/>
                <w:u w:val="none"/>
              </w:rPr>
              <w:t>并</w:t>
            </w:r>
            <w:r>
              <w:rPr>
                <w:rFonts w:hint="eastAsia" w:asciiTheme="minorHAnsi" w:hAnsiTheme="minorHAnsi" w:eastAsiaTheme="minorEastAsia" w:cstheme="minorBidi"/>
                <w:bCs w:val="0"/>
                <w:color w:val="auto"/>
                <w:sz w:val="21"/>
                <w:szCs w:val="24"/>
                <w:highlight w:val="none"/>
                <w:u w:val="none"/>
                <w:lang w:val="en-US" w:eastAsia="zh-CN"/>
              </w:rPr>
              <w:t>持</w:t>
            </w:r>
            <w:r>
              <w:rPr>
                <w:rFonts w:hint="eastAsia" w:asciiTheme="minorHAnsi" w:hAnsiTheme="minorHAnsi" w:eastAsiaTheme="minorEastAsia" w:cstheme="minorBidi"/>
                <w:bCs w:val="0"/>
                <w:color w:val="auto"/>
                <w:sz w:val="21"/>
                <w:szCs w:val="24"/>
                <w:highlight w:val="none"/>
                <w:u w:val="none"/>
              </w:rPr>
              <w:t>有建设行政主管部门颁发的安全生产许可证</w:t>
            </w:r>
            <w:r>
              <w:rPr>
                <w:rFonts w:hint="eastAsia" w:asciiTheme="minorHAnsi" w:hAnsiTheme="minorHAnsi" w:eastAsiaTheme="minorEastAsia" w:cstheme="minorBidi"/>
                <w:bCs w:val="0"/>
                <w:color w:val="auto"/>
                <w:sz w:val="21"/>
                <w:szCs w:val="24"/>
                <w:highlight w:val="none"/>
                <w:u w:val="none"/>
                <w:lang w:eastAsia="zh-CN"/>
              </w:rPr>
              <w:t>。</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default" w:ascii="宋体" w:hAnsi="宋体" w:eastAsia="宋体" w:cs="宋体"/>
                <w:color w:val="auto"/>
                <w:highlight w:val="none"/>
                <w:lang w:val="en-US" w:eastAsia="zh-CN"/>
              </w:rPr>
            </w:pPr>
            <w:r>
              <w:rPr>
                <w:rFonts w:hint="default" w:ascii="宋体" w:hAnsi="宋体" w:cs="宋体"/>
                <w:color w:val="auto"/>
                <w:highlight w:val="none"/>
                <w:lang w:val="en-US"/>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highlight w:val="none"/>
                <w:lang w:val="en-US"/>
              </w:rPr>
              <w:t>2.3.</w:t>
            </w:r>
            <w:r>
              <w:rPr>
                <w:rFonts w:hint="default"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服务人员的专业配套要求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val="0"/>
              <w:numPr>
                <w:ilvl w:val="0"/>
                <w:numId w:val="2"/>
              </w:numPr>
              <w:spacing w:line="360" w:lineRule="auto"/>
              <w:ind w:firstLine="0" w:firstLineChars="0"/>
              <w:rPr>
                <w:rFonts w:hint="eastAsia"/>
                <w:color w:val="auto"/>
                <w:highlight w:val="none"/>
                <w:u w:val="none"/>
              </w:rPr>
            </w:pPr>
            <w:r>
              <w:rPr>
                <w:rFonts w:hint="eastAsia" w:asciiTheme="minorHAnsi" w:hAnsiTheme="minorHAnsi" w:eastAsiaTheme="minorEastAsia" w:cstheme="minorBidi"/>
                <w:color w:val="auto"/>
                <w:sz w:val="21"/>
                <w:szCs w:val="24"/>
                <w:highlight w:val="none"/>
                <w:u w:val="none"/>
              </w:rPr>
              <w:t>投标</w:t>
            </w:r>
            <w:r>
              <w:rPr>
                <w:rFonts w:hint="eastAsia" w:asciiTheme="minorHAnsi" w:hAnsiTheme="minorHAnsi" w:eastAsiaTheme="minorEastAsia" w:cstheme="minorBidi"/>
                <w:color w:val="auto"/>
                <w:sz w:val="21"/>
                <w:szCs w:val="24"/>
                <w:highlight w:val="none"/>
                <w:u w:val="none"/>
                <w:lang w:eastAsia="zh-CN"/>
              </w:rPr>
              <w:t>人</w:t>
            </w:r>
            <w:r>
              <w:rPr>
                <w:rFonts w:hint="eastAsia" w:asciiTheme="minorHAnsi" w:hAnsiTheme="minorHAnsi" w:eastAsiaTheme="minorEastAsia" w:cstheme="minorBidi"/>
                <w:color w:val="auto"/>
                <w:sz w:val="21"/>
                <w:szCs w:val="24"/>
                <w:highlight w:val="none"/>
                <w:u w:val="none"/>
              </w:rPr>
              <w:t>委派的项目负责人</w:t>
            </w:r>
            <w:r>
              <w:rPr>
                <w:rFonts w:hint="eastAsia" w:asciiTheme="minorHAnsi" w:hAnsiTheme="minorHAnsi" w:eastAsiaTheme="minorEastAsia" w:cstheme="minorBidi"/>
                <w:color w:val="auto"/>
                <w:sz w:val="21"/>
                <w:szCs w:val="24"/>
                <w:highlight w:val="none"/>
                <w:u w:val="none"/>
                <w:lang w:eastAsia="zh-CN"/>
              </w:rPr>
              <w:t>为</w:t>
            </w:r>
            <w:r>
              <w:rPr>
                <w:rFonts w:hint="eastAsia" w:asciiTheme="minorHAnsi" w:hAnsiTheme="minorHAnsi" w:eastAsiaTheme="minorEastAsia" w:cstheme="minorBidi"/>
                <w:i w:val="0"/>
                <w:iCs w:val="0"/>
                <w:caps w:val="0"/>
                <w:color w:val="auto"/>
                <w:spacing w:val="0"/>
                <w:sz w:val="21"/>
                <w:szCs w:val="24"/>
                <w:highlight w:val="none"/>
                <w:u w:val="none"/>
                <w:shd w:val="clear"/>
              </w:rPr>
              <w:t>市政公用工程专业</w:t>
            </w:r>
            <w:r>
              <w:rPr>
                <w:rFonts w:hint="eastAsia" w:cstheme="minorBidi"/>
                <w:i w:val="0"/>
                <w:iCs w:val="0"/>
                <w:caps w:val="0"/>
                <w:color w:val="auto"/>
                <w:spacing w:val="0"/>
                <w:sz w:val="21"/>
                <w:szCs w:val="24"/>
                <w:highlight w:val="none"/>
                <w:u w:val="none"/>
                <w:shd w:val="clear"/>
                <w:lang w:eastAsia="zh-CN"/>
              </w:rPr>
              <w:t>二</w:t>
            </w:r>
            <w:r>
              <w:rPr>
                <w:rFonts w:hint="eastAsia" w:asciiTheme="minorHAnsi" w:hAnsiTheme="minorHAnsi" w:eastAsiaTheme="minorEastAsia" w:cstheme="minorBidi"/>
                <w:i w:val="0"/>
                <w:iCs w:val="0"/>
                <w:caps w:val="0"/>
                <w:color w:val="auto"/>
                <w:spacing w:val="0"/>
                <w:sz w:val="21"/>
                <w:szCs w:val="24"/>
                <w:highlight w:val="none"/>
                <w:u w:val="none"/>
                <w:shd w:val="clear"/>
              </w:rPr>
              <w:t>级或以上级别的注册建造师</w:t>
            </w:r>
            <w:r>
              <w:rPr>
                <w:rFonts w:hint="eastAsia" w:asciiTheme="minorHAnsi" w:hAnsiTheme="minorHAnsi" w:eastAsiaTheme="minorEastAsia" w:cstheme="minorBidi"/>
                <w:i w:val="0"/>
                <w:iCs w:val="0"/>
                <w:caps w:val="0"/>
                <w:color w:val="auto"/>
                <w:spacing w:val="0"/>
                <w:sz w:val="21"/>
                <w:szCs w:val="24"/>
                <w:highlight w:val="none"/>
                <w:u w:val="none"/>
                <w:shd w:val="clear"/>
                <w:lang w:eastAsia="zh-CN"/>
              </w:rPr>
              <w:t>，</w:t>
            </w:r>
            <w:r>
              <w:rPr>
                <w:rFonts w:hint="eastAsia" w:asciiTheme="minorHAnsi" w:hAnsiTheme="minorHAnsi" w:eastAsiaTheme="minorEastAsia" w:cstheme="minorBidi"/>
                <w:i w:val="0"/>
                <w:iCs w:val="0"/>
                <w:caps w:val="0"/>
                <w:color w:val="auto"/>
                <w:spacing w:val="0"/>
                <w:sz w:val="21"/>
                <w:szCs w:val="24"/>
                <w:highlight w:val="none"/>
                <w:u w:val="none"/>
                <w:shd w:val="clear"/>
              </w:rPr>
              <w:t>持有安全生产考核合格证（B类）或建筑施工企业项目负责人安全生产考核合格证书。</w:t>
            </w:r>
          </w:p>
          <w:p>
            <w:pPr>
              <w:numPr>
                <w:ilvl w:val="-1"/>
                <w:numId w:val="0"/>
              </w:numPr>
              <w:spacing w:line="360" w:lineRule="auto"/>
              <w:ind w:firstLine="0"/>
              <w:rPr>
                <w:rFonts w:hint="default" w:asciiTheme="minorHAnsi" w:hAnsiTheme="minorHAnsi" w:eastAsiaTheme="minorEastAsia" w:cstheme="minorBidi"/>
                <w:color w:val="auto"/>
                <w:kern w:val="2"/>
                <w:sz w:val="21"/>
                <w:szCs w:val="24"/>
                <w:highlight w:val="none"/>
                <w:u w:val="none"/>
                <w:lang w:val="en-US" w:eastAsia="zh-CN" w:bidi="ar-SA"/>
              </w:rPr>
            </w:pPr>
            <w:r>
              <w:rPr>
                <w:rFonts w:hint="eastAsia" w:cstheme="minorBidi"/>
                <w:b w:val="0"/>
                <w:bCs w:val="0"/>
                <w:color w:val="auto"/>
                <w:sz w:val="21"/>
                <w:szCs w:val="24"/>
                <w:highlight w:val="none"/>
                <w:u w:val="none"/>
                <w:lang w:val="en-US" w:eastAsia="zh-CN"/>
              </w:rPr>
              <w:t>2、</w:t>
            </w:r>
            <w:r>
              <w:rPr>
                <w:rFonts w:hint="default" w:asciiTheme="minorHAnsi" w:hAnsiTheme="minorHAnsi" w:eastAsiaTheme="minorEastAsia" w:cstheme="minorBidi"/>
                <w:b w:val="0"/>
                <w:bCs w:val="0"/>
                <w:color w:val="auto"/>
                <w:sz w:val="21"/>
                <w:szCs w:val="24"/>
                <w:highlight w:val="none"/>
                <w:u w:val="none"/>
              </w:rPr>
              <w:t>专职安全员具有</w:t>
            </w:r>
            <w:r>
              <w:rPr>
                <w:rFonts w:hint="default" w:asciiTheme="minorHAnsi" w:hAnsiTheme="minorHAnsi" w:eastAsiaTheme="minorEastAsia" w:cstheme="minorBidi"/>
                <w:color w:val="auto"/>
                <w:sz w:val="21"/>
                <w:szCs w:val="24"/>
                <w:highlight w:val="none"/>
                <w:u w:val="none"/>
              </w:rPr>
              <w:t>安全生产考核合格证（C类）</w:t>
            </w:r>
            <w:r>
              <w:rPr>
                <w:rFonts w:hint="eastAsia" w:asciiTheme="minorHAnsi" w:hAnsiTheme="minorHAnsi" w:eastAsiaTheme="minorEastAsia" w:cstheme="minorBidi"/>
                <w:color w:val="auto"/>
                <w:kern w:val="2"/>
                <w:sz w:val="21"/>
                <w:szCs w:val="24"/>
                <w:highlight w:val="none"/>
                <w:u w:val="none"/>
              </w:rPr>
              <w:t>或建筑施工企业专职安全生产管理人员安全生产考核合格证书</w:t>
            </w:r>
            <w:r>
              <w:rPr>
                <w:rFonts w:hint="eastAsia" w:cstheme="minorBidi"/>
                <w:color w:val="auto"/>
                <w:kern w:val="2"/>
                <w:sz w:val="21"/>
                <w:szCs w:val="24"/>
                <w:highlight w:val="none"/>
                <w:u w:val="none"/>
                <w:lang w:eastAsia="zh-CN"/>
              </w:rPr>
              <w:t>（</w:t>
            </w:r>
            <w:r>
              <w:rPr>
                <w:rFonts w:hint="eastAsia" w:cstheme="minorBidi"/>
                <w:color w:val="auto"/>
                <w:kern w:val="2"/>
                <w:sz w:val="21"/>
                <w:szCs w:val="24"/>
                <w:highlight w:val="none"/>
                <w:u w:val="none"/>
                <w:lang w:val="en-US" w:eastAsia="zh-CN"/>
              </w:rPr>
              <w:t>C3</w:t>
            </w:r>
            <w:r>
              <w:rPr>
                <w:rFonts w:hint="eastAsia" w:cstheme="minorBidi"/>
                <w:color w:val="auto"/>
                <w:kern w:val="2"/>
                <w:sz w:val="21"/>
                <w:szCs w:val="24"/>
                <w:highlight w:val="none"/>
                <w:u w:val="none"/>
                <w:lang w:eastAsia="zh-CN"/>
              </w:rPr>
              <w:t>）</w:t>
            </w:r>
            <w:r>
              <w:rPr>
                <w:rFonts w:hint="eastAsia" w:asciiTheme="minorHAnsi" w:hAnsiTheme="minorHAnsi" w:eastAsiaTheme="minorEastAsia" w:cstheme="minorBidi"/>
                <w:b w:val="0"/>
                <w:bCs w:val="0"/>
                <w:color w:val="auto"/>
                <w:sz w:val="21"/>
                <w:szCs w:val="24"/>
                <w:highlight w:val="none"/>
                <w:u w:val="none"/>
                <w:lang w:eastAsia="zh-CN"/>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Autospacing="0" w:after="0" w:line="440" w:lineRule="exact"/>
              <w:ind w:firstLine="0"/>
              <w:jc w:val="center"/>
              <w:rPr>
                <w:rFonts w:ascii="宋体" w:hAnsi="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Autospacing="0" w:after="0" w:line="440" w:lineRule="exact"/>
              <w:ind w:left="0" w:leftChars="0" w:right="0" w:rightChars="0" w:firstLine="0"/>
              <w:jc w:val="center"/>
              <w:rPr>
                <w:rFonts w:ascii="宋体" w:hAnsi="宋体" w:cs="宋体"/>
                <w:color w:val="auto"/>
                <w:highlight w:val="none"/>
              </w:rPr>
            </w:pPr>
            <w:r>
              <w:rPr>
                <w:rFonts w:hint="eastAsia" w:ascii="宋体" w:hAnsi="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48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line="440" w:lineRule="exact"/>
              <w:ind w:firstLine="210" w:firstLineChars="100"/>
              <w:jc w:val="both"/>
              <w:rPr>
                <w:rFonts w:hint="eastAsia" w:ascii="宋体" w:hAnsi="宋体" w:eastAsia="宋体" w:cs="宋体"/>
                <w:color w:val="auto"/>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line="440" w:lineRule="exact"/>
              <w:ind w:firstLine="0" w:firstLineChars="0"/>
              <w:jc w:val="center"/>
              <w:rPr>
                <w:rFonts w:hint="eastAsia" w:ascii="宋体" w:hAnsi="宋体" w:eastAsia="宋体" w:cs="宋体"/>
                <w:color w:val="auto"/>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440" w:lineRule="exact"/>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51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0" w:beforeAutospacing="0" w:after="0" w:line="440" w:lineRule="exact"/>
              <w:ind w:left="0" w:leftChars="0" w:right="0" w:rightChars="0"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spacing w:line="440" w:lineRule="exact"/>
              <w:ind w:firstLine="0"/>
              <w:jc w:val="both"/>
              <w:rPr>
                <w:rFonts w:hint="eastAsia" w:ascii="宋体" w:hAnsi="宋体" w:eastAsia="宋体" w:cs="宋体"/>
                <w:color w:val="auto"/>
                <w:sz w:val="21"/>
                <w:szCs w:val="21"/>
                <w:highlight w:val="none"/>
                <w:u w:val="none"/>
              </w:rPr>
            </w:pPr>
            <w:r>
              <w:rPr>
                <w:rFonts w:hint="eastAsia"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193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eastAsia="zh-CN"/>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100" w:beforeAutospacing="0" w:after="0" w:line="440" w:lineRule="exact"/>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招标控制价及</w:t>
            </w:r>
            <w:r>
              <w:rPr>
                <w:rFonts w:hint="eastAsia" w:ascii="宋体" w:hAnsi="宋体" w:eastAsia="宋体" w:cs="宋体"/>
                <w:color w:val="auto"/>
                <w:highlight w:val="none"/>
                <w:lang w:eastAsia="zh-CN"/>
              </w:rPr>
              <w:t>报价</w:t>
            </w:r>
            <w:r>
              <w:rPr>
                <w:rFonts w:hint="eastAsia" w:ascii="宋体" w:hAnsi="宋体" w:eastAsia="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0"/>
              <w:widowControl/>
              <w:spacing w:line="360" w:lineRule="auto"/>
              <w:ind w:firstLine="420" w:firstLineChars="200"/>
              <w:rPr>
                <w:rFonts w:hint="eastAsia" w:ascii="宋体" w:hAnsi="宋体" w:eastAsia="宋体" w:cs="宋体"/>
                <w:bCs/>
                <w:color w:val="auto"/>
                <w:highlight w:val="none"/>
                <w:lang w:eastAsia="zh-CN"/>
              </w:rPr>
            </w:pPr>
            <w:r>
              <w:rPr>
                <w:rFonts w:hint="eastAsia" w:ascii="宋体" w:hAnsi="宋体" w:eastAsia="宋体" w:cs="宋体"/>
                <w:bCs/>
                <w:color w:val="auto"/>
                <w:highlight w:val="none"/>
              </w:rPr>
              <w:t>招标控制价为</w:t>
            </w:r>
            <w:r>
              <w:rPr>
                <w:rFonts w:hint="eastAsia" w:ascii="宋体" w:hAnsi="宋体" w:eastAsia="宋体" w:cs="宋体"/>
                <w:bCs/>
                <w:color w:val="auto"/>
                <w:highlight w:val="none"/>
                <w:lang w:val="en-US" w:eastAsia="zh-CN"/>
              </w:rPr>
              <w:t>¥</w:t>
            </w:r>
            <w:r>
              <w:rPr>
                <w:rFonts w:hint="eastAsia" w:ascii="宋体" w:hAnsi="宋体" w:eastAsia="宋体" w:cs="宋体"/>
                <w:bCs/>
                <w:color w:val="auto"/>
                <w:kern w:val="2"/>
                <w:position w:val="0"/>
                <w:sz w:val="21"/>
                <w:szCs w:val="21"/>
                <w:highlight w:val="none"/>
                <w:lang w:val="en-US" w:eastAsia="zh-CN"/>
              </w:rPr>
              <w:t>461</w:t>
            </w:r>
            <w:r>
              <w:rPr>
                <w:rFonts w:ascii="宋体" w:hAnsi="宋体" w:eastAsia="宋体" w:cs="宋体"/>
                <w:bCs/>
                <w:color w:val="auto"/>
                <w:kern w:val="2"/>
                <w:position w:val="0"/>
                <w:sz w:val="21"/>
                <w:szCs w:val="21"/>
                <w:highlight w:val="none"/>
              </w:rPr>
              <w:t>,</w:t>
            </w:r>
            <w:r>
              <w:rPr>
                <w:rFonts w:hint="eastAsia" w:ascii="宋体" w:hAnsi="宋体" w:eastAsia="宋体" w:cs="宋体"/>
                <w:bCs/>
                <w:color w:val="auto"/>
                <w:kern w:val="2"/>
                <w:position w:val="0"/>
                <w:sz w:val="21"/>
                <w:szCs w:val="21"/>
                <w:highlight w:val="none"/>
                <w:lang w:val="en-US" w:eastAsia="zh-CN"/>
              </w:rPr>
              <w:t>724</w:t>
            </w:r>
            <w:r>
              <w:rPr>
                <w:rFonts w:ascii="宋体" w:hAnsi="宋体" w:eastAsia="宋体" w:cs="宋体"/>
                <w:bCs/>
                <w:color w:val="auto"/>
                <w:kern w:val="2"/>
                <w:position w:val="0"/>
                <w:sz w:val="21"/>
                <w:szCs w:val="21"/>
                <w:highlight w:val="none"/>
              </w:rPr>
              <w:t>.</w:t>
            </w:r>
            <w:r>
              <w:rPr>
                <w:rFonts w:hint="eastAsia" w:ascii="宋体" w:hAnsi="宋体" w:eastAsia="宋体" w:cs="宋体"/>
                <w:bCs/>
                <w:color w:val="auto"/>
                <w:kern w:val="2"/>
                <w:position w:val="0"/>
                <w:sz w:val="21"/>
                <w:szCs w:val="21"/>
                <w:highlight w:val="none"/>
                <w:lang w:val="en-US" w:eastAsia="zh-CN"/>
              </w:rPr>
              <w:t>13</w:t>
            </w:r>
            <w:r>
              <w:rPr>
                <w:rFonts w:hint="eastAsia" w:ascii="宋体" w:hAnsi="宋体" w:eastAsia="宋体" w:cs="宋体"/>
                <w:bCs/>
                <w:color w:val="auto"/>
                <w:highlight w:val="none"/>
              </w:rPr>
              <w:t>元</w:t>
            </w:r>
            <w:r>
              <w:rPr>
                <w:rFonts w:hint="eastAsia" w:ascii="宋体" w:hAnsi="宋体" w:eastAsia="宋体" w:cs="宋体"/>
                <w:bCs/>
                <w:color w:val="auto"/>
                <w:highlight w:val="none"/>
                <w:lang w:eastAsia="zh-CN"/>
              </w:rPr>
              <w:t>（大写：人民币</w:t>
            </w:r>
            <w:r>
              <w:rPr>
                <w:rFonts w:hint="eastAsia" w:ascii="宋体" w:hAnsi="宋体" w:eastAsia="宋体" w:cs="宋体"/>
                <w:bCs/>
                <w:color w:val="auto"/>
                <w:highlight w:val="none"/>
                <w:lang w:val="en-US" w:eastAsia="zh-CN"/>
              </w:rPr>
              <w:t>肆拾陆万壹仟柒佰贰拾肆元壹角叁分</w:t>
            </w:r>
            <w:r>
              <w:rPr>
                <w:rFonts w:hint="eastAsia" w:ascii="宋体" w:hAnsi="宋体" w:eastAsia="宋体" w:cs="宋体"/>
                <w:bCs/>
                <w:color w:val="auto"/>
                <w:highlight w:val="none"/>
                <w:lang w:eastAsia="zh-CN"/>
              </w:rPr>
              <w:t>），其中，绿色施工安全防护措施费为</w:t>
            </w:r>
            <w:r>
              <w:rPr>
                <w:rFonts w:hint="eastAsia" w:ascii="宋体" w:hAnsi="宋体" w:eastAsia="宋体" w:cs="宋体"/>
                <w:bCs/>
                <w:color w:val="auto"/>
                <w:highlight w:val="none"/>
                <w:lang w:val="en-US" w:eastAsia="zh-CN"/>
              </w:rPr>
              <w:t>¥</w:t>
            </w:r>
            <w:r>
              <w:rPr>
                <w:rFonts w:hint="eastAsia" w:ascii="宋体" w:hAnsi="宋体" w:eastAsia="宋体" w:cs="宋体"/>
                <w:bCs/>
                <w:color w:val="auto"/>
                <w:kern w:val="2"/>
                <w:position w:val="0"/>
                <w:sz w:val="21"/>
                <w:szCs w:val="21"/>
                <w:highlight w:val="none"/>
                <w:lang w:val="en-US" w:eastAsia="zh-CN"/>
              </w:rPr>
              <w:t>32574.93</w:t>
            </w:r>
            <w:r>
              <w:rPr>
                <w:rFonts w:hint="eastAsia" w:ascii="宋体" w:hAnsi="宋体" w:eastAsia="宋体" w:cs="宋体"/>
                <w:bCs/>
                <w:color w:val="auto"/>
                <w:highlight w:val="none"/>
                <w:lang w:val="en-US" w:eastAsia="zh-CN"/>
              </w:rPr>
              <w:t>元（固定值），暂列金额</w:t>
            </w:r>
            <w:r>
              <w:rPr>
                <w:rFonts w:hint="eastAsia" w:ascii="宋体" w:hAnsi="宋体" w:eastAsia="宋体" w:cs="宋体"/>
                <w:bCs/>
                <w:color w:val="auto"/>
                <w:kern w:val="2"/>
                <w:position w:val="0"/>
                <w:sz w:val="21"/>
                <w:szCs w:val="21"/>
                <w:highlight w:val="none"/>
                <w:lang w:val="en-US" w:eastAsia="zh-CN"/>
              </w:rPr>
              <w:t>18,020.74</w:t>
            </w:r>
            <w:r>
              <w:rPr>
                <w:rFonts w:hint="eastAsia" w:ascii="宋体" w:hAnsi="宋体" w:eastAsia="宋体" w:cs="宋体"/>
                <w:bCs/>
                <w:color w:val="auto"/>
                <w:highlight w:val="none"/>
                <w:lang w:val="en-US" w:eastAsia="zh-CN"/>
              </w:rPr>
              <w:t xml:space="preserve"> 元</w:t>
            </w:r>
            <w:r>
              <w:rPr>
                <w:rFonts w:hint="eastAsia" w:ascii="宋体" w:hAnsi="宋体" w:eastAsia="宋体" w:cs="宋体"/>
                <w:bCs/>
                <w:color w:val="auto"/>
                <w:highlight w:val="none"/>
                <w:lang w:eastAsia="zh-CN"/>
              </w:rPr>
              <w:t>。</w:t>
            </w:r>
          </w:p>
          <w:p>
            <w:pPr>
              <w:pStyle w:val="10"/>
              <w:widowControl/>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bCs/>
                <w:color w:val="auto"/>
                <w:highlight w:val="none"/>
                <w:lang w:val="en-US" w:eastAsia="zh-CN"/>
              </w:rPr>
              <w:t>投标单位自行报价，投标总报价不能超过招标控制价，否则按无效投标处理。（小数点后保留二位小数，第三位小数四舍五入）</w:t>
            </w:r>
          </w:p>
        </w:tc>
      </w:tr>
      <w:tr>
        <w:tblPrEx>
          <w:tblCellMar>
            <w:top w:w="0" w:type="dxa"/>
            <w:left w:w="108" w:type="dxa"/>
            <w:bottom w:w="0" w:type="dxa"/>
            <w:right w:w="108" w:type="dxa"/>
          </w:tblCellMar>
        </w:tblPrEx>
        <w:trPr>
          <w:trHeight w:val="43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326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spacing w:val="-4"/>
                <w:highlight w:val="none"/>
              </w:rPr>
            </w:pPr>
            <w:r>
              <w:rPr>
                <w:rFonts w:hint="eastAsia" w:ascii="宋体" w:hAnsi="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rFonts w:hint="eastAsia" w:ascii="宋体" w:hAnsi="宋体" w:eastAsia="宋体" w:cs="宋体"/>
                <w:color w:val="auto"/>
                <w:szCs w:val="21"/>
                <w:highlight w:val="none"/>
              </w:rPr>
            </w:pPr>
            <w:r>
              <w:rPr>
                <w:rFonts w:hint="eastAsia"/>
                <w:color w:val="auto"/>
                <w:highlight w:val="none"/>
              </w:rPr>
              <w:t>1、</w:t>
            </w:r>
            <w:r>
              <w:rPr>
                <w:rFonts w:hint="eastAsia" w:ascii="宋体" w:hAnsi="宋体" w:eastAsia="宋体" w:cs="宋体"/>
                <w:color w:val="auto"/>
                <w:szCs w:val="21"/>
                <w:highlight w:val="none"/>
              </w:rPr>
              <w:t>金额：人民币</w:t>
            </w:r>
            <w:r>
              <w:rPr>
                <w:rFonts w:hint="eastAsia" w:ascii="宋体" w:hAnsi="宋体" w:eastAsia="宋体" w:cs="宋体"/>
                <w:color w:val="auto"/>
                <w:szCs w:val="21"/>
                <w:highlight w:val="none"/>
                <w:lang w:val="en-US" w:eastAsia="zh-CN"/>
              </w:rPr>
              <w:t>伍仟</w:t>
            </w:r>
            <w:r>
              <w:rPr>
                <w:rFonts w:hint="eastAsia" w:ascii="宋体" w:hAnsi="宋体" w:eastAsia="宋体" w:cs="宋体"/>
                <w:color w:val="auto"/>
                <w:szCs w:val="21"/>
                <w:highlight w:val="none"/>
              </w:rPr>
              <w:t>元。</w:t>
            </w:r>
          </w:p>
          <w:p>
            <w:pPr>
              <w:numPr>
                <w:ilvl w:val="-1"/>
                <w:numId w:val="0"/>
              </w:numPr>
              <w:adjustRightInd w:val="0"/>
              <w:snapToGrid w:val="0"/>
              <w:spacing w:line="360"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2、缴纳方式：</w:t>
            </w:r>
            <w:r>
              <w:rPr>
                <w:rFonts w:hint="eastAsia" w:ascii="宋体" w:hAnsi="宋体" w:eastAsia="宋体" w:cs="宋体"/>
                <w:color w:val="auto"/>
                <w:szCs w:val="21"/>
                <w:highlight w:val="none"/>
                <w:lang w:eastAsia="zh-CN"/>
              </w:rPr>
              <w:t>银行转账。</w:t>
            </w:r>
          </w:p>
          <w:p>
            <w:pPr>
              <w:numPr>
                <w:ilvl w:val="0"/>
                <w:numId w:val="3"/>
              </w:numPr>
              <w:adjustRightInd w:val="0"/>
              <w:snapToGrid w:val="0"/>
              <w:spacing w:line="360"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账户名称：广州南沙</w:t>
            </w:r>
            <w:r>
              <w:rPr>
                <w:rFonts w:hint="eastAsia" w:ascii="宋体" w:hAnsi="宋体" w:eastAsia="宋体" w:cs="宋体"/>
                <w:color w:val="auto"/>
                <w:szCs w:val="21"/>
                <w:highlight w:val="none"/>
                <w:lang w:val="en-US" w:eastAsia="zh-CN"/>
              </w:rPr>
              <w:t>湿地旅游发展</w:t>
            </w:r>
            <w:r>
              <w:rPr>
                <w:rFonts w:hint="eastAsia" w:ascii="宋体" w:hAnsi="宋体" w:eastAsia="宋体" w:cs="宋体"/>
                <w:color w:val="auto"/>
                <w:szCs w:val="21"/>
                <w:highlight w:val="none"/>
              </w:rPr>
              <w:t>有限公司</w:t>
            </w:r>
          </w:p>
          <w:p>
            <w:pPr>
              <w:numPr>
                <w:ilvl w:val="-1"/>
                <w:numId w:val="0"/>
              </w:numPr>
              <w:adjustRightInd w:val="0"/>
              <w:snapToGrid w:val="0"/>
              <w:spacing w:line="360" w:lineRule="auto"/>
              <w:ind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w:t>
            </w:r>
            <w:r>
              <w:rPr>
                <w:rFonts w:hint="eastAsia" w:ascii="宋体" w:hAnsi="宋体" w:eastAsia="宋体" w:cs="宋体"/>
                <w:bCs/>
                <w:color w:val="auto"/>
                <w:sz w:val="21"/>
                <w:szCs w:val="21"/>
                <w:highlight w:val="none"/>
              </w:rPr>
              <w:t>广州农村商业银行新丰分理处</w:t>
            </w:r>
          </w:p>
          <w:p>
            <w:pPr>
              <w:numPr>
                <w:ilvl w:val="-1"/>
                <w:numId w:val="0"/>
              </w:numPr>
              <w:adjustRightInd w:val="0"/>
              <w:snapToGrid w:val="0"/>
              <w:spacing w:line="360" w:lineRule="auto"/>
              <w:ind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账号：</w:t>
            </w:r>
            <w:r>
              <w:rPr>
                <w:rFonts w:hint="eastAsia" w:ascii="宋体" w:hAnsi="宋体" w:eastAsia="宋体" w:cs="宋体"/>
                <w:bCs/>
                <w:color w:val="auto"/>
                <w:sz w:val="21"/>
                <w:szCs w:val="21"/>
                <w:highlight w:val="none"/>
              </w:rPr>
              <w:t>05621949000000074</w:t>
            </w:r>
          </w:p>
          <w:p>
            <w:pPr>
              <w:numPr>
                <w:ilvl w:val="0"/>
                <w:numId w:val="3"/>
              </w:numPr>
              <w:adjustRightInd w:val="0"/>
              <w:snapToGrid w:val="0"/>
              <w:spacing w:line="360" w:lineRule="auto"/>
              <w:rPr>
                <w:rFonts w:hint="eastAsia"/>
                <w:color w:val="auto"/>
                <w:highlight w:val="none"/>
                <w:lang w:val="en-US" w:eastAsia="zh-CN"/>
              </w:rPr>
            </w:pPr>
            <w:r>
              <w:rPr>
                <w:rFonts w:hint="eastAsia" w:ascii="宋体" w:hAnsi="宋体" w:eastAsia="宋体" w:cs="宋体"/>
                <w:color w:val="auto"/>
                <w:szCs w:val="21"/>
                <w:highlight w:val="none"/>
              </w:rPr>
              <w:t>缴纳时间：投标单位须在202</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6月11</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lang w:eastAsia="zh-CN"/>
              </w:rPr>
              <w:t>（星期</w:t>
            </w:r>
            <w:r>
              <w:rPr>
                <w:rFonts w:hint="eastAsia" w:ascii="宋体" w:hAnsi="宋体" w:eastAsia="宋体" w:cs="宋体"/>
                <w:color w:val="auto"/>
                <w:szCs w:val="21"/>
                <w:highlight w:val="none"/>
                <w:lang w:val="en-US" w:eastAsia="zh-CN"/>
              </w:rPr>
              <w:t>三</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00</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前</w:t>
            </w:r>
            <w:r>
              <w:rPr>
                <w:rFonts w:hint="eastAsia" w:ascii="宋体" w:hAnsi="宋体" w:eastAsia="宋体" w:cs="宋体"/>
                <w:color w:val="auto"/>
                <w:szCs w:val="21"/>
                <w:highlight w:val="none"/>
              </w:rPr>
              <w:t>以投标人转出【以招标单位查询的信息为准，汇款时备注：</w:t>
            </w:r>
            <w:r>
              <w:rPr>
                <w:rFonts w:hint="eastAsia" w:ascii="宋体" w:hAnsi="宋体" w:eastAsia="宋体" w:cs="宋体"/>
                <w:b w:val="0"/>
                <w:bCs w:val="0"/>
                <w:color w:val="auto"/>
                <w:sz w:val="21"/>
                <w:szCs w:val="21"/>
                <w:highlight w:val="none"/>
                <w:lang w:val="en-US" w:eastAsia="zh-CN"/>
              </w:rPr>
              <w:t>南沙湿地二期亚太钓鱼场护堤及道路应急维修维护项目</w:t>
            </w:r>
            <w:r>
              <w:rPr>
                <w:rFonts w:hint="eastAsia" w:ascii="宋体" w:hAnsi="宋体" w:eastAsia="宋体" w:cs="宋体"/>
                <w:color w:val="auto"/>
                <w:szCs w:val="21"/>
                <w:highlight w:val="none"/>
              </w:rPr>
              <w:t>投</w:t>
            </w:r>
            <w:r>
              <w:rPr>
                <w:rFonts w:hint="eastAsia"/>
                <w:color w:val="auto"/>
                <w:highlight w:val="none"/>
              </w:rPr>
              <w:t>标保证金】</w:t>
            </w:r>
          </w:p>
          <w:p>
            <w:pPr>
              <w:pStyle w:val="10"/>
              <w:numPr>
                <w:ilvl w:val="-1"/>
                <w:numId w:val="0"/>
              </w:numPr>
              <w:spacing w:line="360" w:lineRule="auto"/>
              <w:rPr>
                <w:rFonts w:hint="default"/>
                <w:color w:val="auto"/>
                <w:highlight w:val="none"/>
                <w:lang w:val="en-US" w:eastAsia="zh-CN"/>
              </w:rPr>
            </w:pPr>
            <w:r>
              <w:rPr>
                <w:rFonts w:hint="eastAsia"/>
                <w:color w:val="auto"/>
                <w:highlight w:val="none"/>
                <w:lang w:val="en-US" w:eastAsia="zh-CN"/>
              </w:rPr>
              <w:t>5、招标人应当自中标通知书发出之日起5个工作日内退还未中标人的投标保证金，自合同签订之日起5个工作日内退还中标人的投标保证金。所有投标人的投标保证金以转账的方式予以退还。</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0" w:beforeAutospacing="0" w:after="0" w:line="440" w:lineRule="exact"/>
              <w:ind w:left="0" w:leftChars="0" w:right="0" w:rightChars="0" w:firstLine="0"/>
              <w:jc w:val="center"/>
              <w:rPr>
                <w:rFonts w:hint="eastAsia"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44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281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投标文件</w:t>
            </w:r>
          </w:p>
          <w:p>
            <w:pPr>
              <w:pStyle w:val="17"/>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提交地点及</w:t>
            </w:r>
          </w:p>
          <w:p>
            <w:pPr>
              <w:pStyle w:val="17"/>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收件人：林小姐，</w:t>
            </w:r>
            <w:r>
              <w:rPr>
                <w:rFonts w:hint="eastAsia" w:ascii="宋体" w:hAnsi="宋体" w:eastAsia="宋体" w:cs="宋体"/>
                <w:color w:val="auto"/>
                <w:kern w:val="2"/>
                <w:sz w:val="21"/>
                <w:szCs w:val="21"/>
                <w:highlight w:val="none"/>
                <w:u w:val="none"/>
              </w:rPr>
              <w:t>020-</w:t>
            </w:r>
            <w:r>
              <w:rPr>
                <w:rFonts w:hint="eastAsia" w:ascii="宋体" w:hAnsi="宋体" w:eastAsia="宋体" w:cs="宋体"/>
                <w:color w:val="auto"/>
                <w:kern w:val="2"/>
                <w:sz w:val="21"/>
                <w:szCs w:val="21"/>
                <w:highlight w:val="none"/>
                <w:u w:val="none"/>
                <w:lang w:val="en-US" w:eastAsia="zh-CN"/>
              </w:rPr>
              <w:t>31151828</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w:t>
            </w:r>
            <w:r>
              <w:rPr>
                <w:rFonts w:hint="eastAsia" w:ascii="宋体" w:hAnsi="宋体" w:eastAsia="宋体" w:cs="宋体"/>
                <w:color w:val="auto"/>
                <w:kern w:val="2"/>
                <w:sz w:val="21"/>
                <w:szCs w:val="21"/>
                <w:highlight w:val="none"/>
                <w:u w:val="none"/>
                <w:shd w:val="clear" w:color="auto" w:fill="auto"/>
                <w:lang w:bidi="ar-SA"/>
              </w:rPr>
              <w:t>广州市南沙区</w:t>
            </w:r>
            <w:r>
              <w:rPr>
                <w:rFonts w:hint="eastAsia" w:ascii="宋体" w:hAnsi="宋体" w:eastAsia="宋体" w:cs="宋体"/>
                <w:color w:val="auto"/>
                <w:kern w:val="2"/>
                <w:sz w:val="21"/>
                <w:szCs w:val="21"/>
                <w:highlight w:val="none"/>
                <w:u w:val="none"/>
                <w:shd w:val="clear"/>
                <w:lang w:val="en-US" w:eastAsia="zh-CN" w:bidi="ar-SA"/>
              </w:rPr>
              <w:t>港湾</w:t>
            </w:r>
            <w:r>
              <w:rPr>
                <w:rFonts w:hint="eastAsia" w:ascii="宋体" w:hAnsi="宋体" w:eastAsia="宋体" w:cs="宋体"/>
                <w:color w:val="auto"/>
                <w:kern w:val="2"/>
                <w:sz w:val="21"/>
                <w:szCs w:val="21"/>
                <w:highlight w:val="none"/>
                <w:u w:val="none"/>
                <w:shd w:val="clear" w:color="auto" w:fill="auto"/>
                <w:lang w:bidi="ar-SA"/>
              </w:rPr>
              <w:t>街天后路88号南沙天后宫景区办公室2楼</w:t>
            </w:r>
            <w:r>
              <w:rPr>
                <w:rFonts w:hint="eastAsia" w:ascii="宋体" w:hAnsi="宋体" w:eastAsia="宋体" w:cs="宋体"/>
                <w:color w:val="auto"/>
                <w:kern w:val="2"/>
                <w:sz w:val="21"/>
                <w:szCs w:val="21"/>
                <w:highlight w:val="none"/>
                <w:u w:val="none"/>
                <w:shd w:val="clear" w:color="auto" w:fill="auto"/>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5</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6月12</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5</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6月12</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分前</w:t>
            </w:r>
            <w:r>
              <w:rPr>
                <w:rFonts w:hint="eastAsia" w:ascii="宋体" w:hAnsi="宋体" w:eastAsia="宋体" w:cs="宋体"/>
                <w:color w:val="auto"/>
                <w:kern w:val="2"/>
                <w:sz w:val="21"/>
                <w:szCs w:val="21"/>
                <w:highlight w:val="none"/>
                <w:u w:val="none"/>
                <w:lang w:val="en-US" w:eastAsia="zh-CN" w:bidi="ar-SA"/>
              </w:rPr>
              <w:t>。</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5</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6月12</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w:t>
            </w:r>
            <w:r>
              <w:rPr>
                <w:rFonts w:hint="eastAsia" w:ascii="宋体" w:hAnsi="宋体" w:eastAsia="宋体" w:cs="宋体"/>
                <w:color w:val="auto"/>
                <w:kern w:val="2"/>
                <w:sz w:val="21"/>
                <w:szCs w:val="21"/>
                <w:highlight w:val="none"/>
                <w:u w:val="none"/>
                <w:shd w:val="clear"/>
                <w:lang w:bidi="ar-SA"/>
              </w:rPr>
              <w:t>广州市南沙区</w:t>
            </w:r>
            <w:r>
              <w:rPr>
                <w:rFonts w:hint="eastAsia" w:ascii="宋体" w:hAnsi="宋体" w:eastAsia="宋体" w:cs="宋体"/>
                <w:color w:val="auto"/>
                <w:kern w:val="2"/>
                <w:sz w:val="21"/>
                <w:szCs w:val="21"/>
                <w:highlight w:val="none"/>
                <w:u w:val="none"/>
                <w:shd w:val="clear"/>
                <w:lang w:val="en-US" w:eastAsia="zh-CN" w:bidi="ar-SA"/>
              </w:rPr>
              <w:t>港湾</w:t>
            </w:r>
            <w:r>
              <w:rPr>
                <w:rFonts w:hint="eastAsia" w:ascii="宋体" w:hAnsi="宋体" w:eastAsia="宋体" w:cs="宋体"/>
                <w:color w:val="auto"/>
                <w:kern w:val="2"/>
                <w:sz w:val="21"/>
                <w:szCs w:val="21"/>
                <w:highlight w:val="none"/>
                <w:u w:val="none"/>
                <w:shd w:val="clear"/>
                <w:lang w:bidi="ar-SA"/>
              </w:rPr>
              <w:t>街天后路88号南沙天后宫景区办公室2楼</w:t>
            </w:r>
            <w:r>
              <w:rPr>
                <w:rFonts w:hint="eastAsia" w:ascii="宋体" w:hAnsi="宋体" w:eastAsia="宋体" w:cs="宋体"/>
                <w:color w:val="auto"/>
                <w:kern w:val="2"/>
                <w:sz w:val="21"/>
                <w:szCs w:val="21"/>
                <w:highlight w:val="none"/>
                <w:u w:val="none"/>
                <w:shd w:val="clear"/>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7"/>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ascii="宋体" w:hAnsi="宋体" w:eastAsia="宋体" w:cs="宋体"/>
                <w:color w:val="auto"/>
                <w:highlight w:val="none"/>
                <w:u w:val="none"/>
              </w:rPr>
            </w:pPr>
            <w:r>
              <w:rPr>
                <w:rFonts w:hint="eastAsia" w:ascii="宋体" w:hAnsi="宋体" w:eastAsia="宋体" w:cs="宋体"/>
                <w:color w:val="auto"/>
                <w:szCs w:val="21"/>
                <w:highlight w:val="none"/>
              </w:rPr>
              <w:t>综合评</w:t>
            </w:r>
            <w:r>
              <w:rPr>
                <w:rFonts w:hint="eastAsia" w:ascii="宋体" w:hAnsi="宋体" w:eastAsia="宋体" w:cs="宋体"/>
                <w:color w:val="auto"/>
                <w:szCs w:val="21"/>
                <w:highlight w:val="none"/>
                <w:lang w:val="en-US" w:eastAsia="zh-CN"/>
              </w:rPr>
              <w:t>审</w:t>
            </w:r>
            <w:r>
              <w:rPr>
                <w:rFonts w:hint="eastAsia" w:ascii="宋体" w:hAnsi="宋体" w:eastAsia="宋体" w:cs="宋体"/>
                <w:color w:val="auto"/>
                <w:szCs w:val="21"/>
                <w:highlight w:val="none"/>
              </w:rPr>
              <w:t>法</w:t>
            </w:r>
            <w:r>
              <w:rPr>
                <w:rFonts w:hint="eastAsia" w:ascii="宋体" w:hAnsi="宋体" w:eastAsia="宋体" w:cs="宋体"/>
                <w:color w:val="auto"/>
                <w:szCs w:val="21"/>
                <w:highlight w:val="none"/>
                <w:lang w:eastAsia="zh-CN"/>
              </w:rPr>
              <w:t>，总得分</w:t>
            </w:r>
            <w:r>
              <w:rPr>
                <w:rFonts w:hint="eastAsia" w:ascii="宋体" w:hAnsi="宋体" w:eastAsia="宋体" w:cs="宋体"/>
                <w:color w:val="auto"/>
                <w:szCs w:val="21"/>
                <w:highlight w:val="none"/>
                <w:lang w:val="en-US" w:eastAsia="zh-CN"/>
              </w:rPr>
              <w:t>=（商务部分得分+技术部分得分）（满分100分）×权重20%+经济部分得分（满分100分）×权重80%</w:t>
            </w:r>
          </w:p>
        </w:tc>
      </w:tr>
    </w:tbl>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p>
    <w:p>
      <w:pPr>
        <w:pStyle w:val="2"/>
        <w:rPr>
          <w:rFonts w:hint="eastAsia"/>
          <w:color w:val="auto"/>
          <w:highlight w:val="none"/>
        </w:rPr>
      </w:pPr>
    </w:p>
    <w:p>
      <w:pPr>
        <w:rPr>
          <w:rFonts w:hint="eastAsia"/>
          <w:color w:val="auto"/>
          <w:highlight w:val="none"/>
        </w:rPr>
      </w:pPr>
    </w:p>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u w:val="single"/>
          <w:lang w:eastAsia="zh-CN"/>
        </w:rPr>
        <w:t>广州南沙</w:t>
      </w:r>
      <w:r>
        <w:rPr>
          <w:rFonts w:hint="eastAsia" w:ascii="宋体" w:hAnsi="宋体" w:eastAsia="宋体" w:cs="宋体"/>
          <w:color w:val="auto"/>
          <w:sz w:val="24"/>
          <w:highlight w:val="none"/>
          <w:u w:val="single"/>
          <w:lang w:val="en-US" w:eastAsia="zh-CN"/>
        </w:rPr>
        <w:t>湿地</w:t>
      </w:r>
      <w:r>
        <w:rPr>
          <w:rFonts w:hint="eastAsia" w:ascii="宋体" w:hAnsi="宋体" w:eastAsia="宋体" w:cs="宋体"/>
          <w:color w:val="auto"/>
          <w:sz w:val="24"/>
          <w:highlight w:val="none"/>
          <w:u w:val="single"/>
          <w:lang w:eastAsia="zh-CN"/>
        </w:rPr>
        <w:t>旅游发展有限公司</w:t>
      </w:r>
      <w:r>
        <w:rPr>
          <w:rFonts w:hint="eastAsia" w:ascii="宋体" w:hAnsi="宋体" w:eastAsia="宋体" w:cs="宋体"/>
          <w:color w:val="auto"/>
          <w:sz w:val="24"/>
          <w:highlight w:val="none"/>
          <w:u w:val="single"/>
        </w:rPr>
        <w:t>。</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rPr>
        <w:t>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 “书面函件”指打字或印刷的函件，包括电传、电报和传真。</w:t>
      </w:r>
    </w:p>
    <w:p>
      <w:pPr>
        <w:spacing w:line="360" w:lineRule="auto"/>
        <w:ind w:firstLine="482" w:firstLineChars="200"/>
        <w:outlineLvl w:val="3"/>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2.2项目概况：</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建设</w:t>
      </w:r>
      <w:r>
        <w:rPr>
          <w:rFonts w:hint="eastAsia" w:ascii="宋体" w:hAnsi="宋体" w:eastAsia="宋体" w:cs="宋体"/>
          <w:color w:val="auto"/>
          <w:sz w:val="24"/>
          <w:highlight w:val="none"/>
          <w:lang w:val="en-US" w:eastAsia="zh-CN"/>
        </w:rPr>
        <w:t>规模</w:t>
      </w:r>
      <w:r>
        <w:rPr>
          <w:rFonts w:hint="eastAsia" w:ascii="宋体" w:hAnsi="宋体" w:eastAsia="宋体" w:cs="宋体"/>
          <w:color w:val="auto"/>
          <w:sz w:val="24"/>
          <w:highlight w:val="none"/>
        </w:rPr>
        <w:t>：见投标须知前附表第2项。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4承包方式</w:t>
      </w:r>
      <w:r>
        <w:rPr>
          <w:rFonts w:hint="eastAsia" w:ascii="宋体" w:hAnsi="宋体" w:eastAsia="宋体" w:cs="宋体"/>
          <w:color w:val="auto"/>
          <w:sz w:val="24"/>
          <w:highlight w:val="none"/>
        </w:rPr>
        <w:t>：见投标须知前附表第3项。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6质量</w:t>
      </w:r>
      <w:r>
        <w:rPr>
          <w:rFonts w:hint="eastAsia" w:ascii="宋体" w:hAnsi="宋体" w:eastAsia="宋体" w:cs="宋体"/>
          <w:color w:val="auto"/>
          <w:sz w:val="24"/>
          <w:highlight w:val="none"/>
        </w:rPr>
        <w:t>目标：见投标须知前附表第5项。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left="-1" w:firstLine="480" w:firstLineChars="200"/>
        <w:rPr>
          <w:color w:val="auto"/>
          <w:highlight w:val="none"/>
        </w:rPr>
      </w:pPr>
      <w:r>
        <w:rPr>
          <w:rFonts w:hint="eastAsia" w:ascii="宋体" w:hAnsi="宋体" w:eastAsia="宋体" w:cs="宋体"/>
          <w:color w:val="auto"/>
          <w:sz w:val="24"/>
          <w:highlight w:val="none"/>
          <w:lang w:val="en-US" w:eastAsia="zh-CN"/>
        </w:rPr>
        <w:t>2.3.4</w:t>
      </w:r>
      <w:r>
        <w:rPr>
          <w:rFonts w:hint="eastAsia" w:ascii="宋体" w:hAnsi="宋体" w:eastAsia="宋体" w:cs="宋体"/>
          <w:color w:val="auto"/>
          <w:sz w:val="24"/>
          <w:highlight w:val="none"/>
        </w:rPr>
        <w:t>服务人员的专业配套要求</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见投标须知前附表第</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7"/>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hint="eastAsia" w:ascii="黑体" w:hAnsi="华文楷体" w:eastAsia="黑体" w:cs="黑体"/>
          <w:color w:val="auto"/>
          <w:sz w:val="24"/>
          <w:highlight w:val="none"/>
          <w:lang w:eastAsia="zh-CN"/>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4）合同</w:t>
      </w:r>
      <w:r>
        <w:rPr>
          <w:rFonts w:hint="eastAsia" w:ascii="黑体" w:hAnsi="华文楷体" w:eastAsia="黑体" w:cs="黑体"/>
          <w:color w:val="auto"/>
          <w:sz w:val="24"/>
          <w:highlight w:val="none"/>
          <w:lang w:eastAsia="zh-CN"/>
        </w:rPr>
        <w:t>（</w:t>
      </w:r>
      <w:r>
        <w:rPr>
          <w:rFonts w:hint="eastAsia" w:ascii="黑体" w:hAnsi="华文楷体" w:eastAsia="黑体" w:cs="黑体"/>
          <w:color w:val="auto"/>
          <w:sz w:val="24"/>
          <w:highlight w:val="none"/>
          <w:lang w:val="en-US" w:eastAsia="zh-CN"/>
        </w:rPr>
        <w:t>另附</w:t>
      </w:r>
      <w:r>
        <w:rPr>
          <w:rFonts w:hint="eastAsia" w:ascii="黑体" w:hAnsi="华文楷体" w:eastAsia="黑体" w:cs="黑体"/>
          <w:color w:val="auto"/>
          <w:sz w:val="24"/>
          <w:highlight w:val="none"/>
          <w:lang w:eastAsia="zh-CN"/>
        </w:rPr>
        <w:t>）</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w:t>
      </w:r>
      <w:r>
        <w:rPr>
          <w:rFonts w:hint="eastAsia" w:ascii="宋体" w:hAnsi="宋体" w:cs="宋体"/>
          <w:color w:val="auto"/>
          <w:sz w:val="24"/>
          <w:szCs w:val="24"/>
          <w:highlight w:val="none"/>
          <w:lang w:val="en-US" w:eastAsia="zh-CN"/>
        </w:rPr>
        <w:t>招标文件</w:t>
      </w:r>
      <w:r>
        <w:rPr>
          <w:rFonts w:hint="eastAsia" w:ascii="宋体" w:hAnsi="宋体" w:cs="宋体"/>
          <w:color w:val="auto"/>
          <w:sz w:val="24"/>
          <w:szCs w:val="24"/>
          <w:highlight w:val="none"/>
        </w:rPr>
        <w:t>在广州南沙资产经营集团有限公司网站（http://www.gnao.com.cn）</w:t>
      </w:r>
      <w:r>
        <w:rPr>
          <w:rFonts w:hint="eastAsia" w:ascii="宋体" w:hAnsi="宋体" w:cs="宋体"/>
          <w:color w:val="auto"/>
          <w:sz w:val="24"/>
          <w:szCs w:val="24"/>
          <w:highlight w:val="none"/>
          <w:u w:val="none"/>
          <w:lang w:val="en-US" w:eastAsia="zh-CN"/>
        </w:rPr>
        <w:t xml:space="preserve">             </w:t>
      </w:r>
      <w:r>
        <w:rPr>
          <w:rFonts w:hint="eastAsia" w:ascii="宋体" w:hAnsi="宋体" w:cs="宋体"/>
          <w:color w:val="auto"/>
          <w:sz w:val="24"/>
          <w:szCs w:val="24"/>
          <w:highlight w:val="none"/>
        </w:rPr>
        <w:t>上公开发布，由投标人自行下载。如招标人需发布补充公告的，以最后发布的补充的招标内容为准。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widowControl/>
        <w:spacing w:beforeAutospacing="0" w:after="0" w:line="360" w:lineRule="auto"/>
        <w:ind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widowControl/>
        <w:spacing w:beforeAutospacing="0" w:after="0" w:line="360" w:lineRule="auto"/>
        <w:ind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8.2招标答疑会会议纪要将在提交投标文件截止时间1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widowControl/>
        <w:spacing w:beforeAutospacing="0" w:after="0" w:line="360" w:lineRule="auto"/>
        <w:ind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8.3答疑会会议纪要为招标文件的一部分。</w:t>
      </w:r>
    </w:p>
    <w:p>
      <w:pPr>
        <w:spacing w:line="360" w:lineRule="auto"/>
        <w:ind w:firstLine="480" w:firstLineChars="200"/>
        <w:outlineLvl w:val="3"/>
        <w:rPr>
          <w:rFonts w:hint="eastAsia" w:ascii="宋体" w:hAnsi="宋体" w:cs="宋体"/>
          <w:b/>
          <w:color w:val="auto"/>
          <w:sz w:val="24"/>
          <w:highlight w:val="none"/>
        </w:rPr>
      </w:pPr>
      <w:r>
        <w:rPr>
          <w:rFonts w:hint="eastAsia" w:ascii="宋体" w:hAnsi="宋体" w:eastAsia="宋体" w:cs="宋体"/>
          <w:color w:val="auto"/>
          <w:kern w:val="2"/>
          <w:sz w:val="24"/>
          <w:szCs w:val="24"/>
          <w:highlight w:val="none"/>
          <w:lang w:val="en-US" w:eastAsia="zh-CN" w:bidi="ar-SA"/>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pPr>
        <w:pStyle w:val="17"/>
        <w:widowControl/>
        <w:spacing w:beforeAutospacing="0" w:after="0"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7"/>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人员到位承诺书（按招标文件第3章格式填写）</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 xml:space="preserve">7 </w:t>
      </w:r>
      <w:r>
        <w:rPr>
          <w:rFonts w:hint="eastAsia" w:ascii="宋体" w:hAnsi="宋体" w:eastAsia="宋体" w:cs="宋体"/>
          <w:color w:val="auto"/>
          <w:sz w:val="24"/>
          <w:highlight w:val="none"/>
        </w:rPr>
        <w:t>投标人综合概况（按招标文件第3章格式填写）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color w:val="auto"/>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8</w:t>
      </w:r>
      <w:r>
        <w:rPr>
          <w:rFonts w:hint="eastAsia" w:ascii="宋体" w:hAnsi="宋体" w:eastAsia="宋体" w:cs="宋体"/>
          <w:b w:val="0"/>
          <w:bCs w:val="0"/>
          <w:color w:val="auto"/>
          <w:kern w:val="2"/>
          <w:sz w:val="24"/>
          <w:highlight w:val="none"/>
          <w:lang w:val="en-US" w:eastAsia="zh-CN" w:bidi="ar-SA"/>
        </w:rPr>
        <w:t>项目负责人相关经验及业绩</w:t>
      </w:r>
      <w:r>
        <w:rPr>
          <w:rFonts w:hint="eastAsia" w:ascii="宋体" w:hAnsi="宋体" w:eastAsia="宋体" w:cs="宋体"/>
          <w:color w:val="auto"/>
          <w:sz w:val="24"/>
          <w:highlight w:val="none"/>
        </w:rPr>
        <w:t>（按招标文件第3章格式填写）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b w:val="0"/>
          <w:bCs w:val="0"/>
          <w:color w:val="auto"/>
          <w:kern w:val="2"/>
          <w:sz w:val="24"/>
          <w:highlight w:val="none"/>
          <w:lang w:val="en-US" w:eastAsia="zh-CN" w:bidi="ar-SA"/>
        </w:rPr>
        <w:t>投标人业绩一览表</w:t>
      </w:r>
      <w:r>
        <w:rPr>
          <w:rFonts w:hint="eastAsia" w:ascii="宋体" w:hAnsi="宋体" w:eastAsia="宋体" w:cs="宋体"/>
          <w:color w:val="auto"/>
          <w:sz w:val="24"/>
          <w:highlight w:val="none"/>
        </w:rPr>
        <w:t>及证明文件（按招标文件第3章格式填写）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报价表</w:t>
      </w:r>
      <w:r>
        <w:rPr>
          <w:rFonts w:hint="eastAsia" w:ascii="宋体" w:hAnsi="宋体" w:eastAsia="宋体" w:cs="宋体"/>
          <w:color w:val="auto"/>
          <w:sz w:val="24"/>
          <w:highlight w:val="none"/>
          <w:lang w:eastAsia="zh-CN"/>
        </w:rPr>
        <w:t>（含报价清单）</w:t>
      </w:r>
      <w:r>
        <w:rPr>
          <w:rFonts w:hint="eastAsia" w:ascii="宋体" w:hAnsi="宋体" w:eastAsia="宋体" w:cs="宋体"/>
          <w:color w:val="auto"/>
          <w:sz w:val="24"/>
          <w:highlight w:val="none"/>
        </w:rPr>
        <w:t>。</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12</w:t>
      </w:r>
      <w:r>
        <w:rPr>
          <w:rFonts w:hint="eastAsia" w:ascii="宋体" w:hAnsi="宋体" w:eastAsia="宋体" w:cs="宋体"/>
          <w:color w:val="auto"/>
          <w:sz w:val="24"/>
          <w:highlight w:val="none"/>
        </w:rPr>
        <w:t>技术标文件（独立成册）。</w:t>
      </w:r>
    </w:p>
    <w:p>
      <w:pPr>
        <w:widowControl/>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13</w:t>
      </w:r>
      <w:r>
        <w:rPr>
          <w:rFonts w:hint="eastAsia" w:ascii="宋体" w:hAnsi="宋体" w:eastAsia="宋体" w:cs="宋体"/>
          <w:color w:val="auto"/>
          <w:sz w:val="24"/>
          <w:highlight w:val="none"/>
        </w:rPr>
        <w:t>投标文件电子版（</w:t>
      </w:r>
      <w:r>
        <w:rPr>
          <w:rFonts w:hAnsi="宋体" w:cs="宋体"/>
          <w:color w:val="auto"/>
          <w:sz w:val="24"/>
          <w:highlight w:val="none"/>
        </w:rPr>
        <w:t>刻录光盘或提供U盘，需为公司盖章版本</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11.14投标申请人声明。</w:t>
      </w:r>
    </w:p>
    <w:p>
      <w:pPr>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kern w:val="2"/>
          <w:sz w:val="24"/>
          <w:szCs w:val="24"/>
          <w:highlight w:val="none"/>
          <w:lang w:val="en-US" w:eastAsia="zh-CN" w:bidi="ar-SA"/>
        </w:rPr>
        <w:t xml:space="preserve">11.15施工组织方案。 </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11.16 投标人认为需要提供的其他文件。</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w:t>
      </w:r>
      <w:r>
        <w:rPr>
          <w:rFonts w:hint="eastAsia" w:ascii="宋体" w:hAnsi="宋体" w:cs="宋体"/>
          <w:color w:val="auto"/>
          <w:kern w:val="2"/>
          <w:sz w:val="24"/>
          <w:szCs w:val="24"/>
          <w:highlight w:val="none"/>
          <w:u w:val="none"/>
          <w:lang w:val="en-US" w:eastAsia="zh-CN" w:bidi="ar-SA"/>
        </w:rPr>
        <w:t>无效投标</w:t>
      </w:r>
      <w:r>
        <w:rPr>
          <w:rFonts w:hint="eastAsia" w:ascii="宋体" w:hAnsi="宋体" w:eastAsia="宋体" w:cs="宋体"/>
          <w:color w:val="auto"/>
          <w:sz w:val="24"/>
          <w:szCs w:val="24"/>
          <w:highlight w:val="none"/>
          <w:lang w:eastAsia="zh-CN"/>
        </w:rPr>
        <w:t>处</w:t>
      </w:r>
      <w:r>
        <w:rPr>
          <w:rFonts w:hint="eastAsia" w:ascii="宋体" w:hAnsi="宋体" w:cs="宋体"/>
          <w:color w:val="auto"/>
          <w:sz w:val="24"/>
          <w:szCs w:val="24"/>
          <w:highlight w:val="none"/>
          <w:lang w:eastAsia="zh-CN"/>
        </w:rPr>
        <w:t>理</w:t>
      </w:r>
      <w:r>
        <w:rPr>
          <w:rFonts w:hint="eastAsia" w:ascii="宋体" w:hAnsi="宋体" w:cs="宋体"/>
          <w:color w:val="auto"/>
          <w:sz w:val="24"/>
          <w:szCs w:val="24"/>
          <w:highlight w:val="none"/>
        </w:rPr>
        <w:t>。（小数点后保留二位小数，第三位小数四舍五入）</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到投标截止时间止，招标人收到的投标文件少于3家的，招标人将依法重新组织招标。</w:t>
      </w:r>
    </w:p>
    <w:p>
      <w:pPr>
        <w:pStyle w:val="17"/>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w:t>
      </w:r>
      <w:r>
        <w:rPr>
          <w:rFonts w:hint="eastAsia" w:ascii="宋体" w:hAnsi="宋体" w:eastAsia="宋体" w:cs="宋体"/>
          <w:color w:val="auto"/>
          <w:sz w:val="24"/>
          <w:szCs w:val="24"/>
          <w:highlight w:val="none"/>
        </w:rPr>
        <w:t>a、投标人名称；b、标书密封情况；c、有无法定代表人证明书及授权委托证明书；d、投标总报价</w:t>
      </w:r>
      <w:r>
        <w:rPr>
          <w:rFonts w:hint="eastAsia" w:ascii="宋体" w:hAnsi="宋体" w:eastAsia="宋体" w:cs="宋体"/>
          <w:color w:val="auto"/>
          <w:sz w:val="24"/>
          <w:highlight w:val="none"/>
        </w:rPr>
        <w:t>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7"/>
        <w:widowControl/>
        <w:numPr>
          <w:ilvl w:val="0"/>
          <w:numId w:val="4"/>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17"/>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11" w:name="_Toc1632"/>
      <w:bookmarkStart w:id="12"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bookmarkStart w:id="13" w:name="_Toc8409"/>
      <w:bookmarkStart w:id="14" w:name="_Toc22411"/>
      <w:bookmarkStart w:id="15" w:name="_Toc7252"/>
      <w:bookmarkStart w:id="16" w:name="_Toc8457"/>
      <w:bookmarkStart w:id="17" w:name="_Toc28984"/>
      <w:bookmarkStart w:id="18" w:name="_Toc10474"/>
      <w:bookmarkStart w:id="19" w:name="_Toc28921"/>
      <w:r>
        <w:rPr>
          <w:rFonts w:hint="eastAsia" w:ascii="方正小标宋简体" w:hAnsi="方正小标宋简体" w:eastAsia="方正小标宋简体" w:cs="方正小标宋简体"/>
          <w:b/>
          <w:color w:val="auto"/>
          <w:kern w:val="44"/>
          <w:sz w:val="36"/>
          <w:szCs w:val="36"/>
          <w:highlight w:val="none"/>
        </w:rPr>
        <w:t>第2章 项目需求书</w:t>
      </w:r>
      <w:bookmarkEnd w:id="11"/>
      <w:bookmarkEnd w:id="13"/>
      <w:bookmarkEnd w:id="14"/>
      <w:bookmarkEnd w:id="15"/>
      <w:bookmarkEnd w:id="16"/>
      <w:bookmarkEnd w:id="17"/>
      <w:bookmarkEnd w:id="18"/>
      <w:bookmarkEnd w:id="19"/>
    </w:p>
    <w:p>
      <w:pPr>
        <w:rPr>
          <w:rFonts w:ascii="宋体" w:hAnsi="宋体" w:eastAsia="宋体" w:cs="宋体"/>
          <w:b/>
          <w:color w:val="auto"/>
          <w:sz w:val="30"/>
          <w:szCs w:val="30"/>
          <w:highlight w:val="none"/>
        </w:rPr>
      </w:pPr>
    </w:p>
    <w:p>
      <w:pPr>
        <w:pStyle w:val="8"/>
        <w:spacing w:line="560" w:lineRule="exact"/>
        <w:rPr>
          <w:rFonts w:hint="eastAsia" w:ascii="宋体" w:hAnsi="宋体" w:eastAsia="宋体" w:cs="Times New Roman"/>
          <w:b/>
          <w:color w:val="auto"/>
          <w:kern w:val="0"/>
          <w:sz w:val="28"/>
          <w:szCs w:val="20"/>
          <w:highlight w:val="none"/>
          <w:u w:val="none"/>
          <w:lang w:val="en-US" w:eastAsia="zh-CN"/>
        </w:rPr>
      </w:pPr>
      <w:bookmarkStart w:id="20" w:name="_Toc23673"/>
      <w:r>
        <w:rPr>
          <w:rFonts w:hint="eastAsia" w:ascii="宋体" w:hAnsi="宋体" w:eastAsia="宋体" w:cs="Times New Roman"/>
          <w:b/>
          <w:color w:val="auto"/>
          <w:kern w:val="0"/>
          <w:sz w:val="28"/>
          <w:szCs w:val="20"/>
          <w:highlight w:val="none"/>
          <w:u w:val="none"/>
        </w:rPr>
        <w:t>一、项目</w:t>
      </w:r>
      <w:r>
        <w:rPr>
          <w:rFonts w:hint="eastAsia" w:ascii="宋体" w:hAnsi="宋体" w:eastAsia="宋体" w:cs="Times New Roman"/>
          <w:b/>
          <w:color w:val="auto"/>
          <w:kern w:val="0"/>
          <w:sz w:val="28"/>
          <w:szCs w:val="20"/>
          <w:highlight w:val="none"/>
          <w:u w:val="none"/>
          <w:lang w:val="en-US" w:eastAsia="zh-CN"/>
        </w:rPr>
        <w:t>概况</w:t>
      </w:r>
      <w:bookmarkEnd w:id="20"/>
    </w:p>
    <w:p>
      <w:pPr>
        <w:pStyle w:val="5"/>
        <w:spacing w:line="560" w:lineRule="exact"/>
        <w:ind w:firstLine="560" w:firstLineChars="200"/>
        <w:rPr>
          <w:rFonts w:hint="eastAsia" w:ascii="宋体" w:hAnsi="宋体" w:eastAsia="宋体" w:cs="宋体"/>
          <w:b w:val="0"/>
          <w:bCs w:val="0"/>
          <w:snapToGrid/>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rPr>
        <w:t>南沙湿地二期亚太钓鱼场位于南沙湿地景区二期西南边，占地面积约30亩，建有钓鱼台49个，周边道路600米，钢结构桥梁2座，现拟对南沙湿地二期亚太钓鱼场护堤及道路进行维修维护，项目总投资为47万元</w:t>
      </w:r>
      <w:r>
        <w:rPr>
          <w:rFonts w:hint="eastAsia" w:ascii="宋体" w:hAnsi="宋体" w:eastAsia="宋体" w:cs="宋体"/>
          <w:b w:val="0"/>
          <w:bCs w:val="0"/>
          <w:snapToGrid/>
          <w:color w:val="auto"/>
          <w:kern w:val="2"/>
          <w:sz w:val="28"/>
          <w:szCs w:val="28"/>
          <w:highlight w:val="none"/>
          <w:u w:val="none"/>
          <w:lang w:val="en-US" w:eastAsia="zh-CN" w:bidi="ar-SA"/>
        </w:rPr>
        <w:t>。</w:t>
      </w:r>
    </w:p>
    <w:p>
      <w:pPr>
        <w:pStyle w:val="5"/>
        <w:spacing w:line="560" w:lineRule="exact"/>
        <w:ind w:firstLine="0" w:firstLineChars="0"/>
        <w:rPr>
          <w:rFonts w:hint="eastAsia" w:ascii="宋体" w:hAnsi="宋体" w:eastAsia="宋体" w:cs="宋体"/>
          <w:b/>
          <w:color w:val="auto"/>
          <w:kern w:val="0"/>
          <w:sz w:val="28"/>
          <w:szCs w:val="20"/>
          <w:highlight w:val="none"/>
        </w:rPr>
      </w:pPr>
      <w:r>
        <w:rPr>
          <w:rFonts w:hint="eastAsia" w:ascii="宋体" w:hAnsi="宋体" w:eastAsia="宋体" w:cs="宋体"/>
          <w:b/>
          <w:color w:val="auto"/>
          <w:kern w:val="0"/>
          <w:sz w:val="28"/>
          <w:szCs w:val="20"/>
          <w:highlight w:val="none"/>
          <w:lang w:eastAsia="zh-CN"/>
        </w:rPr>
        <w:t>二、招标范围</w:t>
      </w:r>
    </w:p>
    <w:p>
      <w:pPr>
        <w:spacing w:line="560" w:lineRule="exact"/>
        <w:ind w:firstLine="560" w:firstLineChars="200"/>
        <w:rPr>
          <w:rFonts w:hint="eastAsia" w:ascii="宋体" w:hAnsi="宋体" w:eastAsia="宋体" w:cs="宋体"/>
          <w:b w:val="0"/>
          <w:color w:val="auto"/>
          <w:kern w:val="2"/>
          <w:sz w:val="28"/>
          <w:szCs w:val="28"/>
          <w:highlight w:val="none"/>
          <w:u w:val="none"/>
        </w:rPr>
      </w:pPr>
      <w:r>
        <w:rPr>
          <w:rFonts w:hint="eastAsia" w:ascii="宋体" w:hAnsi="宋体" w:eastAsia="宋体" w:cs="宋体"/>
          <w:b w:val="0"/>
          <w:bCs w:val="0"/>
          <w:color w:val="auto"/>
          <w:sz w:val="28"/>
          <w:szCs w:val="28"/>
          <w:highlight w:val="none"/>
          <w:u w:val="none"/>
          <w:lang w:eastAsia="zh-CN"/>
        </w:rPr>
        <w:t>项目建设内容主要包括</w:t>
      </w:r>
      <w:r>
        <w:rPr>
          <w:rFonts w:hint="eastAsia" w:ascii="宋体" w:hAnsi="宋体" w:eastAsia="宋体" w:cs="宋体"/>
          <w:b w:val="0"/>
          <w:bCs w:val="0"/>
          <w:color w:val="auto"/>
          <w:kern w:val="2"/>
          <w:sz w:val="28"/>
          <w:szCs w:val="28"/>
          <w:highlight w:val="none"/>
          <w:u w:val="none"/>
          <w:lang w:val="en-US" w:eastAsia="zh-CN" w:bidi="ar-SA"/>
        </w:rPr>
        <w:t>钓鱼平台面木地板维修、打压毛竹护堤</w:t>
      </w:r>
      <w:r>
        <w:rPr>
          <w:rFonts w:hint="eastAsia" w:ascii="宋体" w:hAnsi="宋体" w:eastAsia="宋体" w:cs="宋体"/>
          <w:bCs w:val="0"/>
          <w:color w:val="auto"/>
          <w:sz w:val="28"/>
          <w:szCs w:val="28"/>
          <w:highlight w:val="none"/>
          <w:u w:val="none"/>
          <w:lang w:eastAsia="zh-CN"/>
        </w:rPr>
        <w:t>、</w:t>
      </w:r>
      <w:r>
        <w:rPr>
          <w:rFonts w:hint="eastAsia" w:ascii="宋体" w:hAnsi="宋体" w:eastAsia="宋体" w:cs="宋体"/>
          <w:b w:val="0"/>
          <w:bCs w:val="0"/>
          <w:color w:val="auto"/>
          <w:kern w:val="2"/>
          <w:sz w:val="28"/>
          <w:szCs w:val="28"/>
          <w:highlight w:val="none"/>
          <w:u w:val="none"/>
          <w:lang w:val="en-US" w:eastAsia="zh-CN" w:bidi="ar-SA"/>
        </w:rPr>
        <w:t>路面修复</w:t>
      </w:r>
      <w:r>
        <w:rPr>
          <w:rFonts w:hint="eastAsia" w:ascii="宋体" w:hAnsi="宋体" w:eastAsia="宋体" w:cs="宋体"/>
          <w:bCs w:val="0"/>
          <w:color w:val="auto"/>
          <w:spacing w:val="0"/>
          <w:sz w:val="28"/>
          <w:szCs w:val="28"/>
          <w:highlight w:val="none"/>
          <w:u w:val="none"/>
          <w:lang w:val="en-US" w:eastAsia="zh-CN"/>
        </w:rPr>
        <w:t>等</w:t>
      </w:r>
      <w:r>
        <w:rPr>
          <w:rFonts w:hint="eastAsia" w:ascii="宋体" w:hAnsi="宋体" w:eastAsia="宋体" w:cs="宋体"/>
          <w:color w:val="auto"/>
          <w:sz w:val="28"/>
          <w:szCs w:val="28"/>
          <w:highlight w:val="none"/>
          <w:u w:val="none"/>
        </w:rPr>
        <w:t>，具体以实际施工图纸、工程量清单为准。投标人需按招标文件、图纸规范等要求进行施工，如设计图纸有调整时，必须服从要求调整。</w:t>
      </w:r>
      <w:r>
        <w:rPr>
          <w:rFonts w:hint="eastAsia" w:ascii="宋体" w:hAnsi="宋体" w:eastAsia="宋体" w:cs="宋体"/>
          <w:b w:val="0"/>
          <w:color w:val="auto"/>
          <w:kern w:val="2"/>
          <w:sz w:val="28"/>
          <w:szCs w:val="28"/>
          <w:highlight w:val="none"/>
          <w:u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21" w:name="_Toc5931"/>
      <w:bookmarkStart w:id="22" w:name="_Toc28153"/>
      <w:bookmarkStart w:id="23" w:name="_Toc2908"/>
      <w:bookmarkStart w:id="24" w:name="_Toc2266"/>
      <w:bookmarkStart w:id="25" w:name="_Toc10090"/>
      <w:bookmarkStart w:id="26" w:name="_Toc19076"/>
      <w:bookmarkStart w:id="27" w:name="_Toc27735"/>
      <w:r>
        <w:rPr>
          <w:rFonts w:hint="eastAsia" w:ascii="黑体" w:hAnsi="宋体" w:cs="黑体"/>
          <w:b/>
          <w:color w:val="auto"/>
          <w:kern w:val="44"/>
          <w:sz w:val="44"/>
          <w:szCs w:val="44"/>
          <w:highlight w:val="none"/>
        </w:rPr>
        <w:t>第3章  投标格式文件</w:t>
      </w:r>
      <w:bookmarkEnd w:id="12"/>
      <w:bookmarkEnd w:id="21"/>
      <w:bookmarkEnd w:id="22"/>
      <w:bookmarkEnd w:id="23"/>
      <w:bookmarkEnd w:id="24"/>
      <w:bookmarkEnd w:id="25"/>
      <w:bookmarkEnd w:id="26"/>
      <w:bookmarkEnd w:id="27"/>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u w:val="singl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w:t>
      </w:r>
      <w:r>
        <w:rPr>
          <w:rFonts w:hint="eastAsia" w:ascii="宋体" w:hAnsi="宋体" w:eastAsia="宋体" w:cs="Times New Roman"/>
          <w:color w:val="auto"/>
          <w:spacing w:val="20"/>
          <w:sz w:val="24"/>
          <w:highlight w:val="none"/>
          <w:u w:val="single"/>
          <w:lang w:val="en-US" w:eastAsia="zh-CN"/>
        </w:rPr>
        <w:t>湿地</w:t>
      </w:r>
      <w:r>
        <w:rPr>
          <w:rFonts w:hint="eastAsia" w:ascii="宋体" w:hAnsi="宋体" w:eastAsia="宋体" w:cs="Times New Roman"/>
          <w:color w:val="auto"/>
          <w:spacing w:val="20"/>
          <w:sz w:val="24"/>
          <w:highlight w:val="none"/>
          <w:u w:val="single"/>
          <w:lang w:eastAsia="zh-CN"/>
        </w:rPr>
        <w:t>旅游发展有限公司</w:t>
      </w:r>
      <w:r>
        <w:rPr>
          <w:rFonts w:hint="eastAsia" w:ascii="宋体" w:hAnsi="宋体" w:eastAsia="宋体" w:cs="Times New Roman"/>
          <w:color w:val="auto"/>
          <w:spacing w:val="20"/>
          <w:sz w:val="24"/>
          <w:highlight w:val="none"/>
          <w:u w:val="single"/>
        </w:rPr>
        <w:t>：</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w:t>
      </w:r>
      <w:r>
        <w:rPr>
          <w:rFonts w:hint="eastAsia" w:ascii="宋体" w:hAnsi="宋体" w:eastAsia="宋体" w:cs="Times New Roman"/>
          <w:color w:val="auto"/>
          <w:spacing w:val="20"/>
          <w:sz w:val="24"/>
          <w:highlight w:val="none"/>
          <w:u w:val="none"/>
        </w:rPr>
        <w:t>贵方的</w:t>
      </w:r>
      <w:r>
        <w:rPr>
          <w:rFonts w:hint="eastAsia" w:ascii="宋体" w:hAnsi="宋体" w:eastAsia="宋体" w:cs="Times New Roman"/>
          <w:color w:val="auto"/>
          <w:spacing w:val="20"/>
          <w:sz w:val="24"/>
          <w:highlight w:val="none"/>
          <w:u w:val="none"/>
          <w:lang w:val="en-US" w:eastAsia="zh-CN"/>
        </w:rPr>
        <w:t xml:space="preserve"> </w:t>
      </w:r>
      <w:r>
        <w:rPr>
          <w:rFonts w:hint="eastAsia" w:ascii="宋体" w:hAnsi="宋体" w:eastAsia="宋体" w:cs="宋体"/>
          <w:b w:val="0"/>
          <w:bCs w:val="0"/>
          <w:color w:val="auto"/>
          <w:sz w:val="24"/>
          <w:szCs w:val="24"/>
          <w:highlight w:val="none"/>
          <w:u w:val="single"/>
          <w:lang w:val="en-US" w:eastAsia="zh-CN"/>
        </w:rPr>
        <w:t xml:space="preserve">南沙湿地二期亚太钓鱼场护堤及道路应急维修维护项目 </w:t>
      </w:r>
      <w:r>
        <w:rPr>
          <w:rFonts w:hint="eastAsia" w:ascii="宋体" w:hAnsi="宋体" w:eastAsia="宋体" w:cs="宋体"/>
          <w:b w:val="0"/>
          <w:bCs w:val="0"/>
          <w:color w:val="auto"/>
          <w:sz w:val="24"/>
          <w:szCs w:val="24"/>
          <w:highlight w:val="none"/>
          <w:u w:val="none"/>
          <w:lang w:val="en-US" w:eastAsia="zh-CN"/>
        </w:rPr>
        <w:t>承包</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lang w:val="en-US" w:eastAsia="zh-CN"/>
        </w:rPr>
        <w:t xml:space="preserve"> </w:t>
      </w:r>
      <w:r>
        <w:rPr>
          <w:rFonts w:hint="eastAsia" w:ascii="宋体" w:hAnsi="宋体" w:eastAsia="宋体" w:cs="宋体"/>
          <w:b w:val="0"/>
          <w:bCs w:val="0"/>
          <w:color w:val="auto"/>
          <w:sz w:val="24"/>
          <w:szCs w:val="24"/>
          <w:highlight w:val="none"/>
          <w:u w:val="single"/>
          <w:lang w:val="en-US" w:eastAsia="zh-CN"/>
        </w:rPr>
        <w:t xml:space="preserve">南沙湿地二期亚太钓鱼场护堤及道路应急维修维护项目 </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w:t>
      </w:r>
      <w:r>
        <w:rPr>
          <w:rFonts w:hint="eastAsia" w:ascii="宋体" w:hAnsi="宋体" w:eastAsia="宋体" w:cs="Times New Roman"/>
          <w:color w:val="auto"/>
          <w:spacing w:val="20"/>
          <w:sz w:val="24"/>
          <w:highlight w:val="none"/>
          <w:lang w:val="en-US" w:eastAsia="zh-CN"/>
        </w:rPr>
        <w:t>合同</w:t>
      </w:r>
      <w:r>
        <w:rPr>
          <w:rFonts w:hint="eastAsia" w:ascii="宋体" w:hAnsi="宋体" w:eastAsia="宋体" w:cs="Times New Roman"/>
          <w:color w:val="auto"/>
          <w:spacing w:val="20"/>
          <w:sz w:val="24"/>
          <w:highlight w:val="none"/>
        </w:rPr>
        <w:t>之前，本投标</w:t>
      </w:r>
      <w:r>
        <w:rPr>
          <w:rFonts w:hint="eastAsia" w:ascii="宋体" w:hAnsi="宋体" w:eastAsia="宋体" w:cs="Times New Roman"/>
          <w:color w:val="auto"/>
          <w:spacing w:val="20"/>
          <w:sz w:val="24"/>
          <w:highlight w:val="none"/>
          <w:lang w:val="en-US" w:eastAsia="zh-CN"/>
        </w:rPr>
        <w:t>书</w:t>
      </w:r>
      <w:r>
        <w:rPr>
          <w:rFonts w:hint="eastAsia" w:ascii="宋体" w:hAnsi="宋体" w:eastAsia="宋体" w:cs="Times New Roman"/>
          <w:color w:val="auto"/>
          <w:spacing w:val="20"/>
          <w:sz w:val="24"/>
          <w:highlight w:val="none"/>
        </w:rPr>
        <w:t>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w:t>
      </w:r>
      <w:r>
        <w:rPr>
          <w:rFonts w:hint="eastAsia" w:ascii="宋体" w:hAnsi="宋体" w:eastAsia="宋体" w:cs="Times New Roman"/>
          <w:color w:val="auto"/>
          <w:spacing w:val="20"/>
          <w:sz w:val="24"/>
          <w:highlight w:val="none"/>
          <w:u w:val="single"/>
          <w:lang w:val="en-US" w:eastAsia="zh-CN"/>
        </w:rPr>
        <w:t>湿地</w:t>
      </w:r>
      <w:r>
        <w:rPr>
          <w:rFonts w:hint="eastAsia" w:ascii="宋体" w:hAnsi="宋体" w:eastAsia="宋体" w:cs="Times New Roman"/>
          <w:color w:val="auto"/>
          <w:spacing w:val="20"/>
          <w:sz w:val="24"/>
          <w:highlight w:val="none"/>
          <w:u w:val="single"/>
          <w:lang w:eastAsia="zh-CN"/>
        </w:rPr>
        <w:t>旅游发展有限公司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31"/>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28" w:name="_Toc216145749"/>
      <w:bookmarkEnd w:id="28"/>
      <w:bookmarkStart w:id="29" w:name="_Toc223342668"/>
      <w:bookmarkEnd w:id="29"/>
      <w:r>
        <w:rPr>
          <w:rFonts w:hint="eastAsia" w:ascii="宋体" w:hAnsi="宋体" w:eastAsia="宋体" w:cs="黑体"/>
          <w:color w:val="auto"/>
          <w:sz w:val="28"/>
          <w:szCs w:val="28"/>
          <w:highlight w:val="none"/>
        </w:rPr>
        <w:t>格式三：</w:t>
      </w:r>
    </w:p>
    <w:p>
      <w:pPr>
        <w:pStyle w:val="33"/>
        <w:widowControl/>
        <w:ind w:firstLine="0" w:firstLineChars="0"/>
        <w:jc w:val="center"/>
        <w:outlineLvl w:val="2"/>
        <w:rPr>
          <w:color w:val="auto"/>
          <w:kern w:val="44"/>
          <w:highlight w:val="none"/>
        </w:rPr>
      </w:pPr>
      <w:bookmarkStart w:id="30" w:name="_Toc172416501"/>
      <w:bookmarkEnd w:id="30"/>
      <w:r>
        <w:rPr>
          <w:rFonts w:hint="eastAsia" w:ascii="宋体" w:hAnsi="宋体" w:cs="宋体"/>
          <w:b/>
          <w:color w:val="auto"/>
          <w:sz w:val="30"/>
          <w:szCs w:val="30"/>
          <w:highlight w:val="none"/>
        </w:rPr>
        <w:t>法定代表人证明书</w:t>
      </w:r>
    </w:p>
    <w:p>
      <w:pPr>
        <w:pStyle w:val="33"/>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33"/>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r:link="rId8" cstate="print"/>
                    <a:stretch>
                      <a:fillRect/>
                    </a:stretch>
                  </pic:blipFill>
                  <pic:spPr>
                    <a:xfrm>
                      <a:off x="0" y="0"/>
                      <a:ext cx="5543550" cy="2790825"/>
                    </a:xfrm>
                    <a:prstGeom prst="rect">
                      <a:avLst/>
                    </a:prstGeom>
                    <a:noFill/>
                    <a:ln w="9525">
                      <a:noFill/>
                    </a:ln>
                  </pic:spPr>
                </pic:pic>
              </a:graphicData>
            </a:graphic>
          </wp:inline>
        </w:drawing>
      </w:r>
    </w:p>
    <w:p>
      <w:pPr>
        <w:pStyle w:val="33"/>
        <w:widowControl/>
        <w:ind w:firstLine="618"/>
        <w:rPr>
          <w:b/>
          <w:color w:val="auto"/>
          <w:sz w:val="30"/>
          <w:szCs w:val="30"/>
          <w:highlight w:val="none"/>
        </w:rPr>
      </w:pPr>
      <w:r>
        <w:rPr>
          <w:b/>
          <w:color w:val="auto"/>
          <w:sz w:val="30"/>
          <w:szCs w:val="30"/>
          <w:highlight w:val="none"/>
        </w:rPr>
        <w:t xml:space="preserve"> </w:t>
      </w:r>
    </w:p>
    <w:p>
      <w:pPr>
        <w:pStyle w:val="33"/>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33"/>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33"/>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r:link="rId10" cstate="print"/>
                    <a:stretch>
                      <a:fillRect/>
                    </a:stretch>
                  </pic:blipFill>
                  <pic:spPr>
                    <a:xfrm>
                      <a:off x="0" y="0"/>
                      <a:ext cx="5543550" cy="2838450"/>
                    </a:xfrm>
                    <a:prstGeom prst="rect">
                      <a:avLst/>
                    </a:prstGeom>
                    <a:noFill/>
                    <a:ln w="9525">
                      <a:noFill/>
                    </a:ln>
                  </pic:spPr>
                </pic:pic>
              </a:graphicData>
            </a:graphic>
          </wp:inline>
        </w:drawing>
      </w:r>
    </w:p>
    <w:p>
      <w:pPr>
        <w:pStyle w:val="31"/>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31" w:name="_Toc216145759"/>
      <w:bookmarkEnd w:id="31"/>
      <w:bookmarkStart w:id="32"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31"/>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32"/>
      <w:r>
        <w:rPr>
          <w:rFonts w:hint="eastAsia" w:ascii="宋体" w:hAnsi="宋体" w:eastAsia="宋体" w:cs="宋体"/>
          <w:color w:val="auto"/>
          <w:sz w:val="28"/>
          <w:szCs w:val="28"/>
          <w:highlight w:val="none"/>
        </w:rPr>
        <w:t xml:space="preserve"> </w:t>
      </w:r>
    </w:p>
    <w:p>
      <w:pPr>
        <w:snapToGrid w:val="0"/>
        <w:spacing w:after="120" w:line="440" w:lineRule="exact"/>
        <w:outlineLvl w:val="9"/>
        <w:rPr>
          <w:rFonts w:ascii="宋体" w:hAnsi="宋体" w:eastAsia="宋体" w:cs="宋体"/>
          <w:b/>
          <w:color w:val="auto"/>
          <w:sz w:val="28"/>
          <w:szCs w:val="28"/>
          <w:highlight w:val="none"/>
        </w:rPr>
      </w:pPr>
    </w:p>
    <w:p>
      <w:pPr>
        <w:snapToGrid w:val="0"/>
        <w:spacing w:after="120" w:line="440" w:lineRule="exact"/>
        <w:jc w:val="center"/>
        <w:outlineLvl w:val="2"/>
        <w:rPr>
          <w:rFonts w:ascii="宋体" w:hAnsi="宋体" w:eastAsia="宋体" w:cs="宋体"/>
          <w:b/>
          <w:color w:val="auto"/>
          <w:sz w:val="32"/>
          <w:szCs w:val="32"/>
          <w:highlight w:val="none"/>
        </w:rPr>
      </w:pPr>
      <w:bookmarkStart w:id="33" w:name="_Toc41822704"/>
      <w:bookmarkEnd w:id="33"/>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w:t>
      </w:r>
      <w:r>
        <w:rPr>
          <w:rFonts w:hint="eastAsia" w:ascii="宋体" w:hAnsi="宋体" w:eastAsia="宋体" w:cs="宋体"/>
          <w:color w:val="auto"/>
          <w:sz w:val="24"/>
          <w:highlight w:val="none"/>
          <w:u w:val="single"/>
          <w:lang w:val="en-US" w:eastAsia="zh-CN"/>
        </w:rPr>
        <w:t>湿地</w:t>
      </w:r>
      <w:r>
        <w:rPr>
          <w:rFonts w:hint="eastAsia" w:ascii="宋体" w:hAnsi="宋体" w:eastAsia="宋体" w:cs="宋体"/>
          <w:color w:val="auto"/>
          <w:sz w:val="24"/>
          <w:highlight w:val="none"/>
          <w:u w:val="single"/>
          <w:lang w:eastAsia="zh-CN"/>
        </w:rPr>
        <w:t>旅游发展有限公司</w:t>
      </w:r>
    </w:p>
    <w:p>
      <w:pPr>
        <w:spacing w:line="560" w:lineRule="exact"/>
        <w:jc w:val="left"/>
        <w:rPr>
          <w:rFonts w:hint="default" w:ascii="宋体" w:hAnsi="宋体" w:eastAsia="宋体" w:cs="宋体"/>
          <w:color w:val="auto"/>
          <w:sz w:val="24"/>
          <w:highlight w:val="none"/>
          <w:u w:val="single"/>
          <w:lang w:val="en-US"/>
        </w:rPr>
      </w:pPr>
      <w:r>
        <w:rPr>
          <w:rFonts w:hint="eastAsia" w:ascii="宋体" w:hAnsi="宋体" w:eastAsia="宋体" w:cs="宋体"/>
          <w:color w:val="auto"/>
          <w:sz w:val="24"/>
          <w:highlight w:val="none"/>
        </w:rPr>
        <w:t>投标项目名称</w:t>
      </w:r>
      <w:r>
        <w:rPr>
          <w:rFonts w:hint="eastAsia" w:ascii="宋体" w:hAnsi="宋体" w:eastAsia="宋体" w:cs="宋体"/>
          <w:color w:val="auto"/>
          <w:sz w:val="24"/>
          <w:highlight w:val="none"/>
          <w:u w:val="none"/>
        </w:rPr>
        <w:t>：</w:t>
      </w:r>
      <w:r>
        <w:rPr>
          <w:rFonts w:hint="eastAsia" w:ascii="宋体" w:hAnsi="宋体" w:eastAsia="宋体" w:cs="宋体"/>
          <w:b w:val="0"/>
          <w:bCs w:val="0"/>
          <w:color w:val="auto"/>
          <w:sz w:val="24"/>
          <w:szCs w:val="24"/>
          <w:highlight w:val="none"/>
          <w:u w:val="single"/>
          <w:lang w:val="en-US" w:eastAsia="zh-CN"/>
        </w:rPr>
        <w:t>南沙湿地二期亚太钓鱼场护堤及道路应急维修维护项目</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pStyle w:val="31"/>
        <w:widowControl/>
        <w:spacing w:before="142" w:line="360" w:lineRule="auto"/>
        <w:jc w:val="both"/>
        <w:outlineLvl w:val="2"/>
        <w:rPr>
          <w:rFonts w:hint="eastAsia" w:ascii="宋体" w:hAnsi="宋体" w:eastAsia="宋体" w:cs="黑体"/>
          <w:b/>
          <w:bCs w:val="0"/>
          <w:color w:val="auto"/>
          <w:sz w:val="28"/>
          <w:szCs w:val="28"/>
          <w:highlight w:val="none"/>
        </w:rPr>
      </w:pPr>
      <w:r>
        <w:rPr>
          <w:rFonts w:hint="eastAsia" w:ascii="宋体" w:hAnsi="宋体" w:eastAsia="宋体" w:cs="黑体"/>
          <w:color w:val="auto"/>
          <w:sz w:val="28"/>
          <w:szCs w:val="28"/>
          <w:highlight w:val="none"/>
        </w:rPr>
        <w:t>格式</w:t>
      </w:r>
      <w:r>
        <w:rPr>
          <w:rFonts w:hint="eastAsia" w:ascii="宋体" w:hAnsi="宋体" w:eastAsia="宋体" w:cs="黑体"/>
          <w:color w:val="auto"/>
          <w:sz w:val="28"/>
          <w:szCs w:val="28"/>
          <w:highlight w:val="none"/>
          <w:lang w:val="en-US" w:eastAsia="zh-CN"/>
        </w:rPr>
        <w:t>五</w:t>
      </w:r>
      <w:r>
        <w:rPr>
          <w:rFonts w:hint="eastAsia" w:ascii="宋体" w:hAnsi="宋体" w:eastAsia="宋体" w:cs="黑体"/>
          <w:color w:val="auto"/>
          <w:sz w:val="28"/>
          <w:szCs w:val="28"/>
          <w:highlight w:val="none"/>
        </w:rPr>
        <w:t>：</w:t>
      </w: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投标人综合概况</w:t>
      </w:r>
    </w:p>
    <w:tbl>
      <w:tblPr>
        <w:tblStyle w:val="20"/>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2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34" w:name="_Toc196130111"/>
      <w:bookmarkEnd w:id="34"/>
      <w:bookmarkStart w:id="35" w:name="_Toc196130014"/>
      <w:bookmarkEnd w:id="35"/>
      <w:bookmarkStart w:id="36" w:name="_Toc459403395"/>
      <w:bookmarkEnd w:id="36"/>
      <w:bookmarkStart w:id="37" w:name="_Toc197235849"/>
      <w:bookmarkEnd w:id="37"/>
      <w:bookmarkStart w:id="38" w:name="_Toc199647676"/>
      <w:bookmarkEnd w:id="38"/>
      <w:bookmarkStart w:id="39" w:name="_Toc196037098"/>
      <w:bookmarkEnd w:id="39"/>
      <w:bookmarkStart w:id="40" w:name="_Toc326909214"/>
      <w:bookmarkEnd w:id="40"/>
      <w:bookmarkStart w:id="41" w:name="_Toc196036942"/>
      <w:bookmarkEnd w:id="41"/>
      <w:bookmarkStart w:id="42" w:name="_Toc415833504"/>
      <w:bookmarkEnd w:id="42"/>
      <w:bookmarkStart w:id="43" w:name="_Toc415728298"/>
      <w:bookmarkEnd w:id="43"/>
      <w:bookmarkStart w:id="44" w:name="_Toc462911099"/>
    </w:p>
    <w:bookmarkEnd w:id="44"/>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hint="eastAsia" w:ascii="宋体" w:hAnsi="宋体" w:eastAsia="宋体" w:cs="黑体"/>
          <w:b/>
          <w:color w:val="auto"/>
          <w:spacing w:val="4"/>
          <w:kern w:val="0"/>
          <w:sz w:val="28"/>
          <w:szCs w:val="28"/>
          <w:highlight w:val="none"/>
        </w:rPr>
        <w:sectPr>
          <w:headerReference r:id="rId3" w:type="default"/>
          <w:footerReference r:id="rId4" w:type="default"/>
          <w:pgSz w:w="11906" w:h="16840"/>
          <w:pgMar w:top="1247" w:right="1135" w:bottom="1247" w:left="1361" w:header="720" w:footer="720" w:gutter="0"/>
          <w:pgNumType w:fmt="decimal" w:start="1"/>
          <w:cols w:space="425" w:num="1"/>
          <w:docGrid w:linePitch="285" w:charSpace="0"/>
        </w:sectPr>
      </w:pPr>
    </w:p>
    <w:p>
      <w:pPr>
        <w:outlineLvl w:val="1"/>
        <w:rPr>
          <w:rFonts w:hint="eastAsia"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六</w:t>
      </w:r>
      <w:r>
        <w:rPr>
          <w:rFonts w:hint="eastAsia" w:ascii="仿宋" w:hAnsi="仿宋" w:eastAsia="仿宋" w:cs="宋体"/>
          <w:color w:val="auto"/>
          <w:sz w:val="28"/>
          <w:szCs w:val="28"/>
          <w:highlight w:val="none"/>
        </w:rPr>
        <w:t>：</w:t>
      </w:r>
    </w:p>
    <w:p>
      <w:pPr>
        <w:widowControl w:val="0"/>
        <w:ind w:firstLine="480"/>
        <w:jc w:val="both"/>
        <w:rPr>
          <w:rFonts w:hint="eastAsia" w:ascii="仿宋" w:hAnsi="仿宋" w:eastAsia="仿宋" w:cs="宋体"/>
          <w:color w:val="auto"/>
          <w:kern w:val="2"/>
          <w:sz w:val="28"/>
          <w:szCs w:val="28"/>
          <w:highlight w:val="none"/>
          <w:lang w:val="en-US" w:eastAsia="zh-CN" w:bidi="ar-SA"/>
        </w:rPr>
      </w:pPr>
    </w:p>
    <w:p>
      <w:pPr>
        <w:widowControl w:val="0"/>
        <w:ind w:firstLine="480"/>
        <w:jc w:val="both"/>
        <w:rPr>
          <w:rFonts w:hint="eastAsia" w:ascii="仿宋" w:hAnsi="仿宋" w:eastAsia="仿宋" w:cs="宋体"/>
          <w:color w:val="auto"/>
          <w:kern w:val="2"/>
          <w:sz w:val="28"/>
          <w:szCs w:val="28"/>
          <w:highlight w:val="none"/>
          <w:lang w:val="en-US" w:eastAsia="zh-CN" w:bidi="ar-SA"/>
        </w:rPr>
      </w:pPr>
    </w:p>
    <w:p>
      <w:pPr>
        <w:keepLines/>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keepLines/>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keepLines/>
              <w:spacing w:line="460" w:lineRule="exact"/>
              <w:jc w:val="left"/>
              <w:rPr>
                <w:rFonts w:ascii="宋体" w:hAnsi="宋体" w:eastAsia="宋体" w:cs="宋体"/>
                <w:color w:val="auto"/>
                <w:szCs w:val="21"/>
                <w:highlight w:val="none"/>
              </w:rPr>
            </w:pPr>
          </w:p>
        </w:tc>
        <w:tc>
          <w:tcPr>
            <w:tcW w:w="927"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keepLines/>
              <w:spacing w:line="460" w:lineRule="exact"/>
              <w:jc w:val="left"/>
              <w:rPr>
                <w:rFonts w:ascii="宋体" w:hAnsi="宋体" w:eastAsia="宋体" w:cs="宋体"/>
                <w:color w:val="auto"/>
                <w:szCs w:val="21"/>
                <w:highlight w:val="none"/>
              </w:rPr>
            </w:pPr>
          </w:p>
        </w:tc>
        <w:tc>
          <w:tcPr>
            <w:tcW w:w="2130" w:type="dxa"/>
            <w:gridSpan w:val="3"/>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keepLines/>
              <w:spacing w:line="460" w:lineRule="exact"/>
              <w:jc w:val="left"/>
              <w:rPr>
                <w:rFonts w:ascii="宋体" w:hAnsi="宋体" w:eastAsia="宋体" w:cs="宋体"/>
                <w:color w:val="auto"/>
                <w:szCs w:val="21"/>
                <w:highlight w:val="none"/>
              </w:rPr>
            </w:pPr>
          </w:p>
        </w:tc>
        <w:tc>
          <w:tcPr>
            <w:tcW w:w="927"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keepLines/>
              <w:spacing w:line="460" w:lineRule="exact"/>
              <w:jc w:val="left"/>
              <w:rPr>
                <w:rFonts w:ascii="宋体" w:hAnsi="宋体" w:eastAsia="宋体" w:cs="宋体"/>
                <w:color w:val="auto"/>
                <w:szCs w:val="21"/>
                <w:highlight w:val="none"/>
              </w:rPr>
            </w:pPr>
          </w:p>
        </w:tc>
        <w:tc>
          <w:tcPr>
            <w:tcW w:w="2130" w:type="dxa"/>
            <w:gridSpan w:val="3"/>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keepLines/>
              <w:spacing w:line="460" w:lineRule="exact"/>
              <w:jc w:val="left"/>
              <w:rPr>
                <w:rFonts w:ascii="宋体" w:hAnsi="宋体" w:eastAsia="宋体" w:cs="宋体"/>
                <w:color w:val="auto"/>
                <w:szCs w:val="21"/>
                <w:highlight w:val="none"/>
              </w:rPr>
            </w:pPr>
          </w:p>
        </w:tc>
        <w:tc>
          <w:tcPr>
            <w:tcW w:w="3420" w:type="dxa"/>
            <w:gridSpan w:val="4"/>
            <w:vAlign w:val="center"/>
          </w:tcPr>
          <w:p>
            <w:pPr>
              <w:keepLines/>
              <w:spacing w:line="460" w:lineRule="exact"/>
              <w:jc w:val="left"/>
              <w:rPr>
                <w:rFonts w:ascii="宋体" w:hAnsi="宋体" w:eastAsia="宋体" w:cs="宋体"/>
                <w:color w:val="auto"/>
                <w:szCs w:val="21"/>
                <w:highlight w:val="none"/>
              </w:rPr>
            </w:pPr>
          </w:p>
        </w:tc>
        <w:tc>
          <w:tcPr>
            <w:tcW w:w="1261" w:type="dxa"/>
            <w:vAlign w:val="center"/>
          </w:tcPr>
          <w:p>
            <w:pPr>
              <w:keepLines/>
              <w:spacing w:line="460" w:lineRule="exact"/>
              <w:jc w:val="left"/>
              <w:rPr>
                <w:rFonts w:ascii="宋体" w:hAnsi="宋体" w:eastAsia="宋体" w:cs="宋体"/>
                <w:color w:val="auto"/>
                <w:szCs w:val="21"/>
                <w:highlight w:val="none"/>
              </w:rPr>
            </w:pPr>
          </w:p>
        </w:tc>
        <w:tc>
          <w:tcPr>
            <w:tcW w:w="2296" w:type="dxa"/>
            <w:gridSpan w:val="2"/>
            <w:vAlign w:val="center"/>
          </w:tcPr>
          <w:p>
            <w:pPr>
              <w:keepLines/>
              <w:spacing w:line="460" w:lineRule="exact"/>
              <w:jc w:val="left"/>
              <w:rPr>
                <w:rFonts w:ascii="宋体" w:hAnsi="宋体" w:eastAsia="宋体" w:cs="宋体"/>
                <w:color w:val="auto"/>
                <w:szCs w:val="21"/>
                <w:highlight w:val="none"/>
              </w:rPr>
            </w:pPr>
          </w:p>
        </w:tc>
      </w:tr>
    </w:tbl>
    <w:p>
      <w:pPr>
        <w:keepLines/>
        <w:rPr>
          <w:rFonts w:ascii="仿宋" w:hAnsi="仿宋" w:eastAsia="仿宋" w:cs="仿宋"/>
          <w:color w:val="auto"/>
          <w:szCs w:val="21"/>
          <w:highlight w:val="none"/>
        </w:rPr>
      </w:pPr>
    </w:p>
    <w:p>
      <w:pPr>
        <w:keepLines/>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keepLines/>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2、项目负责人必须附执业证书及资格证书（项目负责人提供）、身份证、职称证书及业绩等证明材料（复印件，加盖单位公章）。</w:t>
      </w:r>
    </w:p>
    <w:p>
      <w:pPr>
        <w:keepLines/>
        <w:ind w:firstLine="424" w:firstLineChars="202"/>
        <w:rPr>
          <w:rFonts w:hint="eastAsia" w:ascii="仿宋" w:hAnsi="仿宋" w:eastAsia="仿宋" w:cs="仿宋"/>
          <w:color w:val="auto"/>
          <w:highlight w:val="none"/>
          <w:lang w:eastAsia="zh-CN"/>
        </w:rPr>
      </w:pPr>
      <w:r>
        <w:rPr>
          <w:rFonts w:hint="eastAsia" w:ascii="仿宋" w:hAnsi="仿宋" w:eastAsia="仿宋" w:cs="仿宋"/>
          <w:color w:val="auto"/>
          <w:szCs w:val="21"/>
          <w:highlight w:val="none"/>
        </w:rPr>
        <w:t>3、业绩证明资料须提供：合同；相关证明资料中必须能反映出评标所需指标、人员姓名和岗位等</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否则相应子项不予计分。</w:t>
      </w:r>
    </w:p>
    <w:p>
      <w:pPr>
        <w:keepLine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keepLines/>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val="0"/>
        <w:ind w:firstLine="480"/>
        <w:jc w:val="both"/>
        <w:rPr>
          <w:rFonts w:hint="eastAsia" w:ascii="仿宋" w:hAnsi="仿宋" w:eastAsia="仿宋" w:cs="仿宋"/>
          <w:color w:val="auto"/>
          <w:kern w:val="2"/>
          <w:sz w:val="24"/>
          <w:szCs w:val="24"/>
          <w:highlight w:val="none"/>
          <w:lang w:val="en-US" w:eastAsia="zh-CN" w:bidi="ar-SA"/>
        </w:rPr>
      </w:pPr>
    </w:p>
    <w:p>
      <w:pPr>
        <w:outlineLvl w:val="1"/>
        <w:rPr>
          <w:rFonts w:hint="eastAsia" w:ascii="宋体" w:hAnsi="宋体" w:eastAsia="宋体" w:cs="黑体"/>
          <w:b/>
          <w:color w:val="auto"/>
          <w:spacing w:val="4"/>
          <w:kern w:val="0"/>
          <w:sz w:val="28"/>
          <w:szCs w:val="28"/>
          <w:highlight w:val="none"/>
        </w:rPr>
        <w:sectPr>
          <w:pgSz w:w="11906" w:h="16840"/>
          <w:pgMar w:top="1247" w:right="1135" w:bottom="1247" w:left="1361" w:header="720" w:footer="720" w:gutter="0"/>
          <w:pgNumType w:fmt="decimal"/>
          <w:cols w:space="425" w:num="1"/>
          <w:docGrid w:linePitch="285" w:charSpace="0"/>
        </w:sectPr>
      </w:pP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七</w:t>
      </w:r>
      <w:r>
        <w:rPr>
          <w:rFonts w:hint="eastAsia" w:ascii="仿宋" w:hAnsi="仿宋" w:eastAsia="仿宋" w:cs="宋体"/>
          <w:color w:val="auto"/>
          <w:sz w:val="28"/>
          <w:szCs w:val="28"/>
          <w:highlight w:val="none"/>
        </w:rPr>
        <w:t>：</w:t>
      </w:r>
    </w:p>
    <w:p>
      <w:pPr>
        <w:keepNext/>
        <w:keepLines/>
        <w:widowControl w:val="0"/>
        <w:adjustRightInd w:val="0"/>
        <w:spacing w:before="62" w:beforeLines="20" w:after="62" w:afterLines="20" w:line="360" w:lineRule="auto"/>
        <w:jc w:val="both"/>
        <w:textAlignment w:val="baseline"/>
        <w:outlineLvl w:val="1"/>
        <w:rPr>
          <w:rFonts w:ascii="宋体" w:hAnsi="宋体" w:eastAsia="宋体" w:cs="Times New Roman"/>
          <w:b/>
          <w:color w:val="auto"/>
          <w:kern w:val="0"/>
          <w:sz w:val="30"/>
          <w:szCs w:val="20"/>
          <w:highlight w:val="none"/>
          <w:lang w:val="en-US" w:eastAsia="zh-CN" w:bidi="ar-SA"/>
        </w:rPr>
      </w:pPr>
    </w:p>
    <w:p>
      <w:pPr>
        <w:keepNext/>
        <w:keepLines/>
        <w:widowControl w:val="0"/>
        <w:adjustRightInd w:val="0"/>
        <w:spacing w:before="40" w:beforeLines="0" w:after="40" w:afterLines="0" w:line="360" w:lineRule="auto"/>
        <w:ind w:firstLine="3871" w:firstLineChars="1377"/>
        <w:jc w:val="both"/>
        <w:textAlignment w:val="baseline"/>
        <w:outlineLvl w:val="2"/>
        <w:rPr>
          <w:rFonts w:hint="eastAsia" w:ascii="宋体" w:hAnsi="宋体" w:eastAsia="宋体" w:cs="Times New Roman"/>
          <w:b/>
          <w:bCs/>
          <w:color w:val="auto"/>
          <w:kern w:val="2"/>
          <w:sz w:val="28"/>
          <w:szCs w:val="28"/>
          <w:highlight w:val="none"/>
          <w:lang w:val="en-US" w:eastAsia="zh-CN" w:bidi="ar-SA"/>
        </w:rPr>
      </w:pPr>
      <w:bookmarkStart w:id="45" w:name="_Toc196130015"/>
      <w:bookmarkEnd w:id="45"/>
      <w:bookmarkStart w:id="46" w:name="_Toc196130112"/>
      <w:bookmarkEnd w:id="46"/>
      <w:bookmarkStart w:id="47" w:name="_Toc199647677"/>
      <w:bookmarkEnd w:id="47"/>
      <w:bookmarkStart w:id="48" w:name="_Toc197235850"/>
      <w:bookmarkEnd w:id="48"/>
      <w:bookmarkStart w:id="49" w:name="_Toc196037099"/>
      <w:bookmarkEnd w:id="49"/>
      <w:bookmarkStart w:id="50" w:name="_Toc41822705"/>
      <w:bookmarkEnd w:id="50"/>
      <w:bookmarkStart w:id="51" w:name="_Toc196036943"/>
      <w:bookmarkEnd w:id="51"/>
      <w:r>
        <w:rPr>
          <w:rFonts w:hint="eastAsia" w:ascii="宋体" w:hAnsi="宋体" w:eastAsia="宋体" w:cs="Times New Roman"/>
          <w:b/>
          <w:bCs/>
          <w:color w:val="auto"/>
          <w:kern w:val="2"/>
          <w:sz w:val="28"/>
          <w:szCs w:val="28"/>
          <w:highlight w:val="none"/>
          <w:lang w:val="en-US" w:eastAsia="zh-CN" w:bidi="ar-SA"/>
        </w:rPr>
        <w:t>投标人业绩一览表</w:t>
      </w:r>
    </w:p>
    <w:p>
      <w:pPr>
        <w:keepNext/>
        <w:keepLines/>
        <w:widowControl w:val="0"/>
        <w:adjustRightInd w:val="0"/>
        <w:spacing w:before="40" w:beforeLines="0" w:after="40" w:afterLines="0" w:line="360" w:lineRule="auto"/>
        <w:ind w:right="-260" w:rightChars="-124" w:firstLine="0" w:firstLineChars="0"/>
        <w:jc w:val="both"/>
        <w:textAlignment w:val="baseline"/>
        <w:outlineLvl w:val="2"/>
        <w:rPr>
          <w:rFonts w:hint="eastAsia" w:ascii="宋体" w:hAnsi="宋体" w:eastAsia="宋体" w:cs="Times New Roman"/>
          <w:b/>
          <w:bCs/>
          <w:color w:val="auto"/>
          <w:kern w:val="2"/>
          <w:sz w:val="24"/>
          <w:highlight w:val="none"/>
          <w:u w:val="none"/>
          <w:lang w:val="en-US" w:eastAsia="zh-CN" w:bidi="ar-SA"/>
        </w:rPr>
      </w:pPr>
      <w:r>
        <w:rPr>
          <w:rFonts w:hint="eastAsia" w:ascii="宋体" w:hAnsi="宋体" w:eastAsia="宋体" w:cs="Times New Roman"/>
          <w:b/>
          <w:bCs/>
          <w:color w:val="auto"/>
          <w:kern w:val="2"/>
          <w:sz w:val="24"/>
          <w:highlight w:val="none"/>
          <w:u w:val="none"/>
          <w:lang w:val="en-US" w:eastAsia="zh-CN" w:bidi="ar-SA"/>
        </w:rPr>
        <w:t xml:space="preserve">项目名称：                  </w:t>
      </w:r>
    </w:p>
    <w:tbl>
      <w:tblPr>
        <w:tblStyle w:val="20"/>
        <w:tblW w:w="9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707"/>
        <w:gridCol w:w="1707"/>
        <w:gridCol w:w="1707"/>
        <w:gridCol w:w="1707"/>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1" w:type="dxa"/>
            <w:noWrap w:val="0"/>
            <w:vAlign w:val="center"/>
          </w:tcPr>
          <w:p>
            <w:pPr>
              <w:ind w:firstLine="0" w:firstLineChars="0"/>
              <w:jc w:val="left"/>
              <w:rPr>
                <w:rFonts w:hint="eastAsia" w:ascii="宋体" w:hAnsi="宋体" w:eastAsia="宋体" w:cs="Times New Roman"/>
                <w:bCs/>
                <w:color w:val="auto"/>
                <w:kern w:val="2"/>
                <w:sz w:val="24"/>
                <w:szCs w:val="20"/>
                <w:highlight w:val="none"/>
              </w:rPr>
            </w:pPr>
            <w:r>
              <w:rPr>
                <w:rFonts w:hint="eastAsia" w:ascii="宋体" w:hAnsi="宋体" w:eastAsia="宋体" w:cs="Times New Roman"/>
                <w:color w:val="auto"/>
                <w:kern w:val="0"/>
                <w:sz w:val="24"/>
                <w:szCs w:val="20"/>
                <w:highlight w:val="none"/>
              </w:rPr>
              <w:t>序号</w:t>
            </w:r>
          </w:p>
        </w:tc>
        <w:tc>
          <w:tcPr>
            <w:tcW w:w="1707" w:type="dxa"/>
            <w:noWrap w:val="0"/>
            <w:vAlign w:val="center"/>
          </w:tcPr>
          <w:p>
            <w:pPr>
              <w:ind w:firstLine="240" w:firstLineChars="100"/>
              <w:jc w:val="left"/>
              <w:rPr>
                <w:rFonts w:hint="eastAsia" w:ascii="宋体" w:hAnsi="宋体" w:eastAsia="宋体" w:cs="Times New Roman"/>
                <w:bCs/>
                <w:color w:val="auto"/>
                <w:kern w:val="2"/>
                <w:sz w:val="24"/>
                <w:szCs w:val="20"/>
                <w:highlight w:val="none"/>
              </w:rPr>
            </w:pPr>
            <w:r>
              <w:rPr>
                <w:rFonts w:hint="eastAsia" w:ascii="宋体" w:hAnsi="宋体" w:eastAsia="宋体" w:cs="Times New Roman"/>
                <w:color w:val="auto"/>
                <w:kern w:val="0"/>
                <w:sz w:val="24"/>
                <w:szCs w:val="20"/>
                <w:highlight w:val="none"/>
              </w:rPr>
              <w:t>项目名称</w:t>
            </w:r>
          </w:p>
        </w:tc>
        <w:tc>
          <w:tcPr>
            <w:tcW w:w="1707" w:type="dxa"/>
            <w:noWrap w:val="0"/>
            <w:vAlign w:val="center"/>
          </w:tcPr>
          <w:p>
            <w:pPr>
              <w:ind w:firstLine="480" w:firstLineChars="200"/>
              <w:jc w:val="left"/>
              <w:rPr>
                <w:rFonts w:hint="eastAsia" w:ascii="宋体" w:hAnsi="宋体" w:eastAsia="宋体" w:cs="Times New Roman"/>
                <w:bCs/>
                <w:color w:val="auto"/>
                <w:kern w:val="2"/>
                <w:sz w:val="24"/>
                <w:szCs w:val="20"/>
                <w:highlight w:val="none"/>
              </w:rPr>
            </w:pPr>
            <w:r>
              <w:rPr>
                <w:rFonts w:hint="eastAsia" w:ascii="宋体" w:hAnsi="宋体" w:eastAsia="宋体" w:cs="Times New Roman"/>
                <w:color w:val="auto"/>
                <w:kern w:val="0"/>
                <w:sz w:val="24"/>
                <w:szCs w:val="20"/>
                <w:highlight w:val="none"/>
              </w:rPr>
              <w:t>规模</w:t>
            </w:r>
          </w:p>
        </w:tc>
        <w:tc>
          <w:tcPr>
            <w:tcW w:w="1707" w:type="dxa"/>
            <w:noWrap w:val="0"/>
            <w:vAlign w:val="center"/>
          </w:tcPr>
          <w:p>
            <w:pPr>
              <w:ind w:left="239" w:leftChars="114" w:firstLine="0" w:firstLineChars="0"/>
              <w:jc w:val="left"/>
              <w:rPr>
                <w:rFonts w:hint="eastAsia" w:ascii="宋体" w:hAnsi="宋体" w:eastAsia="宋体" w:cs="Times New Roman"/>
                <w:bCs/>
                <w:color w:val="auto"/>
                <w:kern w:val="2"/>
                <w:sz w:val="24"/>
                <w:szCs w:val="20"/>
                <w:highlight w:val="none"/>
                <w:lang w:eastAsia="zh-CN"/>
              </w:rPr>
            </w:pPr>
            <w:r>
              <w:rPr>
                <w:rFonts w:hint="eastAsia" w:ascii="宋体" w:hAnsi="宋体" w:eastAsia="宋体" w:cs="Times New Roman"/>
                <w:color w:val="auto"/>
                <w:kern w:val="0"/>
                <w:sz w:val="24"/>
                <w:szCs w:val="20"/>
                <w:highlight w:val="none"/>
              </w:rPr>
              <w:t>合同总价</w:t>
            </w:r>
            <w:r>
              <w:rPr>
                <w:rFonts w:hint="eastAsia" w:ascii="宋体" w:hAnsi="宋体" w:eastAsia="宋体" w:cs="Times New Roman"/>
                <w:color w:val="auto"/>
                <w:kern w:val="0"/>
                <w:sz w:val="24"/>
                <w:szCs w:val="20"/>
                <w:highlight w:val="none"/>
                <w:lang w:eastAsia="zh-CN"/>
              </w:rPr>
              <w:t>（</w:t>
            </w:r>
            <w:r>
              <w:rPr>
                <w:rFonts w:hint="eastAsia" w:ascii="宋体" w:hAnsi="宋体" w:eastAsia="宋体" w:cs="Times New Roman"/>
                <w:color w:val="auto"/>
                <w:kern w:val="0"/>
                <w:sz w:val="24"/>
                <w:szCs w:val="20"/>
                <w:highlight w:val="none"/>
                <w:lang w:val="en-US" w:eastAsia="zh-CN"/>
              </w:rPr>
              <w:t>万元</w:t>
            </w:r>
            <w:r>
              <w:rPr>
                <w:rFonts w:hint="eastAsia" w:ascii="宋体" w:hAnsi="宋体" w:eastAsia="宋体" w:cs="Times New Roman"/>
                <w:color w:val="auto"/>
                <w:kern w:val="0"/>
                <w:sz w:val="24"/>
                <w:szCs w:val="20"/>
                <w:highlight w:val="none"/>
                <w:lang w:eastAsia="zh-CN"/>
              </w:rPr>
              <w:t>）</w:t>
            </w:r>
          </w:p>
        </w:tc>
        <w:tc>
          <w:tcPr>
            <w:tcW w:w="1707" w:type="dxa"/>
            <w:noWrap w:val="0"/>
            <w:vAlign w:val="center"/>
          </w:tcPr>
          <w:p>
            <w:pPr>
              <w:ind w:firstLine="240" w:firstLineChars="100"/>
              <w:jc w:val="left"/>
              <w:rPr>
                <w:rFonts w:hint="default" w:ascii="宋体" w:hAnsi="宋体" w:eastAsia="宋体" w:cs="Times New Roman"/>
                <w:bCs/>
                <w:color w:val="auto"/>
                <w:kern w:val="2"/>
                <w:sz w:val="24"/>
                <w:szCs w:val="20"/>
                <w:highlight w:val="none"/>
                <w:lang w:val="en-US"/>
              </w:rPr>
            </w:pPr>
            <w:r>
              <w:rPr>
                <w:rFonts w:hint="eastAsia" w:ascii="宋体" w:hAnsi="宋体" w:eastAsia="宋体" w:cs="Times New Roman"/>
                <w:color w:val="auto"/>
                <w:kern w:val="0"/>
                <w:sz w:val="24"/>
                <w:szCs w:val="20"/>
                <w:highlight w:val="none"/>
                <w:lang w:val="en-US" w:eastAsia="zh-CN"/>
              </w:rPr>
              <w:t>竣工</w:t>
            </w:r>
            <w:r>
              <w:rPr>
                <w:rFonts w:hint="eastAsia" w:ascii="宋体" w:hAnsi="宋体" w:eastAsia="宋体" w:cs="Times New Roman"/>
                <w:color w:val="auto"/>
                <w:kern w:val="0"/>
                <w:sz w:val="24"/>
                <w:szCs w:val="20"/>
                <w:highlight w:val="none"/>
              </w:rPr>
              <w:t>时间</w:t>
            </w:r>
          </w:p>
        </w:tc>
        <w:tc>
          <w:tcPr>
            <w:tcW w:w="1708" w:type="dxa"/>
            <w:noWrap w:val="0"/>
            <w:vAlign w:val="center"/>
          </w:tcPr>
          <w:p>
            <w:pPr>
              <w:jc w:val="left"/>
              <w:rPr>
                <w:rFonts w:hint="default" w:ascii="宋体" w:hAnsi="宋体" w:eastAsia="宋体" w:cs="Times New Roman"/>
                <w:color w:val="auto"/>
                <w:kern w:val="0"/>
                <w:sz w:val="24"/>
                <w:szCs w:val="20"/>
                <w:highlight w:val="none"/>
                <w:lang w:val="en-US"/>
              </w:rPr>
            </w:pPr>
            <w:r>
              <w:rPr>
                <w:rFonts w:hint="default" w:ascii="宋体" w:hAnsi="宋体" w:eastAsia="宋体" w:cs="Times New Roman"/>
                <w:color w:val="auto"/>
                <w:kern w:val="0"/>
                <w:sz w:val="24"/>
                <w:szCs w:val="20"/>
                <w:highlight w:val="none"/>
                <w:lang w:val="en-US"/>
              </w:rPr>
              <w:t>业主单位、</w:t>
            </w:r>
          </w:p>
          <w:p>
            <w:pPr>
              <w:jc w:val="left"/>
              <w:rPr>
                <w:rFonts w:hint="default" w:ascii="宋体" w:hAnsi="宋体" w:eastAsia="宋体" w:cs="Times New Roman"/>
                <w:bCs/>
                <w:color w:val="auto"/>
                <w:kern w:val="2"/>
                <w:sz w:val="24"/>
                <w:szCs w:val="20"/>
                <w:highlight w:val="none"/>
                <w:lang w:val="en-US" w:eastAsia="zh-CN"/>
              </w:rPr>
            </w:pPr>
            <w:r>
              <w:rPr>
                <w:rFonts w:hint="default" w:ascii="宋体" w:hAnsi="宋体" w:eastAsia="宋体" w:cs="Times New Roman"/>
                <w:color w:val="auto"/>
                <w:kern w:val="0"/>
                <w:sz w:val="24"/>
                <w:szCs w:val="20"/>
                <w:highlight w:val="none"/>
                <w:lang w:val="en-US"/>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7"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7"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7"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7"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8" w:type="dxa"/>
            <w:noWrap w:val="0"/>
            <w:vAlign w:val="center"/>
          </w:tcPr>
          <w:p>
            <w:pPr>
              <w:spacing w:line="360" w:lineRule="auto"/>
              <w:jc w:val="left"/>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7"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7"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7"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7"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8" w:type="dxa"/>
            <w:noWrap w:val="0"/>
            <w:vAlign w:val="center"/>
          </w:tcPr>
          <w:p>
            <w:pPr>
              <w:spacing w:line="360" w:lineRule="auto"/>
              <w:jc w:val="left"/>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8" w:type="dxa"/>
            <w:noWrap w:val="0"/>
            <w:vAlign w:val="center"/>
          </w:tcPr>
          <w:p>
            <w:pPr>
              <w:spacing w:line="360" w:lineRule="auto"/>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8" w:type="dxa"/>
            <w:noWrap w:val="0"/>
            <w:vAlign w:val="center"/>
          </w:tcPr>
          <w:p>
            <w:pPr>
              <w:spacing w:line="360" w:lineRule="auto"/>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8" w:type="dxa"/>
            <w:noWrap w:val="0"/>
            <w:vAlign w:val="center"/>
          </w:tcPr>
          <w:p>
            <w:pPr>
              <w:spacing w:line="360" w:lineRule="auto"/>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8" w:type="dxa"/>
            <w:noWrap w:val="0"/>
            <w:vAlign w:val="center"/>
          </w:tcPr>
          <w:p>
            <w:pPr>
              <w:spacing w:line="360" w:lineRule="auto"/>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8" w:type="dxa"/>
            <w:noWrap w:val="0"/>
            <w:vAlign w:val="center"/>
          </w:tcPr>
          <w:p>
            <w:pPr>
              <w:spacing w:line="360" w:lineRule="auto"/>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widowControl w:val="0"/>
              <w:spacing w:line="360" w:lineRule="auto"/>
              <w:jc w:val="both"/>
              <w:rPr>
                <w:rFonts w:ascii="宋体" w:hAnsi="宋体" w:eastAsia="宋体" w:cs="Times New Roman"/>
                <w:color w:val="auto"/>
                <w:kern w:val="2"/>
                <w:sz w:val="24"/>
                <w:szCs w:val="20"/>
                <w:highlight w:val="none"/>
                <w:lang w:val="en-US" w:eastAsia="zh-CN" w:bidi="ar-SA"/>
              </w:rPr>
            </w:pPr>
          </w:p>
        </w:tc>
        <w:tc>
          <w:tcPr>
            <w:tcW w:w="1708" w:type="dxa"/>
            <w:noWrap w:val="0"/>
            <w:vAlign w:val="center"/>
          </w:tcPr>
          <w:p>
            <w:pPr>
              <w:spacing w:line="360" w:lineRule="auto"/>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8" w:type="dxa"/>
            <w:noWrap w:val="0"/>
            <w:vAlign w:val="center"/>
          </w:tcPr>
          <w:p>
            <w:pPr>
              <w:spacing w:line="360" w:lineRule="auto"/>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8" w:type="dxa"/>
            <w:noWrap w:val="0"/>
            <w:vAlign w:val="center"/>
          </w:tcPr>
          <w:p>
            <w:pPr>
              <w:spacing w:line="360" w:lineRule="auto"/>
              <w:rPr>
                <w:rFonts w:ascii="宋体" w:hAnsi="宋体" w:eastAsia="宋体" w:cs="Times New Roman"/>
                <w:color w:val="auto"/>
                <w:kern w:val="2"/>
                <w:sz w:val="24"/>
                <w:szCs w:val="20"/>
                <w:highlight w:val="none"/>
              </w:rPr>
            </w:pPr>
          </w:p>
        </w:tc>
      </w:tr>
    </w:tbl>
    <w:p>
      <w:pPr>
        <w:spacing w:line="360" w:lineRule="auto"/>
        <w:rPr>
          <w:rFonts w:ascii="宋体" w:hAnsi="宋体" w:eastAsia="宋体" w:cs="Times New Roman"/>
          <w:color w:val="auto"/>
          <w:kern w:val="2"/>
          <w:sz w:val="24"/>
          <w:szCs w:val="20"/>
          <w:highlight w:val="none"/>
        </w:rPr>
      </w:pPr>
    </w:p>
    <w:p>
      <w:pPr>
        <w:spacing w:line="360" w:lineRule="auto"/>
        <w:rPr>
          <w:rFonts w:ascii="宋体" w:hAnsi="宋体" w:eastAsia="宋体" w:cs="Times New Roman"/>
          <w:color w:val="auto"/>
          <w:kern w:val="2"/>
          <w:sz w:val="24"/>
          <w:szCs w:val="20"/>
          <w:highlight w:val="none"/>
        </w:rPr>
      </w:pPr>
      <w:r>
        <w:rPr>
          <w:rFonts w:hint="eastAsia" w:ascii="宋体" w:hAnsi="宋体" w:eastAsia="宋体" w:cs="Times New Roman"/>
          <w:color w:val="auto"/>
          <w:kern w:val="2"/>
          <w:sz w:val="24"/>
          <w:szCs w:val="20"/>
          <w:highlight w:val="none"/>
        </w:rPr>
        <w:t>投标人全称（盖公章）：</w:t>
      </w:r>
    </w:p>
    <w:p>
      <w:pPr>
        <w:spacing w:line="360" w:lineRule="auto"/>
        <w:rPr>
          <w:rFonts w:ascii="宋体" w:hAnsi="宋体" w:eastAsia="宋体" w:cs="Times New Roman"/>
          <w:color w:val="auto"/>
          <w:kern w:val="2"/>
          <w:sz w:val="24"/>
          <w:szCs w:val="20"/>
          <w:highlight w:val="none"/>
        </w:rPr>
      </w:pPr>
      <w:r>
        <w:rPr>
          <w:rFonts w:hint="eastAsia" w:ascii="宋体" w:hAnsi="宋体" w:eastAsia="宋体" w:cs="Times New Roman"/>
          <w:color w:val="auto"/>
          <w:kern w:val="2"/>
          <w:sz w:val="24"/>
          <w:szCs w:val="20"/>
          <w:highlight w:val="none"/>
        </w:rPr>
        <w:t>法定代表人或投标授权代表（签字或签章）：</w:t>
      </w:r>
    </w:p>
    <w:p>
      <w:pPr>
        <w:spacing w:line="360" w:lineRule="auto"/>
        <w:rPr>
          <w:rFonts w:ascii="宋体" w:hAnsi="宋体" w:eastAsia="宋体" w:cs="Times New Roman"/>
          <w:color w:val="auto"/>
          <w:kern w:val="2"/>
          <w:sz w:val="24"/>
          <w:szCs w:val="20"/>
          <w:highlight w:val="none"/>
        </w:rPr>
      </w:pPr>
      <w:r>
        <w:rPr>
          <w:rFonts w:hint="eastAsia" w:ascii="宋体" w:hAnsi="宋体" w:eastAsia="宋体" w:cs="Times New Roman"/>
          <w:color w:val="auto"/>
          <w:kern w:val="2"/>
          <w:sz w:val="24"/>
          <w:szCs w:val="20"/>
          <w:highlight w:val="none"/>
        </w:rPr>
        <w:t>日    期：     年   月   日</w:t>
      </w:r>
    </w:p>
    <w:p>
      <w:pPr>
        <w:keepNext/>
        <w:keepLines/>
        <w:widowControl w:val="0"/>
        <w:adjustRightInd w:val="0"/>
        <w:spacing w:before="40" w:after="40" w:line="360" w:lineRule="auto"/>
        <w:ind w:left="0"/>
        <w:jc w:val="both"/>
        <w:textAlignment w:val="baseline"/>
        <w:outlineLvl w:val="2"/>
        <w:rPr>
          <w:rFonts w:hint="eastAsia" w:ascii="宋体" w:hAnsi="宋体" w:eastAsia="宋体" w:cs="Times New Roman"/>
          <w:b/>
          <w:color w:val="auto"/>
          <w:kern w:val="2"/>
          <w:sz w:val="21"/>
          <w:szCs w:val="20"/>
          <w:highlight w:val="none"/>
          <w:lang w:val="en-US" w:eastAsia="zh-CN" w:bidi="ar-SA"/>
        </w:rPr>
      </w:pPr>
    </w:p>
    <w:p>
      <w:pPr>
        <w:keepNext/>
        <w:keepLines/>
        <w:widowControl w:val="0"/>
        <w:adjustRightInd w:val="0"/>
        <w:spacing w:before="40" w:after="40" w:line="360" w:lineRule="auto"/>
        <w:ind w:left="0"/>
        <w:jc w:val="both"/>
        <w:textAlignment w:val="baseline"/>
        <w:outlineLvl w:val="2"/>
        <w:rPr>
          <w:rFonts w:ascii="宋体" w:hAnsi="宋体" w:eastAsia="宋体" w:cs="Times New Roman"/>
          <w:b/>
          <w:color w:val="auto"/>
          <w:kern w:val="2"/>
          <w:sz w:val="21"/>
          <w:szCs w:val="20"/>
          <w:highlight w:val="none"/>
          <w:lang w:val="en-US" w:eastAsia="zh-CN" w:bidi="ar-SA"/>
        </w:rPr>
      </w:pPr>
      <w:r>
        <w:rPr>
          <w:rFonts w:hint="eastAsia" w:ascii="宋体" w:hAnsi="宋体" w:eastAsia="宋体" w:cs="Times New Roman"/>
          <w:b/>
          <w:color w:val="auto"/>
          <w:kern w:val="2"/>
          <w:sz w:val="21"/>
          <w:szCs w:val="20"/>
          <w:highlight w:val="none"/>
          <w:lang w:val="en-US" w:eastAsia="zh-CN" w:bidi="ar-SA"/>
        </w:rPr>
        <w:t>注：1、本格式仅供参考，投标人可根据实际情况自定。</w:t>
      </w:r>
    </w:p>
    <w:p>
      <w:pPr>
        <w:bidi w:val="0"/>
        <w:spacing w:line="360" w:lineRule="auto"/>
        <w:ind w:firstLine="422" w:firstLineChars="200"/>
        <w:rPr>
          <w:rFonts w:hint="default" w:ascii="Calibri" w:hAnsi="Calibri" w:eastAsia="宋体" w:cs="Times New Roman"/>
          <w:b/>
          <w:bCs/>
          <w:color w:val="auto"/>
          <w:kern w:val="2"/>
          <w:sz w:val="21"/>
          <w:szCs w:val="20"/>
          <w:highlight w:val="none"/>
          <w:lang w:val="en-US" w:eastAsia="zh-CN"/>
        </w:rPr>
      </w:pPr>
      <w:r>
        <w:rPr>
          <w:rFonts w:hint="eastAsia" w:ascii="Calibri" w:hAnsi="Calibri" w:eastAsia="宋体" w:cs="Times New Roman"/>
          <w:b/>
          <w:bCs/>
          <w:color w:val="auto"/>
          <w:kern w:val="2"/>
          <w:sz w:val="21"/>
          <w:szCs w:val="20"/>
          <w:highlight w:val="none"/>
        </w:rPr>
        <w:t>2、</w:t>
      </w:r>
      <w:r>
        <w:rPr>
          <w:rFonts w:hint="eastAsia" w:ascii="宋体" w:hAnsi="宋体" w:eastAsia="宋体" w:cs="Times New Roman"/>
          <w:b/>
          <w:color w:val="auto"/>
          <w:kern w:val="2"/>
          <w:sz w:val="21"/>
          <w:szCs w:val="20"/>
          <w:highlight w:val="none"/>
        </w:rPr>
        <w:t>投标人提供的同类项目业绩证明资料附于该表后面</w:t>
      </w:r>
      <w:r>
        <w:rPr>
          <w:rFonts w:hint="eastAsia" w:ascii="宋体" w:hAnsi="宋体" w:eastAsia="宋体" w:cs="Times New Roman"/>
          <w:b/>
          <w:color w:val="auto"/>
          <w:kern w:val="2"/>
          <w:sz w:val="21"/>
          <w:szCs w:val="20"/>
          <w:highlight w:val="none"/>
          <w:lang w:eastAsia="zh-CN"/>
        </w:rPr>
        <w:t>，</w:t>
      </w:r>
      <w:r>
        <w:rPr>
          <w:rFonts w:hint="eastAsia" w:ascii="Calibri" w:hAnsi="Calibri" w:eastAsia="宋体" w:cs="Times New Roman"/>
          <w:b/>
          <w:bCs/>
          <w:color w:val="auto"/>
          <w:kern w:val="2"/>
          <w:sz w:val="21"/>
          <w:szCs w:val="20"/>
          <w:highlight w:val="none"/>
        </w:rPr>
        <w:t>证明材料所需资料评见商务评分要求。</w:t>
      </w:r>
    </w:p>
    <w:p>
      <w:pPr>
        <w:outlineLvl w:val="1"/>
        <w:rPr>
          <w:rFonts w:ascii="仿宋" w:hAnsi="仿宋" w:eastAsia="宋体" w:cs="宋体"/>
          <w:color w:val="auto"/>
          <w:sz w:val="28"/>
          <w:szCs w:val="28"/>
          <w:highlight w:val="none"/>
        </w:rPr>
      </w:pPr>
      <w:r>
        <w:rPr>
          <w:rFonts w:ascii="宋体" w:hAnsi="宋体" w:eastAsia="宋体" w:cs="黑体"/>
          <w:b/>
          <w:color w:val="auto"/>
          <w:spacing w:val="4"/>
          <w:kern w:val="0"/>
          <w:sz w:val="28"/>
          <w:szCs w:val="28"/>
          <w:highlight w:val="none"/>
        </w:rPr>
        <w:br w:type="page"/>
      </w: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八</w:t>
      </w:r>
      <w:r>
        <w:rPr>
          <w:rFonts w:hint="eastAsia" w:ascii="仿宋" w:hAnsi="仿宋" w:eastAsia="仿宋" w:cs="宋体"/>
          <w:color w:val="auto"/>
          <w:sz w:val="28"/>
          <w:szCs w:val="28"/>
          <w:highlight w:val="none"/>
        </w:rPr>
        <w:t>：</w:t>
      </w:r>
    </w:p>
    <w:p>
      <w:pPr>
        <w:pStyle w:val="4"/>
        <w:rPr>
          <w:rFonts w:hint="eastAsia" w:ascii="仿宋" w:hAnsi="仿宋" w:eastAsia="仿宋" w:cs="仿宋"/>
          <w:color w:val="auto"/>
          <w:szCs w:val="21"/>
          <w:highlight w:val="none"/>
        </w:rPr>
      </w:pPr>
    </w:p>
    <w:p>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20"/>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技术负责人</w:t>
      </w:r>
      <w:r>
        <w:rPr>
          <w:rFonts w:hint="eastAsia" w:ascii="仿宋" w:hAnsi="仿宋" w:eastAsia="仿宋" w:cs="仿宋"/>
          <w:color w:val="auto"/>
          <w:szCs w:val="21"/>
          <w:highlight w:val="none"/>
        </w:rPr>
        <w:t>）等。</w:t>
      </w:r>
    </w:p>
    <w:p>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hint="eastAsia" w:ascii="宋体" w:hAnsi="宋体" w:eastAsia="宋体" w:cs="黑体"/>
          <w:b/>
          <w:color w:val="auto"/>
          <w:spacing w:val="4"/>
          <w:kern w:val="0"/>
          <w:sz w:val="28"/>
          <w:szCs w:val="28"/>
          <w:highlight w:val="none"/>
        </w:rPr>
        <w:sectPr>
          <w:pgSz w:w="11906" w:h="16840"/>
          <w:pgMar w:top="1247" w:right="1135" w:bottom="1247" w:left="1361" w:header="720" w:footer="720" w:gutter="0"/>
          <w:pgNumType w:fmt="decimal"/>
          <w:cols w:space="425" w:num="1"/>
          <w:docGrid w:linePitch="285" w:charSpace="0"/>
        </w:sectPr>
      </w:pPr>
    </w:p>
    <w:p>
      <w:pPr>
        <w:outlineLvl w:val="1"/>
        <w:rPr>
          <w:rFonts w:ascii="仿宋" w:hAnsi="仿宋" w:eastAsia="宋体" w:cs="仿宋"/>
          <w:color w:val="auto"/>
          <w:szCs w:val="21"/>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九</w:t>
      </w:r>
      <w:r>
        <w:rPr>
          <w:rFonts w:hint="eastAsia" w:ascii="仿宋" w:hAnsi="仿宋" w:eastAsia="仿宋" w:cs="宋体"/>
          <w:color w:val="auto"/>
          <w:sz w:val="28"/>
          <w:szCs w:val="28"/>
          <w:highlight w:val="none"/>
        </w:rPr>
        <w:t>：</w:t>
      </w:r>
    </w:p>
    <w:p>
      <w:pPr>
        <w:spacing w:line="360" w:lineRule="auto"/>
        <w:outlineLvl w:val="1"/>
        <w:rPr>
          <w:rFonts w:ascii="仿宋" w:hAnsi="仿宋" w:eastAsia="仿宋" w:cs="宋体"/>
          <w:color w:val="auto"/>
          <w:sz w:val="28"/>
          <w:szCs w:val="28"/>
          <w:highlight w:val="none"/>
        </w:rPr>
      </w:pPr>
      <w:r>
        <w:rPr>
          <w:color w:val="auto"/>
          <w:spacing w:val="18"/>
          <w:highlight w:val="none"/>
        </w:rPr>
        <w:t xml:space="preserve"> </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20"/>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ind w:firstLine="0" w:firstLineChars="0"/>
              <w:jc w:val="left"/>
              <w:rPr>
                <w:rFonts w:hint="eastAsia" w:ascii="宋体" w:hAnsi="宋体" w:cs="宋体"/>
                <w:bCs/>
                <w:color w:val="auto"/>
                <w:szCs w:val="21"/>
                <w:highlight w:val="none"/>
                <w:u w:val="none"/>
                <w:lang w:val="en-US"/>
              </w:rPr>
            </w:pPr>
            <w:r>
              <w:rPr>
                <w:rFonts w:hint="eastAsia" w:ascii="宋体" w:hAnsi="宋体" w:cs="宋体"/>
                <w:b w:val="0"/>
                <w:bCs/>
                <w:color w:val="auto"/>
                <w:sz w:val="21"/>
                <w:szCs w:val="21"/>
                <w:highlight w:val="none"/>
                <w:u w:val="none"/>
                <w:lang w:val="en-US" w:eastAsia="zh-CN"/>
              </w:rPr>
              <w:t>南沙湿地二期亚太钓鱼场护堤及道路应急维修维护项目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restart"/>
            <w:vAlign w:val="center"/>
          </w:tcPr>
          <w:p>
            <w:pPr>
              <w:autoSpaceDE w:val="0"/>
              <w:autoSpaceDN w:val="0"/>
              <w:adjustRightInd w:val="0"/>
              <w:snapToGrid w:val="0"/>
              <w:spacing w:line="360" w:lineRule="auto"/>
              <w:ind w:firstLine="630" w:firstLineChars="300"/>
              <w:jc w:val="both"/>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eastAsia" w:ascii="宋体" w:hAnsi="宋体" w:cs="宋体"/>
                <w:bCs/>
                <w:color w:val="auto"/>
                <w:szCs w:val="21"/>
                <w:highlight w:val="none"/>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其中：</w:t>
            </w:r>
            <w:r>
              <w:rPr>
                <w:rFonts w:hint="eastAsia" w:ascii="宋体" w:hAnsi="宋体" w:cs="宋体"/>
                <w:bCs/>
                <w:color w:val="auto"/>
                <w:sz w:val="21"/>
                <w:szCs w:val="21"/>
                <w:highlight w:val="none"/>
                <w:u w:val="none"/>
                <w:lang w:val="en-US" w:eastAsia="zh-CN"/>
              </w:rPr>
              <w:t>绿色施工安全防护措施费</w:t>
            </w:r>
            <w:r>
              <w:rPr>
                <w:rFonts w:hint="eastAsia" w:ascii="宋体" w:hAnsi="宋体" w:cs="宋体" w:eastAsiaTheme="minorEastAsia"/>
                <w:bCs/>
                <w:color w:val="auto"/>
                <w:sz w:val="21"/>
                <w:szCs w:val="21"/>
                <w:highlight w:val="none"/>
                <w:u w:val="none"/>
                <w:lang w:val="en-US" w:eastAsia="zh-CN"/>
              </w:rPr>
              <w:t xml:space="preserve">为             </w:t>
            </w:r>
            <w:r>
              <w:rPr>
                <w:rFonts w:hint="eastAsia" w:ascii="宋体" w:hAnsi="宋体" w:cs="宋体"/>
                <w:bCs/>
                <w:color w:val="auto"/>
                <w:sz w:val="21"/>
                <w:szCs w:val="21"/>
                <w:highlight w:val="none"/>
                <w:u w:val="none"/>
                <w:lang w:val="en-US" w:eastAsia="zh-CN"/>
              </w:rPr>
              <w:t xml:space="preserve"> </w:t>
            </w:r>
            <w:r>
              <w:rPr>
                <w:rFonts w:hint="eastAsia" w:ascii="宋体" w:hAnsi="宋体" w:cs="宋体" w:eastAsiaTheme="minorEastAsia"/>
                <w:bCs/>
                <w:color w:val="auto"/>
                <w:sz w:val="21"/>
                <w:szCs w:val="21"/>
                <w:highlight w:val="none"/>
                <w:u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2711" w:type="dxa"/>
            <w:vAlign w:val="center"/>
          </w:tcPr>
          <w:p>
            <w:pPr>
              <w:autoSpaceDE w:val="0"/>
              <w:autoSpaceDN w:val="0"/>
              <w:adjustRightInd w:val="0"/>
              <w:snapToGrid w:val="0"/>
              <w:spacing w:line="360" w:lineRule="auto"/>
              <w:jc w:val="center"/>
              <w:rPr>
                <w:rFonts w:hint="eastAsia" w:ascii="宋体" w:hAnsi="宋体" w:cs="宋体"/>
                <w:bCs/>
                <w:color w:val="auto"/>
                <w:szCs w:val="21"/>
                <w:highlight w:val="none"/>
                <w:lang w:val="zh-CN"/>
              </w:rPr>
            </w:pPr>
            <w:r>
              <w:rPr>
                <w:rFonts w:hint="eastAsia" w:ascii="宋体" w:hAnsi="宋体" w:cs="宋体"/>
                <w:b w:val="0"/>
                <w:bCs/>
                <w:color w:val="auto"/>
                <w:sz w:val="21"/>
                <w:szCs w:val="21"/>
                <w:highlight w:val="none"/>
                <w:lang w:val="zh-CN"/>
              </w:rPr>
              <w:t>投标总工期</w:t>
            </w:r>
          </w:p>
        </w:tc>
        <w:tc>
          <w:tcPr>
            <w:tcW w:w="6699" w:type="dxa"/>
            <w:vAlign w:val="center"/>
          </w:tcPr>
          <w:p>
            <w:pPr>
              <w:autoSpaceDE w:val="0"/>
              <w:autoSpaceDN w:val="0"/>
              <w:adjustRightInd w:val="0"/>
              <w:snapToGrid w:val="0"/>
              <w:spacing w:line="360" w:lineRule="auto"/>
              <w:jc w:val="center"/>
              <w:rPr>
                <w:rFonts w:hint="eastAsia"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10"/>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10"/>
        <w:widowControl/>
        <w:spacing w:line="360" w:lineRule="auto"/>
        <w:ind w:firstLine="630" w:firstLineChars="300"/>
        <w:rPr>
          <w:rFonts w:hint="default" w:ascii="宋体" w:hAnsi="宋体" w:eastAsia="宋体" w:cs="宋体"/>
          <w:bCs/>
          <w:color w:val="auto"/>
          <w:highlight w:val="none"/>
        </w:rPr>
      </w:pPr>
      <w:r>
        <w:rPr>
          <w:rFonts w:hint="eastAsia" w:hAnsi="宋体" w:cs="宋体"/>
          <w:bCs/>
          <w:color w:val="auto"/>
          <w:highlight w:val="none"/>
          <w:lang w:eastAsia="zh-CN"/>
        </w:rPr>
        <w:t>（</w:t>
      </w:r>
      <w:r>
        <w:rPr>
          <w:rFonts w:hint="eastAsia" w:hAnsi="宋体" w:cs="宋体"/>
          <w:bCs/>
          <w:color w:val="auto"/>
          <w:highlight w:val="none"/>
          <w:lang w:val="en-US" w:eastAsia="zh-CN"/>
        </w:rPr>
        <w:t>2</w:t>
      </w:r>
      <w:r>
        <w:rPr>
          <w:rFonts w:hint="eastAsia" w:hAnsi="宋体" w:cs="宋体"/>
          <w:bCs/>
          <w:color w:val="auto"/>
          <w:highlight w:val="none"/>
          <w:lang w:eastAsia="zh-CN"/>
        </w:rPr>
        <w:t>）</w:t>
      </w:r>
      <w:r>
        <w:rPr>
          <w:rFonts w:hint="eastAsia" w:ascii="宋体" w:hAnsi="宋体" w:eastAsia="宋体" w:cs="宋体"/>
          <w:bCs/>
          <w:color w:val="auto"/>
          <w:kern w:val="2"/>
          <w:sz w:val="21"/>
          <w:szCs w:val="21"/>
          <w:highlight w:val="none"/>
          <w:u w:val="none"/>
          <w:lang w:val="en-US" w:eastAsia="zh-CN" w:bidi="ar-SA"/>
        </w:rPr>
        <w:t>投标单位自行报价，投标总报价不能超过招标控制价，否则按</w:t>
      </w:r>
      <w:r>
        <w:rPr>
          <w:rFonts w:hint="eastAsia" w:hAnsi="宋体" w:cs="宋体"/>
          <w:bCs/>
          <w:color w:val="auto"/>
          <w:kern w:val="2"/>
          <w:sz w:val="21"/>
          <w:szCs w:val="21"/>
          <w:highlight w:val="none"/>
          <w:u w:val="none"/>
          <w:lang w:val="en-US" w:eastAsia="zh-CN" w:bidi="ar-SA"/>
        </w:rPr>
        <w:t>无效投标</w:t>
      </w:r>
      <w:r>
        <w:rPr>
          <w:rFonts w:hint="eastAsia" w:ascii="宋体" w:hAnsi="宋体" w:eastAsia="宋体" w:cs="宋体"/>
          <w:bCs/>
          <w:color w:val="auto"/>
          <w:kern w:val="2"/>
          <w:sz w:val="21"/>
          <w:szCs w:val="21"/>
          <w:highlight w:val="none"/>
          <w:u w:val="none"/>
          <w:lang w:val="en-US" w:eastAsia="zh-CN" w:bidi="ar-SA"/>
        </w:rPr>
        <w:t>处理。（小数点后保留二位小数，第三位小数四舍五入）</w:t>
      </w:r>
    </w:p>
    <w:p>
      <w:pPr>
        <w:pStyle w:val="10"/>
        <w:spacing w:line="360" w:lineRule="auto"/>
        <w:ind w:firstLine="630" w:firstLineChars="300"/>
        <w:rPr>
          <w:rFonts w:hint="eastAsia" w:ascii="宋体" w:hAnsi="宋体" w:eastAsia="宋体" w:cs="宋体"/>
          <w:color w:val="auto"/>
          <w:sz w:val="21"/>
          <w:szCs w:val="21"/>
          <w:highlight w:val="none"/>
        </w:rPr>
      </w:pP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10"/>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52" w:name="_Toc374128477"/>
      <w:bookmarkEnd w:id="52"/>
      <w:bookmarkStart w:id="53"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54" w:name="_Toc26234"/>
      <w:bookmarkStart w:id="55" w:name="_Toc4893"/>
      <w:bookmarkStart w:id="56" w:name="_Toc8367"/>
      <w:bookmarkStart w:id="57" w:name="_Toc24523"/>
      <w:bookmarkStart w:id="58" w:name="_Toc17859"/>
      <w:bookmarkStart w:id="59" w:name="_Toc25010"/>
      <w:bookmarkStart w:id="60" w:name="_Toc23233"/>
      <w:r>
        <w:rPr>
          <w:rFonts w:hint="eastAsia" w:ascii="黑体" w:hAnsi="宋体" w:cs="黑体"/>
          <w:b/>
          <w:color w:val="auto"/>
          <w:kern w:val="44"/>
          <w:sz w:val="44"/>
          <w:szCs w:val="44"/>
          <w:highlight w:val="none"/>
        </w:rPr>
        <w:t>第4章 评标办法</w:t>
      </w:r>
      <w:bookmarkEnd w:id="53"/>
      <w:bookmarkEnd w:id="54"/>
      <w:bookmarkEnd w:id="55"/>
      <w:bookmarkEnd w:id="56"/>
      <w:bookmarkEnd w:id="57"/>
      <w:bookmarkEnd w:id="58"/>
      <w:bookmarkEnd w:id="59"/>
      <w:bookmarkEnd w:id="60"/>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pgNumType w:fmt="decimal"/>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一、前言</w:t>
      </w:r>
    </w:p>
    <w:p>
      <w:pPr>
        <w:spacing w:line="50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1.1本项目采取邀请招标</w:t>
      </w:r>
      <w:r>
        <w:rPr>
          <w:rFonts w:hint="eastAsia" w:ascii="宋体" w:hAnsi="宋体" w:eastAsia="宋体" w:cs="宋体"/>
          <w:color w:val="auto"/>
          <w:sz w:val="28"/>
          <w:szCs w:val="28"/>
          <w:highlight w:val="none"/>
          <w:lang w:val="en-US" w:eastAsia="zh-CN"/>
        </w:rPr>
        <w:t>方式</w:t>
      </w:r>
      <w:r>
        <w:rPr>
          <w:rFonts w:hint="eastAsia" w:ascii="宋体" w:hAnsi="宋体" w:eastAsia="宋体" w:cs="宋体"/>
          <w:color w:val="auto"/>
          <w:sz w:val="28"/>
          <w:szCs w:val="28"/>
          <w:highlight w:val="none"/>
        </w:rPr>
        <w:t>，为保证招标“公开、公平、公正”，根据国家有关工程建设招标投标的法律、法规和方针、政策，制定本评标细则，实行评标的规范化、标准化、科学化。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 xml:space="preserve">  本评标办法的解释和修订权属招标人。</w:t>
      </w:r>
    </w:p>
    <w:p>
      <w:pPr>
        <w:spacing w:line="500" w:lineRule="exact"/>
        <w:jc w:val="center"/>
        <w:outlineLvl w:val="1"/>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二、评标依据</w:t>
      </w:r>
    </w:p>
    <w:p>
      <w:pPr>
        <w:spacing w:line="50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2.1《中华人民共和国</w:t>
      </w:r>
      <w:r>
        <w:rPr>
          <w:rFonts w:hint="eastAsia" w:ascii="宋体" w:hAnsi="宋体" w:eastAsia="宋体" w:cs="宋体"/>
          <w:color w:val="auto"/>
          <w:sz w:val="28"/>
          <w:szCs w:val="28"/>
          <w:highlight w:val="none"/>
          <w:lang w:eastAsia="zh-CN"/>
        </w:rPr>
        <w:t>民法典</w:t>
      </w:r>
      <w:r>
        <w:rPr>
          <w:rFonts w:hint="eastAsia" w:ascii="宋体" w:hAnsi="宋体" w:eastAsia="宋体" w:cs="宋体"/>
          <w:color w:val="auto"/>
          <w:sz w:val="28"/>
          <w:szCs w:val="28"/>
          <w:highlight w:val="none"/>
        </w:rPr>
        <w:t>》；</w:t>
      </w:r>
    </w:p>
    <w:p>
      <w:pPr>
        <w:spacing w:line="50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2.2《中华人民共和国招标投标法》；</w:t>
      </w:r>
    </w:p>
    <w:p>
      <w:pPr>
        <w:spacing w:line="50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2.3《中华人民共和国招标投标法实施条例》</w:t>
      </w:r>
    </w:p>
    <w:p>
      <w:pPr>
        <w:spacing w:line="50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2.4七部委第12号令《</w:t>
      </w:r>
      <w:r>
        <w:rPr>
          <w:rFonts w:hint="eastAsia" w:ascii="宋体" w:hAnsi="宋体" w:eastAsia="宋体" w:cs="宋体"/>
          <w:color w:val="auto"/>
          <w:sz w:val="28"/>
          <w:szCs w:val="28"/>
          <w:highlight w:val="none"/>
          <w:lang w:eastAsia="zh-CN"/>
        </w:rPr>
        <w:t>评标小组</w:t>
      </w:r>
      <w:r>
        <w:rPr>
          <w:rFonts w:hint="eastAsia" w:ascii="宋体" w:hAnsi="宋体" w:eastAsia="宋体" w:cs="宋体"/>
          <w:color w:val="auto"/>
          <w:sz w:val="28"/>
          <w:szCs w:val="28"/>
          <w:highlight w:val="none"/>
        </w:rPr>
        <w:t>和评标方法暂行规定》；</w:t>
      </w:r>
    </w:p>
    <w:p>
      <w:pPr>
        <w:spacing w:line="50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2.5《广东省实施〈中华人民共和国招标投标法〉办法》；</w:t>
      </w:r>
    </w:p>
    <w:p>
      <w:pPr>
        <w:spacing w:line="50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2.6《广东省加强建设工程招标投标监督管理的若干规定》；</w:t>
      </w:r>
    </w:p>
    <w:p>
      <w:pPr>
        <w:spacing w:line="50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2.7本招标项目的招标文件、评标办法及其补充通知；</w:t>
      </w:r>
    </w:p>
    <w:p>
      <w:pPr>
        <w:spacing w:line="50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2.8投标文件及澄清问题书面资料；</w:t>
      </w:r>
    </w:p>
    <w:p>
      <w:pPr>
        <w:spacing w:line="50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2.9国家、省、市各级行政主管部门颁发的其他有关招投标相关法律法规。</w:t>
      </w:r>
    </w:p>
    <w:p>
      <w:pPr>
        <w:spacing w:line="500" w:lineRule="exact"/>
        <w:jc w:val="center"/>
        <w:outlineLvl w:val="1"/>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三、评标人员守则</w:t>
      </w:r>
    </w:p>
    <w:p>
      <w:pPr>
        <w:spacing w:line="50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宋体" w:hAnsi="宋体" w:eastAsia="宋体" w:cs="宋体"/>
          <w:color w:val="auto"/>
          <w:sz w:val="28"/>
          <w:szCs w:val="28"/>
          <w:highlight w:val="none"/>
          <w:lang w:eastAsia="zh-CN"/>
        </w:rPr>
        <w:t>广州</w:t>
      </w:r>
      <w:r>
        <w:rPr>
          <w:rFonts w:hint="eastAsia" w:ascii="宋体" w:hAnsi="宋体" w:eastAsia="宋体" w:cs="宋体"/>
          <w:color w:val="auto"/>
          <w:sz w:val="28"/>
          <w:szCs w:val="28"/>
          <w:highlight w:val="none"/>
        </w:rPr>
        <w:t>市公共资源交易中心备案；情节严重，构成犯罪的，由司法机关依法追究其刑事责任。</w:t>
      </w:r>
    </w:p>
    <w:p>
      <w:pPr>
        <w:spacing w:line="50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全体参与评标人员：</w:t>
      </w:r>
    </w:p>
    <w:p>
      <w:pPr>
        <w:numPr>
          <w:ilvl w:val="0"/>
          <w:numId w:val="5"/>
        </w:numPr>
        <w:spacing w:line="500" w:lineRule="exact"/>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必须遵守评标纪律、不得泄密；</w:t>
      </w:r>
    </w:p>
    <w:p>
      <w:pPr>
        <w:numPr>
          <w:ilvl w:val="0"/>
          <w:numId w:val="5"/>
        </w:numPr>
        <w:spacing w:line="500" w:lineRule="exact"/>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必须公正、不得循私；</w:t>
      </w:r>
    </w:p>
    <w:p>
      <w:pPr>
        <w:numPr>
          <w:ilvl w:val="0"/>
          <w:numId w:val="5"/>
        </w:numPr>
        <w:spacing w:line="500" w:lineRule="exact"/>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必须科学、不得草率；</w:t>
      </w:r>
    </w:p>
    <w:p>
      <w:pPr>
        <w:numPr>
          <w:ilvl w:val="0"/>
          <w:numId w:val="5"/>
        </w:numPr>
        <w:spacing w:line="500" w:lineRule="exact"/>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必须客观、不得带有成见；</w:t>
      </w:r>
    </w:p>
    <w:p>
      <w:pPr>
        <w:numPr>
          <w:ilvl w:val="0"/>
          <w:numId w:val="5"/>
        </w:numPr>
        <w:spacing w:line="500" w:lineRule="exact"/>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必须平等、不得强加于人；</w:t>
      </w:r>
    </w:p>
    <w:p>
      <w:pPr>
        <w:numPr>
          <w:ilvl w:val="0"/>
          <w:numId w:val="5"/>
        </w:numPr>
        <w:spacing w:line="500" w:lineRule="exact"/>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必须严谨、不得随意马虎。</w:t>
      </w:r>
    </w:p>
    <w:p>
      <w:pPr>
        <w:spacing w:line="500" w:lineRule="exact"/>
        <w:jc w:val="center"/>
        <w:outlineLvl w:val="1"/>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四、评标机构</w:t>
      </w:r>
    </w:p>
    <w:p>
      <w:pPr>
        <w:spacing w:line="50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招标人依法组建</w:t>
      </w:r>
      <w:r>
        <w:rPr>
          <w:rFonts w:hint="eastAsia" w:ascii="宋体" w:hAnsi="宋体" w:eastAsia="宋体" w:cs="宋体"/>
          <w:color w:val="auto"/>
          <w:sz w:val="28"/>
          <w:szCs w:val="28"/>
          <w:highlight w:val="none"/>
          <w:lang w:eastAsia="zh-CN"/>
        </w:rPr>
        <w:t>评标小组</w:t>
      </w:r>
      <w:r>
        <w:rPr>
          <w:rFonts w:hint="eastAsia" w:ascii="宋体" w:hAnsi="宋体" w:eastAsia="宋体" w:cs="宋体"/>
          <w:color w:val="auto"/>
          <w:sz w:val="28"/>
          <w:szCs w:val="28"/>
          <w:highlight w:val="none"/>
        </w:rPr>
        <w:t>。</w:t>
      </w:r>
    </w:p>
    <w:p>
      <w:pPr>
        <w:spacing w:line="500" w:lineRule="exact"/>
        <w:jc w:val="center"/>
        <w:outlineLvl w:val="1"/>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五、开标、评标、定标办法</w:t>
      </w:r>
    </w:p>
    <w:p>
      <w:pPr>
        <w:pStyle w:val="10"/>
        <w:widowControl/>
        <w:spacing w:line="500" w:lineRule="exact"/>
        <w:ind w:firstLine="562" w:firstLineChars="200"/>
        <w:rPr>
          <w:rFonts w:hint="eastAsia" w:ascii="宋体" w:hAnsi="宋体" w:eastAsia="宋体" w:cs="宋体"/>
          <w:b/>
          <w:color w:val="auto"/>
          <w:sz w:val="28"/>
          <w:szCs w:val="28"/>
          <w:highlight w:val="none"/>
          <w:lang w:eastAsia="zh-CN"/>
        </w:rPr>
      </w:pPr>
      <w:r>
        <w:rPr>
          <w:rFonts w:ascii="宋体" w:hAnsi="宋体" w:eastAsia="宋体" w:cs="宋体"/>
          <w:b/>
          <w:color w:val="auto"/>
          <w:sz w:val="28"/>
          <w:szCs w:val="28"/>
          <w:highlight w:val="none"/>
        </w:rPr>
        <w:t>5.1</w:t>
      </w:r>
      <w:r>
        <w:rPr>
          <w:rFonts w:hint="eastAsia" w:ascii="宋体" w:hAnsi="宋体" w:eastAsia="宋体" w:cs="宋体"/>
          <w:b/>
          <w:color w:val="auto"/>
          <w:sz w:val="28"/>
          <w:szCs w:val="28"/>
          <w:highlight w:val="none"/>
          <w:lang w:val="en-US" w:eastAsia="zh-CN"/>
        </w:rPr>
        <w:t xml:space="preserve">  </w:t>
      </w:r>
      <w:r>
        <w:rPr>
          <w:rFonts w:hint="eastAsia" w:ascii="宋体" w:hAnsi="宋体" w:eastAsia="宋体" w:cs="宋体"/>
          <w:b/>
          <w:color w:val="auto"/>
          <w:sz w:val="28"/>
          <w:szCs w:val="28"/>
          <w:highlight w:val="none"/>
          <w:lang w:eastAsia="zh-CN"/>
        </w:rPr>
        <w:t>评标小组</w:t>
      </w:r>
    </w:p>
    <w:p>
      <w:pPr>
        <w:pStyle w:val="10"/>
        <w:widowControl/>
        <w:spacing w:line="500" w:lineRule="exact"/>
        <w:ind w:firstLine="560" w:firstLineChars="200"/>
        <w:rPr>
          <w:rFonts w:hint="eastAsia" w:ascii="宋体" w:hAnsi="宋体" w:eastAsia="宋体" w:cs="宋体"/>
          <w:color w:val="auto"/>
          <w:sz w:val="28"/>
          <w:szCs w:val="28"/>
          <w:highlight w:val="none"/>
        </w:rPr>
      </w:pPr>
      <w:r>
        <w:rPr>
          <w:rFonts w:ascii="宋体" w:hAnsi="宋体" w:eastAsia="宋体" w:cs="宋体"/>
          <w:color w:val="auto"/>
          <w:sz w:val="28"/>
          <w:szCs w:val="28"/>
          <w:highlight w:val="none"/>
        </w:rPr>
        <w:t xml:space="preserve">5.1.1  </w:t>
      </w:r>
      <w:r>
        <w:rPr>
          <w:rFonts w:hint="eastAsia" w:ascii="宋体" w:hAnsi="宋体" w:eastAsia="宋体" w:cs="宋体"/>
          <w:color w:val="auto"/>
          <w:sz w:val="28"/>
          <w:szCs w:val="28"/>
          <w:highlight w:val="none"/>
          <w:lang w:eastAsia="zh-CN"/>
        </w:rPr>
        <w:t>评标小组</w:t>
      </w:r>
      <w:r>
        <w:rPr>
          <w:rFonts w:ascii="宋体" w:hAnsi="宋体" w:eastAsia="宋体" w:cs="宋体"/>
          <w:color w:val="auto"/>
          <w:sz w:val="28"/>
          <w:szCs w:val="28"/>
          <w:highlight w:val="none"/>
        </w:rPr>
        <w:t>由招标人依法组建的5名专家组成。</w:t>
      </w:r>
    </w:p>
    <w:p>
      <w:pPr>
        <w:pStyle w:val="10"/>
        <w:widowControl/>
        <w:spacing w:line="500" w:lineRule="exact"/>
        <w:ind w:firstLine="560" w:firstLineChars="200"/>
        <w:rPr>
          <w:rFonts w:hint="eastAsia" w:ascii="宋体" w:hAnsi="宋体" w:eastAsia="宋体" w:cs="宋体"/>
          <w:color w:val="auto"/>
          <w:sz w:val="28"/>
          <w:szCs w:val="28"/>
          <w:highlight w:val="none"/>
        </w:rPr>
      </w:pPr>
      <w:r>
        <w:rPr>
          <w:rFonts w:ascii="宋体" w:hAnsi="宋体" w:eastAsia="宋体" w:cs="宋体"/>
          <w:color w:val="auto"/>
          <w:sz w:val="28"/>
          <w:szCs w:val="28"/>
          <w:highlight w:val="none"/>
        </w:rPr>
        <w:t xml:space="preserve">5.1.2  </w:t>
      </w:r>
      <w:r>
        <w:rPr>
          <w:rFonts w:hint="eastAsia" w:ascii="宋体" w:hAnsi="宋体" w:eastAsia="宋体" w:cs="宋体"/>
          <w:color w:val="auto"/>
          <w:sz w:val="28"/>
          <w:szCs w:val="28"/>
          <w:highlight w:val="none"/>
          <w:lang w:eastAsia="zh-CN"/>
        </w:rPr>
        <w:t>评标小组</w:t>
      </w:r>
      <w:r>
        <w:rPr>
          <w:rFonts w:ascii="宋体" w:hAnsi="宋体" w:eastAsia="宋体" w:cs="宋体"/>
          <w:color w:val="auto"/>
          <w:sz w:val="28"/>
          <w:szCs w:val="28"/>
          <w:highlight w:val="none"/>
        </w:rPr>
        <w:t>推举产生1名评标组长，主持评审工作，评标组长与其他成员有同等表决权。</w:t>
      </w:r>
    </w:p>
    <w:p>
      <w:pPr>
        <w:spacing w:line="500" w:lineRule="exact"/>
        <w:ind w:firstLine="562" w:firstLineChars="2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5.2  评标原则</w:t>
      </w:r>
    </w:p>
    <w:p>
      <w:pPr>
        <w:spacing w:line="50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5.2.1  </w:t>
      </w:r>
      <w:r>
        <w:rPr>
          <w:rFonts w:hint="eastAsia" w:ascii="宋体" w:hAnsi="宋体" w:eastAsia="宋体" w:cs="宋体"/>
          <w:color w:val="auto"/>
          <w:sz w:val="28"/>
          <w:szCs w:val="28"/>
          <w:highlight w:val="none"/>
          <w:lang w:eastAsia="zh-CN"/>
        </w:rPr>
        <w:t>评标小组</w:t>
      </w:r>
      <w:r>
        <w:rPr>
          <w:rFonts w:hint="eastAsia" w:ascii="宋体" w:hAnsi="宋体" w:eastAsia="宋体" w:cs="宋体"/>
          <w:color w:val="auto"/>
          <w:sz w:val="28"/>
          <w:szCs w:val="28"/>
          <w:highlight w:val="none"/>
        </w:rPr>
        <w:t>根据招标文件规定的评标标准和方法，对投标文件进行评审和比较，招标文件中没有规定的标准和方法不得作为评标的依据。</w:t>
      </w:r>
    </w:p>
    <w:p>
      <w:pPr>
        <w:spacing w:line="50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5.2.2  在符合招标文件规定的前提下，</w:t>
      </w:r>
      <w:r>
        <w:rPr>
          <w:rFonts w:hint="eastAsia" w:ascii="宋体" w:hAnsi="宋体" w:eastAsia="宋体" w:cs="宋体"/>
          <w:color w:val="auto"/>
          <w:sz w:val="28"/>
          <w:szCs w:val="28"/>
          <w:highlight w:val="none"/>
          <w:lang w:eastAsia="zh-CN"/>
        </w:rPr>
        <w:t>评标小组</w:t>
      </w:r>
      <w:r>
        <w:rPr>
          <w:rFonts w:hint="eastAsia" w:ascii="宋体" w:hAnsi="宋体" w:eastAsia="宋体" w:cs="宋体"/>
          <w:color w:val="auto"/>
          <w:sz w:val="28"/>
          <w:szCs w:val="28"/>
          <w:highlight w:val="none"/>
        </w:rPr>
        <w:t>主要对投标文件进行评议。</w:t>
      </w:r>
    </w:p>
    <w:p>
      <w:pPr>
        <w:spacing w:line="50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5.2.3  开标、评标过程发现的问题和产生的纠纷，由</w:t>
      </w:r>
      <w:r>
        <w:rPr>
          <w:rFonts w:hint="eastAsia" w:ascii="宋体" w:hAnsi="宋体" w:eastAsia="宋体" w:cs="宋体"/>
          <w:color w:val="auto"/>
          <w:sz w:val="28"/>
          <w:szCs w:val="28"/>
          <w:highlight w:val="none"/>
          <w:lang w:eastAsia="zh-CN"/>
        </w:rPr>
        <w:t>评标小组</w:t>
      </w:r>
      <w:r>
        <w:rPr>
          <w:rFonts w:hint="eastAsia" w:ascii="宋体" w:hAnsi="宋体" w:eastAsia="宋体" w:cs="宋体"/>
          <w:color w:val="auto"/>
          <w:sz w:val="28"/>
          <w:szCs w:val="28"/>
          <w:highlight w:val="none"/>
        </w:rPr>
        <w:t>负责裁决。裁决前，</w:t>
      </w:r>
      <w:r>
        <w:rPr>
          <w:rFonts w:hint="eastAsia" w:ascii="宋体" w:hAnsi="宋体" w:eastAsia="宋体" w:cs="宋体"/>
          <w:color w:val="auto"/>
          <w:sz w:val="28"/>
          <w:szCs w:val="28"/>
          <w:highlight w:val="none"/>
          <w:lang w:eastAsia="zh-CN"/>
        </w:rPr>
        <w:t>评标小组</w:t>
      </w:r>
      <w:r>
        <w:rPr>
          <w:rFonts w:hint="eastAsia" w:ascii="宋体" w:hAnsi="宋体" w:eastAsia="宋体" w:cs="宋体"/>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5.2.4  评标讨论过程中，</w:t>
      </w:r>
      <w:r>
        <w:rPr>
          <w:rFonts w:hint="eastAsia" w:ascii="宋体" w:hAnsi="宋体" w:eastAsia="宋体" w:cs="宋体"/>
          <w:color w:val="auto"/>
          <w:sz w:val="28"/>
          <w:szCs w:val="28"/>
          <w:highlight w:val="none"/>
          <w:lang w:eastAsia="zh-CN"/>
        </w:rPr>
        <w:t>评标小组</w:t>
      </w:r>
      <w:r>
        <w:rPr>
          <w:rFonts w:hint="eastAsia" w:ascii="宋体" w:hAnsi="宋体" w:eastAsia="宋体" w:cs="宋体"/>
          <w:color w:val="auto"/>
          <w:sz w:val="28"/>
          <w:szCs w:val="28"/>
          <w:highlight w:val="none"/>
        </w:rPr>
        <w:t>成员应当对投标文件发表专业、客观、公正的意见，意见不一致的应作进一步核实和讨论。</w:t>
      </w:r>
      <w:r>
        <w:rPr>
          <w:rFonts w:hint="eastAsia" w:ascii="宋体" w:hAnsi="宋体" w:eastAsia="宋体" w:cs="宋体"/>
          <w:color w:val="auto"/>
          <w:sz w:val="28"/>
          <w:szCs w:val="28"/>
          <w:highlight w:val="none"/>
          <w:lang w:eastAsia="zh-CN"/>
        </w:rPr>
        <w:t>评标小组</w:t>
      </w:r>
      <w:r>
        <w:rPr>
          <w:rFonts w:hint="eastAsia" w:ascii="宋体" w:hAnsi="宋体" w:eastAsia="宋体" w:cs="宋体"/>
          <w:color w:val="auto"/>
          <w:sz w:val="28"/>
          <w:szCs w:val="28"/>
          <w:highlight w:val="none"/>
        </w:rPr>
        <w:t>成员对任何一个投标文件的质疑，应当在讨论或现场讲解时提出，表决结果公布后才提出的质疑，不可作为改变表决结果的依据。</w:t>
      </w:r>
    </w:p>
    <w:p>
      <w:pPr>
        <w:spacing w:line="50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5.2.5  如果少数投标人超越招标文件要求提交了模型、演示动画、特殊规格展示图纸或发生其他特殊情况，</w:t>
      </w:r>
      <w:r>
        <w:rPr>
          <w:rFonts w:hint="eastAsia" w:ascii="宋体" w:hAnsi="宋体" w:eastAsia="宋体" w:cs="宋体"/>
          <w:color w:val="auto"/>
          <w:sz w:val="28"/>
          <w:szCs w:val="28"/>
          <w:highlight w:val="none"/>
          <w:lang w:eastAsia="zh-CN"/>
        </w:rPr>
        <w:t>评标小组</w:t>
      </w:r>
      <w:r>
        <w:rPr>
          <w:rFonts w:hint="eastAsia" w:ascii="宋体" w:hAnsi="宋体" w:eastAsia="宋体" w:cs="宋体"/>
          <w:color w:val="auto"/>
          <w:sz w:val="28"/>
          <w:szCs w:val="28"/>
          <w:highlight w:val="none"/>
        </w:rPr>
        <w:t>对超越招标文件要求的内容不进行评审，只评审该投标文件符合要求的内容。</w:t>
      </w:r>
    </w:p>
    <w:p>
      <w:pPr>
        <w:spacing w:line="500" w:lineRule="exact"/>
        <w:ind w:firstLine="562" w:firstLineChars="2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5.3    评标办法采用</w:t>
      </w:r>
      <w:r>
        <w:rPr>
          <w:rFonts w:hint="eastAsia" w:ascii="宋体" w:hAnsi="宋体" w:eastAsia="宋体" w:cs="宋体"/>
          <w:b/>
          <w:color w:val="auto"/>
          <w:sz w:val="28"/>
          <w:szCs w:val="28"/>
          <w:highlight w:val="none"/>
          <w:u w:val="single"/>
        </w:rPr>
        <w:t>综合评</w:t>
      </w:r>
      <w:r>
        <w:rPr>
          <w:rFonts w:hint="eastAsia" w:ascii="宋体" w:hAnsi="宋体" w:eastAsia="宋体" w:cs="宋体"/>
          <w:b/>
          <w:color w:val="auto"/>
          <w:sz w:val="28"/>
          <w:szCs w:val="28"/>
          <w:highlight w:val="none"/>
          <w:u w:val="single"/>
          <w:lang w:val="en-US" w:eastAsia="zh-CN"/>
        </w:rPr>
        <w:t>审</w:t>
      </w:r>
      <w:r>
        <w:rPr>
          <w:rFonts w:hint="eastAsia" w:ascii="宋体" w:hAnsi="宋体" w:eastAsia="宋体" w:cs="宋体"/>
          <w:b/>
          <w:color w:val="auto"/>
          <w:sz w:val="28"/>
          <w:szCs w:val="28"/>
          <w:highlight w:val="none"/>
          <w:u w:val="single"/>
        </w:rPr>
        <w:t>法</w:t>
      </w:r>
      <w:r>
        <w:rPr>
          <w:rFonts w:hint="eastAsia" w:ascii="宋体" w:hAnsi="宋体" w:eastAsia="宋体" w:cs="宋体"/>
          <w:b/>
          <w:color w:val="auto"/>
          <w:sz w:val="28"/>
          <w:szCs w:val="28"/>
          <w:highlight w:val="none"/>
          <w:u w:val="none"/>
        </w:rPr>
        <w:t>评标</w:t>
      </w:r>
    </w:p>
    <w:p>
      <w:pPr>
        <w:spacing w:line="50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5.3.1  开标评标程序</w:t>
      </w:r>
    </w:p>
    <w:p>
      <w:pPr>
        <w:snapToGrid w:val="0"/>
        <w:spacing w:line="500" w:lineRule="exact"/>
        <w:ind w:firstLine="610" w:firstLineChars="218"/>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（1）投标人递交投标文件。</w:t>
      </w:r>
    </w:p>
    <w:p>
      <w:pPr>
        <w:snapToGrid w:val="0"/>
        <w:spacing w:line="500" w:lineRule="exact"/>
        <w:ind w:firstLine="610" w:firstLineChars="218"/>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（2）对投标文件公开开标。</w:t>
      </w:r>
    </w:p>
    <w:p>
      <w:pPr>
        <w:snapToGrid w:val="0"/>
        <w:spacing w:line="500" w:lineRule="exact"/>
        <w:ind w:firstLine="610" w:firstLineChars="218"/>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（3）对投标文件进行符合性审查，并对通过符合性审查的投标文件进行综合评分。</w:t>
      </w:r>
    </w:p>
    <w:p>
      <w:pPr>
        <w:spacing w:line="500" w:lineRule="exact"/>
        <w:ind w:firstLine="560" w:firstLineChars="200"/>
        <w:rPr>
          <w:rFonts w:hint="eastAsia" w:ascii="宋体" w:hAnsi="宋体" w:eastAsia="宋体" w:cs="宋体"/>
          <w:b/>
          <w:color w:val="auto"/>
          <w:sz w:val="28"/>
          <w:szCs w:val="28"/>
          <w:highlight w:val="none"/>
        </w:rPr>
      </w:pPr>
      <w:r>
        <w:rPr>
          <w:rFonts w:hint="eastAsia" w:ascii="宋体" w:hAnsi="宋体" w:eastAsia="宋体" w:cs="宋体"/>
          <w:color w:val="auto"/>
          <w:sz w:val="28"/>
          <w:szCs w:val="28"/>
          <w:highlight w:val="none"/>
        </w:rPr>
        <w:t>（4）汇总投标人的综合得分，推荐中标候选人并编写评标报告。</w:t>
      </w:r>
    </w:p>
    <w:p>
      <w:pPr>
        <w:spacing w:line="50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5.3.2  详细评审步骤</w:t>
      </w:r>
    </w:p>
    <w:p>
      <w:pPr>
        <w:snapToGrid w:val="0"/>
        <w:spacing w:line="500" w:lineRule="exact"/>
        <w:ind w:left="0" w:leftChars="0"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lang w:eastAsia="zh-CN"/>
        </w:rPr>
        <w:t>）评标小组</w:t>
      </w:r>
      <w:r>
        <w:rPr>
          <w:rFonts w:hint="eastAsia" w:ascii="宋体" w:hAnsi="宋体" w:eastAsia="宋体" w:cs="宋体"/>
          <w:color w:val="auto"/>
          <w:sz w:val="28"/>
          <w:szCs w:val="28"/>
          <w:highlight w:val="none"/>
        </w:rPr>
        <w:t>专家首先按附件1《符合性审查表》对各投标文件进行评审，只有通过符合性审查的投标文件方可进入下一阶段的评审。</w:t>
      </w:r>
    </w:p>
    <w:p>
      <w:pPr>
        <w:spacing w:line="500" w:lineRule="exact"/>
        <w:ind w:left="0" w:leftChars="0"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lang w:eastAsia="zh-CN"/>
        </w:rPr>
        <w:t>）评标小组</w:t>
      </w:r>
      <w:r>
        <w:rPr>
          <w:rFonts w:hint="eastAsia" w:ascii="宋体" w:hAnsi="宋体" w:eastAsia="宋体" w:cs="宋体"/>
          <w:color w:val="auto"/>
          <w:sz w:val="28"/>
          <w:szCs w:val="28"/>
          <w:highlight w:val="none"/>
        </w:rPr>
        <w:t>专家计算各投标人的综合得分</w:t>
      </w:r>
      <w:r>
        <w:rPr>
          <w:rFonts w:hint="eastAsia" w:ascii="宋体" w:hAnsi="宋体" w:eastAsia="宋体" w:cs="宋体"/>
          <w:color w:val="auto"/>
          <w:sz w:val="28"/>
          <w:szCs w:val="28"/>
          <w:highlight w:val="none"/>
          <w:lang w:eastAsia="zh-CN"/>
        </w:rPr>
        <w:t>。</w:t>
      </w:r>
    </w:p>
    <w:p>
      <w:pPr>
        <w:spacing w:line="500" w:lineRule="exact"/>
        <w:ind w:left="0" w:leftChars="0"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lang w:eastAsia="zh-CN"/>
        </w:rPr>
        <w:t>）评标小组</w:t>
      </w:r>
      <w:r>
        <w:rPr>
          <w:rFonts w:hint="eastAsia" w:ascii="宋体" w:hAnsi="宋体" w:eastAsia="宋体" w:cs="宋体"/>
          <w:color w:val="auto"/>
          <w:sz w:val="28"/>
          <w:szCs w:val="28"/>
          <w:highlight w:val="none"/>
        </w:rPr>
        <w:t>编写、签署评标报告，向招标人推荐综合得分最高的前三名中标候选方案（中标候选人）并标明排列顺序，评标报告由</w:t>
      </w:r>
      <w:r>
        <w:rPr>
          <w:rFonts w:hint="eastAsia" w:ascii="宋体" w:hAnsi="宋体" w:eastAsia="宋体" w:cs="宋体"/>
          <w:color w:val="auto"/>
          <w:sz w:val="28"/>
          <w:szCs w:val="28"/>
          <w:highlight w:val="none"/>
          <w:lang w:eastAsia="zh-CN"/>
        </w:rPr>
        <w:t>评标小组</w:t>
      </w:r>
      <w:r>
        <w:rPr>
          <w:rFonts w:hint="eastAsia" w:ascii="宋体" w:hAnsi="宋体" w:eastAsia="宋体" w:cs="宋体"/>
          <w:color w:val="auto"/>
          <w:sz w:val="28"/>
          <w:szCs w:val="28"/>
          <w:highlight w:val="none"/>
        </w:rPr>
        <w:t>全体成员签名，对评标结论持有异议的</w:t>
      </w:r>
      <w:r>
        <w:rPr>
          <w:rFonts w:hint="eastAsia" w:ascii="宋体" w:hAnsi="宋体" w:eastAsia="宋体" w:cs="宋体"/>
          <w:color w:val="auto"/>
          <w:sz w:val="28"/>
          <w:szCs w:val="28"/>
          <w:highlight w:val="none"/>
          <w:lang w:eastAsia="zh-CN"/>
        </w:rPr>
        <w:t>评标小组</w:t>
      </w:r>
      <w:r>
        <w:rPr>
          <w:rFonts w:hint="eastAsia" w:ascii="宋体" w:hAnsi="宋体" w:eastAsia="宋体" w:cs="宋体"/>
          <w:color w:val="auto"/>
          <w:sz w:val="28"/>
          <w:szCs w:val="28"/>
          <w:highlight w:val="none"/>
        </w:rPr>
        <w:t>成员可以书面方式阐述其不同意见和理由。</w:t>
      </w:r>
    </w:p>
    <w:p>
      <w:pPr>
        <w:spacing w:line="500" w:lineRule="exact"/>
        <w:ind w:firstLine="562" w:firstLineChars="200"/>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5.4   定标</w:t>
      </w:r>
    </w:p>
    <w:p>
      <w:pPr>
        <w:spacing w:line="50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5.4.1  招标人在</w:t>
      </w:r>
      <w:r>
        <w:rPr>
          <w:rFonts w:hint="eastAsia" w:ascii="宋体" w:hAnsi="宋体" w:eastAsia="宋体" w:cs="宋体"/>
          <w:color w:val="auto"/>
          <w:sz w:val="28"/>
          <w:szCs w:val="28"/>
          <w:highlight w:val="none"/>
          <w:lang w:eastAsia="zh-CN"/>
        </w:rPr>
        <w:t>评标小组</w:t>
      </w:r>
      <w:r>
        <w:rPr>
          <w:rFonts w:hint="eastAsia" w:ascii="宋体" w:hAnsi="宋体" w:eastAsia="宋体" w:cs="宋体"/>
          <w:color w:val="auto"/>
          <w:sz w:val="28"/>
          <w:szCs w:val="28"/>
          <w:highlight w:val="none"/>
        </w:rPr>
        <w:t>推荐的候选方案中确定中标方案。但是，招标人认为</w:t>
      </w:r>
      <w:r>
        <w:rPr>
          <w:rFonts w:hint="eastAsia" w:ascii="宋体" w:hAnsi="宋体" w:eastAsia="宋体" w:cs="宋体"/>
          <w:color w:val="auto"/>
          <w:sz w:val="28"/>
          <w:szCs w:val="28"/>
          <w:highlight w:val="none"/>
          <w:lang w:eastAsia="zh-CN"/>
        </w:rPr>
        <w:t>评标小组</w:t>
      </w:r>
      <w:r>
        <w:rPr>
          <w:rFonts w:hint="eastAsia" w:ascii="宋体" w:hAnsi="宋体" w:eastAsia="宋体" w:cs="宋体"/>
          <w:color w:val="auto"/>
          <w:sz w:val="28"/>
          <w:szCs w:val="28"/>
          <w:highlight w:val="none"/>
        </w:rPr>
        <w:t>推荐的候选方案不能最大限度满足招标文件规定的要求的，依法重新招标。</w:t>
      </w:r>
    </w:p>
    <w:p>
      <w:pPr>
        <w:spacing w:line="50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5.4.2  招标人采用下面方法确定中标人：</w:t>
      </w:r>
    </w:p>
    <w:p>
      <w:pPr>
        <w:spacing w:line="500" w:lineRule="exact"/>
        <w:ind w:left="956" w:leftChars="266" w:hanging="397" w:hangingChars="142"/>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招标人委托</w:t>
      </w:r>
      <w:r>
        <w:rPr>
          <w:rFonts w:hint="eastAsia" w:ascii="宋体" w:hAnsi="宋体" w:eastAsia="宋体" w:cs="宋体"/>
          <w:color w:val="auto"/>
          <w:sz w:val="28"/>
          <w:szCs w:val="28"/>
          <w:highlight w:val="none"/>
          <w:lang w:eastAsia="zh-CN"/>
        </w:rPr>
        <w:t>评标小组</w:t>
      </w:r>
      <w:r>
        <w:rPr>
          <w:rFonts w:hint="eastAsia" w:ascii="宋体" w:hAnsi="宋体" w:eastAsia="宋体" w:cs="宋体"/>
          <w:color w:val="auto"/>
          <w:sz w:val="28"/>
          <w:szCs w:val="28"/>
          <w:highlight w:val="none"/>
        </w:rPr>
        <w:t>直接确定中标人；</w:t>
      </w:r>
    </w:p>
    <w:p>
      <w:pPr>
        <w:spacing w:line="500" w:lineRule="exact"/>
        <w:ind w:left="0" w:leftChars="0" w:firstLine="562" w:firstLineChars="200"/>
        <w:jc w:val="left"/>
        <w:rPr>
          <w:rFonts w:hint="eastAsia" w:ascii="宋体" w:hAnsi="宋体" w:eastAsia="宋体" w:cs="宋体"/>
          <w:color w:val="auto"/>
          <w:sz w:val="28"/>
          <w:szCs w:val="28"/>
          <w:highlight w:val="none"/>
          <w:lang w:val="en-US" w:eastAsia="zh-CN"/>
        </w:rPr>
      </w:pPr>
      <w:r>
        <w:rPr>
          <w:rFonts w:hint="eastAsia" w:ascii="宋体" w:hAnsi="宋体" w:eastAsia="宋体" w:cs="宋体"/>
          <w:b/>
          <w:color w:val="auto"/>
          <w:kern w:val="0"/>
          <w:sz w:val="28"/>
          <w:szCs w:val="28"/>
          <w:highlight w:val="none"/>
        </w:rPr>
        <w:t>√</w:t>
      </w:r>
      <w:r>
        <w:rPr>
          <w:rFonts w:hint="eastAsia" w:ascii="宋体" w:hAnsi="宋体" w:eastAsia="宋体" w:cs="宋体"/>
          <w:b w:val="0"/>
          <w:bCs/>
          <w:color w:val="auto"/>
          <w:kern w:val="0"/>
          <w:sz w:val="28"/>
          <w:szCs w:val="28"/>
          <w:highlight w:val="none"/>
          <w:lang w:eastAsia="zh-CN"/>
        </w:rPr>
        <w:t>（</w:t>
      </w:r>
      <w:r>
        <w:rPr>
          <w:rFonts w:hint="eastAsia" w:ascii="宋体" w:hAnsi="宋体" w:eastAsia="宋体" w:cs="宋体"/>
          <w:b w:val="0"/>
          <w:bCs/>
          <w:color w:val="auto"/>
          <w:kern w:val="0"/>
          <w:sz w:val="28"/>
          <w:szCs w:val="28"/>
          <w:highlight w:val="none"/>
          <w:lang w:val="en-US" w:eastAsia="zh-CN"/>
        </w:rPr>
        <w:t>2</w:t>
      </w:r>
      <w:r>
        <w:rPr>
          <w:rFonts w:hint="eastAsia" w:ascii="宋体" w:hAnsi="宋体" w:eastAsia="宋体" w:cs="宋体"/>
          <w:b w:val="0"/>
          <w:bCs/>
          <w:color w:val="auto"/>
          <w:kern w:val="0"/>
          <w:sz w:val="28"/>
          <w:szCs w:val="28"/>
          <w:highlight w:val="none"/>
          <w:lang w:eastAsia="zh-CN"/>
        </w:rPr>
        <w:t>）</w:t>
      </w:r>
      <w:r>
        <w:rPr>
          <w:rFonts w:hint="eastAsia" w:ascii="宋体" w:hAnsi="宋体" w:eastAsia="宋体" w:cs="宋体"/>
          <w:color w:val="auto"/>
          <w:sz w:val="28"/>
          <w:szCs w:val="28"/>
          <w:highlight w:val="none"/>
        </w:rPr>
        <w:t>确定</w:t>
      </w:r>
      <w:r>
        <w:rPr>
          <w:rFonts w:hint="eastAsia" w:ascii="宋体" w:hAnsi="宋体" w:eastAsia="宋体" w:cs="宋体"/>
          <w:color w:val="auto"/>
          <w:sz w:val="28"/>
          <w:szCs w:val="28"/>
          <w:highlight w:val="none"/>
          <w:lang w:eastAsia="zh-CN"/>
        </w:rPr>
        <w:t>评标小组</w:t>
      </w:r>
      <w:r>
        <w:rPr>
          <w:rFonts w:hint="eastAsia" w:ascii="宋体" w:hAnsi="宋体" w:eastAsia="宋体" w:cs="宋体"/>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以此类推，如所有中标候选人均出现前款所列的情形，为招标失败，招标人依法重新招标。</w:t>
      </w:r>
    </w:p>
    <w:p>
      <w:pPr>
        <w:spacing w:line="500" w:lineRule="exact"/>
        <w:ind w:firstLine="562" w:firstLineChars="2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5.5  发生下列情形之一的，招标人将重新组织招标：</w:t>
      </w:r>
    </w:p>
    <w:p>
      <w:pPr>
        <w:pStyle w:val="10"/>
        <w:widowControl/>
        <w:spacing w:line="500" w:lineRule="exact"/>
        <w:ind w:firstLine="560" w:firstLineChars="200"/>
        <w:jc w:val="left"/>
        <w:rPr>
          <w:rFonts w:hint="eastAsia" w:ascii="宋体" w:hAnsi="宋体" w:eastAsia="宋体" w:cs="宋体"/>
          <w:color w:val="auto"/>
          <w:sz w:val="28"/>
          <w:szCs w:val="28"/>
          <w:highlight w:val="none"/>
        </w:rPr>
      </w:pPr>
      <w:r>
        <w:rPr>
          <w:rFonts w:ascii="宋体" w:hAnsi="宋体" w:eastAsia="宋体" w:cs="宋体"/>
          <w:color w:val="auto"/>
          <w:sz w:val="28"/>
          <w:szCs w:val="28"/>
          <w:highlight w:val="none"/>
        </w:rPr>
        <w:t>若本项目经评审有效的投标人不足3名时，本次招标失败，招标人应当依法重新组织招标。</w:t>
      </w:r>
    </w:p>
    <w:p>
      <w:pPr>
        <w:spacing w:line="500" w:lineRule="exact"/>
        <w:ind w:firstLine="562" w:firstLineChars="2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5.6    授予合同</w:t>
      </w:r>
    </w:p>
    <w:p>
      <w:pPr>
        <w:pStyle w:val="10"/>
        <w:widowControl/>
        <w:spacing w:line="500" w:lineRule="exact"/>
        <w:ind w:firstLine="560" w:firstLineChars="200"/>
        <w:jc w:val="left"/>
        <w:rPr>
          <w:rFonts w:hint="eastAsia" w:ascii="宋体" w:hAnsi="宋体" w:eastAsia="宋体" w:cs="宋体"/>
          <w:color w:val="auto"/>
          <w:sz w:val="28"/>
          <w:szCs w:val="28"/>
          <w:highlight w:val="none"/>
        </w:rPr>
      </w:pPr>
      <w:r>
        <w:rPr>
          <w:rFonts w:ascii="宋体" w:hAnsi="宋体" w:eastAsia="宋体" w:cs="宋体"/>
          <w:color w:val="auto"/>
          <w:sz w:val="28"/>
          <w:szCs w:val="28"/>
          <w:highlight w:val="none"/>
        </w:rPr>
        <w:t>5.6.1  招标人一般将合同授予中标人，合同在投标有效期或投标人接受的延长期内授出。</w:t>
      </w:r>
    </w:p>
    <w:p>
      <w:pPr>
        <w:pStyle w:val="10"/>
        <w:widowControl/>
        <w:spacing w:line="500" w:lineRule="exact"/>
        <w:ind w:firstLine="560" w:firstLineChars="200"/>
        <w:jc w:val="left"/>
        <w:rPr>
          <w:rFonts w:hint="eastAsia" w:ascii="宋体" w:hAnsi="宋体" w:eastAsia="宋体" w:cs="宋体"/>
          <w:color w:val="auto"/>
          <w:sz w:val="28"/>
          <w:szCs w:val="28"/>
          <w:highlight w:val="none"/>
        </w:rPr>
      </w:pPr>
      <w:r>
        <w:rPr>
          <w:rFonts w:ascii="宋体" w:hAnsi="宋体" w:eastAsia="宋体" w:cs="宋体"/>
          <w:color w:val="auto"/>
          <w:sz w:val="28"/>
          <w:szCs w:val="28"/>
          <w:highlight w:val="none"/>
        </w:rPr>
        <w:t>5.6.2  中标人必须签署并执行招标文件规定的合同条件。</w:t>
      </w:r>
    </w:p>
    <w:p>
      <w:pPr>
        <w:spacing w:line="500" w:lineRule="exact"/>
        <w:jc w:val="center"/>
        <w:outlineLvl w:val="1"/>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六、开标细则</w:t>
      </w:r>
    </w:p>
    <w:p>
      <w:pPr>
        <w:snapToGrid w:val="0"/>
        <w:spacing w:line="50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6.1开标由招标人或招标代理机构主持；</w:t>
      </w:r>
    </w:p>
    <w:p>
      <w:pPr>
        <w:snapToGrid w:val="0"/>
        <w:spacing w:line="50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6.2 由投标人或其推选的代表检查投标文件的密封情况，也可以由招标人委托的公证机构检查并公证；</w:t>
      </w:r>
    </w:p>
    <w:p>
      <w:pPr>
        <w:snapToGrid w:val="0"/>
        <w:spacing w:line="50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6.4 开标时，由招标人或招标代理机构在监督人员的见证下当众拆封，宣读</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a、投标人名称；b、标书密封情况；c、法定代表人证明及授权委托；d、投标报价等主要内容，并予以记录，记录提交</w:t>
      </w:r>
      <w:r>
        <w:rPr>
          <w:rFonts w:hint="eastAsia" w:ascii="宋体" w:hAnsi="宋体" w:eastAsia="宋体" w:cs="宋体"/>
          <w:color w:val="auto"/>
          <w:sz w:val="28"/>
          <w:szCs w:val="28"/>
          <w:highlight w:val="none"/>
          <w:lang w:eastAsia="zh-CN"/>
        </w:rPr>
        <w:t>评标小组</w:t>
      </w:r>
      <w:r>
        <w:rPr>
          <w:rFonts w:hint="eastAsia" w:ascii="宋体" w:hAnsi="宋体" w:eastAsia="宋体" w:cs="宋体"/>
          <w:color w:val="auto"/>
          <w:sz w:val="28"/>
          <w:szCs w:val="28"/>
          <w:highlight w:val="none"/>
        </w:rPr>
        <w:t>评审。</w:t>
      </w:r>
    </w:p>
    <w:p>
      <w:pPr>
        <w:snapToGrid w:val="0"/>
        <w:spacing w:line="50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6.6  招标人将上述符合要求的投标文件，送至</w:t>
      </w:r>
      <w:r>
        <w:rPr>
          <w:rFonts w:hint="eastAsia" w:ascii="宋体" w:hAnsi="宋体" w:eastAsia="宋体" w:cs="宋体"/>
          <w:color w:val="auto"/>
          <w:sz w:val="28"/>
          <w:szCs w:val="28"/>
          <w:highlight w:val="none"/>
          <w:lang w:eastAsia="zh-CN"/>
        </w:rPr>
        <w:t>评标小组</w:t>
      </w:r>
      <w:r>
        <w:rPr>
          <w:rFonts w:hint="eastAsia" w:ascii="宋体" w:hAnsi="宋体" w:eastAsia="宋体" w:cs="宋体"/>
          <w:color w:val="auto"/>
          <w:sz w:val="28"/>
          <w:szCs w:val="28"/>
          <w:highlight w:val="none"/>
        </w:rPr>
        <w:t>进行评审。</w:t>
      </w:r>
    </w:p>
    <w:p>
      <w:pPr>
        <w:spacing w:line="500" w:lineRule="exact"/>
        <w:jc w:val="center"/>
        <w:outlineLvl w:val="1"/>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七、评标</w:t>
      </w:r>
    </w:p>
    <w:p>
      <w:pPr>
        <w:snapToGrid w:val="0"/>
        <w:spacing w:line="500" w:lineRule="exact"/>
        <w:ind w:firstLine="422" w:firstLineChars="15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7.1  评标过程</w:t>
      </w:r>
    </w:p>
    <w:p>
      <w:pPr>
        <w:snapToGrid w:val="0"/>
        <w:spacing w:line="50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 xml:space="preserve">7.1.1 </w:t>
      </w:r>
      <w:r>
        <w:rPr>
          <w:rFonts w:hint="eastAsia" w:ascii="宋体" w:hAnsi="宋体" w:eastAsia="宋体" w:cs="宋体"/>
          <w:color w:val="auto"/>
          <w:sz w:val="28"/>
          <w:szCs w:val="28"/>
          <w:highlight w:val="none"/>
        </w:rPr>
        <w:t>第一步：进行投标文件符合性审查；</w:t>
      </w:r>
    </w:p>
    <w:p>
      <w:pPr>
        <w:snapToGrid w:val="0"/>
        <w:spacing w:line="50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评标小组</w:t>
      </w:r>
      <w:r>
        <w:rPr>
          <w:rFonts w:hint="eastAsia" w:ascii="宋体" w:hAnsi="宋体" w:eastAsia="宋体" w:cs="宋体"/>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7.1.</w:t>
      </w:r>
      <w:r>
        <w:rPr>
          <w:rFonts w:hint="eastAsia" w:ascii="宋体" w:hAnsi="宋体" w:eastAsia="宋体" w:cs="宋体"/>
          <w:color w:val="auto"/>
          <w:sz w:val="28"/>
          <w:szCs w:val="28"/>
          <w:highlight w:val="none"/>
        </w:rPr>
        <w:t>2</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第二步：专家对综合评分表进行打分；</w:t>
      </w:r>
    </w:p>
    <w:p>
      <w:pPr>
        <w:snapToGrid w:val="0"/>
        <w:spacing w:line="50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7.1.</w:t>
      </w:r>
      <w:r>
        <w:rPr>
          <w:rFonts w:hint="eastAsia" w:ascii="宋体" w:hAnsi="宋体" w:eastAsia="宋体" w:cs="宋体"/>
          <w:color w:val="auto"/>
          <w:sz w:val="28"/>
          <w:szCs w:val="28"/>
          <w:highlight w:val="none"/>
        </w:rPr>
        <w:t>3</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第三步：</w:t>
      </w:r>
      <w:r>
        <w:rPr>
          <w:rFonts w:hint="eastAsia" w:ascii="宋体" w:hAnsi="宋体" w:eastAsia="宋体" w:cs="宋体"/>
          <w:color w:val="auto"/>
          <w:sz w:val="28"/>
          <w:szCs w:val="28"/>
          <w:highlight w:val="none"/>
          <w:lang w:eastAsia="zh-CN"/>
        </w:rPr>
        <w:t>评标小组</w:t>
      </w:r>
      <w:r>
        <w:rPr>
          <w:rFonts w:hint="eastAsia" w:ascii="宋体" w:hAnsi="宋体" w:eastAsia="宋体" w:cs="宋体"/>
          <w:color w:val="auto"/>
          <w:sz w:val="28"/>
          <w:szCs w:val="28"/>
          <w:highlight w:val="none"/>
        </w:rPr>
        <w:t>完成评标报告，向招标人推荐中标候选人。</w:t>
      </w:r>
    </w:p>
    <w:p>
      <w:pPr>
        <w:snapToGrid w:val="0"/>
        <w:spacing w:line="500" w:lineRule="exact"/>
        <w:ind w:firstLine="422" w:firstLineChars="15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7.2  投标文件的符合性审查</w:t>
      </w:r>
    </w:p>
    <w:p>
      <w:pPr>
        <w:snapToGrid w:val="0"/>
        <w:spacing w:line="50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7.2.1</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lang w:eastAsia="zh-CN"/>
        </w:rPr>
        <w:t>评标小组</w:t>
      </w:r>
      <w:r>
        <w:rPr>
          <w:rFonts w:hint="eastAsia" w:ascii="宋体" w:hAnsi="宋体" w:eastAsia="宋体" w:cs="宋体"/>
          <w:color w:val="auto"/>
          <w:sz w:val="28"/>
          <w:szCs w:val="28"/>
          <w:highlight w:val="none"/>
        </w:rPr>
        <w:t>根据附件1“符合性审查表”进行评审。投标文件全部列于附件1《符合性审查表》中情形的，为通过符合性审查。否则其投标文件将被否决。如</w:t>
      </w:r>
      <w:r>
        <w:rPr>
          <w:rFonts w:hint="eastAsia" w:ascii="宋体" w:hAnsi="宋体" w:eastAsia="宋体" w:cs="宋体"/>
          <w:color w:val="auto"/>
          <w:sz w:val="28"/>
          <w:szCs w:val="28"/>
          <w:highlight w:val="none"/>
          <w:lang w:eastAsia="zh-CN"/>
        </w:rPr>
        <w:t>评标小组</w:t>
      </w:r>
      <w:r>
        <w:rPr>
          <w:rFonts w:hint="eastAsia" w:ascii="宋体" w:hAnsi="宋体" w:eastAsia="宋体" w:cs="宋体"/>
          <w:color w:val="auto"/>
          <w:sz w:val="28"/>
          <w:szCs w:val="28"/>
          <w:highlight w:val="none"/>
        </w:rPr>
        <w:t>成员的评审意见不一致时，以</w:t>
      </w:r>
      <w:r>
        <w:rPr>
          <w:rFonts w:hint="eastAsia" w:ascii="宋体" w:hAnsi="宋体" w:eastAsia="宋体" w:cs="宋体"/>
          <w:color w:val="auto"/>
          <w:sz w:val="28"/>
          <w:szCs w:val="28"/>
          <w:highlight w:val="none"/>
          <w:lang w:eastAsia="zh-CN"/>
        </w:rPr>
        <w:t>评标小组</w:t>
      </w:r>
      <w:r>
        <w:rPr>
          <w:rFonts w:hint="eastAsia" w:ascii="宋体" w:hAnsi="宋体" w:eastAsia="宋体" w:cs="宋体"/>
          <w:color w:val="auto"/>
          <w:sz w:val="28"/>
          <w:szCs w:val="28"/>
          <w:highlight w:val="none"/>
        </w:rPr>
        <w:t>过半数成员的意见作为</w:t>
      </w:r>
      <w:r>
        <w:rPr>
          <w:rFonts w:hint="eastAsia" w:ascii="宋体" w:hAnsi="宋体" w:eastAsia="宋体" w:cs="宋体"/>
          <w:color w:val="auto"/>
          <w:sz w:val="28"/>
          <w:szCs w:val="28"/>
          <w:highlight w:val="none"/>
          <w:lang w:eastAsia="zh-CN"/>
        </w:rPr>
        <w:t>评标小组</w:t>
      </w:r>
      <w:r>
        <w:rPr>
          <w:rFonts w:hint="eastAsia" w:ascii="宋体" w:hAnsi="宋体" w:eastAsia="宋体" w:cs="宋体"/>
          <w:color w:val="auto"/>
          <w:sz w:val="28"/>
          <w:szCs w:val="28"/>
          <w:highlight w:val="none"/>
        </w:rPr>
        <w:t>对该情形的认定结论。</w:t>
      </w:r>
    </w:p>
    <w:p>
      <w:pPr>
        <w:snapToGrid w:val="0"/>
        <w:spacing w:line="50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7.2.2</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lang w:eastAsia="zh-CN"/>
        </w:rPr>
        <w:t>评标小组</w:t>
      </w:r>
      <w:r>
        <w:rPr>
          <w:rFonts w:hint="eastAsia" w:ascii="宋体" w:hAnsi="宋体" w:eastAsia="宋体" w:cs="宋体"/>
          <w:color w:val="auto"/>
          <w:sz w:val="28"/>
          <w:szCs w:val="28"/>
          <w:highlight w:val="none"/>
        </w:rPr>
        <w:t>对所有投标作否决处理的，招标人应当重新招标。</w:t>
      </w:r>
    </w:p>
    <w:p>
      <w:pPr>
        <w:snapToGrid w:val="0"/>
        <w:spacing w:line="500" w:lineRule="exact"/>
        <w:ind w:firstLine="422" w:firstLineChars="15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 xml:space="preserve">7.4  计算投标人总得分（满分为100分） </w:t>
      </w:r>
    </w:p>
    <w:p>
      <w:pPr>
        <w:snapToGrid w:val="0"/>
        <w:spacing w:line="500" w:lineRule="exact"/>
        <w:ind w:firstLine="422" w:firstLineChars="15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7.5  推荐中标候选人</w:t>
      </w:r>
    </w:p>
    <w:p>
      <w:pPr>
        <w:snapToGrid w:val="0"/>
        <w:spacing w:line="50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7.5.1按投标人总得分高低进行先后排序，取评分最高者为第一中标候选人，次高者为第二中标候选人，依次类推。</w:t>
      </w:r>
    </w:p>
    <w:p>
      <w:pPr>
        <w:snapToGrid w:val="0"/>
        <w:spacing w:line="50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7.5.2如果有两个或两个以上的投标人总得分评分相同，则服务报价得分较高的投标人排名优先；如果总得分、服务报价得分均相同的投标文件，则由</w:t>
      </w:r>
      <w:r>
        <w:rPr>
          <w:rFonts w:hint="eastAsia" w:ascii="宋体" w:hAnsi="宋体" w:eastAsia="宋体" w:cs="宋体"/>
          <w:color w:val="auto"/>
          <w:sz w:val="28"/>
          <w:szCs w:val="28"/>
          <w:highlight w:val="none"/>
          <w:lang w:eastAsia="zh-CN"/>
        </w:rPr>
        <w:t>评标小组</w:t>
      </w:r>
      <w:r>
        <w:rPr>
          <w:rFonts w:hint="eastAsia" w:ascii="宋体" w:hAnsi="宋体" w:eastAsia="宋体" w:cs="宋体"/>
          <w:color w:val="auto"/>
          <w:sz w:val="28"/>
          <w:szCs w:val="28"/>
          <w:highlight w:val="none"/>
        </w:rPr>
        <w:t>采用摇珠方式，确定中标候选人顺序。</w:t>
      </w:r>
    </w:p>
    <w:p>
      <w:pPr>
        <w:snapToGrid w:val="0"/>
        <w:spacing w:line="500" w:lineRule="exact"/>
        <w:ind w:firstLine="422" w:firstLineChars="15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7.6 确定中标人</w:t>
      </w:r>
    </w:p>
    <w:p>
      <w:pPr>
        <w:snapToGrid w:val="0"/>
        <w:spacing w:line="50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7.6.</w:t>
      </w:r>
      <w:r>
        <w:rPr>
          <w:rFonts w:hint="eastAsia" w:ascii="宋体" w:hAnsi="宋体" w:eastAsia="宋体" w:cs="宋体"/>
          <w:color w:val="auto"/>
          <w:sz w:val="28"/>
          <w:szCs w:val="28"/>
          <w:highlight w:val="none"/>
        </w:rPr>
        <w:t>1</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 xml:space="preserve"> 招标人依据评标报告审定本项目的中标人。</w:t>
      </w:r>
    </w:p>
    <w:p>
      <w:pPr>
        <w:snapToGrid w:val="0"/>
        <w:spacing w:line="50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7.6.</w:t>
      </w:r>
      <w:r>
        <w:rPr>
          <w:rFonts w:hint="eastAsia" w:ascii="宋体" w:hAnsi="宋体" w:eastAsia="宋体" w:cs="宋体"/>
          <w:color w:val="auto"/>
          <w:sz w:val="28"/>
          <w:szCs w:val="28"/>
          <w:highlight w:val="none"/>
        </w:rPr>
        <w:t>2</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7.7招标人将参照以下原则进行本项目中标人的替换：</w:t>
      </w:r>
    </w:p>
    <w:p>
      <w:pPr>
        <w:numPr>
          <w:ilvl w:val="-1"/>
          <w:numId w:val="0"/>
        </w:numPr>
        <w:snapToGrid w:val="0"/>
        <w:spacing w:line="360" w:lineRule="auto"/>
        <w:ind w:left="0"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 xml:space="preserve">7.7.1 </w:t>
      </w:r>
      <w:r>
        <w:rPr>
          <w:rFonts w:hint="eastAsia" w:ascii="宋体" w:hAnsi="宋体" w:eastAsia="宋体" w:cs="宋体"/>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p>
    <w:p>
      <w:pPr>
        <w:numPr>
          <w:ilvl w:val="-1"/>
          <w:numId w:val="0"/>
        </w:numPr>
        <w:snapToGrid w:val="0"/>
        <w:spacing w:line="360" w:lineRule="auto"/>
        <w:ind w:left="0"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7.7.2</w:t>
      </w:r>
      <w:r>
        <w:rPr>
          <w:rFonts w:hint="eastAsia" w:ascii="宋体" w:hAnsi="宋体" w:eastAsia="宋体" w:cs="宋体"/>
          <w:color w:val="auto"/>
          <w:sz w:val="28"/>
          <w:szCs w:val="28"/>
          <w:highlight w:val="none"/>
        </w:rPr>
        <w:t>当中标人以正式的书面函件形式申请放弃中标资格时，招标人可取消其中标人资格，解除与中标人的合同关系，并按照中标候选人顺序依次选取新的中标人。</w:t>
      </w:r>
    </w:p>
    <w:p>
      <w:pPr>
        <w:pStyle w:val="10"/>
        <w:rPr>
          <w:rFonts w:hint="default" w:ascii="仿宋" w:hAnsi="仿宋" w:eastAsia="仿宋" w:cs="仿宋"/>
          <w:color w:val="auto"/>
          <w:sz w:val="28"/>
          <w:szCs w:val="28"/>
          <w:highlight w:val="none"/>
        </w:rPr>
      </w:pPr>
    </w:p>
    <w:p>
      <w:pPr>
        <w:pStyle w:val="10"/>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hint="eastAsia" w:ascii="黑体" w:hAnsi="宋体" w:cs="黑体"/>
          <w:b/>
          <w:color w:val="auto"/>
          <w:kern w:val="44"/>
          <w:sz w:val="44"/>
          <w:szCs w:val="44"/>
          <w:highlight w:val="none"/>
        </w:rPr>
      </w:pPr>
      <w:bookmarkStart w:id="61" w:name="_Toc26593"/>
      <w:r>
        <w:rPr>
          <w:rFonts w:hint="eastAsia" w:ascii="黑体" w:hAnsi="宋体" w:cs="黑体"/>
          <w:b/>
          <w:color w:val="auto"/>
          <w:kern w:val="44"/>
          <w:sz w:val="44"/>
          <w:szCs w:val="44"/>
          <w:highlight w:val="none"/>
        </w:rPr>
        <w:br w:type="page"/>
      </w:r>
    </w:p>
    <w:p>
      <w:pPr>
        <w:numPr>
          <w:ilvl w:val="0"/>
          <w:numId w:val="6"/>
        </w:numPr>
        <w:snapToGrid w:val="0"/>
        <w:spacing w:line="360" w:lineRule="auto"/>
        <w:ind w:firstLine="663" w:firstLineChars="150"/>
        <w:jc w:val="center"/>
        <w:rPr>
          <w:rFonts w:hint="eastAsia" w:ascii="黑体" w:hAnsi="宋体" w:cs="黑体"/>
          <w:b/>
          <w:color w:val="auto"/>
          <w:kern w:val="44"/>
          <w:sz w:val="44"/>
          <w:szCs w:val="44"/>
          <w:highlight w:val="none"/>
        </w:rPr>
      </w:pPr>
      <w:r>
        <w:rPr>
          <w:rFonts w:hint="eastAsia" w:ascii="黑体" w:hAnsi="宋体" w:cs="黑体"/>
          <w:b/>
          <w:color w:val="auto"/>
          <w:kern w:val="44"/>
          <w:sz w:val="44"/>
          <w:szCs w:val="44"/>
          <w:highlight w:val="none"/>
        </w:rPr>
        <w:t>附件</w:t>
      </w:r>
      <w:bookmarkEnd w:id="61"/>
    </w:p>
    <w:p>
      <w:pPr>
        <w:widowControl/>
        <w:spacing w:line="360" w:lineRule="auto"/>
        <w:ind w:firstLine="562" w:firstLineChars="200"/>
        <w:jc w:val="both"/>
        <w:rPr>
          <w:rFonts w:hint="eastAsia" w:ascii="宋体" w:hAnsi="宋体" w:eastAsia="宋体" w:cs="宋体"/>
          <w:b/>
          <w:color w:val="auto"/>
          <w:kern w:val="0"/>
          <w:sz w:val="28"/>
          <w:szCs w:val="28"/>
          <w:highlight w:val="none"/>
          <w:u w:val="single"/>
          <w:lang w:val="en-US" w:eastAsia="zh-CN" w:bidi="ar-SA"/>
        </w:rPr>
      </w:pPr>
      <w:r>
        <w:rPr>
          <w:rFonts w:hint="eastAsia" w:ascii="宋体" w:hAnsi="宋体" w:eastAsia="宋体" w:cs="宋体"/>
          <w:b/>
          <w:color w:val="auto"/>
          <w:kern w:val="0"/>
          <w:sz w:val="28"/>
          <w:szCs w:val="28"/>
          <w:highlight w:val="none"/>
          <w:u w:val="single"/>
          <w:lang w:val="en-US" w:eastAsia="zh-CN" w:bidi="ar-SA"/>
        </w:rPr>
        <w:t>附件1 符合性审查表</w:t>
      </w:r>
    </w:p>
    <w:p>
      <w:pPr>
        <w:widowControl/>
        <w:spacing w:line="360" w:lineRule="auto"/>
        <w:ind w:firstLine="562" w:firstLineChars="200"/>
        <w:jc w:val="both"/>
        <w:rPr>
          <w:rFonts w:hint="eastAsia" w:ascii="宋体" w:hAnsi="宋体" w:eastAsia="宋体" w:cs="宋体"/>
          <w:b/>
          <w:color w:val="auto"/>
          <w:kern w:val="0"/>
          <w:sz w:val="28"/>
          <w:szCs w:val="28"/>
          <w:highlight w:val="none"/>
          <w:u w:val="single"/>
          <w:lang w:val="en-US" w:eastAsia="zh-CN" w:bidi="ar-SA"/>
        </w:rPr>
      </w:pPr>
      <w:bookmarkStart w:id="62" w:name="OLE_LINK3"/>
      <w:bookmarkEnd w:id="62"/>
      <w:r>
        <w:rPr>
          <w:rFonts w:hint="eastAsia" w:ascii="宋体" w:hAnsi="宋体" w:eastAsia="宋体" w:cs="宋体"/>
          <w:b/>
          <w:color w:val="auto"/>
          <w:kern w:val="0"/>
          <w:sz w:val="28"/>
          <w:szCs w:val="28"/>
          <w:highlight w:val="none"/>
          <w:u w:val="single"/>
          <w:lang w:val="en-US" w:eastAsia="zh-CN" w:bidi="ar-SA"/>
        </w:rPr>
        <w:t>附件2 综合评分表</w:t>
      </w:r>
    </w:p>
    <w:p>
      <w:pPr>
        <w:widowControl/>
        <w:spacing w:line="360" w:lineRule="auto"/>
        <w:ind w:firstLine="562" w:firstLineChars="200"/>
        <w:rPr>
          <w:rFonts w:hint="eastAsia" w:ascii="宋体" w:hAnsi="宋体" w:eastAsia="宋体" w:cs="宋体"/>
          <w:color w:val="auto"/>
          <w:highlight w:val="none"/>
          <w:lang w:val="en-US" w:eastAsia="zh-CN"/>
        </w:rPr>
      </w:pPr>
      <w:r>
        <w:rPr>
          <w:rFonts w:hint="eastAsia" w:ascii="宋体" w:hAnsi="宋体" w:eastAsia="宋体" w:cs="宋体"/>
          <w:b/>
          <w:color w:val="auto"/>
          <w:kern w:val="0"/>
          <w:sz w:val="28"/>
          <w:szCs w:val="28"/>
          <w:highlight w:val="none"/>
          <w:u w:val="single"/>
          <w:lang w:val="en-US" w:eastAsia="zh-CN" w:bidi="ar-SA"/>
        </w:rPr>
        <w:t>附件3 投标申请人声明</w:t>
      </w:r>
    </w:p>
    <w:p>
      <w:pPr>
        <w:widowControl/>
        <w:spacing w:line="360" w:lineRule="auto"/>
        <w:ind w:firstLine="562" w:firstLineChars="200"/>
        <w:jc w:val="both"/>
        <w:rPr>
          <w:rFonts w:hint="eastAsia" w:ascii="宋体" w:hAnsi="宋体" w:eastAsia="宋体" w:cs="宋体"/>
          <w:b/>
          <w:color w:val="auto"/>
          <w:kern w:val="0"/>
          <w:sz w:val="28"/>
          <w:szCs w:val="28"/>
          <w:highlight w:val="none"/>
          <w:u w:val="single"/>
          <w:lang w:val="en-US" w:eastAsia="zh-CN" w:bidi="ar-SA"/>
        </w:rPr>
      </w:pPr>
      <w:r>
        <w:rPr>
          <w:rFonts w:hint="eastAsia" w:ascii="宋体" w:hAnsi="宋体" w:eastAsia="宋体" w:cs="宋体"/>
          <w:b/>
          <w:color w:val="auto"/>
          <w:kern w:val="0"/>
          <w:sz w:val="28"/>
          <w:szCs w:val="28"/>
          <w:highlight w:val="none"/>
          <w:u w:val="single"/>
          <w:lang w:val="en-US" w:eastAsia="zh-CN" w:bidi="ar-SA"/>
        </w:rPr>
        <w:t>附件4图纸（另附）</w:t>
      </w:r>
    </w:p>
    <w:p>
      <w:pPr>
        <w:widowControl/>
        <w:spacing w:line="360" w:lineRule="auto"/>
        <w:ind w:firstLine="562" w:firstLineChars="200"/>
        <w:jc w:val="both"/>
        <w:rPr>
          <w:rFonts w:hint="eastAsia" w:ascii="宋体" w:hAnsi="宋体" w:eastAsia="宋体" w:cs="宋体"/>
          <w:b/>
          <w:color w:val="auto"/>
          <w:kern w:val="0"/>
          <w:sz w:val="28"/>
          <w:szCs w:val="28"/>
          <w:highlight w:val="none"/>
          <w:u w:val="single"/>
          <w:lang w:val="en-US" w:eastAsia="zh-CN" w:bidi="ar-SA"/>
        </w:rPr>
      </w:pPr>
      <w:r>
        <w:rPr>
          <w:rFonts w:hint="eastAsia" w:ascii="宋体" w:hAnsi="宋体" w:eastAsia="宋体" w:cs="宋体"/>
          <w:b/>
          <w:color w:val="auto"/>
          <w:kern w:val="0"/>
          <w:sz w:val="28"/>
          <w:szCs w:val="28"/>
          <w:highlight w:val="none"/>
          <w:u w:val="single"/>
          <w:lang w:val="en-US" w:eastAsia="zh-CN" w:bidi="ar-SA"/>
        </w:rPr>
        <w:t>附件5工程量清单（另附）</w:t>
      </w:r>
    </w:p>
    <w:p>
      <w:pPr>
        <w:pStyle w:val="10"/>
        <w:numPr>
          <w:ilvl w:val="-1"/>
          <w:numId w:val="0"/>
        </w:numPr>
        <w:rPr>
          <w:color w:val="auto"/>
          <w:highlight w:val="none"/>
        </w:rPr>
      </w:pPr>
    </w:p>
    <w:p>
      <w:pPr>
        <w:pStyle w:val="30"/>
        <w:widowControl/>
        <w:ind w:firstLine="562"/>
        <w:rPr>
          <w:rFonts w:hint="eastAsia" w:ascii="仿宋" w:hAnsi="仿宋" w:eastAsia="仿宋" w:cs="仿宋"/>
          <w:b/>
          <w:color w:val="auto"/>
          <w:kern w:val="0"/>
          <w:sz w:val="28"/>
          <w:szCs w:val="28"/>
          <w:highlight w:val="none"/>
          <w:u w:val="single"/>
          <w:lang w:val="en-US" w:eastAsia="zh-CN"/>
        </w:rPr>
      </w:pPr>
    </w:p>
    <w:p>
      <w:pPr>
        <w:snapToGrid w:val="0"/>
        <w:spacing w:line="300" w:lineRule="auto"/>
        <w:outlineLvl w:val="0"/>
        <w:rPr>
          <w:rFonts w:hint="eastAsia" w:ascii="宋体" w:hAnsi="宋体" w:eastAsia="宋体" w:cs="宋体"/>
          <w:color w:val="auto"/>
          <w:sz w:val="28"/>
          <w:szCs w:val="28"/>
          <w:highlight w:val="none"/>
        </w:rPr>
      </w:pPr>
      <w:r>
        <w:rPr>
          <w:rFonts w:hint="eastAsia" w:ascii="仿宋" w:hAnsi="仿宋" w:eastAsia="仿宋" w:cs="Times New Roman"/>
          <w:color w:val="auto"/>
          <w:sz w:val="28"/>
          <w:szCs w:val="28"/>
          <w:highlight w:val="none"/>
        </w:rPr>
        <w:br w:type="page"/>
      </w:r>
      <w:bookmarkStart w:id="63" w:name="_Toc11051"/>
      <w:bookmarkStart w:id="64" w:name="_Toc5919"/>
      <w:bookmarkStart w:id="65" w:name="_Toc3331"/>
      <w:bookmarkStart w:id="66" w:name="_Toc18242"/>
      <w:bookmarkStart w:id="67" w:name="_Toc20865"/>
      <w:bookmarkStart w:id="68" w:name="_Toc6823"/>
      <w:bookmarkStart w:id="69" w:name="_Toc13788"/>
      <w:bookmarkStart w:id="70" w:name="_Toc12170"/>
      <w:r>
        <w:rPr>
          <w:rFonts w:hint="eastAsia" w:ascii="宋体" w:hAnsi="宋体" w:eastAsia="宋体" w:cs="宋体"/>
          <w:color w:val="auto"/>
          <w:sz w:val="21"/>
          <w:szCs w:val="21"/>
          <w:highlight w:val="none"/>
        </w:rPr>
        <w:t>附件1：符合性审查表</w:t>
      </w:r>
      <w:bookmarkEnd w:id="63"/>
      <w:bookmarkEnd w:id="64"/>
      <w:bookmarkEnd w:id="65"/>
      <w:bookmarkEnd w:id="66"/>
      <w:bookmarkEnd w:id="67"/>
      <w:bookmarkEnd w:id="68"/>
      <w:bookmarkEnd w:id="69"/>
      <w:bookmarkEnd w:id="70"/>
      <w:r>
        <w:rPr>
          <w:rFonts w:hint="eastAsia" w:ascii="宋体" w:hAnsi="宋体" w:eastAsia="宋体" w:cs="宋体"/>
          <w:color w:val="auto"/>
          <w:sz w:val="28"/>
          <w:szCs w:val="28"/>
          <w:highlight w:val="none"/>
        </w:rPr>
        <w:t xml:space="preserve">  </w:t>
      </w:r>
    </w:p>
    <w:p>
      <w:pP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 xml:space="preserve"> 符合性审查表</w:t>
      </w:r>
    </w:p>
    <w:tbl>
      <w:tblPr>
        <w:tblStyle w:val="20"/>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hint="eastAsia" w:ascii="宋体" w:hAnsi="宋体" w:eastAsia="宋体" w:cs="宋体"/>
                <w:b/>
                <w:color w:val="auto"/>
                <w:highlight w:val="none"/>
              </w:rPr>
            </w:pPr>
            <w:r>
              <w:rPr>
                <w:rFonts w:hint="eastAsia" w:ascii="宋体" w:hAnsi="宋体" w:eastAsia="宋体" w:cs="宋体"/>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hint="eastAsia" w:ascii="宋体" w:hAnsi="宋体" w:eastAsia="宋体" w:cs="宋体"/>
                <w:b/>
                <w:color w:val="auto"/>
                <w:highlight w:val="none"/>
              </w:rPr>
            </w:pPr>
            <w:r>
              <w:rPr>
                <w:rFonts w:hint="eastAsia" w:ascii="宋体" w:hAnsi="宋体" w:eastAsia="宋体" w:cs="宋体"/>
                <w:b/>
                <w:color w:val="auto"/>
                <w:szCs w:val="21"/>
                <w:highlight w:val="none"/>
              </w:rPr>
              <w:t xml:space="preserve">   投标人</w:t>
            </w:r>
          </w:p>
          <w:p>
            <w:pPr>
              <w:spacing w:beforeLines="50" w:afterLines="50" w:line="240" w:lineRule="exact"/>
              <w:ind w:left="105" w:leftChars="50" w:right="105" w:rightChars="50"/>
              <w:jc w:val="center"/>
              <w:rPr>
                <w:rFonts w:hint="eastAsia" w:ascii="宋体" w:hAnsi="宋体" w:eastAsia="宋体" w:cs="宋体"/>
                <w:b/>
                <w:color w:val="auto"/>
                <w:highlight w:val="none"/>
              </w:rPr>
            </w:pPr>
          </w:p>
          <w:p>
            <w:pPr>
              <w:spacing w:beforeLines="50" w:afterLines="50" w:line="240" w:lineRule="exact"/>
              <w:ind w:left="105" w:leftChars="50" w:right="105" w:rightChars="50"/>
              <w:rPr>
                <w:rFonts w:hint="eastAsia" w:ascii="宋体" w:hAnsi="宋体" w:eastAsia="宋体" w:cs="宋体"/>
                <w:b/>
                <w:color w:val="auto"/>
                <w:highlight w:val="none"/>
              </w:rPr>
            </w:pPr>
            <w:r>
              <w:rPr>
                <w:rFonts w:hint="eastAsia" w:ascii="宋体" w:hAnsi="宋体" w:eastAsia="宋体" w:cs="宋体"/>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hint="eastAsia" w:ascii="宋体" w:hAnsi="宋体" w:eastAsia="宋体" w:cs="宋体"/>
                <w:b/>
                <w:color w:val="auto"/>
                <w:highlight w:val="none"/>
              </w:rPr>
            </w:pPr>
            <w:r>
              <w:rPr>
                <w:rFonts w:hint="eastAsia" w:ascii="宋体" w:hAnsi="宋体" w:eastAsia="宋体" w:cs="宋体"/>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hint="eastAsia" w:ascii="宋体" w:hAnsi="宋体" w:eastAsia="宋体" w:cs="宋体"/>
                <w:b/>
                <w:color w:val="auto"/>
                <w:highlight w:val="none"/>
              </w:rPr>
            </w:pPr>
            <w:r>
              <w:rPr>
                <w:rFonts w:hint="eastAsia" w:ascii="宋体" w:hAnsi="宋体" w:eastAsia="宋体" w:cs="宋体"/>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hint="eastAsia" w:ascii="宋体" w:hAnsi="宋体" w:eastAsia="宋体" w:cs="宋体"/>
                <w:b/>
                <w:color w:val="auto"/>
                <w:highlight w:val="none"/>
              </w:rPr>
            </w:pPr>
            <w:r>
              <w:rPr>
                <w:rFonts w:hint="eastAsia" w:ascii="宋体" w:hAnsi="宋体" w:eastAsia="宋体" w:cs="宋体"/>
                <w:b/>
                <w:color w:val="auto"/>
                <w:szCs w:val="21"/>
                <w:highlight w:val="none"/>
              </w:rPr>
              <w:t>投标人3</w:t>
            </w:r>
          </w:p>
        </w:tc>
      </w:tr>
      <w:tr>
        <w:tblPrEx>
          <w:tblCellMar>
            <w:top w:w="0" w:type="dxa"/>
            <w:left w:w="108" w:type="dxa"/>
            <w:bottom w:w="0" w:type="dxa"/>
            <w:right w:w="108" w:type="dxa"/>
          </w:tblCellMar>
        </w:tblPrEx>
        <w:trPr>
          <w:trHeight w:val="50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投标文件密封性</w:t>
            </w:r>
            <w:r>
              <w:rPr>
                <w:rFonts w:hint="eastAsia" w:ascii="宋体" w:hAnsi="宋体" w:eastAsia="宋体" w:cs="宋体"/>
                <w:color w:val="auto"/>
                <w:szCs w:val="21"/>
                <w:highlight w:val="none"/>
                <w:lang w:val="en-US" w:eastAsia="zh-CN"/>
              </w:rPr>
              <w:t>完</w:t>
            </w:r>
            <w:r>
              <w:rPr>
                <w:rFonts w:hint="eastAsia" w:ascii="宋体" w:hAnsi="宋体" w:eastAsia="宋体" w:cs="宋体"/>
                <w:color w:val="auto"/>
                <w:szCs w:val="21"/>
                <w:highlight w:val="none"/>
              </w:rPr>
              <w:t>好</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hint="eastAsia" w:ascii="宋体" w:hAnsi="宋体" w:eastAsia="宋体" w:cs="宋体"/>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hint="eastAsia" w:ascii="宋体" w:hAnsi="宋体" w:eastAsia="宋体" w:cs="宋体"/>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hint="eastAsia" w:ascii="宋体" w:hAnsi="宋体" w:eastAsia="宋体" w:cs="宋体"/>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宋体" w:hAnsi="宋体" w:eastAsia="宋体" w:cs="宋体"/>
                <w:color w:val="auto"/>
                <w:highlight w:val="none"/>
                <w:lang w:eastAsia="zh-CN"/>
              </w:rPr>
            </w:pPr>
            <w:r>
              <w:rPr>
                <w:rFonts w:hint="eastAsia" w:ascii="宋体" w:hAnsi="宋体" w:eastAsia="宋体" w:cs="宋体"/>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宋体" w:hAnsi="宋体" w:eastAsia="宋体" w:cs="宋体"/>
                <w:color w:val="auto"/>
                <w:highlight w:val="none"/>
                <w:lang w:eastAsia="zh-CN"/>
              </w:rPr>
            </w:pPr>
            <w:r>
              <w:rPr>
                <w:rFonts w:hint="eastAsia" w:ascii="宋体" w:hAnsi="宋体" w:eastAsia="宋体" w:cs="宋体"/>
                <w:color w:val="auto"/>
                <w:szCs w:val="21"/>
                <w:highlight w:val="none"/>
              </w:rPr>
              <w:t>投标文件中附有有效的法定代表人证明书原件，或由委托代理人签字的投标文件中有法定代表人授权书原件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投标文件封面有法定代表人或其委托代理人签字</w:t>
            </w:r>
            <w:r>
              <w:rPr>
                <w:rFonts w:hint="eastAsia" w:ascii="宋体" w:hAnsi="宋体" w:eastAsia="宋体" w:cs="宋体"/>
                <w:color w:val="auto"/>
                <w:sz w:val="21"/>
                <w:szCs w:val="21"/>
                <w:highlight w:val="none"/>
              </w:rPr>
              <w:t>（或盖章）</w:t>
            </w:r>
            <w:r>
              <w:rPr>
                <w:rFonts w:hint="eastAsia" w:ascii="宋体" w:hAnsi="宋体" w:eastAsia="宋体" w:cs="宋体"/>
                <w:color w:val="auto"/>
                <w:szCs w:val="21"/>
                <w:highlight w:val="none"/>
                <w:lang w:val="en-US" w:eastAsia="zh-CN"/>
              </w:rPr>
              <w:t>并加盖投标单位公章</w:t>
            </w:r>
            <w:r>
              <w:rPr>
                <w:rFonts w:hint="eastAsia" w:ascii="宋体" w:hAnsi="宋体" w:eastAsia="宋体" w:cs="宋体"/>
                <w:color w:val="auto"/>
                <w:szCs w:val="21"/>
                <w:highlight w:val="none"/>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hint="eastAsia" w:ascii="宋体" w:hAnsi="宋体" w:eastAsia="宋体" w:cs="宋体"/>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hint="eastAsia" w:ascii="宋体" w:hAnsi="宋体" w:eastAsia="宋体" w:cs="宋体"/>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hint="eastAsia" w:ascii="宋体" w:hAnsi="宋体" w:eastAsia="宋体" w:cs="宋体"/>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宋体" w:hAnsi="宋体" w:eastAsia="宋体" w:cs="宋体"/>
                <w:color w:val="auto"/>
                <w:highlight w:val="none"/>
                <w:lang w:eastAsia="zh-CN"/>
              </w:rPr>
            </w:pPr>
            <w:r>
              <w:rPr>
                <w:rFonts w:hint="eastAsia" w:ascii="宋体" w:hAnsi="宋体" w:eastAsia="宋体" w:cs="宋体"/>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宋体" w:hAnsi="宋体" w:eastAsia="宋体" w:cs="宋体"/>
                <w:color w:val="auto"/>
                <w:highlight w:val="none"/>
                <w:lang w:eastAsia="zh-CN"/>
              </w:rPr>
            </w:pPr>
            <w:r>
              <w:rPr>
                <w:rFonts w:hint="eastAsia" w:ascii="宋体" w:hAnsi="宋体" w:eastAsia="宋体" w:cs="宋体"/>
                <w:color w:val="auto"/>
                <w:sz w:val="21"/>
                <w:szCs w:val="21"/>
                <w:highlight w:val="none"/>
              </w:rPr>
              <w:t>符合本项目招标公告</w:t>
            </w:r>
            <w:r>
              <w:rPr>
                <w:rFonts w:hint="eastAsia" w:ascii="宋体" w:hAnsi="宋体" w:eastAsia="宋体" w:cs="宋体"/>
                <w:color w:val="auto"/>
                <w:sz w:val="21"/>
                <w:szCs w:val="21"/>
                <w:highlight w:val="none"/>
                <w:lang w:val="en-US" w:eastAsia="zh-CN"/>
              </w:rPr>
              <w:t>第七条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kern w:val="2"/>
                <w:sz w:val="21"/>
                <w:szCs w:val="21"/>
                <w:highlight w:val="none"/>
              </w:rPr>
              <w:t>投标人资格要求</w:t>
            </w:r>
            <w:r>
              <w:rPr>
                <w:rFonts w:hint="eastAsia" w:ascii="宋体" w:hAnsi="宋体" w:eastAsia="宋体" w:cs="宋体"/>
                <w:color w:val="auto"/>
                <w:sz w:val="21"/>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hint="eastAsia" w:ascii="宋体" w:hAnsi="宋体" w:eastAsia="宋体" w:cs="宋体"/>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hint="eastAsia" w:ascii="宋体" w:hAnsi="宋体" w:eastAsia="宋体" w:cs="宋体"/>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hint="eastAsia" w:ascii="宋体" w:hAnsi="宋体" w:eastAsia="宋体" w:cs="宋体"/>
                <w:color w:val="auto"/>
                <w:highlight w:val="none"/>
              </w:rPr>
            </w:pPr>
          </w:p>
        </w:tc>
      </w:tr>
      <w:tr>
        <w:tblPrEx>
          <w:tblCellMar>
            <w:top w:w="0" w:type="dxa"/>
            <w:left w:w="108" w:type="dxa"/>
            <w:bottom w:w="0" w:type="dxa"/>
            <w:right w:w="108" w:type="dxa"/>
          </w:tblCellMar>
        </w:tblPrEx>
        <w:trPr>
          <w:trHeight w:val="59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投标报价不超过</w:t>
            </w:r>
            <w:r>
              <w:rPr>
                <w:rFonts w:hint="eastAsia" w:ascii="宋体" w:hAnsi="宋体" w:eastAsia="宋体" w:cs="宋体"/>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hint="eastAsia" w:ascii="宋体" w:hAnsi="宋体" w:eastAsia="宋体" w:cs="宋体"/>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hint="eastAsia" w:ascii="宋体" w:hAnsi="宋体" w:eastAsia="宋体" w:cs="宋体"/>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hint="eastAsia" w:ascii="宋体" w:hAnsi="宋体" w:eastAsia="宋体" w:cs="宋体"/>
                <w:color w:val="auto"/>
                <w:highlight w:val="none"/>
              </w:rPr>
            </w:pPr>
          </w:p>
        </w:tc>
      </w:tr>
      <w:tr>
        <w:tblPrEx>
          <w:tblCellMar>
            <w:top w:w="0" w:type="dxa"/>
            <w:left w:w="108" w:type="dxa"/>
            <w:bottom w:w="0" w:type="dxa"/>
            <w:right w:w="108" w:type="dxa"/>
          </w:tblCellMar>
        </w:tblPrEx>
        <w:trPr>
          <w:trHeight w:val="50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宋体" w:hAnsi="宋体" w:eastAsia="宋体" w:cs="宋体"/>
                <w:color w:val="auto"/>
                <w:highlight w:val="none"/>
                <w:lang w:eastAsia="zh-CN"/>
              </w:rPr>
            </w:pPr>
            <w:r>
              <w:rPr>
                <w:rFonts w:hint="eastAsia" w:ascii="宋体" w:hAnsi="宋体" w:eastAsia="宋体" w:cs="宋体"/>
                <w:color w:val="auto"/>
                <w:szCs w:val="21"/>
                <w:highlight w:val="none"/>
                <w:lang w:val="en-US" w:eastAsia="zh-CN"/>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无“未实质性响应招标文件”的情况</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hint="eastAsia" w:ascii="宋体" w:hAnsi="宋体" w:eastAsia="宋体" w:cs="宋体"/>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hint="eastAsia" w:ascii="宋体" w:hAnsi="宋体" w:eastAsia="宋体" w:cs="宋体"/>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hint="eastAsia" w:ascii="宋体" w:hAnsi="宋体" w:eastAsia="宋体" w:cs="宋体"/>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contextualSpacing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结论</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51"/>
              <w:contextualSpacing w:val="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是否通过并进入下一阶段评审</w:t>
            </w:r>
            <w:r>
              <w:rPr>
                <w:rFonts w:hint="eastAsia" w:ascii="宋体" w:hAnsi="宋体" w:eastAsia="宋体" w:cs="宋体"/>
                <w:color w:val="auto"/>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hint="eastAsia" w:ascii="宋体" w:hAnsi="宋体" w:eastAsia="宋体" w:cs="宋体"/>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hint="eastAsia" w:ascii="宋体" w:hAnsi="宋体" w:eastAsia="宋体" w:cs="宋体"/>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hint="eastAsia" w:ascii="宋体" w:hAnsi="宋体" w:eastAsia="宋体" w:cs="宋体"/>
                <w:color w:val="auto"/>
                <w:highlight w:val="none"/>
              </w:rPr>
            </w:pPr>
          </w:p>
        </w:tc>
      </w:tr>
    </w:tbl>
    <w:p>
      <w:pPr>
        <w:snapToGrid w:val="0"/>
        <w:spacing w:line="30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pPr>
        <w:snapToGrid w:val="0"/>
        <w:ind w:left="74"/>
        <w:rPr>
          <w:rFonts w:hint="eastAsia" w:ascii="宋体" w:hAnsi="宋体" w:eastAsia="宋体" w:cs="宋体"/>
          <w:color w:val="auto"/>
          <w:sz w:val="24"/>
          <w:highlight w:val="none"/>
        </w:rPr>
      </w:pPr>
      <w:r>
        <w:rPr>
          <w:rFonts w:hint="eastAsia" w:ascii="宋体" w:hAnsi="宋体" w:eastAsia="宋体" w:cs="宋体"/>
          <w:color w:val="auto"/>
          <w:sz w:val="24"/>
          <w:highlight w:val="none"/>
        </w:rPr>
        <w:t>1.符合以上情形打“〇”，不符合以上任一情形打“×”，全部为“〇”结论均为“通过”，否则就为“不通过”。</w:t>
      </w:r>
    </w:p>
    <w:p>
      <w:pPr>
        <w:snapToGrid w:val="0"/>
        <w:spacing w:line="300" w:lineRule="auto"/>
        <w:ind w:firstLine="120" w:firstLineChars="50"/>
        <w:rPr>
          <w:rFonts w:hint="eastAsia" w:ascii="宋体" w:hAnsi="宋体" w:eastAsia="宋体" w:cs="宋体"/>
          <w:color w:val="auto"/>
          <w:sz w:val="28"/>
          <w:szCs w:val="28"/>
          <w:highlight w:val="none"/>
        </w:rPr>
      </w:pPr>
      <w:r>
        <w:rPr>
          <w:rFonts w:hint="eastAsia" w:ascii="宋体" w:hAnsi="宋体" w:eastAsia="宋体" w:cs="宋体"/>
          <w:color w:val="auto"/>
          <w:sz w:val="24"/>
          <w:highlight w:val="none"/>
        </w:rPr>
        <w:t>2.如对本表中某种情形的评审意见不一致时，以专家组过半数成员的意见作为专家组对该情形的认定结论。</w:t>
      </w:r>
      <w:r>
        <w:rPr>
          <w:rFonts w:hint="eastAsia" w:ascii="宋体" w:hAnsi="宋体" w:eastAsia="宋体" w:cs="宋体"/>
          <w:color w:val="auto"/>
          <w:sz w:val="28"/>
          <w:szCs w:val="28"/>
          <w:highlight w:val="none"/>
        </w:rPr>
        <w:t xml:space="preserve">     </w:t>
      </w:r>
    </w:p>
    <w:p>
      <w:pPr>
        <w:snapToGrid w:val="0"/>
        <w:ind w:left="74"/>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 xml:space="preserve"> </w:t>
      </w:r>
    </w:p>
    <w:p>
      <w:pPr>
        <w:snapToGrid w:val="0"/>
        <w:ind w:left="74"/>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评标专家签名：                     日期：</w:t>
      </w:r>
    </w:p>
    <w:p>
      <w:pPr>
        <w:snapToGrid w:val="0"/>
        <w:ind w:left="74"/>
        <w:rPr>
          <w:rFonts w:hint="eastAsia" w:ascii="宋体" w:hAnsi="宋体" w:eastAsia="宋体" w:cs="宋体"/>
          <w:color w:val="auto"/>
          <w:sz w:val="28"/>
          <w:szCs w:val="28"/>
          <w:highlight w:val="none"/>
        </w:rPr>
      </w:pPr>
    </w:p>
    <w:p>
      <w:pPr>
        <w:snapToGrid w:val="0"/>
        <w:ind w:left="74"/>
        <w:outlineLvl w:val="0"/>
        <w:rPr>
          <w:rFonts w:hint="eastAsia" w:ascii="宋体" w:hAnsi="宋体" w:eastAsia="宋体" w:cs="宋体"/>
          <w:b/>
          <w:color w:val="auto"/>
          <w:sz w:val="24"/>
          <w:highlight w:val="none"/>
        </w:rPr>
        <w:sectPr>
          <w:footerReference r:id="rId5" w:type="default"/>
          <w:pgSz w:w="11906" w:h="16838"/>
          <w:pgMar w:top="1440" w:right="1797" w:bottom="1440" w:left="1797" w:header="720" w:footer="720" w:gutter="0"/>
          <w:pgNumType w:fmt="decimal"/>
          <w:cols w:space="0" w:num="1"/>
          <w:rtlGutter w:val="0"/>
          <w:docGrid w:linePitch="312" w:charSpace="0"/>
        </w:sectPr>
      </w:pPr>
      <w:bookmarkStart w:id="71" w:name="_Toc18783"/>
    </w:p>
    <w:bookmarkEnd w:id="71"/>
    <w:p>
      <w:pPr>
        <w:widowControl/>
        <w:kinsoku w:val="0"/>
        <w:autoSpaceDE w:val="0"/>
        <w:autoSpaceDN w:val="0"/>
        <w:adjustRightInd w:val="0"/>
        <w:snapToGrid w:val="0"/>
        <w:spacing w:line="14" w:lineRule="auto"/>
        <w:jc w:val="left"/>
        <w:textAlignment w:val="baseline"/>
        <w:rPr>
          <w:rFonts w:hint="eastAsia" w:ascii="宋体" w:hAnsi="宋体" w:eastAsia="宋体" w:cs="宋体"/>
          <w:snapToGrid w:val="0"/>
          <w:color w:val="auto"/>
          <w:kern w:val="0"/>
          <w:sz w:val="2"/>
          <w:szCs w:val="21"/>
          <w:highlight w:val="none"/>
          <w:lang w:eastAsia="en-US"/>
        </w:rPr>
      </w:pPr>
      <w:bookmarkStart w:id="72" w:name="_Toc31760"/>
      <w:bookmarkStart w:id="73" w:name="_Toc2642"/>
      <w:bookmarkStart w:id="74" w:name="_Toc22905"/>
      <w:bookmarkStart w:id="75" w:name="_Toc12016"/>
      <w:bookmarkStart w:id="76" w:name="_Toc13000"/>
      <w:bookmarkStart w:id="77" w:name="_Toc15156"/>
      <w:bookmarkStart w:id="78" w:name="_Toc15249"/>
      <w:bookmarkStart w:id="79" w:name="_Toc20704"/>
      <w:bookmarkStart w:id="80" w:name="_Toc6504"/>
      <w:bookmarkStart w:id="81" w:name="_Toc4185"/>
      <w:bookmarkStart w:id="82" w:name="_Toc5297"/>
      <w:bookmarkStart w:id="83" w:name="_Toc32519"/>
      <w:bookmarkStart w:id="84" w:name="_Toc18739"/>
    </w:p>
    <w:p>
      <w:pPr>
        <w:snapToGrid w:val="0"/>
        <w:ind w:left="74"/>
        <w:outlineLvl w:val="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附件2综合评分表（100分）</w:t>
      </w:r>
    </w:p>
    <w:p>
      <w:pPr>
        <w:pStyle w:val="2"/>
        <w:rPr>
          <w:rFonts w:hint="eastAsia" w:ascii="宋体" w:hAnsi="宋体" w:eastAsia="宋体" w:cs="宋体"/>
          <w:color w:val="auto"/>
          <w:highlight w:val="none"/>
        </w:rPr>
      </w:pPr>
    </w:p>
    <w:tbl>
      <w:tblPr>
        <w:tblStyle w:val="21"/>
        <w:tblW w:w="12882" w:type="dxa"/>
        <w:tblInd w:w="1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9"/>
        <w:gridCol w:w="1724"/>
        <w:gridCol w:w="529"/>
        <w:gridCol w:w="8198"/>
        <w:gridCol w:w="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539" w:type="dxa"/>
            <w:vAlign w:val="center"/>
          </w:tcPr>
          <w:p>
            <w:pPr>
              <w:spacing w:line="360" w:lineRule="exact"/>
              <w:jc w:val="center"/>
              <w:rPr>
                <w:rFonts w:hint="eastAsia" w:ascii="宋体" w:hAnsi="宋体" w:eastAsia="宋体" w:cs="宋体"/>
                <w:b/>
                <w:color w:val="auto"/>
                <w:sz w:val="28"/>
                <w:szCs w:val="28"/>
                <w:highlight w:val="none"/>
                <w:vertAlign w:val="baseline"/>
              </w:rPr>
            </w:pPr>
            <w:r>
              <w:rPr>
                <w:rFonts w:hint="eastAsia" w:ascii="宋体" w:hAnsi="宋体" w:eastAsia="宋体" w:cs="宋体"/>
                <w:color w:val="auto"/>
                <w:szCs w:val="21"/>
                <w:highlight w:val="none"/>
              </w:rPr>
              <w:t>评分项目</w:t>
            </w:r>
          </w:p>
        </w:tc>
        <w:tc>
          <w:tcPr>
            <w:tcW w:w="1724" w:type="dxa"/>
            <w:vAlign w:val="center"/>
          </w:tcPr>
          <w:p>
            <w:pPr>
              <w:spacing w:line="360" w:lineRule="exact"/>
              <w:jc w:val="center"/>
              <w:rPr>
                <w:rFonts w:hint="eastAsia" w:ascii="宋体" w:hAnsi="宋体" w:eastAsia="宋体" w:cs="宋体"/>
                <w:b/>
                <w:color w:val="auto"/>
                <w:sz w:val="28"/>
                <w:szCs w:val="28"/>
                <w:highlight w:val="none"/>
                <w:vertAlign w:val="baseline"/>
              </w:rPr>
            </w:pPr>
            <w:r>
              <w:rPr>
                <w:rFonts w:hint="eastAsia" w:ascii="宋体" w:hAnsi="宋体" w:eastAsia="宋体" w:cs="宋体"/>
                <w:color w:val="auto"/>
                <w:szCs w:val="21"/>
                <w:highlight w:val="none"/>
              </w:rPr>
              <w:t>评分内容</w:t>
            </w:r>
          </w:p>
        </w:tc>
        <w:tc>
          <w:tcPr>
            <w:tcW w:w="529" w:type="dxa"/>
            <w:vAlign w:val="center"/>
          </w:tcPr>
          <w:p>
            <w:pPr>
              <w:spacing w:line="360" w:lineRule="exact"/>
              <w:jc w:val="center"/>
              <w:rPr>
                <w:rFonts w:hint="eastAsia" w:ascii="宋体" w:hAnsi="宋体" w:eastAsia="宋体" w:cs="宋体"/>
                <w:b/>
                <w:color w:val="auto"/>
                <w:sz w:val="28"/>
                <w:szCs w:val="28"/>
                <w:highlight w:val="none"/>
                <w:vertAlign w:val="baseline"/>
              </w:rPr>
            </w:pPr>
            <w:r>
              <w:rPr>
                <w:rFonts w:hint="eastAsia" w:ascii="宋体" w:hAnsi="宋体" w:eastAsia="宋体" w:cs="宋体"/>
                <w:color w:val="auto"/>
                <w:szCs w:val="21"/>
                <w:highlight w:val="none"/>
              </w:rPr>
              <w:t>分值</w:t>
            </w:r>
          </w:p>
        </w:tc>
        <w:tc>
          <w:tcPr>
            <w:tcW w:w="8198" w:type="dxa"/>
            <w:vAlign w:val="center"/>
          </w:tcPr>
          <w:p>
            <w:pPr>
              <w:spacing w:line="360" w:lineRule="exact"/>
              <w:jc w:val="center"/>
              <w:rPr>
                <w:rFonts w:hint="eastAsia" w:ascii="宋体" w:hAnsi="宋体" w:eastAsia="宋体" w:cs="宋体"/>
                <w:b/>
                <w:color w:val="auto"/>
                <w:sz w:val="28"/>
                <w:szCs w:val="28"/>
                <w:highlight w:val="none"/>
                <w:vertAlign w:val="baseline"/>
              </w:rPr>
            </w:pPr>
            <w:r>
              <w:rPr>
                <w:rFonts w:hint="eastAsia" w:ascii="宋体" w:hAnsi="宋体" w:eastAsia="宋体" w:cs="宋体"/>
                <w:color w:val="auto"/>
                <w:szCs w:val="21"/>
                <w:highlight w:val="none"/>
              </w:rPr>
              <w:t>评审标准</w:t>
            </w:r>
          </w:p>
        </w:tc>
        <w:tc>
          <w:tcPr>
            <w:tcW w:w="892" w:type="dxa"/>
            <w:vAlign w:val="center"/>
          </w:tcPr>
          <w:p>
            <w:pPr>
              <w:spacing w:line="36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1539" w:type="dxa"/>
            <w:vMerge w:val="restart"/>
            <w:vAlign w:val="center"/>
          </w:tcPr>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商务部分</w:t>
            </w:r>
          </w:p>
          <w:p>
            <w:pPr>
              <w:pageBreakBefore w:val="0"/>
              <w:widowControl w:val="0"/>
              <w:kinsoku/>
              <w:wordWrap/>
              <w:overflowPunct/>
              <w:topLinePunct w:val="0"/>
              <w:autoSpaceDN/>
              <w:bidi w:val="0"/>
              <w:snapToGrid w:val="0"/>
              <w:spacing w:before="120" w:after="120" w:line="360" w:lineRule="exact"/>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（50分）</w:t>
            </w:r>
          </w:p>
          <w:p>
            <w:pPr>
              <w:widowControl/>
              <w:kinsoku w:val="0"/>
              <w:autoSpaceDE w:val="0"/>
              <w:autoSpaceDN w:val="0"/>
              <w:adjustRightInd w:val="0"/>
              <w:snapToGrid w:val="0"/>
              <w:spacing w:line="240" w:lineRule="auto"/>
              <w:ind w:left="-2" w:leftChars="-1"/>
              <w:jc w:val="center"/>
              <w:textAlignment w:val="baseline"/>
              <w:rPr>
                <w:rFonts w:hint="eastAsia" w:ascii="宋体" w:hAnsi="宋体" w:eastAsia="宋体" w:cs="宋体"/>
                <w:b w:val="0"/>
                <w:color w:val="auto"/>
                <w:sz w:val="21"/>
                <w:szCs w:val="21"/>
                <w:highlight w:val="none"/>
                <w:vertAlign w:val="baseline"/>
              </w:rPr>
            </w:pPr>
          </w:p>
        </w:tc>
        <w:tc>
          <w:tcPr>
            <w:tcW w:w="1724"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42" w:leftChars="0" w:right="-61" w:rightChars="0"/>
              <w:jc w:val="center"/>
              <w:textAlignment w:val="auto"/>
              <w:rPr>
                <w:rFonts w:hint="eastAsia" w:ascii="宋体" w:hAnsi="宋体" w:eastAsia="宋体" w:cs="宋体"/>
                <w:b w:val="0"/>
                <w:color w:val="auto"/>
                <w:sz w:val="21"/>
                <w:szCs w:val="21"/>
                <w:highlight w:val="none"/>
                <w:vertAlign w:val="baseline"/>
              </w:rPr>
            </w:pPr>
            <w:r>
              <w:rPr>
                <w:rFonts w:hint="eastAsia" w:ascii="宋体" w:hAnsi="宋体" w:eastAsia="宋体" w:cs="宋体"/>
                <w:snapToGrid w:val="0"/>
                <w:color w:val="auto"/>
                <w:kern w:val="0"/>
                <w:sz w:val="21"/>
                <w:szCs w:val="21"/>
                <w:highlight w:val="none"/>
                <w:lang w:eastAsia="zh-CN"/>
              </w:rPr>
              <w:t>企业</w:t>
            </w:r>
            <w:r>
              <w:rPr>
                <w:rFonts w:hint="eastAsia" w:ascii="宋体" w:hAnsi="宋体" w:eastAsia="宋体" w:cs="宋体"/>
                <w:snapToGrid w:val="0"/>
                <w:color w:val="auto"/>
                <w:kern w:val="0"/>
                <w:sz w:val="21"/>
                <w:szCs w:val="21"/>
                <w:highlight w:val="none"/>
                <w:lang w:eastAsia="en-US"/>
              </w:rPr>
              <w:t>业绩</w:t>
            </w:r>
          </w:p>
        </w:tc>
        <w:tc>
          <w:tcPr>
            <w:tcW w:w="529"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b w:val="0"/>
                <w:color w:val="auto"/>
                <w:sz w:val="21"/>
                <w:szCs w:val="21"/>
                <w:highlight w:val="none"/>
                <w:vertAlign w:val="baseline"/>
                <w:lang w:val="en-US"/>
              </w:rPr>
            </w:pPr>
            <w:r>
              <w:rPr>
                <w:rFonts w:hint="eastAsia" w:ascii="宋体" w:hAnsi="宋体" w:eastAsia="宋体" w:cs="宋体"/>
                <w:snapToGrid w:val="0"/>
                <w:color w:val="auto"/>
                <w:kern w:val="0"/>
                <w:sz w:val="21"/>
                <w:szCs w:val="21"/>
                <w:highlight w:val="none"/>
                <w:lang w:val="en-US" w:eastAsia="zh-CN"/>
              </w:rPr>
              <w:t>20</w:t>
            </w:r>
          </w:p>
        </w:tc>
        <w:tc>
          <w:tcPr>
            <w:tcW w:w="8198" w:type="dxa"/>
            <w:vAlign w:val="center"/>
          </w:tcPr>
          <w:p>
            <w:pPr>
              <w:jc w:val="left"/>
              <w:rPr>
                <w:rFonts w:hint="eastAsia" w:ascii="宋体" w:hAnsi="宋体" w:eastAsia="宋体" w:cs="宋体"/>
                <w:color w:val="auto"/>
                <w:highlight w:val="none"/>
                <w:lang w:eastAsia="en-US"/>
              </w:rPr>
            </w:pPr>
            <w:r>
              <w:rPr>
                <w:rFonts w:hint="eastAsia" w:ascii="宋体" w:hAnsi="宋体" w:eastAsia="宋体" w:cs="宋体"/>
                <w:color w:val="auto"/>
                <w:highlight w:val="none"/>
                <w:lang w:eastAsia="en-US"/>
              </w:rPr>
              <w:t>投标人</w:t>
            </w:r>
            <w:r>
              <w:rPr>
                <w:rFonts w:hint="eastAsia" w:ascii="宋体" w:hAnsi="宋体" w:eastAsia="宋体" w:cs="宋体"/>
                <w:color w:val="auto"/>
                <w:highlight w:val="none"/>
                <w:lang w:val="en-US" w:eastAsia="zh-CN"/>
              </w:rPr>
              <w:t>自</w:t>
            </w:r>
            <w:r>
              <w:rPr>
                <w:rFonts w:hint="eastAsia" w:ascii="宋体" w:hAnsi="宋体" w:eastAsia="宋体" w:cs="宋体"/>
                <w:color w:val="auto"/>
                <w:highlight w:val="none"/>
                <w:lang w:eastAsia="zh-CN"/>
              </w:rPr>
              <w:t>20</w:t>
            </w:r>
            <w:r>
              <w:rPr>
                <w:rFonts w:hint="eastAsia" w:ascii="宋体" w:hAnsi="宋体" w:eastAsia="宋体" w:cs="宋体"/>
                <w:color w:val="auto"/>
                <w:highlight w:val="none"/>
                <w:lang w:val="en-US" w:eastAsia="zh-CN"/>
              </w:rPr>
              <w:t>22</w:t>
            </w:r>
            <w:r>
              <w:rPr>
                <w:rFonts w:hint="eastAsia" w:ascii="宋体" w:hAnsi="宋体" w:eastAsia="宋体" w:cs="宋体"/>
                <w:color w:val="auto"/>
                <w:highlight w:val="none"/>
                <w:lang w:eastAsia="en-US"/>
              </w:rPr>
              <w:t>年1月1日至今</w:t>
            </w:r>
            <w:r>
              <w:rPr>
                <w:rFonts w:hint="eastAsia" w:ascii="宋体" w:hAnsi="宋体" w:eastAsia="宋体" w:cs="宋体"/>
                <w:color w:val="auto"/>
                <w:highlight w:val="none"/>
              </w:rPr>
              <w:t>完成过质量合格且金额大于或等于</w:t>
            </w:r>
            <w:r>
              <w:rPr>
                <w:rFonts w:hint="eastAsia" w:ascii="宋体" w:hAnsi="宋体" w:eastAsia="宋体" w:cs="宋体"/>
                <w:color w:val="auto"/>
                <w:highlight w:val="none"/>
                <w:lang w:val="en-US" w:eastAsia="zh-CN"/>
              </w:rPr>
              <w:t>30</w:t>
            </w:r>
            <w:r>
              <w:rPr>
                <w:rFonts w:hint="eastAsia" w:ascii="宋体" w:hAnsi="宋体" w:eastAsia="宋体" w:cs="宋体"/>
                <w:color w:val="auto"/>
                <w:highlight w:val="none"/>
              </w:rPr>
              <w:t>万元的</w:t>
            </w:r>
            <w:r>
              <w:rPr>
                <w:rFonts w:hint="eastAsia" w:ascii="宋体" w:hAnsi="宋体" w:eastAsia="宋体" w:cs="宋体"/>
                <w:color w:val="auto"/>
                <w:highlight w:val="none"/>
                <w:lang w:eastAsia="en-US"/>
              </w:rPr>
              <w:t>市政公用工程业绩的，每项得</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en-US"/>
              </w:rPr>
              <w:t>分，</w:t>
            </w:r>
            <w:r>
              <w:rPr>
                <w:rFonts w:hint="eastAsia" w:ascii="宋体" w:hAnsi="宋体" w:eastAsia="宋体" w:cs="宋体"/>
                <w:color w:val="auto"/>
                <w:highlight w:val="none"/>
                <w:lang w:val="en-US" w:eastAsia="zh-CN"/>
              </w:rPr>
              <w:t>本项</w:t>
            </w:r>
            <w:r>
              <w:rPr>
                <w:rFonts w:hint="eastAsia" w:ascii="宋体" w:hAnsi="宋体" w:eastAsia="宋体" w:cs="宋体"/>
                <w:color w:val="auto"/>
                <w:highlight w:val="none"/>
                <w:lang w:eastAsia="en-US"/>
              </w:rPr>
              <w:t>最多得</w:t>
            </w:r>
            <w:r>
              <w:rPr>
                <w:rFonts w:hint="eastAsia" w:ascii="宋体" w:hAnsi="宋体" w:eastAsia="宋体" w:cs="宋体"/>
                <w:color w:val="auto"/>
                <w:highlight w:val="none"/>
                <w:lang w:val="en-US" w:eastAsia="zh-CN"/>
              </w:rPr>
              <w:t>20</w:t>
            </w:r>
            <w:r>
              <w:rPr>
                <w:rFonts w:hint="eastAsia" w:ascii="宋体" w:hAnsi="宋体" w:eastAsia="宋体" w:cs="宋体"/>
                <w:color w:val="auto"/>
                <w:highlight w:val="none"/>
                <w:lang w:eastAsia="en-US"/>
              </w:rPr>
              <w:t>分。</w:t>
            </w:r>
          </w:p>
          <w:p>
            <w:pPr>
              <w:jc w:val="left"/>
              <w:rPr>
                <w:rFonts w:hint="eastAsia" w:ascii="宋体" w:hAnsi="宋体" w:eastAsia="宋体" w:cs="宋体"/>
                <w:b w:val="0"/>
                <w:color w:val="auto"/>
                <w:kern w:val="0"/>
                <w:sz w:val="21"/>
                <w:szCs w:val="21"/>
                <w:highlight w:val="none"/>
                <w:vertAlign w:val="baseline"/>
              </w:rPr>
            </w:pPr>
            <w:r>
              <w:rPr>
                <w:rFonts w:hint="eastAsia" w:ascii="宋体" w:hAnsi="宋体" w:eastAsia="宋体" w:cs="宋体"/>
                <w:color w:val="auto"/>
                <w:highlight w:val="none"/>
                <w:lang w:val="en-US" w:eastAsia="zh-CN"/>
              </w:rPr>
              <w:t>注：</w:t>
            </w:r>
            <w:r>
              <w:rPr>
                <w:rFonts w:hint="eastAsia" w:ascii="宋体" w:hAnsi="宋体" w:eastAsia="宋体" w:cs="宋体"/>
                <w:color w:val="auto"/>
                <w:highlight w:val="none"/>
                <w:lang w:val="en-US" w:eastAsia="en-US"/>
              </w:rPr>
              <w:t>需</w:t>
            </w:r>
            <w:r>
              <w:rPr>
                <w:rFonts w:hint="eastAsia" w:ascii="宋体" w:hAnsi="宋体" w:eastAsia="宋体" w:cs="宋体"/>
                <w:color w:val="auto"/>
                <w:highlight w:val="none"/>
                <w:lang w:val="en-US" w:eastAsia="zh-CN"/>
              </w:rPr>
              <w:t>同时提供</w:t>
            </w:r>
            <w:r>
              <w:rPr>
                <w:rFonts w:hint="eastAsia" w:ascii="宋体" w:hAnsi="宋体" w:eastAsia="宋体" w:cs="宋体"/>
                <w:color w:val="auto"/>
                <w:highlight w:val="none"/>
                <w:lang w:val="zh-TW"/>
              </w:rPr>
              <w:t>中标通知书或免招标的相关证明</w:t>
            </w:r>
            <w:r>
              <w:rPr>
                <w:rFonts w:hint="eastAsia" w:ascii="宋体" w:hAnsi="宋体" w:eastAsia="宋体" w:cs="宋体"/>
                <w:color w:val="auto"/>
                <w:highlight w:val="none"/>
                <w:lang w:val="zh-TW" w:eastAsia="zh-CN"/>
              </w:rPr>
              <w:t>，</w:t>
            </w:r>
            <w:r>
              <w:rPr>
                <w:rFonts w:hint="eastAsia" w:ascii="宋体" w:hAnsi="宋体" w:eastAsia="宋体" w:cs="宋体"/>
                <w:color w:val="auto"/>
                <w:highlight w:val="none"/>
                <w:lang w:val="en-US" w:eastAsia="zh-CN"/>
              </w:rPr>
              <w:t>施工</w:t>
            </w:r>
            <w:r>
              <w:rPr>
                <w:rFonts w:hint="eastAsia" w:ascii="宋体" w:hAnsi="宋体" w:eastAsia="宋体" w:cs="宋体"/>
                <w:color w:val="auto"/>
                <w:highlight w:val="none"/>
                <w:lang w:val="zh-TW"/>
              </w:rPr>
              <w:t>合同关键页复印件</w:t>
            </w:r>
            <w:r>
              <w:rPr>
                <w:rFonts w:hint="eastAsia" w:ascii="宋体" w:hAnsi="宋体" w:eastAsia="宋体" w:cs="宋体"/>
                <w:color w:val="auto"/>
                <w:highlight w:val="none"/>
                <w:lang w:val="zh-TW" w:eastAsia="zh-CN"/>
              </w:rPr>
              <w:t>（</w:t>
            </w:r>
            <w:r>
              <w:rPr>
                <w:rFonts w:hint="eastAsia" w:ascii="宋体" w:hAnsi="宋体" w:eastAsia="宋体" w:cs="宋体"/>
                <w:color w:val="auto"/>
                <w:highlight w:val="none"/>
                <w:lang w:val="zh-TW"/>
              </w:rPr>
              <w:t>体现施工内容及金额的页面、盖章页等</w:t>
            </w:r>
            <w:r>
              <w:rPr>
                <w:rFonts w:hint="eastAsia" w:ascii="宋体" w:hAnsi="宋体" w:eastAsia="宋体" w:cs="宋体"/>
                <w:color w:val="auto"/>
                <w:highlight w:val="none"/>
                <w:lang w:val="zh-TW" w:eastAsia="zh-CN"/>
              </w:rPr>
              <w:t>）</w:t>
            </w:r>
            <w:r>
              <w:rPr>
                <w:rFonts w:hint="eastAsia" w:ascii="宋体" w:hAnsi="宋体" w:eastAsia="宋体" w:cs="宋体"/>
                <w:color w:val="auto"/>
                <w:kern w:val="2"/>
                <w:sz w:val="21"/>
                <w:szCs w:val="24"/>
                <w:highlight w:val="none"/>
                <w:lang w:val="en-US" w:eastAsia="en-US" w:bidi="ar-SA"/>
              </w:rPr>
              <w:t>和竣工验收文件的扫描件并加盖投标人</w:t>
            </w:r>
            <w:r>
              <w:rPr>
                <w:rFonts w:hint="eastAsia" w:ascii="宋体" w:hAnsi="宋体" w:eastAsia="宋体" w:cs="宋体"/>
                <w:color w:val="auto"/>
                <w:kern w:val="2"/>
                <w:sz w:val="21"/>
                <w:szCs w:val="24"/>
                <w:highlight w:val="none"/>
                <w:lang w:val="en-US" w:eastAsia="zh-CN" w:bidi="ar-SA"/>
              </w:rPr>
              <w:t>公</w:t>
            </w:r>
            <w:r>
              <w:rPr>
                <w:rFonts w:hint="eastAsia" w:ascii="宋体" w:hAnsi="宋体" w:eastAsia="宋体" w:cs="宋体"/>
                <w:color w:val="auto"/>
                <w:kern w:val="2"/>
                <w:sz w:val="21"/>
                <w:szCs w:val="24"/>
                <w:highlight w:val="none"/>
                <w:lang w:val="en-US" w:eastAsia="en-US" w:bidi="ar-SA"/>
              </w:rPr>
              <w:t>章，金额以中标通知书为准，中标通知书上没有金额或免招标的，以施工合同（不含补充合同）为准。完成时间以竣工验收文件为准。</w:t>
            </w:r>
          </w:p>
        </w:tc>
        <w:tc>
          <w:tcPr>
            <w:tcW w:w="892" w:type="dxa"/>
            <w:vMerge w:val="restart"/>
            <w:vAlign w:val="center"/>
          </w:tcPr>
          <w:p>
            <w:pPr>
              <w:widowControl w:val="0"/>
              <w:kinsoku/>
              <w:autoSpaceDE/>
              <w:autoSpaceDN/>
              <w:adjustRightInd/>
              <w:snapToGrid w:val="0"/>
              <w:spacing w:before="120" w:after="120" w:line="360" w:lineRule="exact"/>
              <w:ind w:left="0" w:leftChars="0"/>
              <w:jc w:val="center"/>
              <w:textAlignment w:val="auto"/>
              <w:rPr>
                <w:rFonts w:hint="eastAsia" w:ascii="宋体" w:hAnsi="宋体" w:eastAsia="宋体" w:cs="宋体"/>
                <w:b w:val="0"/>
                <w:bCs w:val="0"/>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1539"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42" w:leftChars="0" w:right="-61" w:rightChars="0"/>
              <w:jc w:val="center"/>
              <w:textAlignment w:val="auto"/>
              <w:rPr>
                <w:rFonts w:hint="eastAsia" w:ascii="宋体" w:hAnsi="宋体" w:eastAsia="宋体" w:cs="宋体"/>
                <w:b w:val="0"/>
                <w:color w:val="auto"/>
                <w:sz w:val="21"/>
                <w:szCs w:val="21"/>
                <w:highlight w:val="none"/>
                <w:vertAlign w:val="baseline"/>
              </w:rPr>
            </w:pPr>
          </w:p>
        </w:tc>
        <w:tc>
          <w:tcPr>
            <w:tcW w:w="1724"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42" w:leftChars="0" w:right="-61" w:rightChars="0"/>
              <w:jc w:val="center"/>
              <w:textAlignment w:val="auto"/>
              <w:rPr>
                <w:rFonts w:hint="eastAsia" w:ascii="宋体" w:hAnsi="宋体" w:eastAsia="宋体" w:cs="宋体"/>
                <w:b w:val="0"/>
                <w:color w:val="auto"/>
                <w:sz w:val="21"/>
                <w:szCs w:val="21"/>
                <w:highlight w:val="none"/>
                <w:vertAlign w:val="baseline"/>
              </w:rPr>
            </w:pPr>
            <w:r>
              <w:rPr>
                <w:rFonts w:hint="eastAsia" w:ascii="宋体" w:hAnsi="宋体" w:eastAsia="宋体" w:cs="宋体"/>
                <w:snapToGrid w:val="0"/>
                <w:color w:val="auto"/>
                <w:kern w:val="0"/>
                <w:sz w:val="21"/>
                <w:szCs w:val="21"/>
                <w:highlight w:val="none"/>
                <w:lang w:eastAsia="zh-CN"/>
              </w:rPr>
              <w:t>企业</w:t>
            </w:r>
            <w:r>
              <w:rPr>
                <w:rFonts w:hint="eastAsia" w:ascii="宋体" w:hAnsi="宋体" w:eastAsia="宋体" w:cs="宋体"/>
                <w:snapToGrid w:val="0"/>
                <w:color w:val="auto"/>
                <w:kern w:val="0"/>
                <w:sz w:val="21"/>
                <w:szCs w:val="21"/>
                <w:highlight w:val="none"/>
                <w:lang w:val="en-US" w:eastAsia="zh-CN"/>
              </w:rPr>
              <w:t>工程奖项</w:t>
            </w:r>
          </w:p>
        </w:tc>
        <w:tc>
          <w:tcPr>
            <w:tcW w:w="529"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b w:val="0"/>
                <w:color w:val="auto"/>
                <w:sz w:val="21"/>
                <w:szCs w:val="21"/>
                <w:highlight w:val="none"/>
                <w:vertAlign w:val="baseline"/>
                <w:lang w:val="en-US"/>
              </w:rPr>
            </w:pPr>
            <w:r>
              <w:rPr>
                <w:rFonts w:hint="eastAsia" w:ascii="宋体" w:hAnsi="宋体" w:eastAsia="宋体" w:cs="宋体"/>
                <w:snapToGrid w:val="0"/>
                <w:color w:val="auto"/>
                <w:kern w:val="0"/>
                <w:sz w:val="21"/>
                <w:szCs w:val="21"/>
                <w:highlight w:val="none"/>
                <w:lang w:val="en-US" w:eastAsia="zh-CN"/>
              </w:rPr>
              <w:t>8</w:t>
            </w:r>
          </w:p>
        </w:tc>
        <w:tc>
          <w:tcPr>
            <w:tcW w:w="8198" w:type="dxa"/>
            <w:vAlign w:val="center"/>
          </w:tcPr>
          <w:p>
            <w:pPr>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投标人自2022年1月1日至今</w:t>
            </w:r>
            <w:r>
              <w:rPr>
                <w:rFonts w:hint="eastAsia" w:ascii="宋体" w:hAnsi="宋体" w:eastAsia="宋体" w:cs="宋体"/>
                <w:color w:val="auto"/>
                <w:highlight w:val="none"/>
                <w:lang w:eastAsia="en-US"/>
              </w:rPr>
              <w:t>完成过质量合格的市政公用工程业绩</w:t>
            </w:r>
            <w:r>
              <w:rPr>
                <w:rFonts w:hint="eastAsia" w:ascii="宋体" w:hAnsi="宋体" w:eastAsia="宋体" w:cs="宋体"/>
                <w:color w:val="auto"/>
                <w:highlight w:val="none"/>
                <w:lang w:val="en-US" w:eastAsia="zh-CN"/>
              </w:rPr>
              <w:t>：①获得过市政公用工程类省级或以上工程奖项，每项得4分；②获得过市政公用工程类市级工程奖项，每项得2分。最高得8分。</w:t>
            </w:r>
          </w:p>
          <w:p>
            <w:pPr>
              <w:jc w:val="left"/>
              <w:rPr>
                <w:rFonts w:hint="eastAsia" w:ascii="宋体" w:hAnsi="宋体" w:eastAsia="宋体" w:cs="宋体"/>
                <w:b w:val="0"/>
                <w:color w:val="auto"/>
                <w:sz w:val="21"/>
                <w:szCs w:val="21"/>
                <w:highlight w:val="none"/>
                <w:vertAlign w:val="baseline"/>
                <w:lang w:eastAsia="zh-CN"/>
              </w:rPr>
            </w:pPr>
            <w:r>
              <w:rPr>
                <w:rFonts w:hint="eastAsia" w:ascii="宋体" w:hAnsi="宋体" w:eastAsia="宋体" w:cs="宋体"/>
                <w:color w:val="auto"/>
                <w:highlight w:val="none"/>
                <w:lang w:val="en-US" w:eastAsia="zh-CN"/>
              </w:rPr>
              <w:t>注：</w:t>
            </w:r>
            <w:r>
              <w:rPr>
                <w:rFonts w:hint="eastAsia" w:ascii="宋体" w:hAnsi="宋体" w:eastAsia="宋体" w:cs="宋体"/>
                <w:color w:val="auto"/>
                <w:highlight w:val="none"/>
                <w:lang w:eastAsia="en-US"/>
              </w:rPr>
              <w:t>（1）须提供获奖证书扫描件。（2）国家级质量奖包括</w:t>
            </w:r>
            <w:r>
              <w:rPr>
                <w:rFonts w:hint="eastAsia" w:ascii="宋体" w:hAnsi="宋体" w:eastAsia="宋体" w:cs="宋体"/>
                <w:color w:val="auto"/>
                <w:highlight w:val="none"/>
                <w:lang w:val="en-US" w:eastAsia="zh-CN"/>
              </w:rPr>
              <w:t>但不限于</w:t>
            </w:r>
            <w:r>
              <w:rPr>
                <w:rFonts w:hint="eastAsia" w:ascii="宋体" w:hAnsi="宋体" w:eastAsia="宋体" w:cs="宋体"/>
                <w:color w:val="auto"/>
                <w:highlight w:val="none"/>
                <w:lang w:eastAsia="en-US"/>
              </w:rPr>
              <w:t>：中国建设工程鲁班奖、中国土木工程詹天佑奖、国家优质工程金质奖（金奖）、国家优质工程银质奖（银奖）、国家优质工程奖；省级、市级工程质量奖项是指由省级、市级建设行政主管部门或行业协会颁发的工程质量奖项（其它如装饰装修、钢结构、安全文明、绿色施工、技术创新、QC成果、机电类、科技进步及技术应用类等奖项不参与计分）。（3）同一项目获得多个奖项的，按最高级别只计算一次分数</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eastAsia="en-US"/>
              </w:rPr>
              <w:t>不得重复计算；获奖时间以发证时间为准；若发证机构为学会或协会的，须在中国社会组织政务服务平台（https://chinanpo.mca.gov.cn/）查询到为有效（附网页截图）</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eastAsia="en-US"/>
              </w:rPr>
              <w:t>（4）投标人须为该获奖项目的施工总承包单位或承建单位，如获奖证书不能体现其身份的，须提供相关证明材料（如施工合同、业主证明、评审申请材料、批复文件、竣工验收文件等）体现其为施工总承包单位或承建单位身份，否则不予计分。（5）获奖单位须为投标单位，子分公司均不计算在内。未提供或所提供的证明资料不符合要求的不得分。</w:t>
            </w:r>
          </w:p>
        </w:tc>
        <w:tc>
          <w:tcPr>
            <w:tcW w:w="892"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42" w:leftChars="0" w:right="-61" w:rightChars="0"/>
              <w:jc w:val="center"/>
              <w:textAlignment w:val="auto"/>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39" w:type="dxa"/>
            <w:vMerge w:val="continue"/>
            <w:vAlign w:val="center"/>
          </w:tcPr>
          <w:p>
            <w:pPr>
              <w:widowControl/>
              <w:kinsoku w:val="0"/>
              <w:autoSpaceDE w:val="0"/>
              <w:autoSpaceDN w:val="0"/>
              <w:adjustRightInd w:val="0"/>
              <w:snapToGrid w:val="0"/>
              <w:spacing w:line="240" w:lineRule="auto"/>
              <w:ind w:left="-2" w:leftChars="-1"/>
              <w:jc w:val="center"/>
              <w:textAlignment w:val="baseline"/>
              <w:rPr>
                <w:rFonts w:hint="eastAsia" w:ascii="宋体" w:hAnsi="宋体" w:eastAsia="宋体" w:cs="宋体"/>
                <w:b w:val="0"/>
                <w:color w:val="auto"/>
                <w:sz w:val="21"/>
                <w:szCs w:val="21"/>
                <w:highlight w:val="none"/>
                <w:vertAlign w:val="baseline"/>
              </w:rPr>
            </w:pPr>
          </w:p>
        </w:tc>
        <w:tc>
          <w:tcPr>
            <w:tcW w:w="1724"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right="-61" w:rightChars="0" w:firstLine="210" w:firstLineChars="100"/>
              <w:jc w:val="both"/>
              <w:textAlignment w:val="auto"/>
              <w:rPr>
                <w:rFonts w:hint="eastAsia" w:ascii="宋体" w:hAnsi="宋体" w:eastAsia="宋体" w:cs="宋体"/>
                <w:b w:val="0"/>
                <w:color w:val="auto"/>
                <w:sz w:val="21"/>
                <w:szCs w:val="21"/>
                <w:highlight w:val="none"/>
                <w:vertAlign w:val="baseline"/>
              </w:rPr>
            </w:pPr>
            <w:r>
              <w:rPr>
                <w:rFonts w:hint="eastAsia" w:ascii="宋体" w:hAnsi="宋体" w:eastAsia="宋体" w:cs="宋体"/>
                <w:b w:val="0"/>
                <w:color w:val="auto"/>
                <w:sz w:val="21"/>
                <w:szCs w:val="21"/>
                <w:highlight w:val="none"/>
                <w:vertAlign w:val="baseline"/>
                <w:lang w:val="en-US" w:eastAsia="zh-CN"/>
              </w:rPr>
              <w:t>认证体系</w:t>
            </w:r>
          </w:p>
        </w:tc>
        <w:tc>
          <w:tcPr>
            <w:tcW w:w="529"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b w:val="0"/>
                <w:color w:val="auto"/>
                <w:sz w:val="21"/>
                <w:szCs w:val="21"/>
                <w:highlight w:val="none"/>
                <w:vertAlign w:val="baseline"/>
                <w:lang w:val="en-US"/>
              </w:rPr>
            </w:pPr>
            <w:r>
              <w:rPr>
                <w:rFonts w:hint="eastAsia" w:ascii="宋体" w:hAnsi="宋体" w:eastAsia="宋体" w:cs="宋体"/>
                <w:snapToGrid w:val="0"/>
                <w:color w:val="auto"/>
                <w:kern w:val="0"/>
                <w:sz w:val="21"/>
                <w:szCs w:val="21"/>
                <w:highlight w:val="none"/>
                <w:lang w:val="en-US" w:eastAsia="zh-CN"/>
              </w:rPr>
              <w:t>6</w:t>
            </w:r>
          </w:p>
        </w:tc>
        <w:tc>
          <w:tcPr>
            <w:tcW w:w="8198" w:type="dxa"/>
            <w:vAlign w:val="center"/>
          </w:tcPr>
          <w:p>
            <w:pPr>
              <w:jc w:val="left"/>
              <w:rPr>
                <w:rFonts w:hint="eastAsia" w:ascii="宋体" w:hAnsi="宋体" w:eastAsia="宋体" w:cs="宋体"/>
                <w:b w:val="0"/>
                <w:bCs w:val="0"/>
                <w:color w:val="auto"/>
                <w:kern w:val="2"/>
                <w:szCs w:val="21"/>
                <w:highlight w:val="none"/>
                <w:lang w:val="en-US" w:eastAsia="zh-CN"/>
              </w:rPr>
            </w:pPr>
            <w:r>
              <w:rPr>
                <w:rFonts w:hint="eastAsia" w:ascii="宋体" w:hAnsi="宋体" w:eastAsia="宋体" w:cs="宋体"/>
                <w:color w:val="auto"/>
                <w:kern w:val="2"/>
                <w:szCs w:val="21"/>
                <w:highlight w:val="none"/>
              </w:rPr>
              <w:t>投标人具有有效的质量管理体系认证证书、环境管理体系认证证书、职业健康安全管理体系认证证书，每</w:t>
            </w:r>
            <w:r>
              <w:rPr>
                <w:rFonts w:hint="eastAsia" w:ascii="宋体" w:hAnsi="宋体" w:eastAsia="宋体" w:cs="宋体"/>
                <w:color w:val="auto"/>
                <w:kern w:val="2"/>
                <w:szCs w:val="21"/>
                <w:highlight w:val="none"/>
                <w:lang w:val="en-US" w:eastAsia="zh-CN"/>
              </w:rPr>
              <w:t>提供</w:t>
            </w:r>
            <w:r>
              <w:rPr>
                <w:rFonts w:hint="eastAsia" w:ascii="宋体" w:hAnsi="宋体" w:eastAsia="宋体" w:cs="宋体"/>
                <w:color w:val="auto"/>
                <w:kern w:val="2"/>
                <w:szCs w:val="21"/>
                <w:highlight w:val="none"/>
              </w:rPr>
              <w:t>一</w:t>
            </w:r>
            <w:r>
              <w:rPr>
                <w:rFonts w:hint="eastAsia" w:ascii="宋体" w:hAnsi="宋体" w:eastAsia="宋体" w:cs="宋体"/>
                <w:b w:val="0"/>
                <w:bCs w:val="0"/>
                <w:color w:val="auto"/>
                <w:kern w:val="2"/>
                <w:szCs w:val="21"/>
                <w:highlight w:val="none"/>
              </w:rPr>
              <w:t>个证书</w:t>
            </w:r>
            <w:r>
              <w:rPr>
                <w:rFonts w:hint="eastAsia" w:ascii="宋体" w:hAnsi="宋体" w:eastAsia="宋体" w:cs="宋体"/>
                <w:b w:val="0"/>
                <w:bCs w:val="0"/>
                <w:color w:val="auto"/>
                <w:kern w:val="2"/>
                <w:szCs w:val="21"/>
                <w:highlight w:val="none"/>
                <w:shd w:val="clear" w:color="auto" w:fill="auto"/>
                <w:lang w:val="en-US" w:eastAsia="zh-CN"/>
              </w:rPr>
              <w:t>得2</w:t>
            </w:r>
            <w:r>
              <w:rPr>
                <w:rFonts w:hint="eastAsia" w:ascii="宋体" w:hAnsi="宋体" w:eastAsia="宋体" w:cs="宋体"/>
                <w:b w:val="0"/>
                <w:bCs w:val="0"/>
                <w:color w:val="auto"/>
                <w:kern w:val="2"/>
                <w:szCs w:val="21"/>
                <w:highlight w:val="none"/>
                <w:shd w:val="clear" w:color="auto" w:fill="auto"/>
              </w:rPr>
              <w:t>分</w:t>
            </w:r>
            <w:r>
              <w:rPr>
                <w:rFonts w:hint="eastAsia" w:ascii="宋体" w:hAnsi="宋体" w:eastAsia="宋体" w:cs="宋体"/>
                <w:b w:val="0"/>
                <w:bCs w:val="0"/>
                <w:color w:val="auto"/>
                <w:kern w:val="2"/>
                <w:szCs w:val="21"/>
                <w:highlight w:val="none"/>
              </w:rPr>
              <w:t>。本项最高</w:t>
            </w:r>
            <w:r>
              <w:rPr>
                <w:rFonts w:hint="eastAsia" w:ascii="宋体" w:hAnsi="宋体" w:eastAsia="宋体" w:cs="宋体"/>
                <w:b w:val="0"/>
                <w:bCs w:val="0"/>
                <w:color w:val="auto"/>
                <w:kern w:val="2"/>
                <w:szCs w:val="21"/>
                <w:highlight w:val="none"/>
                <w:shd w:val="clear" w:color="auto" w:fill="auto"/>
              </w:rPr>
              <w:t>得</w:t>
            </w:r>
            <w:r>
              <w:rPr>
                <w:rFonts w:hint="eastAsia" w:ascii="宋体" w:hAnsi="宋体" w:eastAsia="宋体" w:cs="宋体"/>
                <w:b w:val="0"/>
                <w:bCs w:val="0"/>
                <w:color w:val="auto"/>
                <w:kern w:val="2"/>
                <w:szCs w:val="21"/>
                <w:highlight w:val="none"/>
                <w:shd w:val="clear" w:color="auto" w:fill="auto"/>
                <w:lang w:val="en-US" w:eastAsia="zh-CN"/>
              </w:rPr>
              <w:t>6</w:t>
            </w:r>
            <w:r>
              <w:rPr>
                <w:rFonts w:hint="eastAsia" w:ascii="宋体" w:hAnsi="宋体" w:eastAsia="宋体" w:cs="宋体"/>
                <w:b w:val="0"/>
                <w:bCs w:val="0"/>
                <w:color w:val="auto"/>
                <w:kern w:val="2"/>
                <w:szCs w:val="21"/>
                <w:highlight w:val="none"/>
                <w:shd w:val="clear" w:color="auto" w:fill="auto"/>
              </w:rPr>
              <w:t>分</w:t>
            </w:r>
            <w:r>
              <w:rPr>
                <w:rFonts w:hint="eastAsia" w:ascii="宋体" w:hAnsi="宋体" w:eastAsia="宋体" w:cs="宋体"/>
                <w:b w:val="0"/>
                <w:bCs w:val="0"/>
                <w:color w:val="auto"/>
                <w:kern w:val="2"/>
                <w:szCs w:val="21"/>
                <w:highlight w:val="none"/>
              </w:rPr>
              <w:t>。</w:t>
            </w:r>
          </w:p>
          <w:p>
            <w:pPr>
              <w:widowControl/>
              <w:kinsoku w:val="0"/>
              <w:autoSpaceDE w:val="0"/>
              <w:autoSpaceDN w:val="0"/>
              <w:adjustRightInd w:val="0"/>
              <w:snapToGrid w:val="0"/>
              <w:spacing w:line="240" w:lineRule="auto"/>
              <w:jc w:val="left"/>
              <w:textAlignment w:val="baseline"/>
              <w:rPr>
                <w:rFonts w:hint="eastAsia" w:ascii="宋体" w:hAnsi="宋体" w:eastAsia="宋体" w:cs="宋体"/>
                <w:b w:val="0"/>
                <w:color w:val="auto"/>
                <w:sz w:val="21"/>
                <w:szCs w:val="21"/>
                <w:highlight w:val="none"/>
                <w:vertAlign w:val="baseline"/>
              </w:rPr>
            </w:pPr>
            <w:r>
              <w:rPr>
                <w:rFonts w:hint="eastAsia" w:ascii="宋体" w:hAnsi="宋体" w:eastAsia="宋体" w:cs="宋体"/>
                <w:b w:val="0"/>
                <w:bCs w:val="0"/>
                <w:color w:val="auto"/>
                <w:kern w:val="2"/>
                <w:szCs w:val="21"/>
                <w:highlight w:val="none"/>
              </w:rPr>
              <w:t>注：</w:t>
            </w:r>
            <w:r>
              <w:rPr>
                <w:rFonts w:hint="eastAsia" w:ascii="宋体" w:hAnsi="宋体" w:eastAsia="宋体" w:cs="宋体"/>
                <w:b w:val="0"/>
                <w:bCs w:val="0"/>
                <w:color w:val="auto"/>
                <w:kern w:val="2"/>
                <w:sz w:val="21"/>
                <w:szCs w:val="21"/>
                <w:highlight w:val="none"/>
              </w:rPr>
              <w:t>（须提供</w:t>
            </w:r>
            <w:r>
              <w:rPr>
                <w:rFonts w:hint="eastAsia" w:ascii="宋体" w:hAnsi="宋体" w:eastAsia="宋体" w:cs="宋体"/>
                <w:b w:val="0"/>
                <w:bCs w:val="0"/>
                <w:color w:val="auto"/>
                <w:kern w:val="2"/>
                <w:sz w:val="21"/>
                <w:szCs w:val="21"/>
                <w:highlight w:val="none"/>
                <w:lang w:val="en-US" w:eastAsia="zh-CN"/>
              </w:rPr>
              <w:t>以上有效期内的</w:t>
            </w:r>
            <w:r>
              <w:rPr>
                <w:rFonts w:hint="eastAsia" w:ascii="宋体" w:hAnsi="宋体" w:eastAsia="宋体" w:cs="宋体"/>
                <w:b w:val="0"/>
                <w:bCs w:val="0"/>
                <w:color w:val="auto"/>
                <w:kern w:val="2"/>
                <w:sz w:val="21"/>
                <w:szCs w:val="21"/>
                <w:highlight w:val="none"/>
              </w:rPr>
              <w:t>证书复印件以及在全国认证认可信息公共服务平台上http://cx.cnca.cn查询结果的截图，证书状态必须为“有效”</w:t>
            </w:r>
            <w:r>
              <w:rPr>
                <w:rFonts w:hint="eastAsia" w:ascii="宋体" w:hAnsi="宋体" w:eastAsia="宋体" w:cs="宋体"/>
                <w:b w:val="0"/>
                <w:bCs w:val="0"/>
                <w:color w:val="auto"/>
                <w:kern w:val="2"/>
                <w:sz w:val="21"/>
                <w:szCs w:val="21"/>
                <w:highlight w:val="none"/>
                <w:lang w:eastAsia="zh-CN"/>
              </w:rPr>
              <w:t>，</w:t>
            </w:r>
            <w:r>
              <w:rPr>
                <w:rFonts w:hint="eastAsia" w:ascii="宋体" w:hAnsi="宋体" w:eastAsia="宋体" w:cs="宋体"/>
                <w:b w:val="0"/>
                <w:bCs w:val="0"/>
                <w:color w:val="auto"/>
                <w:kern w:val="2"/>
                <w:sz w:val="21"/>
                <w:szCs w:val="21"/>
                <w:highlight w:val="none"/>
                <w:lang w:val="en-US" w:eastAsia="zh-CN"/>
              </w:rPr>
              <w:t>否则不得分。</w:t>
            </w:r>
            <w:r>
              <w:rPr>
                <w:rFonts w:hint="eastAsia" w:ascii="宋体" w:hAnsi="宋体" w:eastAsia="宋体" w:cs="宋体"/>
                <w:b w:val="0"/>
                <w:bCs w:val="0"/>
                <w:color w:val="auto"/>
                <w:kern w:val="2"/>
                <w:sz w:val="21"/>
                <w:szCs w:val="21"/>
                <w:highlight w:val="none"/>
              </w:rPr>
              <w:t>）</w:t>
            </w:r>
          </w:p>
        </w:tc>
        <w:tc>
          <w:tcPr>
            <w:tcW w:w="892" w:type="dxa"/>
            <w:vMerge w:val="continue"/>
            <w:vAlign w:val="center"/>
          </w:tcPr>
          <w:p>
            <w:pPr>
              <w:widowControl/>
              <w:kinsoku w:val="0"/>
              <w:autoSpaceDE w:val="0"/>
              <w:autoSpaceDN w:val="0"/>
              <w:adjustRightInd w:val="0"/>
              <w:snapToGrid w:val="0"/>
              <w:spacing w:line="240" w:lineRule="auto"/>
              <w:ind w:left="-2" w:leftChars="-1"/>
              <w:jc w:val="center"/>
              <w:textAlignment w:val="baseline"/>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6" w:hRule="atLeast"/>
        </w:trPr>
        <w:tc>
          <w:tcPr>
            <w:tcW w:w="1539"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b w:val="0"/>
                <w:color w:val="auto"/>
                <w:sz w:val="21"/>
                <w:szCs w:val="21"/>
                <w:highlight w:val="none"/>
                <w:vertAlign w:val="baseline"/>
              </w:rPr>
            </w:pPr>
          </w:p>
        </w:tc>
        <w:tc>
          <w:tcPr>
            <w:tcW w:w="1724"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b w:val="0"/>
                <w:color w:val="auto"/>
                <w:sz w:val="21"/>
                <w:szCs w:val="21"/>
                <w:highlight w:val="none"/>
                <w:vertAlign w:val="baseline"/>
              </w:rPr>
            </w:pPr>
            <w:r>
              <w:rPr>
                <w:rFonts w:hint="eastAsia" w:ascii="宋体" w:hAnsi="宋体" w:eastAsia="宋体" w:cs="宋体"/>
                <w:b w:val="0"/>
                <w:bCs w:val="0"/>
                <w:snapToGrid w:val="0"/>
                <w:color w:val="auto"/>
                <w:kern w:val="0"/>
                <w:sz w:val="21"/>
                <w:szCs w:val="21"/>
                <w:highlight w:val="none"/>
                <w:lang w:eastAsia="en-US"/>
              </w:rPr>
              <w:t xml:space="preserve">项目管理机构能力 </w:t>
            </w:r>
          </w:p>
        </w:tc>
        <w:tc>
          <w:tcPr>
            <w:tcW w:w="529"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b w:val="0"/>
                <w:color w:val="auto"/>
                <w:sz w:val="21"/>
                <w:szCs w:val="21"/>
                <w:highlight w:val="none"/>
                <w:vertAlign w:val="baseline"/>
                <w:lang w:val="en-US"/>
              </w:rPr>
            </w:pPr>
            <w:r>
              <w:rPr>
                <w:rFonts w:hint="eastAsia" w:ascii="宋体" w:hAnsi="宋体" w:eastAsia="宋体" w:cs="宋体"/>
                <w:snapToGrid w:val="0"/>
                <w:color w:val="auto"/>
                <w:kern w:val="0"/>
                <w:sz w:val="21"/>
                <w:szCs w:val="21"/>
                <w:highlight w:val="none"/>
                <w:lang w:val="en-US" w:eastAsia="zh-CN"/>
              </w:rPr>
              <w:t>16</w:t>
            </w:r>
          </w:p>
        </w:tc>
        <w:tc>
          <w:tcPr>
            <w:tcW w:w="8198" w:type="dxa"/>
            <w:vAlign w:val="center"/>
          </w:tcPr>
          <w:p>
            <w:pPr>
              <w:jc w:val="left"/>
              <w:rPr>
                <w:rFonts w:hint="eastAsia" w:ascii="宋体" w:hAnsi="宋体" w:eastAsia="宋体" w:cs="宋体"/>
                <w:color w:val="auto"/>
                <w:kern w:val="2"/>
                <w:szCs w:val="21"/>
                <w:highlight w:val="none"/>
                <w:lang w:eastAsia="zh-CN"/>
              </w:rPr>
            </w:pPr>
            <w:r>
              <w:rPr>
                <w:rFonts w:hint="eastAsia" w:ascii="宋体" w:hAnsi="宋体" w:eastAsia="宋体" w:cs="宋体"/>
                <w:color w:val="auto"/>
                <w:kern w:val="2"/>
                <w:szCs w:val="21"/>
                <w:highlight w:val="none"/>
                <w:lang w:val="en-US" w:eastAsia="zh-CN"/>
              </w:rPr>
              <w:t>（1</w:t>
            </w:r>
            <w:r>
              <w:rPr>
                <w:rFonts w:hint="eastAsia" w:ascii="宋体" w:hAnsi="宋体" w:eastAsia="宋体" w:cs="宋体"/>
                <w:color w:val="auto"/>
                <w:kern w:val="2"/>
                <w:szCs w:val="21"/>
                <w:highlight w:val="none"/>
              </w:rPr>
              <w:t>）技术负责人：具有工程</w:t>
            </w:r>
            <w:r>
              <w:rPr>
                <w:rFonts w:hint="eastAsia" w:ascii="宋体" w:hAnsi="宋体" w:eastAsia="宋体" w:cs="宋体"/>
                <w:color w:val="auto"/>
                <w:kern w:val="2"/>
                <w:szCs w:val="21"/>
                <w:highlight w:val="none"/>
                <w:lang w:eastAsia="zh-CN"/>
              </w:rPr>
              <w:t>类</w:t>
            </w:r>
            <w:r>
              <w:rPr>
                <w:rFonts w:hint="eastAsia" w:ascii="宋体" w:hAnsi="宋体" w:eastAsia="宋体" w:cs="宋体"/>
                <w:color w:val="auto"/>
                <w:kern w:val="2"/>
                <w:szCs w:val="21"/>
                <w:highlight w:val="none"/>
                <w:lang w:val="en-US" w:eastAsia="zh-CN"/>
              </w:rPr>
              <w:t>中</w:t>
            </w:r>
            <w:r>
              <w:rPr>
                <w:rFonts w:hint="eastAsia" w:ascii="宋体" w:hAnsi="宋体" w:eastAsia="宋体" w:cs="宋体"/>
                <w:color w:val="auto"/>
                <w:kern w:val="2"/>
                <w:szCs w:val="21"/>
                <w:highlight w:val="none"/>
                <w:lang w:eastAsia="zh-CN"/>
              </w:rPr>
              <w:t>级</w:t>
            </w:r>
            <w:r>
              <w:rPr>
                <w:rFonts w:hint="eastAsia" w:ascii="宋体" w:hAnsi="宋体" w:eastAsia="宋体" w:cs="宋体"/>
                <w:color w:val="auto"/>
                <w:kern w:val="2"/>
                <w:szCs w:val="21"/>
                <w:highlight w:val="none"/>
                <w:lang w:val="en-US" w:eastAsia="zh-CN"/>
              </w:rPr>
              <w:t>或以上</w:t>
            </w:r>
            <w:r>
              <w:rPr>
                <w:rFonts w:hint="eastAsia" w:ascii="宋体" w:hAnsi="宋体" w:eastAsia="宋体" w:cs="宋体"/>
                <w:color w:val="auto"/>
                <w:kern w:val="2"/>
                <w:szCs w:val="21"/>
                <w:highlight w:val="none"/>
                <w:lang w:eastAsia="zh-CN"/>
              </w:rPr>
              <w:t>职称</w:t>
            </w:r>
            <w:r>
              <w:rPr>
                <w:rFonts w:hint="eastAsia" w:ascii="宋体" w:hAnsi="宋体" w:eastAsia="宋体" w:cs="宋体"/>
                <w:color w:val="auto"/>
                <w:kern w:val="2"/>
                <w:szCs w:val="21"/>
                <w:highlight w:val="none"/>
                <w:lang w:val="en-US" w:eastAsia="zh-CN"/>
              </w:rPr>
              <w:t>得4分</w:t>
            </w:r>
            <w:r>
              <w:rPr>
                <w:rFonts w:hint="eastAsia" w:ascii="宋体" w:hAnsi="宋体" w:eastAsia="宋体" w:cs="宋体"/>
                <w:color w:val="auto"/>
                <w:kern w:val="2"/>
                <w:szCs w:val="21"/>
                <w:highlight w:val="none"/>
                <w:lang w:eastAsia="zh-CN"/>
              </w:rPr>
              <w:t>，</w:t>
            </w:r>
            <w:r>
              <w:rPr>
                <w:rFonts w:hint="eastAsia" w:ascii="宋体" w:hAnsi="宋体" w:eastAsia="宋体" w:cs="宋体"/>
                <w:color w:val="auto"/>
                <w:kern w:val="2"/>
                <w:szCs w:val="21"/>
                <w:highlight w:val="none"/>
                <w:lang w:val="en-US" w:eastAsia="zh-CN"/>
              </w:rPr>
              <w:t>具有一级</w:t>
            </w:r>
            <w:r>
              <w:rPr>
                <w:rFonts w:hint="eastAsia" w:ascii="宋体" w:hAnsi="宋体" w:eastAsia="宋体" w:cs="宋体"/>
                <w:color w:val="auto"/>
                <w:kern w:val="2"/>
                <w:szCs w:val="21"/>
                <w:highlight w:val="none"/>
              </w:rPr>
              <w:t>注册建造师（专业不限</w:t>
            </w:r>
            <w:r>
              <w:rPr>
                <w:rFonts w:hint="eastAsia" w:ascii="宋体" w:hAnsi="宋体" w:eastAsia="宋体" w:cs="宋体"/>
                <w:color w:val="auto"/>
                <w:kern w:val="2"/>
                <w:szCs w:val="21"/>
                <w:highlight w:val="none"/>
                <w:lang w:eastAsia="zh-CN"/>
              </w:rPr>
              <w:t>）</w:t>
            </w:r>
            <w:r>
              <w:rPr>
                <w:rFonts w:hint="eastAsia" w:ascii="宋体" w:hAnsi="宋体" w:eastAsia="宋体" w:cs="宋体"/>
                <w:color w:val="auto"/>
                <w:kern w:val="2"/>
                <w:szCs w:val="21"/>
                <w:highlight w:val="none"/>
                <w:lang w:val="en-US" w:eastAsia="zh-CN"/>
              </w:rPr>
              <w:t>得4分</w:t>
            </w:r>
            <w:r>
              <w:rPr>
                <w:rFonts w:hint="eastAsia" w:ascii="宋体" w:hAnsi="宋体" w:eastAsia="宋体" w:cs="宋体"/>
                <w:color w:val="auto"/>
                <w:kern w:val="2"/>
                <w:szCs w:val="21"/>
                <w:highlight w:val="none"/>
                <w:lang w:eastAsia="zh-CN"/>
              </w:rPr>
              <w:t>；</w:t>
            </w:r>
          </w:p>
          <w:p>
            <w:pPr>
              <w:jc w:val="left"/>
              <w:rPr>
                <w:rFonts w:hint="eastAsia" w:ascii="宋体" w:hAnsi="宋体" w:eastAsia="宋体" w:cs="宋体"/>
                <w:color w:val="auto"/>
                <w:kern w:val="2"/>
                <w:szCs w:val="21"/>
                <w:highlight w:val="none"/>
                <w:lang w:eastAsia="zh-CN"/>
              </w:rPr>
            </w:pPr>
            <w:r>
              <w:rPr>
                <w:rFonts w:hint="eastAsia" w:ascii="宋体" w:hAnsi="宋体" w:eastAsia="宋体" w:cs="宋体"/>
                <w:color w:val="auto"/>
                <w:kern w:val="2"/>
                <w:szCs w:val="21"/>
                <w:highlight w:val="none"/>
                <w:lang w:val="en-US" w:eastAsia="zh-CN"/>
              </w:rPr>
              <w:t>（2</w:t>
            </w:r>
            <w:r>
              <w:rPr>
                <w:rFonts w:hint="eastAsia" w:ascii="宋体" w:hAnsi="宋体" w:eastAsia="宋体" w:cs="宋体"/>
                <w:color w:val="auto"/>
                <w:kern w:val="2"/>
                <w:szCs w:val="21"/>
                <w:highlight w:val="none"/>
              </w:rPr>
              <w:t>）安全负责人：具</w:t>
            </w:r>
            <w:r>
              <w:rPr>
                <w:rFonts w:hint="eastAsia" w:ascii="宋体" w:hAnsi="宋体" w:eastAsia="宋体" w:cs="宋体"/>
                <w:color w:val="auto"/>
                <w:kern w:val="2"/>
                <w:szCs w:val="21"/>
                <w:highlight w:val="none"/>
                <w:lang w:val="en-US" w:eastAsia="zh-CN"/>
              </w:rPr>
              <w:t>有在有效期内的</w:t>
            </w:r>
            <w:r>
              <w:rPr>
                <w:rFonts w:hint="eastAsia" w:ascii="宋体" w:hAnsi="宋体" w:eastAsia="宋体" w:cs="宋体"/>
                <w:color w:val="auto"/>
                <w:kern w:val="2"/>
                <w:szCs w:val="21"/>
                <w:highlight w:val="none"/>
              </w:rPr>
              <w:t>安全生产考核合格证</w:t>
            </w:r>
            <w:r>
              <w:rPr>
                <w:rFonts w:hint="eastAsia" w:ascii="宋体" w:hAnsi="宋体" w:eastAsia="宋体" w:cs="宋体"/>
                <w:color w:val="auto"/>
                <w:kern w:val="2"/>
                <w:szCs w:val="21"/>
                <w:highlight w:val="none"/>
                <w:lang w:val="en-US" w:eastAsia="zh-CN"/>
              </w:rPr>
              <w:t>书</w:t>
            </w:r>
            <w:r>
              <w:rPr>
                <w:rFonts w:hint="eastAsia" w:ascii="宋体" w:hAnsi="宋体" w:eastAsia="宋体" w:cs="宋体"/>
                <w:color w:val="auto"/>
                <w:kern w:val="2"/>
                <w:szCs w:val="21"/>
                <w:highlight w:val="none"/>
                <w:lang w:eastAsia="zh-CN"/>
              </w:rPr>
              <w:t>（</w:t>
            </w:r>
            <w:r>
              <w:rPr>
                <w:rFonts w:hint="eastAsia" w:ascii="宋体" w:hAnsi="宋体" w:eastAsia="宋体" w:cs="宋体"/>
                <w:color w:val="auto"/>
                <w:kern w:val="2"/>
                <w:szCs w:val="21"/>
                <w:highlight w:val="none"/>
                <w:lang w:val="en-US" w:eastAsia="zh-CN"/>
              </w:rPr>
              <w:t>C类</w:t>
            </w:r>
            <w:r>
              <w:rPr>
                <w:rFonts w:hint="eastAsia" w:ascii="宋体" w:hAnsi="宋体" w:eastAsia="宋体" w:cs="宋体"/>
                <w:color w:val="auto"/>
                <w:kern w:val="2"/>
                <w:szCs w:val="21"/>
                <w:highlight w:val="none"/>
                <w:lang w:eastAsia="zh-CN"/>
              </w:rPr>
              <w:t>）</w:t>
            </w:r>
            <w:r>
              <w:rPr>
                <w:rFonts w:hint="eastAsia" w:ascii="宋体" w:hAnsi="宋体" w:eastAsia="宋体" w:cs="宋体"/>
                <w:color w:val="auto"/>
                <w:kern w:val="2"/>
                <w:szCs w:val="21"/>
                <w:highlight w:val="none"/>
                <w:lang w:val="en-US" w:eastAsia="zh-CN"/>
              </w:rPr>
              <w:t>且具有注册安全工程师</w:t>
            </w:r>
            <w:r>
              <w:rPr>
                <w:rFonts w:hint="eastAsia" w:ascii="宋体" w:hAnsi="宋体" w:eastAsia="宋体" w:cs="宋体"/>
                <w:color w:val="auto"/>
                <w:kern w:val="2"/>
                <w:szCs w:val="21"/>
                <w:highlight w:val="none"/>
                <w:lang w:eastAsia="zh-CN"/>
              </w:rPr>
              <w:t>得</w:t>
            </w:r>
            <w:r>
              <w:rPr>
                <w:rFonts w:hint="eastAsia" w:ascii="宋体" w:hAnsi="宋体" w:eastAsia="宋体" w:cs="宋体"/>
                <w:color w:val="auto"/>
                <w:kern w:val="2"/>
                <w:szCs w:val="21"/>
                <w:highlight w:val="none"/>
                <w:lang w:val="en-US" w:eastAsia="zh-CN"/>
              </w:rPr>
              <w:t>4</w:t>
            </w:r>
            <w:r>
              <w:rPr>
                <w:rFonts w:hint="eastAsia" w:ascii="宋体" w:hAnsi="宋体" w:eastAsia="宋体" w:cs="宋体"/>
                <w:color w:val="auto"/>
                <w:kern w:val="2"/>
                <w:szCs w:val="21"/>
                <w:highlight w:val="none"/>
              </w:rPr>
              <w:t>分</w:t>
            </w:r>
            <w:r>
              <w:rPr>
                <w:rFonts w:hint="eastAsia" w:ascii="宋体" w:hAnsi="宋体" w:eastAsia="宋体" w:cs="宋体"/>
                <w:color w:val="auto"/>
                <w:kern w:val="2"/>
                <w:szCs w:val="21"/>
                <w:highlight w:val="none"/>
                <w:lang w:eastAsia="zh-CN"/>
              </w:rPr>
              <w:t>；</w:t>
            </w:r>
          </w:p>
          <w:p>
            <w:pPr>
              <w:jc w:val="left"/>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（3）造价负责人：具有一级注册造价工程师资格的得4分。</w:t>
            </w:r>
          </w:p>
          <w:p>
            <w:pPr>
              <w:widowControl/>
              <w:shd w:val="clear"/>
              <w:kinsoku w:val="0"/>
              <w:autoSpaceDE w:val="0"/>
              <w:autoSpaceDN w:val="0"/>
              <w:adjustRightInd w:val="0"/>
              <w:snapToGrid w:val="0"/>
              <w:spacing w:line="360" w:lineRule="exact"/>
              <w:jc w:val="left"/>
              <w:textAlignment w:val="baseline"/>
              <w:rPr>
                <w:rFonts w:hint="eastAsia" w:ascii="宋体" w:hAnsi="宋体" w:eastAsia="宋体" w:cs="宋体"/>
                <w:b w:val="0"/>
                <w:color w:val="auto"/>
                <w:sz w:val="21"/>
                <w:szCs w:val="21"/>
                <w:highlight w:val="none"/>
                <w:vertAlign w:val="baseline"/>
              </w:rPr>
            </w:pPr>
            <w:r>
              <w:rPr>
                <w:rFonts w:hint="eastAsia" w:ascii="宋体" w:hAnsi="宋体" w:eastAsia="宋体" w:cs="宋体"/>
                <w:color w:val="auto"/>
                <w:kern w:val="2"/>
                <w:szCs w:val="21"/>
                <w:highlight w:val="none"/>
                <w:lang w:val="en-US" w:eastAsia="zh-CN"/>
              </w:rPr>
              <w:t>注：本项最高得14分。</w:t>
            </w:r>
            <w:r>
              <w:rPr>
                <w:rFonts w:hint="eastAsia" w:ascii="宋体" w:hAnsi="宋体" w:eastAsia="宋体" w:cs="宋体"/>
                <w:color w:val="auto"/>
                <w:sz w:val="21"/>
                <w:szCs w:val="21"/>
                <w:highlight w:val="none"/>
              </w:rPr>
              <w:t>拟投入本项目所有人员只能担任一个岗位，不得兼任</w:t>
            </w:r>
            <w:r>
              <w:rPr>
                <w:rFonts w:hint="eastAsia" w:ascii="宋体" w:hAnsi="宋体" w:eastAsia="宋体" w:cs="宋体"/>
                <w:color w:val="auto"/>
                <w:sz w:val="21"/>
                <w:szCs w:val="21"/>
                <w:highlight w:val="none"/>
                <w:lang w:eastAsia="zh-CN"/>
              </w:rPr>
              <w:t>，</w:t>
            </w:r>
            <w:r>
              <w:rPr>
                <w:rFonts w:hint="eastAsia" w:ascii="宋体" w:hAnsi="宋体" w:eastAsia="宋体" w:cs="宋体"/>
                <w:snapToGrid w:val="0"/>
                <w:color w:val="auto"/>
                <w:kern w:val="0"/>
                <w:szCs w:val="21"/>
                <w:highlight w:val="none"/>
                <w:lang w:eastAsia="en-US"/>
              </w:rPr>
              <w:t>需提供对应身份证、毕业证、职称证等相关证件扫描件。上述人员除须提供相关证件资料外还需提供</w:t>
            </w:r>
            <w:r>
              <w:rPr>
                <w:rFonts w:hint="eastAsia" w:ascii="宋体" w:hAnsi="宋体" w:eastAsia="宋体" w:cs="宋体"/>
                <w:color w:val="auto"/>
                <w:sz w:val="21"/>
                <w:szCs w:val="21"/>
                <w:highlight w:val="none"/>
              </w:rPr>
              <w:t>投标人为其购买至投标截止日期近</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个月（截止投标当月的上一月份）有效的社会保险证明文件</w:t>
            </w:r>
            <w:r>
              <w:rPr>
                <w:rFonts w:hint="eastAsia" w:ascii="宋体" w:hAnsi="宋体" w:eastAsia="宋体" w:cs="宋体"/>
                <w:color w:val="auto"/>
                <w:sz w:val="21"/>
                <w:szCs w:val="21"/>
                <w:highlight w:val="none"/>
                <w:lang w:val="en-US" w:eastAsia="zh-CN"/>
              </w:rPr>
              <w:t>复印</w:t>
            </w:r>
            <w:r>
              <w:rPr>
                <w:rFonts w:hint="eastAsia" w:ascii="宋体" w:hAnsi="宋体" w:eastAsia="宋体" w:cs="宋体"/>
                <w:color w:val="auto"/>
                <w:sz w:val="21"/>
                <w:szCs w:val="21"/>
                <w:highlight w:val="none"/>
              </w:rPr>
              <w:t>件</w:t>
            </w:r>
            <w:r>
              <w:rPr>
                <w:rFonts w:hint="eastAsia" w:ascii="宋体" w:hAnsi="宋体" w:eastAsia="宋体" w:cs="宋体"/>
                <w:color w:val="auto"/>
                <w:sz w:val="21"/>
                <w:szCs w:val="21"/>
                <w:highlight w:val="none"/>
                <w:lang w:eastAsia="zh-CN"/>
              </w:rPr>
              <w:t>。</w:t>
            </w:r>
            <w:r>
              <w:rPr>
                <w:rFonts w:hint="eastAsia" w:ascii="宋体" w:hAnsi="宋体" w:eastAsia="宋体" w:cs="宋体"/>
                <w:snapToGrid w:val="0"/>
                <w:color w:val="auto"/>
                <w:kern w:val="0"/>
                <w:szCs w:val="21"/>
                <w:highlight w:val="none"/>
                <w:lang w:eastAsia="en-US"/>
              </w:rPr>
              <w:t>（</w:t>
            </w:r>
            <w:r>
              <w:rPr>
                <w:rFonts w:hint="eastAsia" w:ascii="宋体" w:hAnsi="宋体" w:eastAsia="宋体" w:cs="宋体"/>
                <w:snapToGrid w:val="0"/>
                <w:color w:val="auto"/>
                <w:kern w:val="0"/>
                <w:szCs w:val="21"/>
                <w:highlight w:val="none"/>
                <w:lang w:val="en-US" w:eastAsia="zh-CN"/>
              </w:rPr>
              <w:t>2</w:t>
            </w:r>
            <w:r>
              <w:rPr>
                <w:rFonts w:hint="eastAsia" w:ascii="宋体" w:hAnsi="宋体" w:eastAsia="宋体" w:cs="宋体"/>
                <w:snapToGrid w:val="0"/>
                <w:color w:val="auto"/>
                <w:kern w:val="0"/>
                <w:szCs w:val="21"/>
                <w:highlight w:val="none"/>
                <w:lang w:eastAsia="en-US"/>
              </w:rPr>
              <w:t>）项目管理机构人员仅指投标人本公司人员，不含子公司人员，如投标人为集团公司，则不含其集团下属的子公司人员。各岗位人员不得相互兼职。</w:t>
            </w:r>
            <w:r>
              <w:rPr>
                <w:rFonts w:hint="eastAsia" w:ascii="宋体" w:hAnsi="宋体" w:eastAsia="宋体" w:cs="宋体"/>
                <w:color w:val="auto"/>
                <w:kern w:val="2"/>
                <w:szCs w:val="21"/>
                <w:highlight w:val="none"/>
                <w:lang w:val="en-US" w:eastAsia="en-US"/>
              </w:rPr>
              <w:t>不提供或提供不完整或提供不符合要求的不得分。</w:t>
            </w:r>
          </w:p>
        </w:tc>
        <w:tc>
          <w:tcPr>
            <w:tcW w:w="892"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2" w:hRule="atLeast"/>
        </w:trPr>
        <w:tc>
          <w:tcPr>
            <w:tcW w:w="1539" w:type="dxa"/>
            <w:vMerge w:val="restart"/>
            <w:vAlign w:val="center"/>
          </w:tcPr>
          <w:p>
            <w:pPr>
              <w:widowControl/>
              <w:kinsoku w:val="0"/>
              <w:autoSpaceDE w:val="0"/>
              <w:autoSpaceDN w:val="0"/>
              <w:adjustRightInd w:val="0"/>
              <w:snapToGrid w:val="0"/>
              <w:spacing w:line="240" w:lineRule="auto"/>
              <w:ind w:left="-2" w:leftChars="-1"/>
              <w:jc w:val="center"/>
              <w:textAlignment w:val="baseline"/>
              <w:rPr>
                <w:rFonts w:hint="eastAsia" w:ascii="宋体" w:hAnsi="宋体" w:eastAsia="宋体" w:cs="宋体"/>
                <w:snapToGrid w:val="0"/>
                <w:color w:val="auto"/>
                <w:kern w:val="0"/>
                <w:szCs w:val="21"/>
                <w:highlight w:val="none"/>
                <w:lang w:eastAsia="en-US"/>
              </w:rPr>
            </w:pPr>
            <w:r>
              <w:rPr>
                <w:rFonts w:hint="eastAsia" w:ascii="宋体" w:hAnsi="宋体" w:eastAsia="宋体" w:cs="宋体"/>
                <w:snapToGrid w:val="0"/>
                <w:color w:val="auto"/>
                <w:kern w:val="0"/>
                <w:szCs w:val="21"/>
                <w:highlight w:val="none"/>
                <w:lang w:eastAsia="zh-CN"/>
              </w:rPr>
              <w:t>技术</w:t>
            </w:r>
            <w:r>
              <w:rPr>
                <w:rFonts w:hint="eastAsia" w:ascii="宋体" w:hAnsi="宋体" w:eastAsia="宋体" w:cs="宋体"/>
                <w:snapToGrid w:val="0"/>
                <w:color w:val="auto"/>
                <w:kern w:val="0"/>
                <w:szCs w:val="21"/>
                <w:highlight w:val="none"/>
                <w:lang w:eastAsia="en-US"/>
              </w:rPr>
              <w:t>部分</w:t>
            </w:r>
          </w:p>
          <w:p>
            <w:pPr>
              <w:kinsoku w:val="0"/>
              <w:autoSpaceDE w:val="0"/>
              <w:autoSpaceDN w:val="0"/>
              <w:adjustRightInd w:val="0"/>
              <w:snapToGrid w:val="0"/>
              <w:spacing w:before="120" w:after="120" w:line="320" w:lineRule="exact"/>
              <w:ind w:left="0" w:leftChars="0" w:firstLine="0" w:firstLineChars="0"/>
              <w:jc w:val="center"/>
              <w:textAlignment w:val="baseline"/>
              <w:rPr>
                <w:rFonts w:hint="eastAsia" w:ascii="宋体" w:hAnsi="宋体" w:eastAsia="宋体" w:cs="宋体"/>
                <w:b w:val="0"/>
                <w:bCs/>
                <w:snapToGrid w:val="0"/>
                <w:color w:val="auto"/>
                <w:kern w:val="0"/>
                <w:sz w:val="21"/>
                <w:szCs w:val="21"/>
                <w:highlight w:val="none"/>
                <w:lang w:val="en-US" w:eastAsia="zh-CN" w:bidi="ar-SA"/>
              </w:rPr>
            </w:pPr>
            <w:r>
              <w:rPr>
                <w:rFonts w:hint="eastAsia" w:ascii="宋体" w:hAnsi="宋体" w:eastAsia="宋体" w:cs="宋体"/>
                <w:b w:val="0"/>
                <w:bCs/>
                <w:snapToGrid w:val="0"/>
                <w:color w:val="auto"/>
                <w:kern w:val="0"/>
                <w:sz w:val="21"/>
                <w:szCs w:val="21"/>
                <w:highlight w:val="none"/>
                <w:lang w:val="en-US" w:eastAsia="zh-CN" w:bidi="ar-SA"/>
              </w:rPr>
              <w:t>（50分）</w:t>
            </w:r>
          </w:p>
          <w:p>
            <w:pPr>
              <w:widowControl/>
              <w:kinsoku w:val="0"/>
              <w:autoSpaceDE w:val="0"/>
              <w:autoSpaceDN w:val="0"/>
              <w:adjustRightInd w:val="0"/>
              <w:snapToGrid w:val="0"/>
              <w:spacing w:line="240" w:lineRule="auto"/>
              <w:ind w:left="-2" w:leftChars="-1"/>
              <w:jc w:val="center"/>
              <w:textAlignment w:val="baseline"/>
              <w:rPr>
                <w:rFonts w:hint="eastAsia" w:ascii="宋体" w:hAnsi="宋体" w:eastAsia="宋体" w:cs="宋体"/>
                <w:color w:val="auto"/>
                <w:highlight w:val="none"/>
              </w:rPr>
            </w:pPr>
          </w:p>
        </w:tc>
        <w:tc>
          <w:tcPr>
            <w:tcW w:w="1724" w:type="dxa"/>
            <w:vAlign w:val="center"/>
          </w:tcPr>
          <w:p>
            <w:pPr>
              <w:widowControl/>
              <w:snapToGrid/>
              <w:ind w:left="-42" w:leftChars="0" w:right="-61" w:rightChars="0"/>
              <w:jc w:val="center"/>
              <w:rPr>
                <w:rFonts w:hint="eastAsia" w:ascii="宋体" w:hAnsi="宋体" w:eastAsia="宋体" w:cs="宋体"/>
                <w:b w:val="0"/>
                <w:color w:val="auto"/>
                <w:sz w:val="21"/>
                <w:szCs w:val="21"/>
                <w:highlight w:val="none"/>
                <w:vertAlign w:val="baseline"/>
                <w:lang w:eastAsia="zh-CN"/>
              </w:rPr>
            </w:pPr>
            <w:r>
              <w:rPr>
                <w:rFonts w:hint="eastAsia" w:ascii="宋体" w:hAnsi="宋体" w:eastAsia="宋体" w:cs="宋体"/>
                <w:color w:val="auto"/>
                <w:spacing w:val="-5"/>
                <w:szCs w:val="21"/>
                <w:highlight w:val="none"/>
              </w:rPr>
              <w:t>工程概况及总体施工部署</w:t>
            </w:r>
          </w:p>
        </w:tc>
        <w:tc>
          <w:tcPr>
            <w:tcW w:w="529" w:type="dxa"/>
            <w:vAlign w:val="center"/>
          </w:tcPr>
          <w:p>
            <w:pPr>
              <w:snapToGrid/>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p>
            <w:pPr>
              <w:pStyle w:val="10"/>
              <w:rPr>
                <w:rFonts w:hint="eastAsia" w:ascii="宋体" w:hAnsi="宋体" w:eastAsia="宋体" w:cs="宋体"/>
                <w:color w:val="auto"/>
                <w:sz w:val="21"/>
                <w:szCs w:val="21"/>
                <w:highlight w:val="none"/>
                <w:lang w:val="en-US" w:eastAsia="zh-CN"/>
              </w:rPr>
            </w:pPr>
          </w:p>
        </w:tc>
        <w:tc>
          <w:tcPr>
            <w:tcW w:w="8198" w:type="dxa"/>
            <w:vAlign w:val="center"/>
          </w:tcPr>
          <w:p>
            <w:pPr>
              <w:widowControl/>
              <w:numPr>
                <w:ilvl w:val="0"/>
                <w:numId w:val="0"/>
              </w:numPr>
              <w:spacing w:line="360" w:lineRule="auto"/>
              <w:ind w:left="42" w:leftChars="20" w:right="42" w:rightChars="20"/>
              <w:jc w:val="left"/>
              <w:rPr>
                <w:rFonts w:hint="eastAsia" w:ascii="宋体" w:hAnsi="宋体" w:eastAsia="宋体" w:cs="宋体"/>
                <w:b w:val="0"/>
                <w:bCs w:val="0"/>
                <w:color w:val="auto"/>
                <w:szCs w:val="21"/>
                <w:highlight w:val="none"/>
                <w:lang w:val="en-US" w:eastAsia="en-US"/>
              </w:rPr>
            </w:pPr>
            <w:r>
              <w:rPr>
                <w:rFonts w:hint="eastAsia" w:ascii="宋体" w:hAnsi="宋体" w:eastAsia="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lang w:val="en-US" w:eastAsia="en-US"/>
              </w:rPr>
              <w:t>工程概况描述十分详细，总体施工部署科学、可靠、完善，完全可行的，得10-8分；</w:t>
            </w:r>
          </w:p>
          <w:p>
            <w:pPr>
              <w:widowControl/>
              <w:numPr>
                <w:ilvl w:val="0"/>
                <w:numId w:val="0"/>
              </w:numPr>
              <w:spacing w:line="360" w:lineRule="auto"/>
              <w:ind w:left="42" w:leftChars="20" w:right="42" w:rightChars="20"/>
              <w:jc w:val="left"/>
              <w:rPr>
                <w:rFonts w:hint="eastAsia" w:ascii="宋体" w:hAnsi="宋体" w:eastAsia="宋体" w:cs="宋体"/>
                <w:b w:val="0"/>
                <w:bCs w:val="0"/>
                <w:color w:val="auto"/>
                <w:szCs w:val="21"/>
                <w:highlight w:val="none"/>
                <w:lang w:val="en-US" w:eastAsia="en-US"/>
              </w:rPr>
            </w:pPr>
            <w:r>
              <w:rPr>
                <w:rFonts w:hint="eastAsia" w:ascii="宋体" w:hAnsi="宋体" w:eastAsia="宋体" w:cs="宋体"/>
                <w:b w:val="0"/>
                <w:bCs w:val="0"/>
                <w:color w:val="auto"/>
                <w:szCs w:val="21"/>
                <w:highlight w:val="none"/>
                <w:lang w:val="en-US" w:eastAsia="zh-CN"/>
              </w:rPr>
              <w:t>2.</w:t>
            </w:r>
            <w:r>
              <w:rPr>
                <w:rFonts w:hint="eastAsia" w:ascii="宋体" w:hAnsi="宋体" w:eastAsia="宋体" w:cs="宋体"/>
                <w:b w:val="0"/>
                <w:bCs w:val="0"/>
                <w:color w:val="auto"/>
                <w:szCs w:val="21"/>
                <w:highlight w:val="none"/>
                <w:lang w:val="en-US" w:eastAsia="en-US"/>
              </w:rPr>
              <w:t>工程概况描述较详细，总体施工部署较科学、较完善，较可行的，得7-5分；</w:t>
            </w:r>
          </w:p>
          <w:p>
            <w:pPr>
              <w:widowControl/>
              <w:numPr>
                <w:ilvl w:val="0"/>
                <w:numId w:val="0"/>
              </w:numPr>
              <w:spacing w:line="360" w:lineRule="auto"/>
              <w:ind w:left="42" w:leftChars="20" w:right="42" w:rightChars="20"/>
              <w:jc w:val="left"/>
              <w:rPr>
                <w:rFonts w:hint="eastAsia" w:ascii="宋体" w:hAnsi="宋体" w:eastAsia="宋体" w:cs="宋体"/>
                <w:b w:val="0"/>
                <w:bCs w:val="0"/>
                <w:color w:val="auto"/>
                <w:szCs w:val="21"/>
                <w:highlight w:val="none"/>
                <w:lang w:val="en-US" w:eastAsia="en-US"/>
              </w:rPr>
            </w:pPr>
            <w:r>
              <w:rPr>
                <w:rFonts w:hint="eastAsia" w:ascii="宋体" w:hAnsi="宋体" w:eastAsia="宋体" w:cs="宋体"/>
                <w:b w:val="0"/>
                <w:bCs w:val="0"/>
                <w:color w:val="auto"/>
                <w:szCs w:val="21"/>
                <w:highlight w:val="none"/>
                <w:lang w:val="en-US" w:eastAsia="zh-CN"/>
              </w:rPr>
              <w:t>3.</w:t>
            </w:r>
            <w:r>
              <w:rPr>
                <w:rFonts w:hint="eastAsia" w:ascii="宋体" w:hAnsi="宋体" w:eastAsia="宋体" w:cs="宋体"/>
                <w:b w:val="0"/>
                <w:bCs w:val="0"/>
                <w:color w:val="auto"/>
                <w:szCs w:val="21"/>
                <w:highlight w:val="none"/>
                <w:lang w:val="en-US" w:eastAsia="en-US"/>
              </w:rPr>
              <w:t xml:space="preserve">工程概况描述一般详细，总体施工部署基本完善，基本可行的，得4-3分； </w:t>
            </w:r>
          </w:p>
          <w:p>
            <w:pPr>
              <w:widowControl/>
              <w:numPr>
                <w:ilvl w:val="0"/>
                <w:numId w:val="0"/>
              </w:numPr>
              <w:spacing w:line="360" w:lineRule="auto"/>
              <w:ind w:left="42" w:leftChars="20" w:right="42" w:rightChars="20"/>
              <w:jc w:val="left"/>
              <w:rPr>
                <w:rFonts w:hint="eastAsia" w:ascii="宋体" w:hAnsi="宋体" w:eastAsia="宋体" w:cs="宋体"/>
                <w:b w:val="0"/>
                <w:bCs w:val="0"/>
                <w:color w:val="auto"/>
                <w:szCs w:val="21"/>
                <w:highlight w:val="none"/>
                <w:lang w:val="en-US" w:eastAsia="en-US"/>
              </w:rPr>
            </w:pPr>
            <w:r>
              <w:rPr>
                <w:rFonts w:hint="eastAsia" w:ascii="宋体" w:hAnsi="宋体" w:eastAsia="宋体" w:cs="宋体"/>
                <w:b w:val="0"/>
                <w:bCs w:val="0"/>
                <w:color w:val="auto"/>
                <w:szCs w:val="21"/>
                <w:highlight w:val="none"/>
                <w:lang w:val="en-US" w:eastAsia="zh-CN"/>
              </w:rPr>
              <w:t>4.</w:t>
            </w:r>
            <w:r>
              <w:rPr>
                <w:rFonts w:hint="eastAsia" w:ascii="宋体" w:hAnsi="宋体" w:eastAsia="宋体" w:cs="宋体"/>
                <w:b w:val="0"/>
                <w:bCs w:val="0"/>
                <w:color w:val="auto"/>
                <w:szCs w:val="21"/>
                <w:highlight w:val="none"/>
                <w:lang w:val="en-US" w:eastAsia="en-US"/>
              </w:rPr>
              <w:t>工程概况描述不详细，总体施工部署不完善，不可行的，得2-</w:t>
            </w:r>
            <w:r>
              <w:rPr>
                <w:rFonts w:hint="eastAsia" w:ascii="宋体" w:hAnsi="宋体" w:eastAsia="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lang w:val="en-US" w:eastAsia="en-US"/>
              </w:rPr>
              <w:t>分；</w:t>
            </w:r>
          </w:p>
          <w:p>
            <w:pPr>
              <w:widowControl/>
              <w:numPr>
                <w:ilvl w:val="0"/>
                <w:numId w:val="0"/>
              </w:numPr>
              <w:spacing w:line="360" w:lineRule="auto"/>
              <w:ind w:left="42" w:leftChars="20" w:right="42" w:rightChars="20" w:firstLine="0" w:firstLineChars="0"/>
              <w:jc w:val="left"/>
              <w:rPr>
                <w:rFonts w:hint="eastAsia" w:ascii="宋体" w:hAnsi="宋体" w:eastAsia="宋体" w:cs="宋体"/>
                <w:color w:val="auto"/>
                <w:highlight w:val="none"/>
                <w:lang w:eastAsia="zh-CN"/>
              </w:rPr>
            </w:pPr>
            <w:r>
              <w:rPr>
                <w:rFonts w:hint="eastAsia" w:ascii="宋体" w:hAnsi="宋体" w:eastAsia="宋体" w:cs="宋体"/>
                <w:b w:val="0"/>
                <w:bCs w:val="0"/>
                <w:color w:val="auto"/>
                <w:szCs w:val="21"/>
                <w:highlight w:val="none"/>
                <w:lang w:val="en-US" w:eastAsia="en-US"/>
              </w:rPr>
              <w:t>不提供不得分</w:t>
            </w:r>
            <w:r>
              <w:rPr>
                <w:rFonts w:hint="eastAsia" w:ascii="宋体" w:hAnsi="宋体" w:eastAsia="宋体" w:cs="宋体"/>
                <w:b w:val="0"/>
                <w:bCs w:val="0"/>
                <w:color w:val="auto"/>
                <w:szCs w:val="21"/>
                <w:highlight w:val="none"/>
                <w:lang w:val="en-US" w:eastAsia="zh-CN"/>
              </w:rPr>
              <w:t>。</w:t>
            </w:r>
          </w:p>
        </w:tc>
        <w:tc>
          <w:tcPr>
            <w:tcW w:w="892" w:type="dxa"/>
            <w:vMerge w:val="restart"/>
            <w:vAlign w:val="center"/>
          </w:tcPr>
          <w:p>
            <w:pPr>
              <w:kinsoku w:val="0"/>
              <w:autoSpaceDE w:val="0"/>
              <w:autoSpaceDN w:val="0"/>
              <w:adjustRightInd w:val="0"/>
              <w:snapToGrid w:val="0"/>
              <w:spacing w:before="120" w:after="120" w:line="320" w:lineRule="exact"/>
              <w:ind w:left="0" w:leftChars="0" w:firstLine="0" w:firstLineChars="0"/>
              <w:jc w:val="center"/>
              <w:textAlignment w:val="baseline"/>
              <w:rPr>
                <w:rFonts w:hint="eastAsia" w:ascii="宋体" w:hAnsi="宋体" w:eastAsia="宋体" w:cs="宋体"/>
                <w:b w:val="0"/>
                <w:bCs/>
                <w:snapToGrid w:val="0"/>
                <w:color w:val="auto"/>
                <w:kern w:val="0"/>
                <w:sz w:val="21"/>
                <w:szCs w:val="21"/>
                <w:highlight w:val="none"/>
                <w:lang w:val="en-US" w:eastAsia="zh-CN" w:bidi="ar-SA"/>
              </w:rPr>
            </w:pPr>
          </w:p>
          <w:p>
            <w:pPr>
              <w:widowControl/>
              <w:kinsoku w:val="0"/>
              <w:autoSpaceDE w:val="0"/>
              <w:autoSpaceDN w:val="0"/>
              <w:adjustRightInd w:val="0"/>
              <w:snapToGrid w:val="0"/>
              <w:spacing w:line="240" w:lineRule="auto"/>
              <w:ind w:left="-2" w:leftChars="-1"/>
              <w:jc w:val="center"/>
              <w:textAlignment w:val="baseline"/>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4" w:hRule="atLeast"/>
        </w:trPr>
        <w:tc>
          <w:tcPr>
            <w:tcW w:w="1539" w:type="dxa"/>
            <w:vMerge w:val="continue"/>
            <w:vAlign w:val="center"/>
          </w:tcPr>
          <w:p>
            <w:pPr>
              <w:widowControl/>
              <w:kinsoku w:val="0"/>
              <w:autoSpaceDE w:val="0"/>
              <w:autoSpaceDN w:val="0"/>
              <w:adjustRightInd w:val="0"/>
              <w:snapToGrid w:val="0"/>
              <w:spacing w:line="240" w:lineRule="auto"/>
              <w:ind w:left="-2" w:leftChars="-1"/>
              <w:jc w:val="center"/>
              <w:textAlignment w:val="baseline"/>
              <w:rPr>
                <w:rFonts w:hint="eastAsia" w:ascii="宋体" w:hAnsi="宋体" w:eastAsia="宋体" w:cs="宋体"/>
                <w:b w:val="0"/>
                <w:color w:val="auto"/>
                <w:sz w:val="21"/>
                <w:szCs w:val="21"/>
                <w:highlight w:val="none"/>
                <w:vertAlign w:val="baseline"/>
              </w:rPr>
            </w:pPr>
          </w:p>
        </w:tc>
        <w:tc>
          <w:tcPr>
            <w:tcW w:w="1724" w:type="dxa"/>
            <w:vAlign w:val="center"/>
          </w:tcPr>
          <w:p>
            <w:pPr>
              <w:widowControl/>
              <w:snapToGrid/>
              <w:ind w:left="-42" w:leftChars="0" w:right="-61" w:rightChars="0"/>
              <w:jc w:val="center"/>
              <w:rPr>
                <w:rFonts w:hint="eastAsia" w:ascii="宋体" w:hAnsi="宋体" w:eastAsia="宋体" w:cs="宋体"/>
                <w:b w:val="0"/>
                <w:color w:val="auto"/>
                <w:sz w:val="21"/>
                <w:szCs w:val="21"/>
                <w:highlight w:val="none"/>
                <w:vertAlign w:val="baseline"/>
                <w:lang w:eastAsia="zh-CN"/>
              </w:rPr>
            </w:pPr>
            <w:r>
              <w:rPr>
                <w:rFonts w:hint="eastAsia" w:ascii="宋体" w:hAnsi="宋体" w:eastAsia="宋体" w:cs="宋体"/>
                <w:color w:val="auto"/>
                <w:spacing w:val="-5"/>
                <w:szCs w:val="21"/>
                <w:highlight w:val="none"/>
                <w:lang w:val="en-US" w:eastAsia="zh-CN"/>
              </w:rPr>
              <w:t>应急方案</w:t>
            </w:r>
          </w:p>
        </w:tc>
        <w:tc>
          <w:tcPr>
            <w:tcW w:w="529" w:type="dxa"/>
            <w:vAlign w:val="center"/>
          </w:tcPr>
          <w:p>
            <w:pPr>
              <w:snapToGrid w:val="0"/>
              <w:ind w:left="-2" w:leftChars="-1"/>
              <w:jc w:val="center"/>
              <w:rPr>
                <w:rFonts w:hint="eastAsia" w:ascii="宋体" w:hAnsi="宋体" w:eastAsia="宋体" w:cs="宋体"/>
                <w:b w:val="0"/>
                <w:color w:val="auto"/>
                <w:sz w:val="21"/>
                <w:szCs w:val="21"/>
                <w:highlight w:val="none"/>
                <w:vertAlign w:val="baseline"/>
              </w:rPr>
            </w:pPr>
            <w:r>
              <w:rPr>
                <w:rFonts w:hint="eastAsia" w:ascii="宋体" w:hAnsi="宋体" w:eastAsia="宋体" w:cs="宋体"/>
                <w:color w:val="auto"/>
                <w:sz w:val="21"/>
                <w:szCs w:val="21"/>
                <w:highlight w:val="none"/>
                <w:lang w:val="en-US" w:eastAsia="zh-CN"/>
              </w:rPr>
              <w:t>10</w:t>
            </w:r>
          </w:p>
        </w:tc>
        <w:tc>
          <w:tcPr>
            <w:tcW w:w="8198" w:type="dxa"/>
            <w:vAlign w:val="center"/>
          </w:tcPr>
          <w:p>
            <w:pPr>
              <w:widowControl/>
              <w:numPr>
                <w:ilvl w:val="0"/>
                <w:numId w:val="0"/>
              </w:numPr>
              <w:spacing w:line="360" w:lineRule="auto"/>
              <w:ind w:left="42" w:leftChars="20" w:right="42" w:rightChars="20"/>
              <w:jc w:val="left"/>
              <w:rPr>
                <w:rFonts w:hint="eastAsia" w:ascii="宋体" w:hAnsi="宋体" w:eastAsia="宋体" w:cs="宋体"/>
                <w:b w:val="0"/>
                <w:bCs w:val="0"/>
                <w:color w:val="auto"/>
                <w:szCs w:val="24"/>
                <w:highlight w:val="none"/>
                <w:lang w:val="en-US" w:eastAsia="en-US"/>
              </w:rPr>
            </w:pPr>
            <w:r>
              <w:rPr>
                <w:rFonts w:hint="eastAsia" w:ascii="宋体" w:hAnsi="宋体" w:eastAsia="宋体" w:cs="宋体"/>
                <w:b w:val="0"/>
                <w:bCs w:val="0"/>
                <w:color w:val="auto"/>
                <w:szCs w:val="24"/>
                <w:highlight w:val="none"/>
                <w:lang w:val="en-US" w:eastAsia="en-US"/>
              </w:rPr>
              <w:t>1.</w:t>
            </w:r>
            <w:r>
              <w:rPr>
                <w:rFonts w:hint="eastAsia" w:ascii="宋体" w:hAnsi="宋体" w:eastAsia="宋体" w:cs="宋体"/>
                <w:color w:val="auto"/>
                <w:sz w:val="21"/>
                <w:szCs w:val="21"/>
                <w:highlight w:val="none"/>
              </w:rPr>
              <w:t>提出的突发事件的应急预案和处理措施（包括应急响应时间、处理措施等）</w:t>
            </w:r>
            <w:r>
              <w:rPr>
                <w:rFonts w:hint="eastAsia" w:ascii="宋体" w:hAnsi="宋体" w:eastAsia="宋体" w:cs="宋体"/>
                <w:b w:val="0"/>
                <w:bCs w:val="0"/>
                <w:color w:val="auto"/>
                <w:szCs w:val="24"/>
                <w:highlight w:val="none"/>
                <w:lang w:val="en-US" w:eastAsia="en-US"/>
              </w:rPr>
              <w:t>科学、可靠、完善，完全可行的，得10-8分；</w:t>
            </w:r>
          </w:p>
          <w:p>
            <w:pPr>
              <w:widowControl/>
              <w:numPr>
                <w:ilvl w:val="0"/>
                <w:numId w:val="0"/>
              </w:numPr>
              <w:spacing w:line="360" w:lineRule="auto"/>
              <w:ind w:left="42" w:leftChars="20" w:right="42" w:rightChars="20"/>
              <w:jc w:val="left"/>
              <w:rPr>
                <w:rFonts w:hint="eastAsia" w:ascii="宋体" w:hAnsi="宋体" w:eastAsia="宋体" w:cs="宋体"/>
                <w:b w:val="0"/>
                <w:bCs w:val="0"/>
                <w:color w:val="auto"/>
                <w:szCs w:val="24"/>
                <w:highlight w:val="none"/>
                <w:lang w:val="en-US" w:eastAsia="en-US"/>
              </w:rPr>
            </w:pPr>
            <w:r>
              <w:rPr>
                <w:rFonts w:hint="eastAsia" w:ascii="宋体" w:hAnsi="宋体" w:eastAsia="宋体" w:cs="宋体"/>
                <w:b w:val="0"/>
                <w:bCs w:val="0"/>
                <w:color w:val="auto"/>
                <w:szCs w:val="24"/>
                <w:highlight w:val="none"/>
                <w:lang w:val="en-US" w:eastAsia="en-US"/>
              </w:rPr>
              <w:t>2.</w:t>
            </w:r>
            <w:r>
              <w:rPr>
                <w:rFonts w:hint="eastAsia" w:ascii="宋体" w:hAnsi="宋体" w:eastAsia="宋体" w:cs="宋体"/>
                <w:color w:val="auto"/>
                <w:sz w:val="21"/>
                <w:szCs w:val="21"/>
                <w:highlight w:val="none"/>
              </w:rPr>
              <w:t>提出的突发事件的应急预案和处理措施（包括应急响应时间、处理措施等）</w:t>
            </w:r>
            <w:r>
              <w:rPr>
                <w:rFonts w:hint="eastAsia" w:ascii="宋体" w:hAnsi="宋体" w:eastAsia="宋体" w:cs="宋体"/>
                <w:b w:val="0"/>
                <w:bCs w:val="0"/>
                <w:color w:val="auto"/>
                <w:szCs w:val="24"/>
                <w:highlight w:val="none"/>
                <w:lang w:val="en-US" w:eastAsia="en-US"/>
              </w:rPr>
              <w:t>较科学、较完善，较可行的，得7-5分；</w:t>
            </w:r>
          </w:p>
          <w:p>
            <w:pPr>
              <w:widowControl/>
              <w:numPr>
                <w:ilvl w:val="0"/>
                <w:numId w:val="0"/>
              </w:numPr>
              <w:spacing w:line="360" w:lineRule="auto"/>
              <w:ind w:left="42" w:leftChars="20" w:right="42" w:rightChars="20"/>
              <w:jc w:val="left"/>
              <w:rPr>
                <w:rFonts w:hint="eastAsia" w:ascii="宋体" w:hAnsi="宋体" w:eastAsia="宋体" w:cs="宋体"/>
                <w:b w:val="0"/>
                <w:bCs w:val="0"/>
                <w:color w:val="auto"/>
                <w:szCs w:val="24"/>
                <w:highlight w:val="none"/>
                <w:lang w:val="en-US" w:eastAsia="en-US"/>
              </w:rPr>
            </w:pPr>
            <w:r>
              <w:rPr>
                <w:rFonts w:hint="eastAsia" w:ascii="宋体" w:hAnsi="宋体" w:eastAsia="宋体" w:cs="宋体"/>
                <w:b w:val="0"/>
                <w:bCs w:val="0"/>
                <w:color w:val="auto"/>
                <w:szCs w:val="24"/>
                <w:highlight w:val="none"/>
                <w:lang w:val="en-US" w:eastAsia="en-US"/>
              </w:rPr>
              <w:t>3.</w:t>
            </w:r>
            <w:r>
              <w:rPr>
                <w:rFonts w:hint="eastAsia" w:ascii="宋体" w:hAnsi="宋体" w:eastAsia="宋体" w:cs="宋体"/>
                <w:color w:val="auto"/>
                <w:sz w:val="21"/>
                <w:szCs w:val="21"/>
                <w:highlight w:val="none"/>
              </w:rPr>
              <w:t>提出的突发事件的应急预案和处理措施（包括应急响应时间、处理措施等）</w:t>
            </w:r>
            <w:r>
              <w:rPr>
                <w:rFonts w:hint="eastAsia" w:ascii="宋体" w:hAnsi="宋体" w:eastAsia="宋体" w:cs="宋体"/>
                <w:b w:val="0"/>
                <w:bCs w:val="0"/>
                <w:color w:val="auto"/>
                <w:szCs w:val="24"/>
                <w:highlight w:val="none"/>
                <w:lang w:val="en-US" w:eastAsia="en-US"/>
              </w:rPr>
              <w:t>基本完善，基本可行的，得4-3分；</w:t>
            </w:r>
          </w:p>
          <w:p>
            <w:pPr>
              <w:widowControl/>
              <w:numPr>
                <w:ilvl w:val="0"/>
                <w:numId w:val="0"/>
              </w:numPr>
              <w:spacing w:line="360" w:lineRule="auto"/>
              <w:ind w:left="42" w:leftChars="20" w:right="42" w:rightChars="20"/>
              <w:jc w:val="left"/>
              <w:rPr>
                <w:rFonts w:hint="eastAsia" w:ascii="宋体" w:hAnsi="宋体" w:eastAsia="宋体" w:cs="宋体"/>
                <w:b w:val="0"/>
                <w:bCs w:val="0"/>
                <w:color w:val="auto"/>
                <w:szCs w:val="24"/>
                <w:highlight w:val="none"/>
                <w:lang w:val="en-US" w:eastAsia="en-US"/>
              </w:rPr>
            </w:pPr>
            <w:r>
              <w:rPr>
                <w:rFonts w:hint="eastAsia" w:ascii="宋体" w:hAnsi="宋体" w:eastAsia="宋体" w:cs="宋体"/>
                <w:b w:val="0"/>
                <w:bCs w:val="0"/>
                <w:color w:val="auto"/>
                <w:szCs w:val="24"/>
                <w:highlight w:val="none"/>
                <w:lang w:val="en-US" w:eastAsia="en-US"/>
              </w:rPr>
              <w:t>4.</w:t>
            </w:r>
            <w:r>
              <w:rPr>
                <w:rFonts w:hint="eastAsia" w:ascii="宋体" w:hAnsi="宋体" w:eastAsia="宋体" w:cs="宋体"/>
                <w:color w:val="auto"/>
                <w:sz w:val="21"/>
                <w:szCs w:val="21"/>
                <w:highlight w:val="none"/>
              </w:rPr>
              <w:t>提出的突发事件的应急预案和处理措施（包括应急响应时间、处理措施等）</w:t>
            </w:r>
            <w:r>
              <w:rPr>
                <w:rFonts w:hint="eastAsia" w:ascii="宋体" w:hAnsi="宋体" w:eastAsia="宋体" w:cs="宋体"/>
                <w:b w:val="0"/>
                <w:bCs w:val="0"/>
                <w:color w:val="auto"/>
                <w:szCs w:val="24"/>
                <w:highlight w:val="none"/>
                <w:lang w:val="en-US" w:eastAsia="en-US"/>
              </w:rPr>
              <w:t>不完善，不可行的，得2-</w:t>
            </w:r>
            <w:r>
              <w:rPr>
                <w:rFonts w:hint="eastAsia" w:ascii="宋体" w:hAnsi="宋体" w:eastAsia="宋体" w:cs="宋体"/>
                <w:b w:val="0"/>
                <w:bCs w:val="0"/>
                <w:color w:val="auto"/>
                <w:szCs w:val="24"/>
                <w:highlight w:val="none"/>
                <w:lang w:val="en-US" w:eastAsia="zh-CN"/>
              </w:rPr>
              <w:t>1</w:t>
            </w:r>
            <w:r>
              <w:rPr>
                <w:rFonts w:hint="eastAsia" w:ascii="宋体" w:hAnsi="宋体" w:eastAsia="宋体" w:cs="宋体"/>
                <w:b w:val="0"/>
                <w:bCs w:val="0"/>
                <w:color w:val="auto"/>
                <w:szCs w:val="24"/>
                <w:highlight w:val="none"/>
                <w:lang w:val="en-US" w:eastAsia="en-US"/>
              </w:rPr>
              <w:t>分；</w:t>
            </w:r>
          </w:p>
          <w:p>
            <w:pPr>
              <w:widowControl/>
              <w:numPr>
                <w:ilvl w:val="0"/>
                <w:numId w:val="0"/>
              </w:numPr>
              <w:spacing w:line="360" w:lineRule="auto"/>
              <w:ind w:left="42" w:leftChars="20" w:right="42" w:rightChars="20"/>
              <w:jc w:val="left"/>
              <w:rPr>
                <w:rFonts w:hint="eastAsia" w:ascii="宋体" w:hAnsi="宋体" w:eastAsia="宋体" w:cs="宋体"/>
                <w:color w:val="auto"/>
                <w:highlight w:val="none"/>
                <w:lang w:val="en-US" w:eastAsia="zh-CN"/>
              </w:rPr>
            </w:pPr>
            <w:r>
              <w:rPr>
                <w:rFonts w:hint="eastAsia" w:ascii="宋体" w:hAnsi="宋体" w:eastAsia="宋体" w:cs="宋体"/>
                <w:b w:val="0"/>
                <w:bCs w:val="0"/>
                <w:color w:val="auto"/>
                <w:szCs w:val="24"/>
                <w:highlight w:val="none"/>
                <w:lang w:val="en-US" w:eastAsia="en-US"/>
              </w:rPr>
              <w:t>不提供不得分</w:t>
            </w:r>
            <w:r>
              <w:rPr>
                <w:rFonts w:hint="eastAsia" w:ascii="宋体" w:hAnsi="宋体" w:eastAsia="宋体" w:cs="宋体"/>
                <w:b w:val="0"/>
                <w:bCs w:val="0"/>
                <w:color w:val="auto"/>
                <w:szCs w:val="24"/>
                <w:highlight w:val="none"/>
                <w:lang w:val="en-US" w:eastAsia="zh-CN"/>
              </w:rPr>
              <w:t>.</w:t>
            </w:r>
          </w:p>
        </w:tc>
        <w:tc>
          <w:tcPr>
            <w:tcW w:w="892" w:type="dxa"/>
            <w:vMerge w:val="continue"/>
            <w:vAlign w:val="center"/>
          </w:tcPr>
          <w:p>
            <w:pPr>
              <w:widowControl/>
              <w:kinsoku w:val="0"/>
              <w:autoSpaceDE w:val="0"/>
              <w:autoSpaceDN w:val="0"/>
              <w:adjustRightInd w:val="0"/>
              <w:snapToGrid w:val="0"/>
              <w:spacing w:line="240" w:lineRule="auto"/>
              <w:ind w:left="-2" w:leftChars="-1"/>
              <w:jc w:val="center"/>
              <w:textAlignment w:val="baseline"/>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1" w:hRule="atLeast"/>
        </w:trPr>
        <w:tc>
          <w:tcPr>
            <w:tcW w:w="1539" w:type="dxa"/>
            <w:vMerge w:val="continue"/>
            <w:vAlign w:val="center"/>
          </w:tcPr>
          <w:p>
            <w:pPr>
              <w:widowControl/>
              <w:kinsoku w:val="0"/>
              <w:autoSpaceDE w:val="0"/>
              <w:autoSpaceDN w:val="0"/>
              <w:adjustRightInd w:val="0"/>
              <w:snapToGrid w:val="0"/>
              <w:spacing w:line="240" w:lineRule="auto"/>
              <w:ind w:left="-2" w:leftChars="-1"/>
              <w:jc w:val="center"/>
              <w:textAlignment w:val="baseline"/>
              <w:rPr>
                <w:rFonts w:hint="eastAsia" w:ascii="宋体" w:hAnsi="宋体" w:eastAsia="宋体" w:cs="宋体"/>
                <w:b w:val="0"/>
                <w:color w:val="auto"/>
                <w:sz w:val="21"/>
                <w:szCs w:val="21"/>
                <w:highlight w:val="none"/>
                <w:vertAlign w:val="baseline"/>
              </w:rPr>
            </w:pPr>
          </w:p>
        </w:tc>
        <w:tc>
          <w:tcPr>
            <w:tcW w:w="1724" w:type="dxa"/>
            <w:vAlign w:val="center"/>
          </w:tcPr>
          <w:p>
            <w:pPr>
              <w:widowControl/>
              <w:snapToGrid/>
              <w:ind w:left="-42" w:leftChars="0" w:right="-61" w:rightChars="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rPr>
              <w:t>质量保证措施</w:t>
            </w:r>
          </w:p>
        </w:tc>
        <w:tc>
          <w:tcPr>
            <w:tcW w:w="529" w:type="dxa"/>
            <w:vAlign w:val="center"/>
          </w:tcPr>
          <w:p>
            <w:pPr>
              <w:snapToGrid w:val="0"/>
              <w:ind w:left="-2" w:leftChars="-1"/>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8198" w:type="dxa"/>
            <w:vAlign w:val="center"/>
          </w:tcPr>
          <w:p>
            <w:pPr>
              <w:widowControl/>
              <w:numPr>
                <w:ilvl w:val="0"/>
                <w:numId w:val="0"/>
              </w:numPr>
              <w:spacing w:line="360" w:lineRule="auto"/>
              <w:ind w:left="42" w:leftChars="20" w:right="42" w:rightChars="20"/>
              <w:jc w:val="left"/>
              <w:rPr>
                <w:rFonts w:hint="eastAsia" w:ascii="宋体" w:hAnsi="宋体" w:eastAsia="宋体" w:cs="宋体"/>
                <w:b w:val="0"/>
                <w:bCs w:val="0"/>
                <w:color w:val="auto"/>
                <w:szCs w:val="21"/>
                <w:highlight w:val="none"/>
                <w:lang w:val="en-US" w:eastAsia="en-US"/>
              </w:rPr>
            </w:pPr>
            <w:r>
              <w:rPr>
                <w:rFonts w:hint="eastAsia" w:ascii="宋体" w:hAnsi="宋体" w:eastAsia="宋体" w:cs="宋体"/>
                <w:b w:val="0"/>
                <w:bCs w:val="0"/>
                <w:color w:val="auto"/>
                <w:szCs w:val="21"/>
                <w:highlight w:val="none"/>
                <w:lang w:val="en-US" w:eastAsia="en-US"/>
              </w:rPr>
              <w:t>1.质量保证措施科学、可靠、完善，完全可行的，得10-8分；</w:t>
            </w:r>
          </w:p>
          <w:p>
            <w:pPr>
              <w:widowControl/>
              <w:numPr>
                <w:ilvl w:val="0"/>
                <w:numId w:val="0"/>
              </w:numPr>
              <w:spacing w:line="360" w:lineRule="auto"/>
              <w:ind w:left="42" w:leftChars="20" w:right="42" w:rightChars="20"/>
              <w:jc w:val="left"/>
              <w:rPr>
                <w:rFonts w:hint="eastAsia" w:ascii="宋体" w:hAnsi="宋体" w:eastAsia="宋体" w:cs="宋体"/>
                <w:b w:val="0"/>
                <w:bCs w:val="0"/>
                <w:color w:val="auto"/>
                <w:szCs w:val="21"/>
                <w:highlight w:val="none"/>
                <w:lang w:val="en-US" w:eastAsia="en-US"/>
              </w:rPr>
            </w:pPr>
            <w:r>
              <w:rPr>
                <w:rFonts w:hint="eastAsia" w:ascii="宋体" w:hAnsi="宋体" w:eastAsia="宋体" w:cs="宋体"/>
                <w:b w:val="0"/>
                <w:bCs w:val="0"/>
                <w:color w:val="auto"/>
                <w:szCs w:val="21"/>
                <w:highlight w:val="none"/>
                <w:lang w:val="en-US" w:eastAsia="en-US"/>
              </w:rPr>
              <w:t>2.质量保证措施较科学、较完善，较可行的，得7-5分；</w:t>
            </w:r>
          </w:p>
          <w:p>
            <w:pPr>
              <w:widowControl/>
              <w:numPr>
                <w:ilvl w:val="0"/>
                <w:numId w:val="0"/>
              </w:numPr>
              <w:spacing w:line="360" w:lineRule="auto"/>
              <w:ind w:left="42" w:leftChars="20" w:right="42" w:rightChars="20"/>
              <w:jc w:val="left"/>
              <w:rPr>
                <w:rFonts w:hint="eastAsia" w:ascii="宋体" w:hAnsi="宋体" w:eastAsia="宋体" w:cs="宋体"/>
                <w:b w:val="0"/>
                <w:bCs w:val="0"/>
                <w:color w:val="auto"/>
                <w:szCs w:val="21"/>
                <w:highlight w:val="none"/>
                <w:lang w:val="en-US" w:eastAsia="en-US"/>
              </w:rPr>
            </w:pPr>
            <w:r>
              <w:rPr>
                <w:rFonts w:hint="eastAsia" w:ascii="宋体" w:hAnsi="宋体" w:eastAsia="宋体" w:cs="宋体"/>
                <w:b w:val="0"/>
                <w:bCs w:val="0"/>
                <w:color w:val="auto"/>
                <w:szCs w:val="21"/>
                <w:highlight w:val="none"/>
                <w:lang w:val="en-US" w:eastAsia="en-US"/>
              </w:rPr>
              <w:t>3.质量保证措施基本完善，基本可行的，得4-3分；</w:t>
            </w:r>
          </w:p>
          <w:p>
            <w:pPr>
              <w:widowControl/>
              <w:numPr>
                <w:ilvl w:val="0"/>
                <w:numId w:val="0"/>
              </w:numPr>
              <w:spacing w:line="360" w:lineRule="auto"/>
              <w:ind w:left="42" w:leftChars="20" w:right="42" w:rightChars="20"/>
              <w:jc w:val="left"/>
              <w:rPr>
                <w:rFonts w:hint="eastAsia" w:ascii="宋体" w:hAnsi="宋体" w:eastAsia="宋体" w:cs="宋体"/>
                <w:b w:val="0"/>
                <w:bCs w:val="0"/>
                <w:color w:val="auto"/>
                <w:szCs w:val="21"/>
                <w:highlight w:val="none"/>
                <w:lang w:val="en-US" w:eastAsia="en-US"/>
              </w:rPr>
            </w:pPr>
            <w:r>
              <w:rPr>
                <w:rFonts w:hint="eastAsia" w:ascii="宋体" w:hAnsi="宋体" w:eastAsia="宋体" w:cs="宋体"/>
                <w:b w:val="0"/>
                <w:bCs w:val="0"/>
                <w:color w:val="auto"/>
                <w:szCs w:val="21"/>
                <w:highlight w:val="none"/>
                <w:lang w:val="en-US" w:eastAsia="en-US"/>
              </w:rPr>
              <w:t>4.质量保证措施不完善，不可行的，得2-</w:t>
            </w:r>
            <w:r>
              <w:rPr>
                <w:rFonts w:hint="eastAsia" w:ascii="宋体" w:hAnsi="宋体" w:eastAsia="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lang w:val="en-US" w:eastAsia="en-US"/>
              </w:rPr>
              <w:t>分；</w:t>
            </w:r>
          </w:p>
          <w:p>
            <w:pPr>
              <w:widowControl/>
              <w:numPr>
                <w:ilvl w:val="0"/>
                <w:numId w:val="0"/>
              </w:numPr>
              <w:spacing w:line="360" w:lineRule="auto"/>
              <w:ind w:left="42" w:leftChars="20" w:right="42" w:rightChars="20" w:firstLine="0" w:firstLineChars="0"/>
              <w:jc w:val="left"/>
              <w:rPr>
                <w:rFonts w:hint="eastAsia" w:ascii="宋体" w:hAnsi="宋体" w:eastAsia="宋体" w:cs="宋体"/>
                <w:color w:val="auto"/>
                <w:kern w:val="2"/>
                <w:szCs w:val="21"/>
                <w:highlight w:val="none"/>
                <w:lang w:val="en-US" w:eastAsia="zh-CN"/>
              </w:rPr>
            </w:pPr>
            <w:r>
              <w:rPr>
                <w:rFonts w:hint="eastAsia" w:ascii="宋体" w:hAnsi="宋体" w:eastAsia="宋体" w:cs="宋体"/>
                <w:b w:val="0"/>
                <w:bCs w:val="0"/>
                <w:color w:val="auto"/>
                <w:szCs w:val="21"/>
                <w:highlight w:val="none"/>
                <w:lang w:val="en-US" w:eastAsia="en-US"/>
              </w:rPr>
              <w:t>不提供不得分</w:t>
            </w:r>
            <w:r>
              <w:rPr>
                <w:rFonts w:hint="eastAsia" w:ascii="宋体" w:hAnsi="宋体" w:eastAsia="宋体" w:cs="宋体"/>
                <w:b w:val="0"/>
                <w:bCs w:val="0"/>
                <w:color w:val="auto"/>
                <w:szCs w:val="21"/>
                <w:highlight w:val="none"/>
                <w:lang w:val="en-US" w:eastAsia="zh-CN"/>
              </w:rPr>
              <w:t>.</w:t>
            </w:r>
          </w:p>
        </w:tc>
        <w:tc>
          <w:tcPr>
            <w:tcW w:w="892" w:type="dxa"/>
            <w:vMerge w:val="continue"/>
            <w:vAlign w:val="center"/>
          </w:tcPr>
          <w:p>
            <w:pPr>
              <w:widowControl/>
              <w:kinsoku w:val="0"/>
              <w:autoSpaceDE w:val="0"/>
              <w:autoSpaceDN w:val="0"/>
              <w:adjustRightInd w:val="0"/>
              <w:snapToGrid w:val="0"/>
              <w:spacing w:line="240" w:lineRule="auto"/>
              <w:ind w:left="-2" w:leftChars="-1"/>
              <w:jc w:val="center"/>
              <w:textAlignment w:val="baseline"/>
              <w:rPr>
                <w:rFonts w:hint="eastAsia" w:ascii="宋体" w:hAnsi="宋体" w:eastAsia="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1539" w:type="dxa"/>
            <w:vMerge w:val="continue"/>
            <w:vAlign w:val="center"/>
          </w:tcPr>
          <w:p>
            <w:pPr>
              <w:widowControl/>
              <w:kinsoku w:val="0"/>
              <w:autoSpaceDE w:val="0"/>
              <w:autoSpaceDN w:val="0"/>
              <w:adjustRightInd w:val="0"/>
              <w:snapToGrid w:val="0"/>
              <w:spacing w:line="240" w:lineRule="auto"/>
              <w:ind w:left="-2" w:leftChars="-1"/>
              <w:jc w:val="center"/>
              <w:textAlignment w:val="baseline"/>
              <w:rPr>
                <w:rFonts w:hint="eastAsia" w:ascii="宋体" w:hAnsi="宋体" w:eastAsia="宋体" w:cs="宋体"/>
                <w:b w:val="0"/>
                <w:color w:val="auto"/>
                <w:sz w:val="21"/>
                <w:szCs w:val="21"/>
                <w:highlight w:val="none"/>
                <w:vertAlign w:val="baseline"/>
              </w:rPr>
            </w:pPr>
          </w:p>
        </w:tc>
        <w:tc>
          <w:tcPr>
            <w:tcW w:w="1724" w:type="dxa"/>
            <w:vAlign w:val="center"/>
          </w:tcPr>
          <w:p>
            <w:pPr>
              <w:snapToGrid/>
              <w:ind w:left="-42" w:right="-61"/>
              <w:jc w:val="center"/>
              <w:rPr>
                <w:rFonts w:hint="eastAsia" w:ascii="宋体" w:hAnsi="宋体" w:eastAsia="宋体" w:cs="宋体"/>
                <w:snapToGrid/>
                <w:color w:val="auto"/>
                <w:spacing w:val="-5"/>
                <w:kern w:val="2"/>
                <w:sz w:val="21"/>
                <w:szCs w:val="21"/>
                <w:highlight w:val="none"/>
                <w:lang w:val="en-US" w:eastAsia="en-US" w:bidi="ar-SA"/>
              </w:rPr>
            </w:pPr>
            <w:r>
              <w:rPr>
                <w:rFonts w:hint="eastAsia" w:ascii="宋体" w:hAnsi="宋体" w:eastAsia="宋体" w:cs="宋体"/>
                <w:snapToGrid/>
                <w:color w:val="auto"/>
                <w:spacing w:val="-5"/>
                <w:kern w:val="2"/>
                <w:sz w:val="21"/>
                <w:szCs w:val="21"/>
                <w:highlight w:val="none"/>
                <w:lang w:val="en-US" w:eastAsia="en-US" w:bidi="ar-SA"/>
              </w:rPr>
              <w:t>进度计划安排</w:t>
            </w:r>
          </w:p>
          <w:p>
            <w:pPr>
              <w:snapToGrid/>
              <w:ind w:left="-42" w:right="-61"/>
              <w:jc w:val="center"/>
              <w:rPr>
                <w:rFonts w:hint="eastAsia" w:ascii="宋体" w:hAnsi="宋体" w:eastAsia="宋体" w:cs="宋体"/>
                <w:snapToGrid/>
                <w:color w:val="auto"/>
                <w:spacing w:val="-5"/>
                <w:kern w:val="2"/>
                <w:sz w:val="21"/>
                <w:szCs w:val="21"/>
                <w:highlight w:val="none"/>
                <w:lang w:val="en-US" w:eastAsia="en-US" w:bidi="ar-SA"/>
              </w:rPr>
            </w:pPr>
            <w:r>
              <w:rPr>
                <w:rFonts w:hint="eastAsia" w:ascii="宋体" w:hAnsi="宋体" w:eastAsia="宋体" w:cs="宋体"/>
                <w:snapToGrid/>
                <w:color w:val="auto"/>
                <w:spacing w:val="-5"/>
                <w:kern w:val="2"/>
                <w:sz w:val="21"/>
                <w:szCs w:val="21"/>
                <w:highlight w:val="none"/>
                <w:lang w:val="en-US" w:eastAsia="en-US" w:bidi="ar-SA"/>
              </w:rPr>
              <w:t>及工期保证措</w:t>
            </w:r>
          </w:p>
          <w:p>
            <w:pPr>
              <w:snapToGrid/>
              <w:ind w:left="-42" w:right="-61"/>
              <w:jc w:val="center"/>
              <w:rPr>
                <w:rFonts w:hint="eastAsia" w:ascii="宋体" w:hAnsi="宋体" w:eastAsia="宋体" w:cs="宋体"/>
                <w:snapToGrid/>
                <w:color w:val="auto"/>
                <w:spacing w:val="-5"/>
                <w:kern w:val="2"/>
                <w:sz w:val="21"/>
                <w:szCs w:val="21"/>
                <w:highlight w:val="none"/>
                <w:lang w:val="en-US" w:eastAsia="en-US" w:bidi="ar-SA"/>
              </w:rPr>
            </w:pPr>
            <w:r>
              <w:rPr>
                <w:rFonts w:hint="eastAsia" w:ascii="宋体" w:hAnsi="宋体" w:eastAsia="宋体" w:cs="宋体"/>
                <w:snapToGrid/>
                <w:color w:val="auto"/>
                <w:spacing w:val="-5"/>
                <w:kern w:val="2"/>
                <w:sz w:val="21"/>
                <w:szCs w:val="21"/>
                <w:highlight w:val="none"/>
                <w:lang w:val="en-US" w:eastAsia="en-US" w:bidi="ar-SA"/>
              </w:rPr>
              <w:t>施、劳动力、施</w:t>
            </w:r>
          </w:p>
          <w:p>
            <w:pPr>
              <w:snapToGrid/>
              <w:ind w:left="-42" w:right="-61"/>
              <w:jc w:val="center"/>
              <w:rPr>
                <w:rFonts w:hint="eastAsia" w:ascii="宋体" w:hAnsi="宋体" w:eastAsia="宋体" w:cs="宋体"/>
                <w:snapToGrid/>
                <w:color w:val="auto"/>
                <w:spacing w:val="-5"/>
                <w:kern w:val="2"/>
                <w:sz w:val="21"/>
                <w:szCs w:val="21"/>
                <w:highlight w:val="none"/>
                <w:lang w:val="en-US" w:eastAsia="en-US" w:bidi="ar-SA"/>
              </w:rPr>
            </w:pPr>
            <w:r>
              <w:rPr>
                <w:rFonts w:hint="eastAsia" w:ascii="宋体" w:hAnsi="宋体" w:eastAsia="宋体" w:cs="宋体"/>
                <w:snapToGrid/>
                <w:color w:val="auto"/>
                <w:spacing w:val="-5"/>
                <w:kern w:val="2"/>
                <w:sz w:val="21"/>
                <w:szCs w:val="21"/>
                <w:highlight w:val="none"/>
                <w:lang w:val="en-US" w:eastAsia="en-US" w:bidi="ar-SA"/>
              </w:rPr>
              <w:t>工设备等资源</w:t>
            </w:r>
          </w:p>
          <w:p>
            <w:pPr>
              <w:widowControl/>
              <w:snapToGrid/>
              <w:ind w:left="-42" w:leftChars="0" w:right="-61"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snapToGrid/>
                <w:color w:val="auto"/>
                <w:spacing w:val="-5"/>
                <w:kern w:val="2"/>
                <w:sz w:val="21"/>
                <w:szCs w:val="21"/>
                <w:highlight w:val="none"/>
                <w:lang w:val="en-US" w:eastAsia="en-US" w:bidi="ar-SA"/>
              </w:rPr>
              <w:t>配备计划</w:t>
            </w:r>
          </w:p>
        </w:tc>
        <w:tc>
          <w:tcPr>
            <w:tcW w:w="529" w:type="dxa"/>
            <w:vAlign w:val="center"/>
          </w:tcPr>
          <w:p>
            <w:pPr>
              <w:snapToGrid w:val="0"/>
              <w:ind w:left="-2" w:leftChars="-1"/>
              <w:jc w:val="center"/>
              <w:rPr>
                <w:rFonts w:hint="eastAsia" w:ascii="宋体" w:hAnsi="宋体" w:eastAsia="宋体" w:cs="宋体"/>
                <w:b w:val="0"/>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10</w:t>
            </w:r>
          </w:p>
        </w:tc>
        <w:tc>
          <w:tcPr>
            <w:tcW w:w="8198" w:type="dxa"/>
            <w:vAlign w:val="center"/>
          </w:tcPr>
          <w:p>
            <w:pPr>
              <w:widowControl/>
              <w:numPr>
                <w:ilvl w:val="0"/>
                <w:numId w:val="0"/>
              </w:numPr>
              <w:spacing w:line="360" w:lineRule="auto"/>
              <w:ind w:left="42" w:leftChars="20" w:right="42" w:rightChars="20"/>
              <w:jc w:val="left"/>
              <w:rPr>
                <w:rFonts w:hint="eastAsia" w:ascii="宋体" w:hAnsi="宋体" w:eastAsia="宋体" w:cs="宋体"/>
                <w:b w:val="0"/>
                <w:bCs w:val="0"/>
                <w:color w:val="auto"/>
                <w:szCs w:val="21"/>
                <w:highlight w:val="none"/>
                <w:lang w:val="en-US" w:eastAsia="en-US"/>
              </w:rPr>
            </w:pPr>
            <w:r>
              <w:rPr>
                <w:rFonts w:hint="eastAsia" w:ascii="宋体" w:hAnsi="宋体" w:eastAsia="宋体" w:cs="宋体"/>
                <w:b w:val="0"/>
                <w:bCs w:val="0"/>
                <w:color w:val="auto"/>
                <w:szCs w:val="21"/>
                <w:highlight w:val="none"/>
                <w:lang w:val="en-US" w:eastAsia="en-US"/>
              </w:rPr>
              <w:t>1.进度计划安排及工期保证措施、劳动力、施工设备等资源配备计划科学、可靠、完善，完全可行的，得10-8分；</w:t>
            </w:r>
          </w:p>
          <w:p>
            <w:pPr>
              <w:widowControl/>
              <w:numPr>
                <w:ilvl w:val="0"/>
                <w:numId w:val="0"/>
              </w:numPr>
              <w:spacing w:line="360" w:lineRule="auto"/>
              <w:ind w:left="42" w:leftChars="20" w:right="42" w:rightChars="20"/>
              <w:jc w:val="left"/>
              <w:rPr>
                <w:rFonts w:hint="eastAsia" w:ascii="宋体" w:hAnsi="宋体" w:eastAsia="宋体" w:cs="宋体"/>
                <w:b w:val="0"/>
                <w:bCs w:val="0"/>
                <w:color w:val="auto"/>
                <w:szCs w:val="21"/>
                <w:highlight w:val="none"/>
                <w:lang w:val="en-US" w:eastAsia="en-US"/>
              </w:rPr>
            </w:pPr>
            <w:r>
              <w:rPr>
                <w:rFonts w:hint="eastAsia" w:ascii="宋体" w:hAnsi="宋体" w:eastAsia="宋体" w:cs="宋体"/>
                <w:b w:val="0"/>
                <w:bCs w:val="0"/>
                <w:color w:val="auto"/>
                <w:szCs w:val="21"/>
                <w:highlight w:val="none"/>
                <w:lang w:val="en-US" w:eastAsia="en-US"/>
              </w:rPr>
              <w:t>2.进度计划安排及工期保证措施、劳动力、施工设备等资源配备计划较科学、较完善，较可行的，得7-5分；</w:t>
            </w:r>
          </w:p>
          <w:p>
            <w:pPr>
              <w:widowControl/>
              <w:numPr>
                <w:ilvl w:val="0"/>
                <w:numId w:val="0"/>
              </w:numPr>
              <w:spacing w:line="360" w:lineRule="auto"/>
              <w:ind w:left="42" w:leftChars="20" w:right="42" w:rightChars="20"/>
              <w:jc w:val="left"/>
              <w:rPr>
                <w:rFonts w:hint="eastAsia" w:ascii="宋体" w:hAnsi="宋体" w:eastAsia="宋体" w:cs="宋体"/>
                <w:b w:val="0"/>
                <w:bCs w:val="0"/>
                <w:color w:val="auto"/>
                <w:szCs w:val="21"/>
                <w:highlight w:val="none"/>
                <w:lang w:val="en-US" w:eastAsia="en-US"/>
              </w:rPr>
            </w:pPr>
            <w:r>
              <w:rPr>
                <w:rFonts w:hint="eastAsia" w:ascii="宋体" w:hAnsi="宋体" w:eastAsia="宋体" w:cs="宋体"/>
                <w:b w:val="0"/>
                <w:bCs w:val="0"/>
                <w:color w:val="auto"/>
                <w:szCs w:val="21"/>
                <w:highlight w:val="none"/>
                <w:lang w:val="en-US" w:eastAsia="en-US"/>
              </w:rPr>
              <w:t>3.进度计划安排及工期保证措施、劳动力、施工设备等资源配备计划基本完善，基本可行的， 得4-3分；</w:t>
            </w:r>
          </w:p>
          <w:p>
            <w:pPr>
              <w:widowControl/>
              <w:numPr>
                <w:ilvl w:val="-1"/>
                <w:numId w:val="0"/>
              </w:numPr>
              <w:spacing w:line="240" w:lineRule="auto"/>
              <w:ind w:left="0" w:leftChars="0" w:right="0" w:rightChars="0"/>
              <w:jc w:val="left"/>
              <w:rPr>
                <w:rFonts w:hint="eastAsia" w:ascii="宋体" w:hAnsi="宋体" w:eastAsia="宋体" w:cs="宋体"/>
                <w:b w:val="0"/>
                <w:bCs w:val="0"/>
                <w:color w:val="auto"/>
                <w:szCs w:val="21"/>
                <w:highlight w:val="none"/>
                <w:lang w:val="en-US" w:eastAsia="en-US"/>
              </w:rPr>
            </w:pPr>
            <w:r>
              <w:rPr>
                <w:rFonts w:hint="eastAsia" w:ascii="宋体" w:hAnsi="宋体" w:eastAsia="宋体" w:cs="宋体"/>
                <w:b w:val="0"/>
                <w:bCs w:val="0"/>
                <w:color w:val="auto"/>
                <w:szCs w:val="21"/>
                <w:highlight w:val="none"/>
                <w:lang w:val="en-US" w:eastAsia="en-US"/>
              </w:rPr>
              <w:t>4.进度计划安排及工期保证措施、劳动力、施工设备等资源配备计划不完善，不可行的，得2-</w:t>
            </w:r>
            <w:r>
              <w:rPr>
                <w:rFonts w:hint="eastAsia" w:ascii="宋体" w:hAnsi="宋体" w:eastAsia="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lang w:val="en-US" w:eastAsia="en-US"/>
              </w:rPr>
              <w:t>分 ；</w:t>
            </w:r>
          </w:p>
          <w:p>
            <w:pPr>
              <w:widowControl/>
              <w:numPr>
                <w:ilvl w:val="0"/>
                <w:numId w:val="0"/>
              </w:numPr>
              <w:spacing w:line="360" w:lineRule="auto"/>
              <w:ind w:left="42" w:leftChars="20" w:right="42" w:rightChars="2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val="0"/>
                <w:color w:val="auto"/>
                <w:szCs w:val="21"/>
                <w:highlight w:val="none"/>
                <w:lang w:val="en-US" w:eastAsia="en-US"/>
              </w:rPr>
              <w:t>不提供不得分</w:t>
            </w:r>
            <w:r>
              <w:rPr>
                <w:rFonts w:hint="eastAsia" w:ascii="宋体" w:hAnsi="宋体" w:eastAsia="宋体" w:cs="宋体"/>
                <w:b w:val="0"/>
                <w:bCs w:val="0"/>
                <w:color w:val="auto"/>
                <w:szCs w:val="21"/>
                <w:highlight w:val="none"/>
                <w:lang w:val="en-US" w:eastAsia="zh-CN"/>
              </w:rPr>
              <w:t>。</w:t>
            </w:r>
          </w:p>
        </w:tc>
        <w:tc>
          <w:tcPr>
            <w:tcW w:w="892" w:type="dxa"/>
            <w:vMerge w:val="continue"/>
            <w:vAlign w:val="center"/>
          </w:tcPr>
          <w:p>
            <w:pPr>
              <w:widowControl/>
              <w:kinsoku w:val="0"/>
              <w:autoSpaceDE w:val="0"/>
              <w:autoSpaceDN w:val="0"/>
              <w:adjustRightInd w:val="0"/>
              <w:snapToGrid w:val="0"/>
              <w:spacing w:line="240" w:lineRule="auto"/>
              <w:ind w:left="-2" w:leftChars="-1"/>
              <w:jc w:val="center"/>
              <w:textAlignment w:val="baseline"/>
              <w:rPr>
                <w:rFonts w:hint="eastAsia" w:ascii="宋体" w:hAnsi="宋体" w:eastAsia="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1539" w:type="dxa"/>
            <w:vMerge w:val="continue"/>
            <w:vAlign w:val="center"/>
          </w:tcPr>
          <w:p>
            <w:pPr>
              <w:widowControl/>
              <w:kinsoku w:val="0"/>
              <w:autoSpaceDE w:val="0"/>
              <w:autoSpaceDN w:val="0"/>
              <w:adjustRightInd w:val="0"/>
              <w:snapToGrid w:val="0"/>
              <w:spacing w:line="240" w:lineRule="auto"/>
              <w:ind w:left="-2" w:leftChars="-1"/>
              <w:jc w:val="center"/>
              <w:textAlignment w:val="baseline"/>
              <w:rPr>
                <w:rFonts w:hint="eastAsia" w:ascii="宋体" w:hAnsi="宋体" w:eastAsia="宋体" w:cs="宋体"/>
                <w:b w:val="0"/>
                <w:color w:val="auto"/>
                <w:sz w:val="21"/>
                <w:szCs w:val="21"/>
                <w:highlight w:val="none"/>
                <w:vertAlign w:val="baseline"/>
              </w:rPr>
            </w:pPr>
          </w:p>
        </w:tc>
        <w:tc>
          <w:tcPr>
            <w:tcW w:w="1724" w:type="dxa"/>
            <w:vAlign w:val="center"/>
          </w:tcPr>
          <w:p>
            <w:pPr>
              <w:widowControl/>
              <w:snapToGrid/>
              <w:ind w:left="-42" w:leftChars="0" w:right="-61" w:rightChars="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rPr>
              <w:t>安全文明施工措施</w:t>
            </w:r>
          </w:p>
        </w:tc>
        <w:tc>
          <w:tcPr>
            <w:tcW w:w="529" w:type="dxa"/>
            <w:vAlign w:val="center"/>
          </w:tcPr>
          <w:p>
            <w:pPr>
              <w:snapToGrid w:val="0"/>
              <w:ind w:left="-2" w:leftChars="-1"/>
              <w:jc w:val="center"/>
              <w:rPr>
                <w:rFonts w:hint="eastAsia" w:ascii="宋体" w:hAnsi="宋体" w:eastAsia="宋体" w:cs="宋体"/>
                <w:color w:val="auto"/>
                <w:szCs w:val="21"/>
                <w:highlight w:val="none"/>
                <w:lang w:val="en-US" w:eastAsia="zh-CN"/>
              </w:rPr>
            </w:pPr>
            <w:r>
              <w:rPr>
                <w:rFonts w:hint="eastAsia" w:ascii="宋体" w:hAnsi="宋体" w:eastAsia="宋体" w:cs="宋体"/>
                <w:b w:val="0"/>
                <w:bCs w:val="0"/>
                <w:color w:val="auto"/>
                <w:sz w:val="21"/>
                <w:szCs w:val="21"/>
                <w:highlight w:val="none"/>
                <w:lang w:val="en-US" w:eastAsia="zh-CN"/>
              </w:rPr>
              <w:t>10</w:t>
            </w:r>
          </w:p>
        </w:tc>
        <w:tc>
          <w:tcPr>
            <w:tcW w:w="8198" w:type="dxa"/>
            <w:vAlign w:val="center"/>
          </w:tcPr>
          <w:p>
            <w:pPr>
              <w:widowControl/>
              <w:numPr>
                <w:ilvl w:val="0"/>
                <w:numId w:val="0"/>
              </w:numPr>
              <w:spacing w:line="360" w:lineRule="auto"/>
              <w:ind w:left="42" w:leftChars="20" w:right="42" w:rightChars="20"/>
              <w:jc w:val="left"/>
              <w:rPr>
                <w:rFonts w:hint="eastAsia" w:ascii="宋体" w:hAnsi="宋体" w:eastAsia="宋体" w:cs="宋体"/>
                <w:b w:val="0"/>
                <w:bCs w:val="0"/>
                <w:color w:val="auto"/>
                <w:szCs w:val="21"/>
                <w:highlight w:val="none"/>
                <w:lang w:val="en-US" w:eastAsia="en-US"/>
              </w:rPr>
            </w:pPr>
            <w:r>
              <w:rPr>
                <w:rFonts w:hint="eastAsia" w:ascii="宋体" w:hAnsi="宋体" w:eastAsia="宋体" w:cs="宋体"/>
                <w:b w:val="0"/>
                <w:bCs w:val="0"/>
                <w:color w:val="auto"/>
                <w:szCs w:val="21"/>
                <w:highlight w:val="none"/>
                <w:lang w:val="en-US" w:eastAsia="en-US"/>
              </w:rPr>
              <w:t>1.安全文明施工措施科学、可靠、完善，完全可行的，得10-8分；</w:t>
            </w:r>
          </w:p>
          <w:p>
            <w:pPr>
              <w:widowControl/>
              <w:numPr>
                <w:ilvl w:val="0"/>
                <w:numId w:val="0"/>
              </w:numPr>
              <w:spacing w:line="360" w:lineRule="auto"/>
              <w:ind w:left="42" w:leftChars="20" w:right="42" w:rightChars="20"/>
              <w:jc w:val="left"/>
              <w:rPr>
                <w:rFonts w:hint="eastAsia" w:ascii="宋体" w:hAnsi="宋体" w:eastAsia="宋体" w:cs="宋体"/>
                <w:b w:val="0"/>
                <w:bCs w:val="0"/>
                <w:color w:val="auto"/>
                <w:szCs w:val="21"/>
                <w:highlight w:val="none"/>
                <w:lang w:val="en-US" w:eastAsia="en-US"/>
              </w:rPr>
            </w:pPr>
            <w:r>
              <w:rPr>
                <w:rFonts w:hint="eastAsia" w:ascii="宋体" w:hAnsi="宋体" w:eastAsia="宋体" w:cs="宋体"/>
                <w:b w:val="0"/>
                <w:bCs w:val="0"/>
                <w:color w:val="auto"/>
                <w:szCs w:val="21"/>
                <w:highlight w:val="none"/>
                <w:lang w:val="en-US" w:eastAsia="en-US"/>
              </w:rPr>
              <w:t>2.安全文明施工措施较科学、较完善，较可行的，得7-5分；</w:t>
            </w:r>
          </w:p>
          <w:p>
            <w:pPr>
              <w:widowControl/>
              <w:numPr>
                <w:ilvl w:val="0"/>
                <w:numId w:val="0"/>
              </w:numPr>
              <w:spacing w:line="360" w:lineRule="auto"/>
              <w:ind w:left="42" w:leftChars="20" w:right="42" w:rightChars="20"/>
              <w:jc w:val="left"/>
              <w:rPr>
                <w:rFonts w:hint="eastAsia" w:ascii="宋体" w:hAnsi="宋体" w:eastAsia="宋体" w:cs="宋体"/>
                <w:b w:val="0"/>
                <w:bCs w:val="0"/>
                <w:color w:val="auto"/>
                <w:szCs w:val="21"/>
                <w:highlight w:val="none"/>
                <w:lang w:val="en-US" w:eastAsia="en-US"/>
              </w:rPr>
            </w:pPr>
            <w:r>
              <w:rPr>
                <w:rFonts w:hint="eastAsia" w:ascii="宋体" w:hAnsi="宋体" w:eastAsia="宋体" w:cs="宋体"/>
                <w:b w:val="0"/>
                <w:bCs w:val="0"/>
                <w:color w:val="auto"/>
                <w:szCs w:val="21"/>
                <w:highlight w:val="none"/>
                <w:lang w:val="en-US" w:eastAsia="en-US"/>
              </w:rPr>
              <w:t>3.安全文明施工措施基本完善，基本可行的，得4-3分；</w:t>
            </w:r>
          </w:p>
          <w:p>
            <w:pPr>
              <w:widowControl/>
              <w:numPr>
                <w:ilvl w:val="0"/>
                <w:numId w:val="0"/>
              </w:numPr>
              <w:spacing w:line="360" w:lineRule="auto"/>
              <w:ind w:left="42" w:leftChars="20" w:right="42" w:rightChars="20"/>
              <w:jc w:val="left"/>
              <w:rPr>
                <w:rFonts w:hint="eastAsia" w:ascii="宋体" w:hAnsi="宋体" w:eastAsia="宋体" w:cs="宋体"/>
                <w:b w:val="0"/>
                <w:bCs w:val="0"/>
                <w:color w:val="auto"/>
                <w:szCs w:val="21"/>
                <w:highlight w:val="none"/>
                <w:lang w:val="en-US" w:eastAsia="en-US"/>
              </w:rPr>
            </w:pPr>
            <w:r>
              <w:rPr>
                <w:rFonts w:hint="eastAsia" w:ascii="宋体" w:hAnsi="宋体" w:eastAsia="宋体" w:cs="宋体"/>
                <w:b w:val="0"/>
                <w:bCs w:val="0"/>
                <w:color w:val="auto"/>
                <w:szCs w:val="21"/>
                <w:highlight w:val="none"/>
                <w:lang w:val="en-US" w:eastAsia="en-US"/>
              </w:rPr>
              <w:t>4.安全文明施工措施不完善，不可行的，得2-</w:t>
            </w:r>
            <w:r>
              <w:rPr>
                <w:rFonts w:hint="eastAsia" w:ascii="宋体" w:hAnsi="宋体" w:eastAsia="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lang w:val="en-US" w:eastAsia="en-US"/>
              </w:rPr>
              <w:t>分；</w:t>
            </w:r>
          </w:p>
          <w:p>
            <w:pPr>
              <w:widowControl/>
              <w:numPr>
                <w:ilvl w:val="0"/>
                <w:numId w:val="0"/>
              </w:numPr>
              <w:spacing w:line="360" w:lineRule="auto"/>
              <w:ind w:left="42" w:leftChars="20" w:right="42" w:rightChars="20" w:firstLine="0" w:firstLineChars="0"/>
              <w:jc w:val="left"/>
              <w:rPr>
                <w:rFonts w:hint="eastAsia" w:ascii="宋体" w:hAnsi="宋体" w:eastAsia="宋体" w:cs="宋体"/>
                <w:color w:val="auto"/>
                <w:highlight w:val="none"/>
                <w:lang w:val="en-US" w:eastAsia="zh-CN"/>
              </w:rPr>
            </w:pPr>
            <w:r>
              <w:rPr>
                <w:rFonts w:hint="eastAsia" w:ascii="宋体" w:hAnsi="宋体" w:eastAsia="宋体" w:cs="宋体"/>
                <w:b w:val="0"/>
                <w:bCs w:val="0"/>
                <w:color w:val="auto"/>
                <w:szCs w:val="21"/>
                <w:highlight w:val="none"/>
                <w:lang w:val="en-US" w:eastAsia="en-US"/>
              </w:rPr>
              <w:t>不提供不得分</w:t>
            </w:r>
            <w:r>
              <w:rPr>
                <w:rFonts w:hint="eastAsia" w:ascii="宋体" w:hAnsi="宋体" w:eastAsia="宋体" w:cs="宋体"/>
                <w:b w:val="0"/>
                <w:bCs w:val="0"/>
                <w:color w:val="auto"/>
                <w:szCs w:val="21"/>
                <w:highlight w:val="none"/>
                <w:lang w:val="en-US" w:eastAsia="zh-CN"/>
              </w:rPr>
              <w:t>。</w:t>
            </w:r>
          </w:p>
        </w:tc>
        <w:tc>
          <w:tcPr>
            <w:tcW w:w="892" w:type="dxa"/>
            <w:vMerge w:val="continue"/>
            <w:vAlign w:val="center"/>
          </w:tcPr>
          <w:p>
            <w:pPr>
              <w:widowControl/>
              <w:kinsoku w:val="0"/>
              <w:autoSpaceDE w:val="0"/>
              <w:autoSpaceDN w:val="0"/>
              <w:adjustRightInd w:val="0"/>
              <w:snapToGrid w:val="0"/>
              <w:spacing w:line="240" w:lineRule="auto"/>
              <w:ind w:left="-2" w:leftChars="-1"/>
              <w:jc w:val="center"/>
              <w:textAlignment w:val="baseline"/>
              <w:rPr>
                <w:rFonts w:hint="eastAsia" w:ascii="宋体" w:hAnsi="宋体" w:eastAsia="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3263" w:type="dxa"/>
            <w:gridSpan w:val="2"/>
            <w:vAlign w:val="center"/>
          </w:tcPr>
          <w:p>
            <w:pPr>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合计</w:t>
            </w:r>
          </w:p>
        </w:tc>
        <w:tc>
          <w:tcPr>
            <w:tcW w:w="529" w:type="dxa"/>
            <w:vAlign w:val="center"/>
          </w:tcPr>
          <w:p>
            <w:pPr>
              <w:spacing w:line="220" w:lineRule="exact"/>
              <w:ind w:left="-2" w:leftChars="-1"/>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100</w:t>
            </w:r>
          </w:p>
        </w:tc>
        <w:tc>
          <w:tcPr>
            <w:tcW w:w="8198" w:type="dxa"/>
            <w:vAlign w:val="center"/>
          </w:tcPr>
          <w:p>
            <w:pPr>
              <w:spacing w:line="220" w:lineRule="exact"/>
              <w:ind w:left="-2" w:leftChars="-1"/>
              <w:rPr>
                <w:rFonts w:hint="eastAsia" w:ascii="宋体" w:hAnsi="宋体" w:eastAsia="宋体" w:cs="宋体"/>
                <w:color w:val="auto"/>
                <w:kern w:val="2"/>
                <w:szCs w:val="21"/>
                <w:highlight w:val="none"/>
                <w:lang w:val="en-US" w:eastAsia="zh-CN"/>
              </w:rPr>
            </w:pPr>
          </w:p>
        </w:tc>
        <w:tc>
          <w:tcPr>
            <w:tcW w:w="892" w:type="dxa"/>
            <w:vAlign w:val="center"/>
          </w:tcPr>
          <w:p>
            <w:pPr>
              <w:spacing w:line="240" w:lineRule="auto"/>
              <w:jc w:val="left"/>
              <w:rPr>
                <w:rFonts w:hint="eastAsia" w:ascii="宋体" w:hAnsi="宋体" w:eastAsia="宋体" w:cs="宋体"/>
                <w:color w:val="auto"/>
                <w:kern w:val="2"/>
                <w:szCs w:val="21"/>
                <w:highlight w:val="none"/>
              </w:rPr>
            </w:pPr>
          </w:p>
        </w:tc>
      </w:tr>
    </w:tbl>
    <w:p>
      <w:pPr>
        <w:spacing w:line="32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说明：</w:t>
      </w:r>
    </w:p>
    <w:p>
      <w:pPr>
        <w:pStyle w:val="29"/>
        <w:rPr>
          <w:rFonts w:hint="eastAsia" w:ascii="宋体" w:hAnsi="宋体" w:cs="宋体"/>
          <w:color w:val="auto"/>
          <w:szCs w:val="21"/>
          <w:highlight w:val="none"/>
          <w:lang w:val="en-US" w:eastAsia="zh-CN"/>
        </w:rPr>
      </w:pPr>
      <w:r>
        <w:rPr>
          <w:rFonts w:hint="eastAsia" w:ascii="宋体" w:hAnsi="宋体" w:cs="宋体"/>
          <w:color w:val="auto"/>
          <w:szCs w:val="18"/>
          <w:highlight w:val="none"/>
        </w:rPr>
        <w:t xml:space="preserve">    本表中所有要求提供的证明资料复印件均需加盖投标人公章。未提供证明资料或提供的证明材料不齐全、不符合要求的，不得分。</w:t>
      </w:r>
    </w:p>
    <w:p>
      <w:pPr>
        <w:widowControl w:val="0"/>
        <w:ind w:firstLine="420" w:firstLineChars="200"/>
        <w:jc w:val="both"/>
        <w:rPr>
          <w:rFonts w:hint="eastAsia" w:ascii="宋体" w:hAnsi="宋体" w:eastAsia="宋体" w:cs="宋体"/>
          <w:color w:val="auto"/>
          <w:kern w:val="0"/>
          <w:sz w:val="21"/>
          <w:szCs w:val="21"/>
          <w:highlight w:val="none"/>
          <w:lang w:val="en-US" w:eastAsia="zh-CN" w:bidi="ar-SA"/>
        </w:rPr>
      </w:pPr>
    </w:p>
    <w:p>
      <w:pPr>
        <w:ind w:firstLine="630" w:firstLineChars="300"/>
        <w:rPr>
          <w:rFonts w:hint="eastAsia" w:ascii="宋体" w:hAnsi="宋体" w:eastAsia="宋体" w:cs="宋体"/>
          <w:color w:val="auto"/>
          <w:highlight w:val="none"/>
        </w:rPr>
      </w:pPr>
      <w:r>
        <w:rPr>
          <w:rFonts w:hint="eastAsia" w:ascii="宋体" w:hAnsi="宋体" w:eastAsia="宋体" w:cs="宋体"/>
          <w:b w:val="0"/>
          <w:bCs/>
          <w:color w:val="auto"/>
          <w:sz w:val="21"/>
          <w:szCs w:val="21"/>
          <w:highlight w:val="none"/>
        </w:rPr>
        <w:t>评标专家</w:t>
      </w:r>
      <w:r>
        <w:rPr>
          <w:rFonts w:hint="eastAsia" w:ascii="宋体" w:hAnsi="宋体" w:eastAsia="宋体" w:cs="宋体"/>
          <w:b w:val="0"/>
          <w:bCs/>
          <w:color w:val="auto"/>
          <w:sz w:val="21"/>
          <w:szCs w:val="21"/>
          <w:highlight w:val="none"/>
          <w:lang w:val="en-US" w:eastAsia="zh-CN"/>
        </w:rPr>
        <w:t>签名：                                                      日期：</w:t>
      </w:r>
    </w:p>
    <w:bookmarkEnd w:id="72"/>
    <w:bookmarkEnd w:id="73"/>
    <w:bookmarkEnd w:id="74"/>
    <w:bookmarkEnd w:id="75"/>
    <w:bookmarkEnd w:id="76"/>
    <w:bookmarkEnd w:id="77"/>
    <w:bookmarkEnd w:id="78"/>
    <w:bookmarkEnd w:id="79"/>
    <w:bookmarkEnd w:id="80"/>
    <w:bookmarkEnd w:id="81"/>
    <w:bookmarkEnd w:id="82"/>
    <w:bookmarkEnd w:id="83"/>
    <w:bookmarkEnd w:id="84"/>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widowControl w:val="0"/>
        <w:jc w:val="both"/>
        <w:rPr>
          <w:rFonts w:hint="eastAsia" w:ascii="宋体" w:hAnsi="宋体" w:eastAsia="宋体" w:cs="宋体"/>
          <w:color w:val="auto"/>
          <w:kern w:val="2"/>
          <w:sz w:val="21"/>
          <w:szCs w:val="21"/>
          <w:highlight w:val="none"/>
          <w:lang w:val="en-US" w:eastAsia="zh-CN" w:bidi="ar-SA"/>
        </w:rPr>
      </w:pPr>
    </w:p>
    <w:p>
      <w:pPr>
        <w:widowControl w:val="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附件3：经济部分评分表</w:t>
      </w:r>
    </w:p>
    <w:p>
      <w:pPr>
        <w:snapToGrid w:val="0"/>
        <w:spacing w:line="20" w:lineRule="atLeast"/>
        <w:jc w:val="left"/>
        <w:rPr>
          <w:rFonts w:hint="eastAsia" w:ascii="宋体" w:hAnsi="宋体" w:eastAsia="宋体" w:cs="宋体"/>
          <w:color w:val="auto"/>
          <w:sz w:val="21"/>
          <w:szCs w:val="21"/>
          <w:highlight w:val="none"/>
        </w:rPr>
      </w:pPr>
    </w:p>
    <w:p>
      <w:pPr>
        <w:pStyle w:val="29"/>
        <w:rPr>
          <w:rFonts w:hint="eastAsia" w:ascii="宋体" w:hAnsi="宋体" w:cs="宋体"/>
          <w:color w:val="auto"/>
          <w:szCs w:val="21"/>
          <w:highlight w:val="none"/>
          <w:lang w:val="en-US" w:eastAsia="zh-CN"/>
        </w:rPr>
      </w:pPr>
    </w:p>
    <w:tbl>
      <w:tblPr>
        <w:tblStyle w:val="20"/>
        <w:tblW w:w="1288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3"/>
        <w:gridCol w:w="1700"/>
        <w:gridCol w:w="1409"/>
        <w:gridCol w:w="1440"/>
        <w:gridCol w:w="5115"/>
        <w:gridCol w:w="1110"/>
        <w:gridCol w:w="12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投标人名称</w:t>
            </w:r>
          </w:p>
        </w:tc>
        <w:tc>
          <w:tcPr>
            <w:tcW w:w="1409"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报价（元）</w:t>
            </w:r>
          </w:p>
        </w:tc>
        <w:tc>
          <w:tcPr>
            <w:tcW w:w="1440"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评标基准价（元）</w:t>
            </w:r>
          </w:p>
        </w:tc>
        <w:tc>
          <w:tcPr>
            <w:tcW w:w="5115" w:type="dxa"/>
            <w:vMerge w:val="restart"/>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评分内容</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基准分</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 w:hRule="atLeast"/>
        </w:trPr>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09"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nil"/>
              <w:right w:val="nil"/>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color w:val="auto"/>
                <w:szCs w:val="21"/>
                <w:highlight w:val="none"/>
                <w:lang w:eastAsia="zh-CN"/>
              </w:rPr>
              <w:t>以通过符合性审查的</w:t>
            </w:r>
            <w:r>
              <w:rPr>
                <w:rFonts w:hint="eastAsia" w:ascii="宋体" w:hAnsi="宋体" w:eastAsia="宋体" w:cs="宋体"/>
                <w:color w:val="auto"/>
                <w:szCs w:val="21"/>
                <w:highlight w:val="none"/>
                <w:lang w:val="en-US" w:eastAsia="zh-CN"/>
              </w:rPr>
              <w:t>所有</w:t>
            </w:r>
            <w:r>
              <w:rPr>
                <w:rFonts w:hint="eastAsia" w:ascii="宋体" w:hAnsi="宋体" w:eastAsia="宋体" w:cs="宋体"/>
                <w:color w:val="auto"/>
                <w:szCs w:val="21"/>
                <w:highlight w:val="none"/>
                <w:lang w:eastAsia="zh-CN"/>
              </w:rPr>
              <w:t>投标</w:t>
            </w:r>
            <w:r>
              <w:rPr>
                <w:rFonts w:hint="eastAsia" w:ascii="宋体" w:hAnsi="宋体" w:eastAsia="宋体" w:cs="宋体"/>
                <w:color w:val="auto"/>
                <w:szCs w:val="21"/>
                <w:highlight w:val="none"/>
                <w:lang w:val="en-US" w:eastAsia="zh-CN"/>
              </w:rPr>
              <w:t>人</w:t>
            </w:r>
            <w:r>
              <w:rPr>
                <w:rFonts w:hint="eastAsia" w:ascii="宋体" w:hAnsi="宋体" w:eastAsia="宋体" w:cs="宋体"/>
                <w:color w:val="auto"/>
                <w:szCs w:val="21"/>
                <w:highlight w:val="none"/>
                <w:lang w:eastAsia="zh-CN"/>
              </w:rPr>
              <w:t>投标报价的算术平均值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r>
              <w:rPr>
                <w:rFonts w:hint="eastAsia" w:ascii="宋体" w:hAnsi="宋体" w:eastAsia="宋体" w:cs="宋体"/>
                <w:i w:val="0"/>
                <w:iCs w:val="0"/>
                <w:color w:val="auto"/>
                <w:kern w:val="0"/>
                <w:sz w:val="21"/>
                <w:szCs w:val="21"/>
                <w:highlight w:val="none"/>
                <w:u w:val="none"/>
                <w:lang w:val="en-US" w:eastAsia="zh-CN" w:bidi="ar"/>
              </w:rPr>
              <w:t>投标报价等于基准价为满分100分，高于基准价的1%扣1分，低于基准价的1%扣0.5分，以此类推。最低得分0分。得分保留两位小数。计算公式如下：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1、报价等于基准价的，得分=100。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2、报价高于基准价的，得分=100-[（报价-基准价）/基准价]×100×1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3、报价低于基准价的，得分=100-[（基准价-报价）/基准价]×100×0.5</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8"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bl>
    <w:p>
      <w:pPr>
        <w:pStyle w:val="10"/>
        <w:rPr>
          <w:rFonts w:hint="eastAsia" w:ascii="宋体" w:hAnsi="宋体" w:eastAsia="宋体" w:cs="宋体"/>
          <w:color w:val="auto"/>
          <w:sz w:val="21"/>
          <w:szCs w:val="21"/>
          <w:highlight w:val="none"/>
        </w:rPr>
        <w:sectPr>
          <w:pgSz w:w="16838" w:h="11906" w:orient="landscape"/>
          <w:pgMar w:top="1800" w:right="1440" w:bottom="1800" w:left="1440" w:header="851" w:footer="992" w:gutter="0"/>
          <w:pgNumType w:fmt="decimal"/>
          <w:cols w:space="720" w:num="1"/>
          <w:docGrid w:type="lines" w:linePitch="312" w:charSpace="0"/>
        </w:sectPr>
      </w:pPr>
    </w:p>
    <w:p>
      <w:pPr>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p>
    <w:p>
      <w:pPr>
        <w:adjustRightInd w:val="0"/>
        <w:snapToGrid w:val="0"/>
        <w:spacing w:line="360" w:lineRule="auto"/>
        <w:jc w:val="center"/>
        <w:outlineLvl w:val="0"/>
        <w:rPr>
          <w:rFonts w:hint="eastAsia" w:ascii="宋体" w:hAnsi="宋体" w:eastAsia="宋体" w:cs="宋体"/>
          <w:b/>
          <w:color w:val="auto"/>
          <w:sz w:val="28"/>
          <w:szCs w:val="28"/>
          <w:highlight w:val="none"/>
        </w:rPr>
      </w:pPr>
      <w:bookmarkStart w:id="85" w:name="_Toc4858"/>
      <w:bookmarkStart w:id="86" w:name="_Toc10364"/>
      <w:bookmarkStart w:id="87" w:name="_Toc17416"/>
      <w:bookmarkStart w:id="88" w:name="_Toc27349"/>
      <w:bookmarkStart w:id="89" w:name="_Toc17435"/>
      <w:bookmarkStart w:id="90" w:name="_Toc17298"/>
      <w:bookmarkStart w:id="91" w:name="_Toc17392"/>
      <w:r>
        <w:rPr>
          <w:rFonts w:hint="eastAsia" w:ascii="宋体" w:hAnsi="宋体" w:eastAsia="宋体" w:cs="宋体"/>
          <w:b/>
          <w:color w:val="auto"/>
          <w:kern w:val="0"/>
          <w:sz w:val="28"/>
          <w:szCs w:val="28"/>
          <w:highlight w:val="none"/>
        </w:rPr>
        <w:t>投标申请人</w:t>
      </w:r>
      <w:r>
        <w:rPr>
          <w:rFonts w:hint="eastAsia" w:ascii="宋体" w:hAnsi="宋体" w:eastAsia="宋体" w:cs="宋体"/>
          <w:b/>
          <w:color w:val="auto"/>
          <w:sz w:val="28"/>
          <w:szCs w:val="28"/>
          <w:highlight w:val="none"/>
        </w:rPr>
        <w:t>声明</w:t>
      </w:r>
      <w:bookmarkEnd w:id="85"/>
      <w:bookmarkEnd w:id="86"/>
      <w:bookmarkEnd w:id="87"/>
      <w:bookmarkEnd w:id="88"/>
      <w:bookmarkEnd w:id="89"/>
      <w:bookmarkEnd w:id="90"/>
      <w:bookmarkEnd w:id="91"/>
    </w:p>
    <w:p>
      <w:pPr>
        <w:pStyle w:val="44"/>
        <w:snapToGrid w:val="0"/>
        <w:spacing w:line="336" w:lineRule="auto"/>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lang w:eastAsia="zh-CN"/>
        </w:rPr>
        <w:t>广州南沙</w:t>
      </w:r>
      <w:r>
        <w:rPr>
          <w:rFonts w:hint="eastAsia" w:ascii="宋体" w:hAnsi="宋体" w:eastAsia="宋体" w:cs="宋体"/>
          <w:color w:val="auto"/>
          <w:sz w:val="24"/>
          <w:szCs w:val="24"/>
          <w:highlight w:val="none"/>
          <w:u w:val="single"/>
          <w:lang w:val="en-US" w:eastAsia="zh-CN"/>
        </w:rPr>
        <w:t>湿地</w:t>
      </w:r>
      <w:r>
        <w:rPr>
          <w:rFonts w:hint="eastAsia" w:ascii="宋体" w:hAnsi="宋体" w:eastAsia="宋体" w:cs="宋体"/>
          <w:color w:val="auto"/>
          <w:sz w:val="24"/>
          <w:szCs w:val="24"/>
          <w:highlight w:val="none"/>
          <w:u w:val="single"/>
          <w:lang w:eastAsia="zh-CN"/>
        </w:rPr>
        <w:t>旅游发展有限公司</w:t>
      </w:r>
    </w:p>
    <w:p>
      <w:pPr>
        <w:pStyle w:val="44"/>
        <w:snapToGrid w:val="0"/>
        <w:spacing w:line="33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本公司就参加</w:t>
      </w:r>
      <w:r>
        <w:rPr>
          <w:rFonts w:hint="eastAsia" w:ascii="宋体" w:hAnsi="宋体" w:eastAsia="宋体" w:cs="宋体"/>
          <w:b w:val="0"/>
          <w:bCs w:val="0"/>
          <w:color w:val="auto"/>
          <w:sz w:val="24"/>
          <w:szCs w:val="24"/>
          <w:highlight w:val="none"/>
          <w:u w:val="single"/>
          <w:lang w:val="en-US" w:eastAsia="zh-CN"/>
        </w:rPr>
        <w:t>南沙湿地二期亚太钓鱼场护堤及道路应急维修维护项目</w:t>
      </w:r>
      <w:r>
        <w:rPr>
          <w:rFonts w:hint="eastAsia" w:ascii="宋体" w:hAnsi="宋体" w:eastAsia="宋体" w:cs="宋体"/>
          <w:color w:val="auto"/>
          <w:sz w:val="24"/>
          <w:szCs w:val="24"/>
          <w:highlight w:val="none"/>
        </w:rPr>
        <w:t>投标工作，做出郑重声明：</w:t>
      </w:r>
    </w:p>
    <w:p>
      <w:pPr>
        <w:pStyle w:val="44"/>
        <w:snapToGrid w:val="0"/>
        <w:spacing w:line="336"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一、本公司保证投标报名材料及其后提供的一切材料都是真实的。</w:t>
      </w:r>
    </w:p>
    <w:p>
      <w:pPr>
        <w:pStyle w:val="44"/>
        <w:snapToGrid w:val="0"/>
        <w:spacing w:line="336"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二、本公司保证在本项目投标中不与其他单位围标、串标，不出让投标资格，不向招标人或评标委员会成员行贿。</w:t>
      </w:r>
    </w:p>
    <w:p>
      <w:pPr>
        <w:pStyle w:val="44"/>
        <w:snapToGrid w:val="0"/>
        <w:spacing w:line="336"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44"/>
        <w:adjustRightInd w:val="0"/>
        <w:snapToGrid w:val="0"/>
        <w:spacing w:line="336"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四、本公司及其有隶属关系的机构没有参加本项目的设计、前期工作、招标文件编写、监理工作；</w:t>
      </w:r>
      <w:r>
        <w:rPr>
          <w:rFonts w:hint="eastAsia" w:ascii="宋体" w:hAnsi="宋体" w:eastAsia="宋体" w:cs="宋体"/>
          <w:color w:val="auto"/>
          <w:sz w:val="24"/>
          <w:szCs w:val="24"/>
          <w:highlight w:val="none"/>
          <w:lang w:val="en-US" w:eastAsia="zh-CN"/>
        </w:rPr>
        <w:t>我方作为法律、财务和运作上独立于、采购代理机构（如有）的投标人，在此保证所提交的所有文件和全部说明是真实的和正确的。</w:t>
      </w:r>
    </w:p>
    <w:p>
      <w:pPr>
        <w:pStyle w:val="44"/>
        <w:adjustRightInd w:val="0"/>
        <w:snapToGrid w:val="0"/>
        <w:spacing w:line="336"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五、我方与其他投标人不存在法定代表人或单位负责人为同一人或者存在直接控股、管理关系</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及其他影响招标采购公平性、公正性的关联关系</w:t>
      </w:r>
      <w:r>
        <w:rPr>
          <w:rFonts w:hint="eastAsia" w:ascii="宋体" w:hAnsi="宋体" w:eastAsia="宋体" w:cs="宋体"/>
          <w:color w:val="auto"/>
          <w:sz w:val="24"/>
          <w:szCs w:val="24"/>
          <w:highlight w:val="none"/>
        </w:rPr>
        <w:t>。</w:t>
      </w:r>
    </w:p>
    <w:p>
      <w:pPr>
        <w:pStyle w:val="44"/>
        <w:adjustRightInd w:val="0"/>
        <w:snapToGrid w:val="0"/>
        <w:spacing w:line="336"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六、本公司郑重承诺：本公司保证所提交的相关资质文件和证明材料的真实性，有良好的历史诚信记录，并将依法参与本项目的公平竞争，不以任何不正当行为谋取不当利益，否则承担相应的法律责任。</w:t>
      </w:r>
    </w:p>
    <w:p>
      <w:pPr>
        <w:pStyle w:val="44"/>
        <w:adjustRightInd w:val="0"/>
        <w:snapToGrid w:val="0"/>
        <w:spacing w:line="336"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七、我方投标报价已包含应向知识产权所有权人支付的所有相关税费，并保证在中国使用我方提供的货物或服务时，如有第三方提出侵犯其知识产权主张的，责任由我方承担。</w:t>
      </w:r>
    </w:p>
    <w:p>
      <w:pPr>
        <w:pStyle w:val="44"/>
        <w:snapToGrid w:val="0"/>
        <w:spacing w:line="336"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44"/>
        <w:snapToGrid w:val="0"/>
        <w:spacing w:line="336"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特此声明！</w:t>
      </w:r>
    </w:p>
    <w:p>
      <w:pPr>
        <w:pStyle w:val="45"/>
        <w:snapToGrid w:val="0"/>
        <w:spacing w:line="336" w:lineRule="auto"/>
        <w:ind w:left="0" w:right="1449" w:firstLine="2160" w:firstLineChars="9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声明企业：          (企业公章)</w:t>
      </w:r>
    </w:p>
    <w:p>
      <w:pPr>
        <w:pStyle w:val="44"/>
        <w:snapToGrid w:val="0"/>
        <w:spacing w:line="336" w:lineRule="auto"/>
        <w:ind w:right="1449"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法定代表人签字：                  </w:t>
      </w:r>
    </w:p>
    <w:p>
      <w:pPr>
        <w:pStyle w:val="44"/>
        <w:snapToGrid w:val="0"/>
        <w:spacing w:line="336" w:lineRule="auto"/>
        <w:ind w:right="172" w:firstLine="4080" w:firstLineChars="170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p>
      <w:pPr>
        <w:rPr>
          <w:rFonts w:hint="eastAsia" w:ascii="宋体" w:hAnsi="宋体" w:eastAsia="宋体" w:cs="宋体"/>
          <w:color w:val="auto"/>
          <w:highlight w:val="none"/>
        </w:rPr>
      </w:pPr>
    </w:p>
    <w:p>
      <w:pPr>
        <w:pStyle w:val="4"/>
        <w:rPr>
          <w:rFonts w:hint="eastAsia" w:ascii="宋体" w:hAnsi="宋体" w:eastAsia="宋体" w:cs="宋体"/>
          <w:color w:val="auto"/>
          <w:highlight w:val="none"/>
        </w:rPr>
      </w:pPr>
    </w:p>
    <w:p>
      <w:pPr>
        <w:rPr>
          <w:rFonts w:hint="eastAsia" w:ascii="宋体" w:hAnsi="宋体" w:eastAsia="宋体" w:cs="宋体"/>
          <w:color w:val="auto"/>
          <w:highlight w:val="none"/>
        </w:rPr>
      </w:pPr>
    </w:p>
    <w:p>
      <w:pPr>
        <w:adjustRightInd w:val="0"/>
        <w:snapToGrid w:val="0"/>
        <w:spacing w:line="360" w:lineRule="auto"/>
        <w:jc w:val="center"/>
        <w:outlineLvl w:val="0"/>
        <w:rPr>
          <w:rFonts w:hint="eastAsia" w:ascii="宋体" w:hAnsi="宋体" w:eastAsia="宋体" w:cs="宋体"/>
          <w:b/>
          <w:color w:val="auto"/>
          <w:kern w:val="0"/>
          <w:sz w:val="28"/>
          <w:szCs w:val="28"/>
          <w:highlight w:val="none"/>
        </w:rPr>
      </w:pP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D6EA0DC-831F-41DE-898B-904BB5BD9768}"/>
  </w:font>
  <w:font w:name="黑体">
    <w:panose1 w:val="02010609060101010101"/>
    <w:charset w:val="86"/>
    <w:family w:val="auto"/>
    <w:pitch w:val="default"/>
    <w:sig w:usb0="800002BF" w:usb1="38CF7CFA" w:usb2="00000016" w:usb3="00000000" w:csb0="00040001" w:csb1="00000000"/>
    <w:embedRegular r:id="rId2" w:fontKey="{B12D0E10-73E2-4E0E-B08C-5D121F18BAF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4BD185D8-9C11-4D7B-A8A2-4EAEE4B2377B}"/>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汉仪细圆简">
    <w:altName w:val="黑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楷体">
    <w:panose1 w:val="02010609060101010101"/>
    <w:charset w:val="86"/>
    <w:family w:val="modern"/>
    <w:pitch w:val="default"/>
    <w:sig w:usb0="800002BF" w:usb1="38CF7CFA" w:usb2="00000016" w:usb3="00000000" w:csb0="00040001" w:csb1="00000000"/>
    <w:embedRegular r:id="rId4" w:fontKey="{1D03E6E9-DD1B-43CB-8457-707D0458B6C4}"/>
  </w:font>
  <w:font w:name="华文楷体">
    <w:panose1 w:val="02010600040101010101"/>
    <w:charset w:val="86"/>
    <w:family w:val="auto"/>
    <w:pitch w:val="default"/>
    <w:sig w:usb0="00000287" w:usb1="080F0000" w:usb2="00000000" w:usb3="00000000" w:csb0="0004009F" w:csb1="DFD70000"/>
    <w:embedRegular r:id="rId5" w:fontKey="{2BEFAB2C-0E46-4044-8312-6442A1389F1B}"/>
  </w:font>
  <w:font w:name="方正小标宋简体">
    <w:panose1 w:val="02000000000000000000"/>
    <w:charset w:val="86"/>
    <w:family w:val="auto"/>
    <w:pitch w:val="default"/>
    <w:sig w:usb0="A00002BF" w:usb1="184F6CFA" w:usb2="00000012" w:usb3="00000000" w:csb0="00040001" w:csb1="00000000"/>
    <w:embedRegular r:id="rId6" w:fontKey="{FEEA1B7F-784A-4068-A257-566DB4C93507}"/>
  </w:font>
  <w:font w:name="仿宋">
    <w:panose1 w:val="02010609060101010101"/>
    <w:charset w:val="86"/>
    <w:family w:val="auto"/>
    <w:pitch w:val="default"/>
    <w:sig w:usb0="800002BF" w:usb1="38CF7CFA" w:usb2="00000016" w:usb3="00000000" w:csb0="00040001" w:csb1="00000000"/>
    <w:embedRegular r:id="rId7" w:fontKey="{F56B3F10-EC05-4C1E-971B-0BB02533783B}"/>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left"/>
      <w:rPr>
        <w:rFonts w:hint="eastAsia" w:ascii="Times New Roman" w:hAnsi="Times New Roman" w:eastAsia="宋体"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A75DCC2A"/>
    <w:multiLevelType w:val="singleLevel"/>
    <w:tmpl w:val="A75DCC2A"/>
    <w:lvl w:ilvl="0" w:tentative="0">
      <w:start w:val="1"/>
      <w:numFmt w:val="decimal"/>
      <w:suff w:val="nothing"/>
      <w:lvlText w:val="%1、"/>
      <w:lvlJc w:val="left"/>
    </w:lvl>
  </w:abstractNum>
  <w:abstractNum w:abstractNumId="2">
    <w:nsid w:val="CB8718C6"/>
    <w:multiLevelType w:val="singleLevel"/>
    <w:tmpl w:val="CB8718C6"/>
    <w:lvl w:ilvl="0" w:tentative="0">
      <w:start w:val="3"/>
      <w:numFmt w:val="decimal"/>
      <w:suff w:val="nothing"/>
      <w:lvlText w:val="%1、"/>
      <w:lvlJc w:val="left"/>
    </w:lvl>
  </w:abstractNum>
  <w:abstractNum w:abstractNumId="3">
    <w:nsid w:val="00000002"/>
    <w:multiLevelType w:val="multilevel"/>
    <w:tmpl w:val="00000002"/>
    <w:lvl w:ilvl="0" w:tentative="0">
      <w:start w:val="1"/>
      <w:numFmt w:val="decimal"/>
      <w:pStyle w:val="18"/>
      <w:suff w:val="nothing"/>
      <w:lvlText w:val="%1."/>
      <w:lvlJc w:val="left"/>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32452743"/>
    <w:multiLevelType w:val="singleLevel"/>
    <w:tmpl w:val="32452743"/>
    <w:lvl w:ilvl="0" w:tentative="0">
      <w:start w:val="5"/>
      <w:numFmt w:val="decimal"/>
      <w:suff w:val="space"/>
      <w:lvlText w:val="第%1章"/>
      <w:lvlJc w:val="left"/>
    </w:lvl>
  </w:abstractNum>
  <w:abstractNum w:abstractNumId="5">
    <w:nsid w:val="7A7B36A8"/>
    <w:multiLevelType w:val="singleLevel"/>
    <w:tmpl w:val="7A7B36A8"/>
    <w:lvl w:ilvl="0" w:tentative="0">
      <w:start w:val="33"/>
      <w:numFmt w:val="decimal"/>
      <w:suff w:val="nothing"/>
      <w:lvlText w:val="%1．"/>
      <w:lvlJc w:val="left"/>
    </w:lvl>
  </w:abstractNum>
  <w:num w:numId="1">
    <w:abstractNumId w:val="3"/>
  </w:num>
  <w:num w:numId="2">
    <w:abstractNumId w:val="1"/>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TrueTypeFonts/>
  <w:saveSubsetFonts/>
  <w:bordersDoNotSurroundHeader w:val="0"/>
  <w:bordersDoNotSurroundFooter w:val="0"/>
  <w:trackRevisions w:val="1"/>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zZjliNzQ4M2JhYjM0MjI3YTk2NzE0ZGY0MWQ5N2YifQ=="/>
    <w:docVar w:name="KSO_WPS_MARK_KEY" w:val="dcc34e8b-285d-400f-b82c-10351cc556af"/>
  </w:docVars>
  <w:rsids>
    <w:rsidRoot w:val="3B6D4312"/>
    <w:rsid w:val="0002289A"/>
    <w:rsid w:val="0002557B"/>
    <w:rsid w:val="0005254F"/>
    <w:rsid w:val="000744F3"/>
    <w:rsid w:val="00085D0C"/>
    <w:rsid w:val="000B7B0A"/>
    <w:rsid w:val="000E0EC3"/>
    <w:rsid w:val="000E3F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175F28"/>
    <w:rsid w:val="01E200EE"/>
    <w:rsid w:val="01E52F34"/>
    <w:rsid w:val="025A13E2"/>
    <w:rsid w:val="02C80459"/>
    <w:rsid w:val="02E9680F"/>
    <w:rsid w:val="02F7533D"/>
    <w:rsid w:val="030457ED"/>
    <w:rsid w:val="03562994"/>
    <w:rsid w:val="03CB6D70"/>
    <w:rsid w:val="04364A4F"/>
    <w:rsid w:val="04376975"/>
    <w:rsid w:val="04D330E5"/>
    <w:rsid w:val="04E40895"/>
    <w:rsid w:val="05031424"/>
    <w:rsid w:val="050E236F"/>
    <w:rsid w:val="051B7598"/>
    <w:rsid w:val="052E78DA"/>
    <w:rsid w:val="0557469B"/>
    <w:rsid w:val="059A4101"/>
    <w:rsid w:val="073B0CB2"/>
    <w:rsid w:val="07746BCF"/>
    <w:rsid w:val="07F66A4C"/>
    <w:rsid w:val="083B43B1"/>
    <w:rsid w:val="08757A2C"/>
    <w:rsid w:val="089D5EE4"/>
    <w:rsid w:val="08A9464F"/>
    <w:rsid w:val="08C43471"/>
    <w:rsid w:val="08D505E6"/>
    <w:rsid w:val="09062DA7"/>
    <w:rsid w:val="09A667E8"/>
    <w:rsid w:val="0A621C44"/>
    <w:rsid w:val="0A9867C9"/>
    <w:rsid w:val="0B372B92"/>
    <w:rsid w:val="0BFF40FB"/>
    <w:rsid w:val="0C855B7E"/>
    <w:rsid w:val="0C87037B"/>
    <w:rsid w:val="0CC51EC7"/>
    <w:rsid w:val="0CF74903"/>
    <w:rsid w:val="0D2A3B3D"/>
    <w:rsid w:val="0DA863B4"/>
    <w:rsid w:val="0DEF1012"/>
    <w:rsid w:val="0E1B10A8"/>
    <w:rsid w:val="0E80564C"/>
    <w:rsid w:val="0EA03B8A"/>
    <w:rsid w:val="0EAC0C18"/>
    <w:rsid w:val="0EB25F9A"/>
    <w:rsid w:val="0EE07B74"/>
    <w:rsid w:val="0F656FB0"/>
    <w:rsid w:val="0F8D0176"/>
    <w:rsid w:val="0F912314"/>
    <w:rsid w:val="0FD73768"/>
    <w:rsid w:val="10A4638E"/>
    <w:rsid w:val="10D83B3D"/>
    <w:rsid w:val="11135DC8"/>
    <w:rsid w:val="11235643"/>
    <w:rsid w:val="11701B4C"/>
    <w:rsid w:val="119360D6"/>
    <w:rsid w:val="11F528ED"/>
    <w:rsid w:val="12E86716"/>
    <w:rsid w:val="130F5872"/>
    <w:rsid w:val="134A310C"/>
    <w:rsid w:val="138E7BA2"/>
    <w:rsid w:val="13E640E2"/>
    <w:rsid w:val="13E744B7"/>
    <w:rsid w:val="14082F52"/>
    <w:rsid w:val="14085DAD"/>
    <w:rsid w:val="14233C6D"/>
    <w:rsid w:val="14452035"/>
    <w:rsid w:val="1448567A"/>
    <w:rsid w:val="145B3800"/>
    <w:rsid w:val="14DA40AE"/>
    <w:rsid w:val="15B036FB"/>
    <w:rsid w:val="15EC4007"/>
    <w:rsid w:val="16007AF5"/>
    <w:rsid w:val="163A7468"/>
    <w:rsid w:val="16853385"/>
    <w:rsid w:val="17463991"/>
    <w:rsid w:val="179E3273"/>
    <w:rsid w:val="17DF6EBB"/>
    <w:rsid w:val="17E977C8"/>
    <w:rsid w:val="1873680D"/>
    <w:rsid w:val="18E67433"/>
    <w:rsid w:val="18F12637"/>
    <w:rsid w:val="19095239"/>
    <w:rsid w:val="1A361CF4"/>
    <w:rsid w:val="1A450189"/>
    <w:rsid w:val="1AA864E1"/>
    <w:rsid w:val="1AB46DAB"/>
    <w:rsid w:val="1B6C2995"/>
    <w:rsid w:val="1BB630ED"/>
    <w:rsid w:val="1BC44893"/>
    <w:rsid w:val="1BE136FF"/>
    <w:rsid w:val="1C05708F"/>
    <w:rsid w:val="1C307374"/>
    <w:rsid w:val="1C4306F9"/>
    <w:rsid w:val="1C714E38"/>
    <w:rsid w:val="1C9203A6"/>
    <w:rsid w:val="1D50519A"/>
    <w:rsid w:val="1E032835"/>
    <w:rsid w:val="1E562810"/>
    <w:rsid w:val="1E7A1CAB"/>
    <w:rsid w:val="1EBD45C4"/>
    <w:rsid w:val="1F1C5732"/>
    <w:rsid w:val="1F584BD1"/>
    <w:rsid w:val="205D447F"/>
    <w:rsid w:val="206E043A"/>
    <w:rsid w:val="20AD4C4C"/>
    <w:rsid w:val="21076203"/>
    <w:rsid w:val="21424D60"/>
    <w:rsid w:val="215321ED"/>
    <w:rsid w:val="224A02E7"/>
    <w:rsid w:val="227411DF"/>
    <w:rsid w:val="232E3EB1"/>
    <w:rsid w:val="23720241"/>
    <w:rsid w:val="23A43B04"/>
    <w:rsid w:val="24856237"/>
    <w:rsid w:val="25053D8A"/>
    <w:rsid w:val="25687B33"/>
    <w:rsid w:val="25791876"/>
    <w:rsid w:val="260809E9"/>
    <w:rsid w:val="26236584"/>
    <w:rsid w:val="26B94C66"/>
    <w:rsid w:val="26FF6942"/>
    <w:rsid w:val="272101A5"/>
    <w:rsid w:val="272B74FA"/>
    <w:rsid w:val="2751149E"/>
    <w:rsid w:val="2765008E"/>
    <w:rsid w:val="2776675E"/>
    <w:rsid w:val="2837076A"/>
    <w:rsid w:val="2865301D"/>
    <w:rsid w:val="28C86C87"/>
    <w:rsid w:val="28D56736"/>
    <w:rsid w:val="28D70FCF"/>
    <w:rsid w:val="29051210"/>
    <w:rsid w:val="293358DF"/>
    <w:rsid w:val="296119D7"/>
    <w:rsid w:val="2A7B29A6"/>
    <w:rsid w:val="2A97100B"/>
    <w:rsid w:val="2B401296"/>
    <w:rsid w:val="2BB25DFA"/>
    <w:rsid w:val="2BEC17AE"/>
    <w:rsid w:val="2C1B0D4A"/>
    <w:rsid w:val="2C5357E2"/>
    <w:rsid w:val="2C92058E"/>
    <w:rsid w:val="2D0635AD"/>
    <w:rsid w:val="2D57219F"/>
    <w:rsid w:val="2DB80F46"/>
    <w:rsid w:val="2DDB1EBF"/>
    <w:rsid w:val="2DE261EA"/>
    <w:rsid w:val="2DE71DA9"/>
    <w:rsid w:val="2DF963B5"/>
    <w:rsid w:val="2E6C5CB5"/>
    <w:rsid w:val="2EC40C57"/>
    <w:rsid w:val="2EE433BF"/>
    <w:rsid w:val="2F9B6BBA"/>
    <w:rsid w:val="2FEA73B1"/>
    <w:rsid w:val="2FF97925"/>
    <w:rsid w:val="30136E93"/>
    <w:rsid w:val="30334755"/>
    <w:rsid w:val="30EC6390"/>
    <w:rsid w:val="311233CC"/>
    <w:rsid w:val="314B20D2"/>
    <w:rsid w:val="31781CA1"/>
    <w:rsid w:val="31B57180"/>
    <w:rsid w:val="321A656D"/>
    <w:rsid w:val="3283717A"/>
    <w:rsid w:val="330D305A"/>
    <w:rsid w:val="33F561C4"/>
    <w:rsid w:val="347657C9"/>
    <w:rsid w:val="34935BA4"/>
    <w:rsid w:val="34A264CA"/>
    <w:rsid w:val="35830B03"/>
    <w:rsid w:val="36276355"/>
    <w:rsid w:val="3700775A"/>
    <w:rsid w:val="37A26BD4"/>
    <w:rsid w:val="37AE7FE3"/>
    <w:rsid w:val="37EE6CF3"/>
    <w:rsid w:val="38417D8A"/>
    <w:rsid w:val="38522CBB"/>
    <w:rsid w:val="390F4B98"/>
    <w:rsid w:val="39731517"/>
    <w:rsid w:val="39F52602"/>
    <w:rsid w:val="39FC703A"/>
    <w:rsid w:val="3A041618"/>
    <w:rsid w:val="3AC802EF"/>
    <w:rsid w:val="3B183024"/>
    <w:rsid w:val="3B6D4312"/>
    <w:rsid w:val="3BB718A6"/>
    <w:rsid w:val="3BC04127"/>
    <w:rsid w:val="3C88543E"/>
    <w:rsid w:val="3CB7521C"/>
    <w:rsid w:val="3CE76215"/>
    <w:rsid w:val="3CFF0303"/>
    <w:rsid w:val="3D7619F9"/>
    <w:rsid w:val="3D957982"/>
    <w:rsid w:val="3D96007A"/>
    <w:rsid w:val="3F30256A"/>
    <w:rsid w:val="3F4915A0"/>
    <w:rsid w:val="3F5F332B"/>
    <w:rsid w:val="3F641BC2"/>
    <w:rsid w:val="3F8502F8"/>
    <w:rsid w:val="3FD704B2"/>
    <w:rsid w:val="405854B3"/>
    <w:rsid w:val="4077019F"/>
    <w:rsid w:val="408D1DBF"/>
    <w:rsid w:val="409313F9"/>
    <w:rsid w:val="40B7508E"/>
    <w:rsid w:val="40C17CBA"/>
    <w:rsid w:val="40CA2819"/>
    <w:rsid w:val="418831AE"/>
    <w:rsid w:val="41EC3A6C"/>
    <w:rsid w:val="42A2655E"/>
    <w:rsid w:val="43420D2F"/>
    <w:rsid w:val="436C5E0D"/>
    <w:rsid w:val="43D9356D"/>
    <w:rsid w:val="44631084"/>
    <w:rsid w:val="446A549B"/>
    <w:rsid w:val="44800368"/>
    <w:rsid w:val="44872FC9"/>
    <w:rsid w:val="44E811C0"/>
    <w:rsid w:val="45180D62"/>
    <w:rsid w:val="457E617A"/>
    <w:rsid w:val="46871AD6"/>
    <w:rsid w:val="47025D0E"/>
    <w:rsid w:val="471A3A95"/>
    <w:rsid w:val="4735560E"/>
    <w:rsid w:val="47413F22"/>
    <w:rsid w:val="4792678F"/>
    <w:rsid w:val="47E03B89"/>
    <w:rsid w:val="481D5A38"/>
    <w:rsid w:val="487975A7"/>
    <w:rsid w:val="4894357A"/>
    <w:rsid w:val="48E72086"/>
    <w:rsid w:val="496C347B"/>
    <w:rsid w:val="49732ED5"/>
    <w:rsid w:val="4999462F"/>
    <w:rsid w:val="499C01CA"/>
    <w:rsid w:val="49D2082D"/>
    <w:rsid w:val="49D9477F"/>
    <w:rsid w:val="49EF5898"/>
    <w:rsid w:val="4A1079FD"/>
    <w:rsid w:val="4A1D620C"/>
    <w:rsid w:val="4AED722D"/>
    <w:rsid w:val="4B3D40BA"/>
    <w:rsid w:val="4BC136D0"/>
    <w:rsid w:val="4BF328A0"/>
    <w:rsid w:val="4C2E17B4"/>
    <w:rsid w:val="4C547C35"/>
    <w:rsid w:val="4C81677F"/>
    <w:rsid w:val="4CC36B68"/>
    <w:rsid w:val="4D195C1E"/>
    <w:rsid w:val="4D904DD7"/>
    <w:rsid w:val="4D9C287D"/>
    <w:rsid w:val="4DC04FA6"/>
    <w:rsid w:val="4DC53F66"/>
    <w:rsid w:val="4E165AE9"/>
    <w:rsid w:val="4E1E2257"/>
    <w:rsid w:val="4E2A0E48"/>
    <w:rsid w:val="4E2A7035"/>
    <w:rsid w:val="4EB8094F"/>
    <w:rsid w:val="4F333601"/>
    <w:rsid w:val="4FC91A1A"/>
    <w:rsid w:val="50DB6247"/>
    <w:rsid w:val="50F24C19"/>
    <w:rsid w:val="51531E87"/>
    <w:rsid w:val="51552F81"/>
    <w:rsid w:val="51AB2104"/>
    <w:rsid w:val="525A7F6F"/>
    <w:rsid w:val="52760C06"/>
    <w:rsid w:val="52D03D8D"/>
    <w:rsid w:val="530E35F9"/>
    <w:rsid w:val="53427976"/>
    <w:rsid w:val="53A07C03"/>
    <w:rsid w:val="53A63423"/>
    <w:rsid w:val="53B638D1"/>
    <w:rsid w:val="54154372"/>
    <w:rsid w:val="54386D63"/>
    <w:rsid w:val="54A36172"/>
    <w:rsid w:val="54BC0EE8"/>
    <w:rsid w:val="54BF6370"/>
    <w:rsid w:val="55055F70"/>
    <w:rsid w:val="552A0B5D"/>
    <w:rsid w:val="55D41C4B"/>
    <w:rsid w:val="5702252D"/>
    <w:rsid w:val="572444C0"/>
    <w:rsid w:val="57692898"/>
    <w:rsid w:val="576D49E8"/>
    <w:rsid w:val="57951FF3"/>
    <w:rsid w:val="579C393A"/>
    <w:rsid w:val="583D3C73"/>
    <w:rsid w:val="59205A63"/>
    <w:rsid w:val="594F1692"/>
    <w:rsid w:val="59566C52"/>
    <w:rsid w:val="597674DD"/>
    <w:rsid w:val="59F07874"/>
    <w:rsid w:val="5A147D3F"/>
    <w:rsid w:val="5A416E84"/>
    <w:rsid w:val="5AAF5CCA"/>
    <w:rsid w:val="5B6E68B8"/>
    <w:rsid w:val="5B8D6C19"/>
    <w:rsid w:val="5BAA698D"/>
    <w:rsid w:val="5BCE61FA"/>
    <w:rsid w:val="5C3D06E5"/>
    <w:rsid w:val="5C4F2C59"/>
    <w:rsid w:val="5C9B134E"/>
    <w:rsid w:val="5D131446"/>
    <w:rsid w:val="5DAA1580"/>
    <w:rsid w:val="5DF14932"/>
    <w:rsid w:val="5DFF04E8"/>
    <w:rsid w:val="5E1A6FB5"/>
    <w:rsid w:val="5E7A3CE2"/>
    <w:rsid w:val="5E960581"/>
    <w:rsid w:val="5F355496"/>
    <w:rsid w:val="5F8349F8"/>
    <w:rsid w:val="5F865CD7"/>
    <w:rsid w:val="5FB4440E"/>
    <w:rsid w:val="5FDC4484"/>
    <w:rsid w:val="5FE0450D"/>
    <w:rsid w:val="60BA0556"/>
    <w:rsid w:val="60C85AB3"/>
    <w:rsid w:val="60F61E20"/>
    <w:rsid w:val="6118527D"/>
    <w:rsid w:val="61A7533B"/>
    <w:rsid w:val="61AA37BB"/>
    <w:rsid w:val="621244D5"/>
    <w:rsid w:val="62B2296D"/>
    <w:rsid w:val="62B247EF"/>
    <w:rsid w:val="634A21C9"/>
    <w:rsid w:val="636147EE"/>
    <w:rsid w:val="63DB6B9E"/>
    <w:rsid w:val="64A86918"/>
    <w:rsid w:val="65B441A4"/>
    <w:rsid w:val="65D8147F"/>
    <w:rsid w:val="66373494"/>
    <w:rsid w:val="66591B82"/>
    <w:rsid w:val="66A2527C"/>
    <w:rsid w:val="66CF4630"/>
    <w:rsid w:val="66E005EB"/>
    <w:rsid w:val="672A46AF"/>
    <w:rsid w:val="68550B65"/>
    <w:rsid w:val="6898637C"/>
    <w:rsid w:val="68B16D7B"/>
    <w:rsid w:val="68BA7003"/>
    <w:rsid w:val="69A1245C"/>
    <w:rsid w:val="6B121E89"/>
    <w:rsid w:val="6C281E78"/>
    <w:rsid w:val="6C307E68"/>
    <w:rsid w:val="6C920572"/>
    <w:rsid w:val="6CE07597"/>
    <w:rsid w:val="6D373324"/>
    <w:rsid w:val="6D635AD2"/>
    <w:rsid w:val="6DB227E4"/>
    <w:rsid w:val="6DBE1759"/>
    <w:rsid w:val="6DC31ECB"/>
    <w:rsid w:val="6E307289"/>
    <w:rsid w:val="6E656845"/>
    <w:rsid w:val="6F471F5D"/>
    <w:rsid w:val="6F8E74DB"/>
    <w:rsid w:val="6FE04A8C"/>
    <w:rsid w:val="70836CF8"/>
    <w:rsid w:val="70CF07C8"/>
    <w:rsid w:val="710F157A"/>
    <w:rsid w:val="71840FD7"/>
    <w:rsid w:val="718C3480"/>
    <w:rsid w:val="721D56A4"/>
    <w:rsid w:val="7225592F"/>
    <w:rsid w:val="72BC4D15"/>
    <w:rsid w:val="72F3401B"/>
    <w:rsid w:val="731416B4"/>
    <w:rsid w:val="734705AE"/>
    <w:rsid w:val="73712518"/>
    <w:rsid w:val="738A0204"/>
    <w:rsid w:val="738E7AB2"/>
    <w:rsid w:val="73EF0074"/>
    <w:rsid w:val="74130252"/>
    <w:rsid w:val="74624F7D"/>
    <w:rsid w:val="74B72A06"/>
    <w:rsid w:val="7546516B"/>
    <w:rsid w:val="756D573F"/>
    <w:rsid w:val="75AF555B"/>
    <w:rsid w:val="763204BA"/>
    <w:rsid w:val="76504B3D"/>
    <w:rsid w:val="767D2F83"/>
    <w:rsid w:val="76F3488A"/>
    <w:rsid w:val="77281C38"/>
    <w:rsid w:val="7741229E"/>
    <w:rsid w:val="781828A1"/>
    <w:rsid w:val="781C3DC0"/>
    <w:rsid w:val="78780B98"/>
    <w:rsid w:val="788E06C1"/>
    <w:rsid w:val="78D76423"/>
    <w:rsid w:val="78D80007"/>
    <w:rsid w:val="78D86E43"/>
    <w:rsid w:val="79566D81"/>
    <w:rsid w:val="79E02BD8"/>
    <w:rsid w:val="7A2B55F9"/>
    <w:rsid w:val="7A3458D0"/>
    <w:rsid w:val="7A4B048B"/>
    <w:rsid w:val="7A7C35B8"/>
    <w:rsid w:val="7A96669D"/>
    <w:rsid w:val="7AC70013"/>
    <w:rsid w:val="7AF85D08"/>
    <w:rsid w:val="7B672810"/>
    <w:rsid w:val="7B681B66"/>
    <w:rsid w:val="7C273A98"/>
    <w:rsid w:val="7C561F60"/>
    <w:rsid w:val="7C6B2EC5"/>
    <w:rsid w:val="7C831CEC"/>
    <w:rsid w:val="7CC62477"/>
    <w:rsid w:val="7DDF7DDD"/>
    <w:rsid w:val="7E262745"/>
    <w:rsid w:val="7E300909"/>
    <w:rsid w:val="7EC84C80"/>
    <w:rsid w:val="7EF434D2"/>
    <w:rsid w:val="7EF55FF4"/>
    <w:rsid w:val="7F0627ED"/>
    <w:rsid w:val="7F787239"/>
    <w:rsid w:val="7FA52E31"/>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qFormat="1" w:unhideWhenUsed="0" w:uiPriority="99"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line="413" w:lineRule="auto"/>
      <w:outlineLvl w:val="1"/>
    </w:pPr>
    <w:rPr>
      <w:rFonts w:ascii="Arial" w:hAnsi="Arial" w:eastAsia="黑体"/>
      <w:b/>
      <w:sz w:val="32"/>
    </w:rPr>
  </w:style>
  <w:style w:type="paragraph" w:styleId="5">
    <w:name w:val="heading 3"/>
    <w:next w:val="1"/>
    <w:link w:val="48"/>
    <w:qFormat/>
    <w:uiPriority w:val="0"/>
    <w:pPr>
      <w:keepNext/>
      <w:keepLines/>
      <w:widowControl w:val="0"/>
      <w:adjustRightInd w:val="0"/>
      <w:spacing w:before="40" w:beforeLines="0" w:after="40" w:afterLines="0" w:line="360" w:lineRule="auto"/>
      <w:jc w:val="both"/>
      <w:textAlignment w:val="baseline"/>
      <w:outlineLvl w:val="2"/>
    </w:pPr>
    <w:rPr>
      <w:rFonts w:ascii="宋体" w:hAnsi="宋体" w:eastAsia="宋体" w:cs="Times New Roman"/>
      <w:b/>
      <w:sz w:val="28"/>
      <w:lang w:val="en-US" w:eastAsia="zh-CN" w:bidi="ar-SA"/>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style>
  <w:style w:type="paragraph" w:styleId="6">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7">
    <w:name w:val="Normal Indent"/>
    <w:basedOn w:val="1"/>
    <w:qFormat/>
    <w:uiPriority w:val="0"/>
    <w:pPr>
      <w:ind w:firstLine="420"/>
    </w:pPr>
    <w:rPr>
      <w:rFonts w:ascii="Times New Roman" w:hAnsi="Times New Roman" w:eastAsia="宋体" w:cs="Times New Roman"/>
      <w:szCs w:val="20"/>
    </w:rPr>
  </w:style>
  <w:style w:type="paragraph" w:styleId="8">
    <w:name w:val="toa heading"/>
    <w:next w:val="1"/>
    <w:semiHidden/>
    <w:qFormat/>
    <w:uiPriority w:val="99"/>
    <w:pPr>
      <w:widowControl w:val="0"/>
      <w:spacing w:before="120"/>
      <w:jc w:val="both"/>
    </w:pPr>
    <w:rPr>
      <w:rFonts w:ascii="Cambria" w:hAnsi="Cambria" w:eastAsia="宋体" w:cs="Cambria"/>
      <w:sz w:val="24"/>
      <w:szCs w:val="24"/>
      <w:lang w:val="en-US" w:eastAsia="zh-CN" w:bidi="ar-SA"/>
    </w:rPr>
  </w:style>
  <w:style w:type="paragraph" w:styleId="9">
    <w:name w:val="annotation text"/>
    <w:basedOn w:val="1"/>
    <w:semiHidden/>
    <w:unhideWhenUsed/>
    <w:qFormat/>
    <w:uiPriority w:val="0"/>
    <w:pPr>
      <w:jc w:val="left"/>
    </w:pPr>
  </w:style>
  <w:style w:type="paragraph" w:styleId="10">
    <w:name w:val="Plain Text"/>
    <w:basedOn w:val="1"/>
    <w:next w:val="1"/>
    <w:link w:val="41"/>
    <w:qFormat/>
    <w:uiPriority w:val="0"/>
    <w:rPr>
      <w:rFonts w:hint="eastAsia" w:ascii="宋体" w:hAnsi="Courier New" w:eastAsia="宋体" w:cs="Times New Roman"/>
      <w:szCs w:val="21"/>
    </w:rPr>
  </w:style>
  <w:style w:type="paragraph" w:styleId="11">
    <w:name w:val="Balloon Text"/>
    <w:basedOn w:val="1"/>
    <w:link w:val="39"/>
    <w:qFormat/>
    <w:uiPriority w:val="0"/>
    <w:rPr>
      <w:sz w:val="18"/>
      <w:szCs w:val="18"/>
    </w:rPr>
  </w:style>
  <w:style w:type="paragraph" w:styleId="12">
    <w:name w:val="footer"/>
    <w:basedOn w:val="1"/>
    <w:link w:val="38"/>
    <w:qFormat/>
    <w:uiPriority w:val="0"/>
    <w:pPr>
      <w:tabs>
        <w:tab w:val="center" w:pos="4153"/>
        <w:tab w:val="right" w:pos="8306"/>
      </w:tabs>
      <w:snapToGrid w:val="0"/>
      <w:jc w:val="left"/>
    </w:pPr>
    <w:rPr>
      <w:sz w:val="18"/>
      <w:szCs w:val="18"/>
    </w:rPr>
  </w:style>
  <w:style w:type="paragraph" w:styleId="13">
    <w:name w:val="header"/>
    <w:basedOn w:val="1"/>
    <w:link w:val="37"/>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0"/>
    <w:rPr>
      <w:rFonts w:ascii="Times New Roman" w:hAnsi="Times New Roman" w:eastAsia="宋体" w:cs="Times New Roman"/>
      <w:szCs w:val="21"/>
    </w:rPr>
  </w:style>
  <w:style w:type="paragraph" w:styleId="15">
    <w:name w:val="Subtitle"/>
    <w:next w:val="1"/>
    <w:qFormat/>
    <w:uiPriority w:val="0"/>
    <w:pPr>
      <w:widowControl w:val="0"/>
      <w:spacing w:before="240" w:after="60" w:line="312" w:lineRule="auto"/>
      <w:jc w:val="center"/>
      <w:outlineLvl w:val="1"/>
    </w:pPr>
    <w:rPr>
      <w:rFonts w:ascii="Arial" w:hAnsi="Arial" w:eastAsia="宋体" w:cs="Arial"/>
      <w:b/>
      <w:bCs/>
      <w:kern w:val="28"/>
      <w:sz w:val="32"/>
      <w:szCs w:val="32"/>
      <w:lang w:val="en-US" w:eastAsia="zh-CN" w:bidi="ar-SA"/>
    </w:rPr>
  </w:style>
  <w:style w:type="paragraph" w:styleId="16">
    <w:name w:val="Title"/>
    <w:next w:val="1"/>
    <w:qFormat/>
    <w:uiPriority w:val="0"/>
    <w:pPr>
      <w:widowControl w:val="0"/>
      <w:spacing w:before="240" w:beforeLines="0" w:after="60" w:afterLines="0"/>
      <w:jc w:val="left"/>
      <w:outlineLvl w:val="0"/>
    </w:pPr>
    <w:rPr>
      <w:rFonts w:ascii="Cambria" w:hAnsi="Cambria" w:eastAsia="宋体" w:cs="Times New Roman"/>
      <w:b/>
      <w:bCs/>
      <w:kern w:val="2"/>
      <w:sz w:val="30"/>
      <w:szCs w:val="32"/>
      <w:lang w:val="en-US" w:eastAsia="zh-CN" w:bidi="ar-SA"/>
    </w:rPr>
  </w:style>
  <w:style w:type="paragraph" w:styleId="17">
    <w:name w:val="Body Text First Indent"/>
    <w:basedOn w:val="2"/>
    <w:link w:val="42"/>
    <w:qFormat/>
    <w:uiPriority w:val="0"/>
    <w:pPr>
      <w:spacing w:beforeAutospacing="1" w:after="120"/>
      <w:ind w:firstLine="420"/>
    </w:pPr>
    <w:rPr>
      <w:rFonts w:ascii="Times New Roman" w:hAnsi="Times New Roman" w:eastAsia="宋体" w:cs="Times New Roman"/>
      <w:szCs w:val="21"/>
    </w:rPr>
  </w:style>
  <w:style w:type="paragraph" w:styleId="18">
    <w:name w:val="Body Text First Indent 2"/>
    <w:next w:val="19"/>
    <w:qFormat/>
    <w:uiPriority w:val="0"/>
    <w:pPr>
      <w:widowControl w:val="0"/>
      <w:numPr>
        <w:ilvl w:val="0"/>
        <w:numId w:val="1"/>
      </w:numPr>
      <w:snapToGrid w:val="0"/>
      <w:spacing w:after="120" w:afterLines="0" w:line="360" w:lineRule="auto"/>
      <w:ind w:firstLine="420"/>
      <w:jc w:val="both"/>
    </w:pPr>
    <w:rPr>
      <w:rFonts w:ascii="Times New Roman" w:hAnsi="Times New Roman" w:eastAsia="楷体_GB2312" w:cs="Times New Roman"/>
      <w:kern w:val="2"/>
      <w:sz w:val="28"/>
      <w:szCs w:val="20"/>
      <w:lang w:val="en-US" w:eastAsia="zh-CN" w:bidi="ar-SA"/>
    </w:rPr>
  </w:style>
  <w:style w:type="paragraph" w:customStyle="1" w:styleId="19">
    <w:name w:val="样式 正文首行缩进 2 + Arial"/>
    <w:next w:val="1"/>
    <w:qFormat/>
    <w:uiPriority w:val="0"/>
    <w:pPr>
      <w:widowControl w:val="0"/>
      <w:spacing w:before="100" w:beforeAutospacing="1" w:after="120" w:line="320" w:lineRule="atLeast"/>
      <w:ind w:firstLine="200" w:firstLineChars="200"/>
      <w:jc w:val="both"/>
    </w:pPr>
    <w:rPr>
      <w:rFonts w:ascii="Arial" w:hAnsi="Arial" w:eastAsia="宋体" w:cs="Arial"/>
      <w:kern w:val="2"/>
      <w:sz w:val="21"/>
      <w:szCs w:val="24"/>
      <w:lang w:val="en-US" w:eastAsia="zh-CN" w:bidi="ar-SA"/>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uiPriority w:val="0"/>
  </w:style>
  <w:style w:type="character" w:styleId="24">
    <w:name w:val="FollowedHyperlink"/>
    <w:basedOn w:val="22"/>
    <w:qFormat/>
    <w:uiPriority w:val="0"/>
    <w:rPr>
      <w:color w:val="0000FF"/>
      <w:u w:val="single"/>
    </w:rPr>
  </w:style>
  <w:style w:type="character" w:styleId="25">
    <w:name w:val="Hyperlink"/>
    <w:basedOn w:val="22"/>
    <w:qFormat/>
    <w:uiPriority w:val="0"/>
    <w:rPr>
      <w:color w:val="0000FF"/>
      <w:u w:val="single"/>
    </w:rPr>
  </w:style>
  <w:style w:type="paragraph" w:customStyle="1" w:styleId="26">
    <w:name w:val="Default"/>
    <w:qFormat/>
    <w:uiPriority w:val="0"/>
    <w:pPr>
      <w:widowControl w:val="0"/>
      <w:autoSpaceDE w:val="0"/>
      <w:autoSpaceDN w:val="0"/>
      <w:adjustRightInd w:val="0"/>
      <w:spacing w:line="276" w:lineRule="auto"/>
      <w:jc w:val="both"/>
    </w:pPr>
    <w:rPr>
      <w:rFonts w:ascii="汉仪细圆简" w:hAnsi="Times New Roman" w:eastAsia="汉仪细圆简" w:cs="汉仪细圆简"/>
      <w:color w:val="000000"/>
      <w:sz w:val="24"/>
      <w:szCs w:val="24"/>
      <w:lang w:val="en-US" w:eastAsia="zh-CN" w:bidi="ar-SA"/>
    </w:rPr>
  </w:style>
  <w:style w:type="paragraph" w:customStyle="1" w:styleId="27">
    <w:name w:val="样式 小四 行距: 1.5 倍行距"/>
    <w:basedOn w:val="1"/>
    <w:qFormat/>
    <w:uiPriority w:val="0"/>
    <w:pPr>
      <w:ind w:firstLine="480"/>
    </w:pPr>
    <w:rPr>
      <w:rFonts w:cs="宋体"/>
    </w:rPr>
  </w:style>
  <w:style w:type="paragraph" w:customStyle="1" w:styleId="28">
    <w:name w:val="表格文字"/>
    <w:basedOn w:val="1"/>
    <w:qFormat/>
    <w:uiPriority w:val="0"/>
    <w:pPr>
      <w:spacing w:before="25" w:after="25"/>
      <w:jc w:val="left"/>
    </w:pPr>
    <w:rPr>
      <w:bCs/>
      <w:spacing w:val="10"/>
      <w:kern w:val="0"/>
      <w:sz w:val="24"/>
    </w:rPr>
  </w:style>
  <w:style w:type="paragraph" w:customStyle="1" w:styleId="29">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30">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31">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32">
    <w:name w:val="列出段落1"/>
    <w:basedOn w:val="1"/>
    <w:qFormat/>
    <w:uiPriority w:val="0"/>
    <w:pPr>
      <w:ind w:firstLine="420" w:firstLineChars="200"/>
    </w:pPr>
    <w:rPr>
      <w:rFonts w:ascii="Calibri" w:hAnsi="Calibri" w:eastAsia="宋体" w:cs="Times New Roman"/>
      <w:szCs w:val="21"/>
    </w:rPr>
  </w:style>
  <w:style w:type="paragraph" w:customStyle="1" w:styleId="33">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34">
    <w:name w:val="10"/>
    <w:basedOn w:val="22"/>
    <w:qFormat/>
    <w:uiPriority w:val="0"/>
    <w:rPr>
      <w:rFonts w:hint="default" w:ascii="Times New Roman" w:hAnsi="Times New Roman" w:cs="Times New Roman"/>
    </w:rPr>
  </w:style>
  <w:style w:type="character" w:customStyle="1" w:styleId="35">
    <w:name w:val="15"/>
    <w:basedOn w:val="22"/>
    <w:qFormat/>
    <w:uiPriority w:val="0"/>
    <w:rPr>
      <w:rFonts w:hint="default" w:ascii="Times New Roman" w:hAnsi="Times New Roman" w:cs="Times New Roman"/>
    </w:rPr>
  </w:style>
  <w:style w:type="character" w:customStyle="1" w:styleId="36">
    <w:name w:val="16"/>
    <w:basedOn w:val="22"/>
    <w:qFormat/>
    <w:uiPriority w:val="0"/>
    <w:rPr>
      <w:rFonts w:hint="default" w:ascii="Times New Roman" w:hAnsi="Times New Roman" w:cs="Times New Roman"/>
      <w:color w:val="0000FF"/>
      <w:u w:val="single"/>
    </w:rPr>
  </w:style>
  <w:style w:type="character" w:customStyle="1" w:styleId="37">
    <w:name w:val="页眉 Char"/>
    <w:basedOn w:val="22"/>
    <w:link w:val="13"/>
    <w:qFormat/>
    <w:uiPriority w:val="0"/>
    <w:rPr>
      <w:rFonts w:asciiTheme="minorHAnsi" w:hAnsiTheme="minorHAnsi" w:eastAsiaTheme="minorEastAsia" w:cstheme="minorBidi"/>
      <w:kern w:val="2"/>
      <w:sz w:val="18"/>
      <w:szCs w:val="18"/>
    </w:rPr>
  </w:style>
  <w:style w:type="character" w:customStyle="1" w:styleId="38">
    <w:name w:val="页脚 Char"/>
    <w:basedOn w:val="22"/>
    <w:link w:val="12"/>
    <w:qFormat/>
    <w:uiPriority w:val="0"/>
    <w:rPr>
      <w:rFonts w:asciiTheme="minorHAnsi" w:hAnsiTheme="minorHAnsi" w:eastAsiaTheme="minorEastAsia" w:cstheme="minorBidi"/>
      <w:kern w:val="2"/>
      <w:sz w:val="18"/>
      <w:szCs w:val="18"/>
    </w:rPr>
  </w:style>
  <w:style w:type="character" w:customStyle="1" w:styleId="39">
    <w:name w:val="批注框文本 Char"/>
    <w:basedOn w:val="22"/>
    <w:link w:val="11"/>
    <w:qFormat/>
    <w:uiPriority w:val="0"/>
    <w:rPr>
      <w:rFonts w:asciiTheme="minorHAnsi" w:hAnsiTheme="minorHAnsi" w:eastAsiaTheme="minorEastAsia" w:cstheme="minorBidi"/>
      <w:kern w:val="2"/>
      <w:sz w:val="18"/>
      <w:szCs w:val="18"/>
    </w:rPr>
  </w:style>
  <w:style w:type="paragraph" w:customStyle="1" w:styleId="40">
    <w:name w:val="WPSOffice手动目录 1"/>
    <w:qFormat/>
    <w:uiPriority w:val="0"/>
    <w:rPr>
      <w:rFonts w:ascii="Times New Roman" w:hAnsi="Times New Roman" w:eastAsia="宋体" w:cs="Times New Roman"/>
      <w:lang w:val="en-US" w:eastAsia="zh-CN" w:bidi="ar-SA"/>
    </w:rPr>
  </w:style>
  <w:style w:type="character" w:customStyle="1" w:styleId="41">
    <w:name w:val="纯文本 Char"/>
    <w:link w:val="10"/>
    <w:qFormat/>
    <w:uiPriority w:val="0"/>
    <w:rPr>
      <w:rFonts w:ascii="宋体" w:hAnsi="Courier New"/>
      <w:kern w:val="2"/>
      <w:sz w:val="21"/>
      <w:szCs w:val="21"/>
    </w:rPr>
  </w:style>
  <w:style w:type="character" w:customStyle="1" w:styleId="42">
    <w:name w:val="正文首行缩进 Char"/>
    <w:basedOn w:val="22"/>
    <w:link w:val="17"/>
    <w:qFormat/>
    <w:uiPriority w:val="0"/>
    <w:rPr>
      <w:kern w:val="2"/>
      <w:sz w:val="21"/>
      <w:szCs w:val="21"/>
    </w:rPr>
  </w:style>
  <w:style w:type="paragraph" w:styleId="43">
    <w:name w:val="List Paragraph"/>
    <w:basedOn w:val="1"/>
    <w:unhideWhenUsed/>
    <w:qFormat/>
    <w:uiPriority w:val="99"/>
    <w:pPr>
      <w:ind w:firstLine="420" w:firstLineChars="200"/>
    </w:pPr>
  </w:style>
  <w:style w:type="paragraph" w:customStyle="1" w:styleId="44">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45">
    <w:name w:val="发文落款"/>
    <w:basedOn w:val="44"/>
    <w:qFormat/>
    <w:uiPriority w:val="0"/>
    <w:pPr>
      <w:ind w:left="4094" w:right="607" w:firstLine="0"/>
      <w:jc w:val="center"/>
    </w:pPr>
  </w:style>
  <w:style w:type="character" w:customStyle="1" w:styleId="46">
    <w:name w:val="c Char1"/>
    <w:link w:val="47"/>
    <w:qFormat/>
    <w:uiPriority w:val="0"/>
    <w:rPr>
      <w:rFonts w:eastAsia="仿宋_GB2312" w:cs="宋体"/>
      <w:sz w:val="28"/>
    </w:rPr>
  </w:style>
  <w:style w:type="paragraph" w:customStyle="1" w:styleId="47">
    <w:name w:val="c"/>
    <w:basedOn w:val="1"/>
    <w:link w:val="46"/>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character" w:customStyle="1" w:styleId="48">
    <w:name w:val="标题 3 Char"/>
    <w:link w:val="5"/>
    <w:qFormat/>
    <w:uiPriority w:val="0"/>
    <w:rPr>
      <w:rFonts w:ascii="宋体" w:hAnsi="宋体"/>
      <w:b/>
      <w:sz w:val="28"/>
      <w:lang w:val="en-US" w:eastAsia="zh-CN" w:bidi="ar-SA"/>
    </w:rPr>
  </w:style>
  <w:style w:type="character" w:customStyle="1" w:styleId="49">
    <w:name w:val="active2"/>
    <w:basedOn w:val="22"/>
    <w:qFormat/>
    <w:uiPriority w:val="0"/>
    <w:rPr>
      <w:color w:val="00FF00"/>
      <w:shd w:val="clear" w:fill="111111"/>
    </w:rPr>
  </w:style>
  <w:style w:type="character" w:customStyle="1" w:styleId="50">
    <w:name w:val="cdropright"/>
    <w:basedOn w:val="22"/>
    <w:qFormat/>
    <w:uiPriority w:val="0"/>
  </w:style>
  <w:style w:type="character" w:customStyle="1" w:styleId="51">
    <w:name w:val="drapbtn"/>
    <w:basedOn w:val="22"/>
    <w:qFormat/>
    <w:uiPriority w:val="0"/>
  </w:style>
  <w:style w:type="character" w:customStyle="1" w:styleId="52">
    <w:name w:val="after"/>
    <w:basedOn w:val="22"/>
    <w:qFormat/>
    <w:uiPriority w:val="0"/>
    <w:rPr>
      <w:sz w:val="0"/>
      <w:szCs w:val="0"/>
    </w:rPr>
  </w:style>
  <w:style w:type="character" w:customStyle="1" w:styleId="53">
    <w:name w:val="pagechatarealistclose_box"/>
    <w:basedOn w:val="22"/>
    <w:qFormat/>
    <w:uiPriority w:val="0"/>
  </w:style>
  <w:style w:type="character" w:customStyle="1" w:styleId="54">
    <w:name w:val="pagechatarealistclose_box1"/>
    <w:basedOn w:val="22"/>
    <w:qFormat/>
    <w:uiPriority w:val="0"/>
  </w:style>
  <w:style w:type="character" w:customStyle="1" w:styleId="55">
    <w:name w:val="hilite5"/>
    <w:basedOn w:val="22"/>
    <w:qFormat/>
    <w:uiPriority w:val="0"/>
    <w:rPr>
      <w:color w:val="FFFFFF"/>
      <w:shd w:val="clear" w:fill="666666"/>
    </w:rPr>
  </w:style>
  <w:style w:type="character" w:customStyle="1" w:styleId="56">
    <w:name w:val="associateddata"/>
    <w:basedOn w:val="22"/>
    <w:qFormat/>
    <w:uiPriority w:val="0"/>
    <w:rPr>
      <w:shd w:val="clear" w:fill="50A6F9"/>
    </w:rPr>
  </w:style>
  <w:style w:type="character" w:customStyle="1" w:styleId="57">
    <w:name w:val="cy"/>
    <w:basedOn w:val="22"/>
    <w:qFormat/>
    <w:uiPriority w:val="0"/>
  </w:style>
  <w:style w:type="character" w:customStyle="1" w:styleId="58">
    <w:name w:val="cdropleft"/>
    <w:basedOn w:val="22"/>
    <w:qFormat/>
    <w:uiPriority w:val="0"/>
  </w:style>
  <w:style w:type="character" w:customStyle="1" w:styleId="59">
    <w:name w:val="ico1654"/>
    <w:basedOn w:val="22"/>
    <w:qFormat/>
    <w:uiPriority w:val="0"/>
  </w:style>
  <w:style w:type="character" w:customStyle="1" w:styleId="60">
    <w:name w:val="ico1655"/>
    <w:basedOn w:val="22"/>
    <w:qFormat/>
    <w:uiPriority w:val="0"/>
  </w:style>
  <w:style w:type="character" w:customStyle="1" w:styleId="61">
    <w:name w:val="layui-layer-tabnow"/>
    <w:basedOn w:val="22"/>
    <w:qFormat/>
    <w:uiPriority w:val="0"/>
    <w:rPr>
      <w:bdr w:val="single" w:color="CCCCCC" w:sz="6" w:space="0"/>
      <w:shd w:val="clear" w:fill="FFFFFF"/>
    </w:rPr>
  </w:style>
  <w:style w:type="character" w:customStyle="1" w:styleId="62">
    <w:name w:val="button4"/>
    <w:basedOn w:val="22"/>
    <w:qFormat/>
    <w:uiPriority w:val="0"/>
  </w:style>
  <w:style w:type="character" w:customStyle="1" w:styleId="63">
    <w:name w:val="w32"/>
    <w:basedOn w:val="22"/>
    <w:qFormat/>
    <w:uiPriority w:val="0"/>
  </w:style>
  <w:style w:type="character" w:customStyle="1" w:styleId="64">
    <w:name w:val="tmpztreemove_arrow"/>
    <w:basedOn w:val="22"/>
    <w:qFormat/>
    <w:uiPriority w:val="0"/>
  </w:style>
  <w:style w:type="character" w:customStyle="1" w:styleId="65">
    <w:name w:val="icontext1"/>
    <w:basedOn w:val="22"/>
    <w:qFormat/>
    <w:uiPriority w:val="0"/>
  </w:style>
  <w:style w:type="character" w:customStyle="1" w:styleId="66">
    <w:name w:val="icontext11"/>
    <w:basedOn w:val="22"/>
    <w:qFormat/>
    <w:uiPriority w:val="0"/>
  </w:style>
  <w:style w:type="character" w:customStyle="1" w:styleId="67">
    <w:name w:val="icontext12"/>
    <w:basedOn w:val="22"/>
    <w:qFormat/>
    <w:uiPriority w:val="0"/>
  </w:style>
  <w:style w:type="character" w:customStyle="1" w:styleId="68">
    <w:name w:val="iconline2"/>
    <w:basedOn w:val="22"/>
    <w:qFormat/>
    <w:uiPriority w:val="0"/>
  </w:style>
  <w:style w:type="character" w:customStyle="1" w:styleId="69">
    <w:name w:val="iconline21"/>
    <w:basedOn w:val="22"/>
    <w:qFormat/>
    <w:uiPriority w:val="0"/>
  </w:style>
  <w:style w:type="character" w:customStyle="1" w:styleId="70">
    <w:name w:val="icontext2"/>
    <w:basedOn w:val="22"/>
    <w:qFormat/>
    <w:uiPriority w:val="0"/>
  </w:style>
  <w:style w:type="character" w:customStyle="1" w:styleId="71">
    <w:name w:val="icontext3"/>
    <w:basedOn w:val="22"/>
    <w:qFormat/>
    <w:uiPriority w:val="0"/>
  </w:style>
  <w:style w:type="character" w:customStyle="1" w:styleId="72">
    <w:name w:val="first-child"/>
    <w:basedOn w:val="22"/>
    <w:qFormat/>
    <w:uiPriority w:val="0"/>
  </w:style>
  <w:style w:type="table" w:customStyle="1" w:styleId="73">
    <w:name w:val="Table Normal"/>
    <w:semiHidden/>
    <w:unhideWhenUsed/>
    <w:qFormat/>
    <w:uiPriority w:val="0"/>
    <w:tblPr>
      <w:tblCellMar>
        <w:top w:w="0" w:type="dxa"/>
        <w:left w:w="0" w:type="dxa"/>
        <w:bottom w:w="0" w:type="dxa"/>
        <w:right w:w="0" w:type="dxa"/>
      </w:tblCellMar>
    </w:tblPr>
  </w:style>
  <w:style w:type="paragraph" w:customStyle="1" w:styleId="74">
    <w:name w:val="Table Text"/>
    <w:basedOn w:val="1"/>
    <w:semiHidden/>
    <w:qFormat/>
    <w:uiPriority w:val="0"/>
    <w:rPr>
      <w:rFonts w:ascii="宋体" w:hAnsi="宋体" w:eastAsia="宋体" w:cs="宋体"/>
      <w:sz w:val="16"/>
      <w:szCs w:val="16"/>
      <w:lang w:val="en-US" w:eastAsia="en-US" w:bidi="ar-SA"/>
    </w:rPr>
  </w:style>
  <w:style w:type="paragraph" w:customStyle="1" w:styleId="75">
    <w:name w:val="正文 New New New New New New New"/>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40</Pages>
  <Words>14980</Words>
  <Characters>15844</Characters>
  <Lines>131</Lines>
  <Paragraphs>37</Paragraphs>
  <TotalTime>6</TotalTime>
  <ScaleCrop>false</ScaleCrop>
  <LinksUpToDate>false</LinksUpToDate>
  <CharactersWithSpaces>16919</CharactersWithSpaces>
  <Application>WPS Office_11.1.0.14244_F1E327BC-269C-435d-A152-05C5408002CA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2021-10-27T11:28:00Z</dcterms:created>
  <dc:creator>cf</dc:creator>
  <cp:lastModifiedBy>A</cp:lastModifiedBy>
  <cp:lastPrinted>2025-06-06T08:25:15Z</cp:lastPrinted>
  <dcterms:modified xsi:type="dcterms:W3CDTF">2025-06-06T08:31:51Z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2052-11.1.0.14244</vt:lpwstr>
  </property>
  <property fmtid="{D5CDD505-2E9C-101B-9397-08002B2CF9AE}" pid="3" name="ICV">
    <vt:lpwstr>BDADB197318946259D6DF6912E28A40B_13</vt:lpwstr>
  </property>
  <property fmtid="{D5CDD505-2E9C-101B-9397-08002B2CF9AE}" pid="4" name="CRO">
    <vt:lpwstr>wqlLaW5nc29mdCBQREYgdG8gV1BTIDgw</vt:lpwstr>
  </property>
  <property fmtid="{D5CDD505-2E9C-101B-9397-08002B2CF9AE}" pid="5" name="Created">
    <vt:filetime>2023-06-26T10:53:24Z</vt:filetime>
  </property>
  <property fmtid="{D5CDD505-2E9C-101B-9397-08002B2CF9AE}" pid="6" name="UsrData">
    <vt:lpwstr>6498fd9a7ac359001fd9ca81</vt:lpwstr>
  </property>
</Properties>
</file>