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A3F6C">
      <w:pPr>
        <w:pStyle w:val="51"/>
        <w:widowControl w:val="0"/>
        <w:tabs>
          <w:tab w:val="left" w:pos="420"/>
          <w:tab w:val="clear" w:pos="360"/>
        </w:tabs>
        <w:adjustRightInd/>
        <w:snapToGrid/>
        <w:spacing w:line="240" w:lineRule="auto"/>
        <w:ind w:firstLine="883"/>
        <w:jc w:val="center"/>
        <w:rPr>
          <w:rFonts w:hAnsi="宋体" w:cs="宋体"/>
          <w:b/>
          <w:bCs/>
          <w:color w:val="000000" w:themeColor="text1"/>
          <w:sz w:val="44"/>
          <w:szCs w:val="44"/>
          <w14:textFill>
            <w14:solidFill>
              <w14:schemeClr w14:val="tx1"/>
            </w14:solidFill>
          </w14:textFill>
        </w:rPr>
      </w:pPr>
    </w:p>
    <w:p w14:paraId="64A8F9F9">
      <w:pPr>
        <w:pStyle w:val="14"/>
        <w:rPr>
          <w:rFonts w:hAnsi="宋体" w:cs="宋体"/>
          <w:b w:val="0"/>
          <w:bCs w:val="0"/>
          <w:color w:val="000000" w:themeColor="text1"/>
          <w:sz w:val="32"/>
          <w:szCs w:val="32"/>
          <w14:textFill>
            <w14:solidFill>
              <w14:schemeClr w14:val="tx1"/>
            </w14:solidFill>
          </w14:textFill>
        </w:rPr>
      </w:pPr>
    </w:p>
    <w:p w14:paraId="2587563E">
      <w:pPr>
        <w:pStyle w:val="51"/>
        <w:widowControl w:val="0"/>
        <w:tabs>
          <w:tab w:val="left" w:pos="420"/>
          <w:tab w:val="clear" w:pos="360"/>
        </w:tabs>
        <w:adjustRightInd/>
        <w:snapToGrid/>
        <w:spacing w:line="240" w:lineRule="auto"/>
        <w:ind w:firstLine="883"/>
        <w:jc w:val="center"/>
        <w:rPr>
          <w:rFonts w:hAnsi="宋体" w:cs="宋体"/>
          <w:b/>
          <w:bCs/>
          <w:color w:val="000000" w:themeColor="text1"/>
          <w:sz w:val="44"/>
          <w:szCs w:val="44"/>
          <w14:textFill>
            <w14:solidFill>
              <w14:schemeClr w14:val="tx1"/>
            </w14:solidFill>
          </w14:textFill>
        </w:rPr>
      </w:pPr>
    </w:p>
    <w:p w14:paraId="07D7C169">
      <w:pPr>
        <w:pStyle w:val="51"/>
        <w:tabs>
          <w:tab w:val="clear" w:pos="360"/>
        </w:tabs>
        <w:jc w:val="center"/>
        <w:rPr>
          <w:color w:val="000000" w:themeColor="text1"/>
          <w14:textFill>
            <w14:solidFill>
              <w14:schemeClr w14:val="tx1"/>
            </w14:solidFill>
          </w14:textFill>
        </w:rPr>
      </w:pPr>
      <w:r>
        <w:rPr>
          <w:rFonts w:hint="eastAsia" w:hAnsi="宋体" w:cs="宋体"/>
          <w:b/>
          <w:bCs/>
          <w:color w:val="000000" w:themeColor="text1"/>
          <w:sz w:val="44"/>
          <w:szCs w:val="44"/>
          <w14:textFill>
            <w14:solidFill>
              <w14:schemeClr w14:val="tx1"/>
            </w14:solidFill>
          </w14:textFill>
        </w:rPr>
        <w:t>全球数源中心数据流通利用基础设施先行先试项目方案设计服务项目</w:t>
      </w:r>
    </w:p>
    <w:p w14:paraId="38EB7421">
      <w:pPr>
        <w:pStyle w:val="51"/>
        <w:widowControl w:val="0"/>
        <w:tabs>
          <w:tab w:val="clear" w:pos="360"/>
        </w:tabs>
        <w:adjustRightInd/>
        <w:snapToGrid/>
        <w:spacing w:line="240" w:lineRule="auto"/>
        <w:jc w:val="center"/>
        <w:rPr>
          <w:rFonts w:hAnsi="宋体" w:cs="宋体"/>
          <w:b/>
          <w:color w:val="000000" w:themeColor="text1"/>
          <w:sz w:val="84"/>
          <w14:textFill>
            <w14:solidFill>
              <w14:schemeClr w14:val="tx1"/>
            </w14:solidFill>
          </w14:textFill>
        </w:rPr>
      </w:pPr>
      <w:r>
        <w:rPr>
          <w:rFonts w:hint="eastAsia" w:hAnsi="宋体" w:cs="宋体"/>
          <w:b/>
          <w:color w:val="000000" w:themeColor="text1"/>
          <w:sz w:val="84"/>
          <w14:textFill>
            <w14:solidFill>
              <w14:schemeClr w14:val="tx1"/>
            </w14:solidFill>
          </w14:textFill>
        </w:rPr>
        <w:t>招标文件</w:t>
      </w:r>
    </w:p>
    <w:p w14:paraId="61C5D09B">
      <w:pPr>
        <w:pStyle w:val="51"/>
        <w:tabs>
          <w:tab w:val="clear" w:pos="360"/>
        </w:tabs>
        <w:rPr>
          <w:color w:val="000000" w:themeColor="text1"/>
          <w14:textFill>
            <w14:solidFill>
              <w14:schemeClr w14:val="tx1"/>
            </w14:solidFill>
          </w14:textFill>
        </w:rPr>
      </w:pPr>
    </w:p>
    <w:p w14:paraId="516DA4DB">
      <w:pPr>
        <w:pStyle w:val="51"/>
        <w:tabs>
          <w:tab w:val="clear" w:pos="360"/>
        </w:tabs>
        <w:rPr>
          <w:color w:val="000000" w:themeColor="text1"/>
          <w14:textFill>
            <w14:solidFill>
              <w14:schemeClr w14:val="tx1"/>
            </w14:solidFill>
          </w14:textFill>
        </w:rPr>
      </w:pPr>
    </w:p>
    <w:p w14:paraId="7FB53081">
      <w:pPr>
        <w:pStyle w:val="51"/>
        <w:tabs>
          <w:tab w:val="clear" w:pos="360"/>
        </w:tabs>
        <w:rPr>
          <w:color w:val="000000" w:themeColor="text1"/>
          <w14:textFill>
            <w14:solidFill>
              <w14:schemeClr w14:val="tx1"/>
            </w14:solidFill>
          </w14:textFill>
        </w:rPr>
      </w:pPr>
    </w:p>
    <w:p w14:paraId="389EA38D">
      <w:pPr>
        <w:pStyle w:val="51"/>
        <w:tabs>
          <w:tab w:val="clear" w:pos="360"/>
        </w:tabs>
        <w:rPr>
          <w:color w:val="000000" w:themeColor="text1"/>
          <w14:textFill>
            <w14:solidFill>
              <w14:schemeClr w14:val="tx1"/>
            </w14:solidFill>
          </w14:textFill>
        </w:rPr>
      </w:pPr>
    </w:p>
    <w:p w14:paraId="40C108EA">
      <w:pPr>
        <w:pStyle w:val="51"/>
        <w:tabs>
          <w:tab w:val="clear" w:pos="360"/>
        </w:tabs>
        <w:rPr>
          <w:color w:val="000000" w:themeColor="text1"/>
          <w14:textFill>
            <w14:solidFill>
              <w14:schemeClr w14:val="tx1"/>
            </w14:solidFill>
          </w14:textFill>
        </w:rPr>
      </w:pPr>
    </w:p>
    <w:p w14:paraId="6CEC90AA">
      <w:pPr>
        <w:pStyle w:val="46"/>
        <w:rPr>
          <w:color w:val="000000" w:themeColor="text1"/>
          <w14:textFill>
            <w14:solidFill>
              <w14:schemeClr w14:val="tx1"/>
            </w14:solidFill>
          </w14:textFill>
        </w:rPr>
      </w:pPr>
    </w:p>
    <w:p w14:paraId="64F4ACE1">
      <w:pPr>
        <w:pStyle w:val="22"/>
        <w:rPr>
          <w:color w:val="000000" w:themeColor="text1"/>
          <w14:textFill>
            <w14:solidFill>
              <w14:schemeClr w14:val="tx1"/>
            </w14:solidFill>
          </w14:textFill>
        </w:rPr>
      </w:pPr>
    </w:p>
    <w:p w14:paraId="79F5429C">
      <w:pPr>
        <w:rPr>
          <w:color w:val="000000" w:themeColor="text1"/>
          <w14:textFill>
            <w14:solidFill>
              <w14:schemeClr w14:val="tx1"/>
            </w14:solidFill>
          </w14:textFill>
        </w:rPr>
      </w:pPr>
    </w:p>
    <w:p w14:paraId="4D8C5371">
      <w:pPr>
        <w:pStyle w:val="2"/>
        <w:rPr>
          <w:color w:val="000000" w:themeColor="text1"/>
          <w14:textFill>
            <w14:solidFill>
              <w14:schemeClr w14:val="tx1"/>
            </w14:solidFill>
          </w14:textFill>
        </w:rPr>
      </w:pPr>
    </w:p>
    <w:p w14:paraId="576CFB3D">
      <w:pPr>
        <w:pStyle w:val="21"/>
        <w:rPr>
          <w:color w:val="000000" w:themeColor="text1"/>
          <w14:textFill>
            <w14:solidFill>
              <w14:schemeClr w14:val="tx1"/>
            </w14:solidFill>
          </w14:textFill>
        </w:rPr>
      </w:pPr>
    </w:p>
    <w:p w14:paraId="5820CF85">
      <w:pPr>
        <w:pStyle w:val="51"/>
        <w:widowControl w:val="0"/>
        <w:tabs>
          <w:tab w:val="clear" w:pos="360"/>
        </w:tabs>
        <w:adjustRightInd/>
        <w:snapToGrid/>
        <w:spacing w:line="240" w:lineRule="auto"/>
        <w:jc w:val="both"/>
        <w:rPr>
          <w:rFonts w:hint="eastAsia" w:hAnsi="宋体" w:cs="宋体"/>
          <w:color w:val="000000" w:themeColor="text1"/>
          <w:sz w:val="32"/>
          <w:szCs w:val="32"/>
          <w14:textFill>
            <w14:solidFill>
              <w14:schemeClr w14:val="tx1"/>
            </w14:solidFill>
          </w14:textFill>
        </w:rPr>
      </w:pPr>
    </w:p>
    <w:p w14:paraId="27295A1D">
      <w:pPr>
        <w:widowControl/>
        <w:tabs>
          <w:tab w:val="left" w:pos="567"/>
          <w:tab w:val="clear" w:pos="360"/>
        </w:tabs>
        <w:autoSpaceDE w:val="0"/>
        <w:autoSpaceDN w:val="0"/>
        <w:spacing w:before="156" w:after="156" w:line="460" w:lineRule="exact"/>
        <w:ind w:left="567" w:firstLine="1418"/>
        <w:jc w:val="left"/>
        <w:textAlignment w:val="bottom"/>
        <w:rPr>
          <w:rFonts w:hint="default" w:ascii="宋体" w:hAnsi="宋体" w:eastAsia="宋体"/>
          <w:b/>
          <w:sz w:val="30"/>
          <w:szCs w:val="30"/>
          <w:lang w:val="en-US" w:eastAsia="zh-CN"/>
        </w:rPr>
      </w:pPr>
      <w:r>
        <w:rPr>
          <w:rFonts w:hint="eastAsia" w:ascii="宋体" w:hAnsi="宋体"/>
          <w:b/>
          <w:sz w:val="30"/>
          <w:szCs w:val="30"/>
        </w:rPr>
        <w:t>招标人：</w:t>
      </w:r>
      <w:r>
        <w:rPr>
          <w:rFonts w:hint="eastAsia" w:ascii="宋体" w:hAnsi="宋体"/>
          <w:b/>
          <w:sz w:val="30"/>
          <w:szCs w:val="30"/>
          <w:lang w:val="en-US" w:eastAsia="zh-CN"/>
        </w:rPr>
        <w:t>全球数源中心（广州南沙）有限公司</w:t>
      </w:r>
    </w:p>
    <w:p w14:paraId="693A595B">
      <w:pPr>
        <w:widowControl/>
        <w:tabs>
          <w:tab w:val="left" w:pos="567"/>
          <w:tab w:val="clear" w:pos="360"/>
        </w:tabs>
        <w:autoSpaceDE w:val="0"/>
        <w:autoSpaceDN w:val="0"/>
        <w:spacing w:line="360" w:lineRule="auto"/>
        <w:ind w:left="567" w:firstLine="1418"/>
        <w:jc w:val="left"/>
        <w:textAlignment w:val="bottom"/>
        <w:rPr>
          <w:rFonts w:ascii="宋体" w:hAnsi="宋体"/>
          <w:b/>
          <w:sz w:val="30"/>
          <w:szCs w:val="30"/>
        </w:rPr>
      </w:pPr>
      <w:r>
        <w:rPr>
          <w:rFonts w:hint="eastAsia" w:ascii="宋体" w:hAnsi="宋体"/>
          <w:b/>
          <w:sz w:val="30"/>
          <w:szCs w:val="30"/>
        </w:rPr>
        <w:t>日  期：2025年</w:t>
      </w:r>
      <w:r>
        <w:rPr>
          <w:rFonts w:ascii="宋体" w:hAnsi="宋体"/>
          <w:b/>
          <w:sz w:val="30"/>
          <w:szCs w:val="30"/>
        </w:rPr>
        <w:t>6</w:t>
      </w:r>
      <w:r>
        <w:rPr>
          <w:rFonts w:hint="eastAsia" w:ascii="宋体" w:hAnsi="宋体"/>
          <w:b/>
          <w:sz w:val="30"/>
          <w:szCs w:val="30"/>
        </w:rPr>
        <w:t>月</w:t>
      </w:r>
    </w:p>
    <w:p w14:paraId="2BC08278">
      <w:pPr>
        <w:tabs>
          <w:tab w:val="clear" w:pos="360"/>
        </w:tabs>
        <w:rPr>
          <w:color w:val="000000" w:themeColor="text1"/>
          <w14:textFill>
            <w14:solidFill>
              <w14:schemeClr w14:val="tx1"/>
            </w14:solidFill>
          </w14:textFill>
        </w:rPr>
        <w:sectPr>
          <w:headerReference r:id="rId6" w:type="first"/>
          <w:footerReference r:id="rId8" w:type="first"/>
          <w:headerReference r:id="rId5" w:type="default"/>
          <w:footerReference r:id="rId7" w:type="default"/>
          <w:pgSz w:w="11906" w:h="16838"/>
          <w:pgMar w:top="1440" w:right="1080" w:bottom="1440" w:left="1080" w:header="709" w:footer="709" w:gutter="0"/>
          <w:pgNumType w:start="0"/>
          <w:cols w:space="720" w:num="1"/>
          <w:docGrid w:type="lines" w:linePitch="312" w:charSpace="0"/>
        </w:sectPr>
      </w:pPr>
    </w:p>
    <w:p w14:paraId="06EC75D8">
      <w:pPr>
        <w:pStyle w:val="20"/>
        <w:ind w:firstLine="723"/>
        <w:jc w:val="center"/>
        <w:rPr>
          <w:rStyle w:val="40"/>
          <w:rFonts w:ascii="宋体" w:hAnsi="宋体"/>
          <w:b/>
          <w:color w:val="000000" w:themeColor="text1"/>
          <w:sz w:val="36"/>
          <w:u w:val="none"/>
          <w14:textFill>
            <w14:solidFill>
              <w14:schemeClr w14:val="tx1"/>
            </w14:solidFill>
          </w14:textFill>
        </w:rPr>
      </w:pPr>
      <w:r>
        <w:rPr>
          <w:rStyle w:val="40"/>
          <w:rFonts w:hint="eastAsia" w:ascii="宋体" w:hAnsi="宋体"/>
          <w:b/>
          <w:color w:val="000000" w:themeColor="text1"/>
          <w:sz w:val="36"/>
          <w:u w:val="none"/>
          <w14:textFill>
            <w14:solidFill>
              <w14:schemeClr w14:val="tx1"/>
            </w14:solidFill>
          </w14:textFill>
        </w:rPr>
        <w:t>目录</w:t>
      </w:r>
    </w:p>
    <w:p w14:paraId="06D6FBFD">
      <w:pPr>
        <w:pStyle w:val="20"/>
        <w:ind w:left="3080" w:leftChars="1200" w:hanging="560" w:hangingChars="200"/>
        <w:rPr>
          <w:rFonts w:ascii="宋体" w:hAnsi="宋体"/>
          <w:color w:val="000000" w:themeColor="text1"/>
          <w:sz w:val="28"/>
          <w14:textFill>
            <w14:solidFill>
              <w14:schemeClr w14:val="tx1"/>
            </w14:solidFill>
          </w14:textFill>
        </w:rPr>
      </w:pPr>
    </w:p>
    <w:p w14:paraId="628996CB">
      <w:pPr>
        <w:pStyle w:val="20"/>
        <w:tabs>
          <w:tab w:val="right" w:leader="dot" w:pos="9746"/>
          <w:tab w:val="clear" w:pos="360"/>
        </w:tabs>
      </w:pPr>
      <w:r>
        <w:rPr>
          <w:rFonts w:hint="eastAsia" w:ascii="宋体" w:hAnsi="宋体"/>
          <w:color w:val="000000" w:themeColor="text1"/>
          <w:sz w:val="28"/>
          <w14:textFill>
            <w14:solidFill>
              <w14:schemeClr w14:val="tx1"/>
            </w14:solidFill>
          </w14:textFill>
        </w:rPr>
        <w:fldChar w:fldCharType="begin"/>
      </w:r>
      <w:r>
        <w:rPr>
          <w:rFonts w:hint="eastAsia" w:ascii="宋体" w:hAnsi="宋体"/>
          <w:color w:val="000000" w:themeColor="text1"/>
          <w:sz w:val="28"/>
          <w14:textFill>
            <w14:solidFill>
              <w14:schemeClr w14:val="tx1"/>
            </w14:solidFill>
          </w14:textFill>
        </w:rPr>
        <w:instrText xml:space="preserve">TOC \o "1-1" \h \u </w:instrText>
      </w:r>
      <w:r>
        <w:rPr>
          <w:rFonts w:hint="eastAsia" w:ascii="宋体" w:hAnsi="宋体"/>
          <w:color w:val="000000" w:themeColor="text1"/>
          <w:sz w:val="28"/>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fldChar w:fldCharType="begin"/>
      </w:r>
      <w:r>
        <w:rPr>
          <w:rFonts w:hint="eastAsia" w:ascii="宋体" w:hAnsi="宋体"/>
        </w:rPr>
        <w:instrText xml:space="preserve"> HYPERLINK \l _Toc14778 </w:instrText>
      </w:r>
      <w:r>
        <w:rPr>
          <w:rFonts w:hint="eastAsia" w:ascii="宋体" w:hAnsi="宋体"/>
        </w:rPr>
        <w:fldChar w:fldCharType="separate"/>
      </w:r>
      <w:r>
        <w:rPr>
          <w:rFonts w:hint="eastAsia"/>
          <w:szCs w:val="30"/>
        </w:rPr>
        <w:t xml:space="preserve">第一章 </w:t>
      </w:r>
      <w:r>
        <w:rPr>
          <w:rFonts w:hint="eastAsia"/>
          <w:szCs w:val="30"/>
          <w:lang w:val="en-US" w:eastAsia="zh-CN"/>
        </w:rPr>
        <w:t>采购公告</w:t>
      </w:r>
      <w:r>
        <w:tab/>
      </w:r>
      <w:r>
        <w:fldChar w:fldCharType="begin"/>
      </w:r>
      <w:r>
        <w:instrText xml:space="preserve"> PAGEREF _Toc14778 \h </w:instrText>
      </w:r>
      <w:r>
        <w:fldChar w:fldCharType="separate"/>
      </w:r>
      <w:r>
        <w:t>2</w:t>
      </w:r>
      <w:r>
        <w:fldChar w:fldCharType="end"/>
      </w:r>
      <w:r>
        <w:rPr>
          <w:rFonts w:hint="eastAsia" w:ascii="宋体" w:hAnsi="宋体"/>
          <w:color w:val="000000" w:themeColor="text1"/>
          <w14:textFill>
            <w14:solidFill>
              <w14:schemeClr w14:val="tx1"/>
            </w14:solidFill>
          </w14:textFill>
        </w:rPr>
        <w:fldChar w:fldCharType="end"/>
      </w:r>
    </w:p>
    <w:p w14:paraId="5584AE4A">
      <w:pPr>
        <w:pStyle w:val="20"/>
        <w:tabs>
          <w:tab w:val="right" w:leader="dot" w:pos="9746"/>
          <w:tab w:val="clear" w:pos="360"/>
        </w:tabs>
      </w:pPr>
      <w:r>
        <w:rPr>
          <w:rFonts w:hint="eastAsia" w:ascii="宋体" w:hAnsi="宋体"/>
          <w:color w:val="000000" w:themeColor="text1"/>
          <w14:textFill>
            <w14:solidFill>
              <w14:schemeClr w14:val="tx1"/>
            </w14:solidFill>
          </w14:textFill>
        </w:rPr>
        <w:fldChar w:fldCharType="begin"/>
      </w:r>
      <w:r>
        <w:rPr>
          <w:rFonts w:hint="eastAsia" w:ascii="宋体" w:hAnsi="宋体"/>
        </w:rPr>
        <w:instrText xml:space="preserve"> HYPERLINK \l _Toc13168 </w:instrText>
      </w:r>
      <w:r>
        <w:rPr>
          <w:rFonts w:hint="eastAsia" w:ascii="宋体" w:hAnsi="宋体"/>
        </w:rPr>
        <w:fldChar w:fldCharType="separate"/>
      </w:r>
      <w:r>
        <w:rPr>
          <w:rFonts w:hint="eastAsia"/>
          <w:szCs w:val="30"/>
        </w:rPr>
        <w:t>第二章 用户需求书</w:t>
      </w:r>
      <w:r>
        <w:tab/>
      </w:r>
      <w:r>
        <w:fldChar w:fldCharType="begin"/>
      </w:r>
      <w:r>
        <w:instrText xml:space="preserve"> PAGEREF _Toc13168 \h </w:instrText>
      </w:r>
      <w:r>
        <w:fldChar w:fldCharType="separate"/>
      </w:r>
      <w:r>
        <w:t>7</w:t>
      </w:r>
      <w:r>
        <w:fldChar w:fldCharType="end"/>
      </w:r>
      <w:r>
        <w:rPr>
          <w:rFonts w:hint="eastAsia" w:ascii="宋体" w:hAnsi="宋体"/>
          <w:color w:val="000000" w:themeColor="text1"/>
          <w14:textFill>
            <w14:solidFill>
              <w14:schemeClr w14:val="tx1"/>
            </w14:solidFill>
          </w14:textFill>
        </w:rPr>
        <w:fldChar w:fldCharType="end"/>
      </w:r>
    </w:p>
    <w:p w14:paraId="4973E275">
      <w:pPr>
        <w:pStyle w:val="20"/>
        <w:tabs>
          <w:tab w:val="right" w:leader="dot" w:pos="9746"/>
          <w:tab w:val="clear" w:pos="360"/>
        </w:tabs>
      </w:pPr>
      <w:r>
        <w:rPr>
          <w:rFonts w:hint="eastAsia" w:ascii="宋体" w:hAnsi="宋体"/>
          <w:color w:val="000000" w:themeColor="text1"/>
          <w14:textFill>
            <w14:solidFill>
              <w14:schemeClr w14:val="tx1"/>
            </w14:solidFill>
          </w14:textFill>
        </w:rPr>
        <w:fldChar w:fldCharType="begin"/>
      </w:r>
      <w:r>
        <w:rPr>
          <w:rFonts w:hint="eastAsia" w:ascii="宋体" w:hAnsi="宋体"/>
        </w:rPr>
        <w:instrText xml:space="preserve"> HYPERLINK \l _Toc6431 </w:instrText>
      </w:r>
      <w:r>
        <w:rPr>
          <w:rFonts w:hint="eastAsia" w:ascii="宋体" w:hAnsi="宋体"/>
        </w:rPr>
        <w:fldChar w:fldCharType="separate"/>
      </w:r>
      <w:r>
        <w:rPr>
          <w:rFonts w:hint="eastAsia"/>
          <w:bCs/>
          <w:kern w:val="44"/>
          <w:szCs w:val="30"/>
        </w:rPr>
        <w:t>第三章 合同格式</w:t>
      </w:r>
      <w:r>
        <w:tab/>
      </w:r>
      <w:r>
        <w:fldChar w:fldCharType="begin"/>
      </w:r>
      <w:r>
        <w:instrText xml:space="preserve"> PAGEREF _Toc6431 \h </w:instrText>
      </w:r>
      <w:r>
        <w:fldChar w:fldCharType="separate"/>
      </w:r>
      <w:r>
        <w:t>10</w:t>
      </w:r>
      <w:r>
        <w:fldChar w:fldCharType="end"/>
      </w:r>
      <w:r>
        <w:rPr>
          <w:rFonts w:hint="eastAsia" w:ascii="宋体" w:hAnsi="宋体"/>
          <w:color w:val="000000" w:themeColor="text1"/>
          <w14:textFill>
            <w14:solidFill>
              <w14:schemeClr w14:val="tx1"/>
            </w14:solidFill>
          </w14:textFill>
        </w:rPr>
        <w:fldChar w:fldCharType="end"/>
      </w:r>
    </w:p>
    <w:p w14:paraId="4062E685">
      <w:pPr>
        <w:pStyle w:val="20"/>
        <w:tabs>
          <w:tab w:val="right" w:leader="dot" w:pos="9746"/>
          <w:tab w:val="clear" w:pos="360"/>
        </w:tabs>
      </w:pPr>
      <w:r>
        <w:rPr>
          <w:rFonts w:hint="eastAsia" w:ascii="宋体" w:hAnsi="宋体"/>
          <w:color w:val="000000" w:themeColor="text1"/>
          <w14:textFill>
            <w14:solidFill>
              <w14:schemeClr w14:val="tx1"/>
            </w14:solidFill>
          </w14:textFill>
        </w:rPr>
        <w:fldChar w:fldCharType="begin"/>
      </w:r>
      <w:r>
        <w:rPr>
          <w:rFonts w:hint="eastAsia" w:ascii="宋体" w:hAnsi="宋体"/>
        </w:rPr>
        <w:instrText xml:space="preserve"> HYPERLINK \l _Toc203 </w:instrText>
      </w:r>
      <w:r>
        <w:rPr>
          <w:rFonts w:hint="eastAsia" w:ascii="宋体" w:hAnsi="宋体"/>
        </w:rPr>
        <w:fldChar w:fldCharType="separate"/>
      </w:r>
      <w:r>
        <w:rPr>
          <w:rFonts w:hint="eastAsia"/>
          <w:szCs w:val="30"/>
        </w:rPr>
        <w:t>第四章 报价、评审和确认成交</w:t>
      </w:r>
      <w:r>
        <w:tab/>
      </w:r>
      <w:r>
        <w:fldChar w:fldCharType="begin"/>
      </w:r>
      <w:r>
        <w:instrText xml:space="preserve"> PAGEREF _Toc203 \h </w:instrText>
      </w:r>
      <w:r>
        <w:fldChar w:fldCharType="separate"/>
      </w:r>
      <w:r>
        <w:t>21</w:t>
      </w:r>
      <w:r>
        <w:fldChar w:fldCharType="end"/>
      </w:r>
      <w:r>
        <w:rPr>
          <w:rFonts w:hint="eastAsia" w:ascii="宋体" w:hAnsi="宋体"/>
          <w:color w:val="000000" w:themeColor="text1"/>
          <w14:textFill>
            <w14:solidFill>
              <w14:schemeClr w14:val="tx1"/>
            </w14:solidFill>
          </w14:textFill>
        </w:rPr>
        <w:fldChar w:fldCharType="end"/>
      </w:r>
    </w:p>
    <w:p w14:paraId="0632D239">
      <w:pPr>
        <w:pStyle w:val="20"/>
        <w:tabs>
          <w:tab w:val="right" w:leader="dot" w:pos="9746"/>
          <w:tab w:val="clear" w:pos="360"/>
        </w:tabs>
      </w:pPr>
      <w:r>
        <w:rPr>
          <w:rFonts w:hint="eastAsia" w:ascii="宋体" w:hAnsi="宋体"/>
          <w:color w:val="000000" w:themeColor="text1"/>
          <w14:textFill>
            <w14:solidFill>
              <w14:schemeClr w14:val="tx1"/>
            </w14:solidFill>
          </w14:textFill>
        </w:rPr>
        <w:fldChar w:fldCharType="begin"/>
      </w:r>
      <w:r>
        <w:rPr>
          <w:rFonts w:hint="eastAsia" w:ascii="宋体" w:hAnsi="宋体"/>
        </w:rPr>
        <w:instrText xml:space="preserve"> HYPERLINK \l _Toc3086 </w:instrText>
      </w:r>
      <w:r>
        <w:rPr>
          <w:rFonts w:hint="eastAsia" w:ascii="宋体" w:hAnsi="宋体"/>
        </w:rPr>
        <w:fldChar w:fldCharType="separate"/>
      </w:r>
      <w:r>
        <w:rPr>
          <w:rFonts w:hint="eastAsia"/>
          <w:szCs w:val="30"/>
        </w:rPr>
        <w:t>第五章</w:t>
      </w:r>
      <w:r>
        <w:rPr>
          <w:rFonts w:hint="eastAsia"/>
          <w:szCs w:val="30"/>
          <w:lang w:val="en-US" w:eastAsia="zh-CN"/>
        </w:rPr>
        <w:t xml:space="preserve"> </w:t>
      </w:r>
      <w:r>
        <w:rPr>
          <w:rFonts w:hint="eastAsia"/>
          <w:szCs w:val="30"/>
        </w:rPr>
        <w:t>响应文件格式</w:t>
      </w:r>
      <w:r>
        <w:tab/>
      </w:r>
      <w:r>
        <w:fldChar w:fldCharType="begin"/>
      </w:r>
      <w:r>
        <w:instrText xml:space="preserve"> PAGEREF _Toc3086 \h </w:instrText>
      </w:r>
      <w:r>
        <w:fldChar w:fldCharType="separate"/>
      </w:r>
      <w:r>
        <w:t>29</w:t>
      </w:r>
      <w:r>
        <w:fldChar w:fldCharType="end"/>
      </w:r>
      <w:r>
        <w:rPr>
          <w:rFonts w:hint="eastAsia" w:ascii="宋体" w:hAnsi="宋体"/>
          <w:color w:val="000000" w:themeColor="text1"/>
          <w14:textFill>
            <w14:solidFill>
              <w14:schemeClr w14:val="tx1"/>
            </w14:solidFill>
          </w14:textFill>
        </w:rPr>
        <w:fldChar w:fldCharType="end"/>
      </w:r>
    </w:p>
    <w:p w14:paraId="03DC08AC">
      <w:pPr>
        <w:ind w:left="2940" w:leftChars="1200" w:hanging="420" w:hanging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14:paraId="783D3078">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339BA4F">
      <w:pPr>
        <w:pStyle w:val="3"/>
        <w:ind w:firstLine="254"/>
        <w:jc w:val="center"/>
        <w:rPr>
          <w:rFonts w:hint="default" w:eastAsia="宋体"/>
          <w:color w:val="000000" w:themeColor="text1"/>
          <w:sz w:val="30"/>
          <w:szCs w:val="30"/>
          <w:lang w:val="en-US" w:eastAsia="zh-CN"/>
          <w14:textFill>
            <w14:solidFill>
              <w14:schemeClr w14:val="tx1"/>
            </w14:solidFill>
          </w14:textFill>
        </w:rPr>
      </w:pPr>
      <w:bookmarkStart w:id="0" w:name="_Toc16518"/>
      <w:bookmarkStart w:id="1" w:name="_Toc157590364"/>
      <w:bookmarkStart w:id="2" w:name="_Toc14778"/>
      <w:bookmarkStart w:id="3" w:name="_Hlk61273462"/>
      <w:r>
        <w:rPr>
          <w:rFonts w:hint="eastAsia"/>
          <w:color w:val="000000" w:themeColor="text1"/>
          <w:sz w:val="30"/>
          <w:szCs w:val="30"/>
          <w14:textFill>
            <w14:solidFill>
              <w14:schemeClr w14:val="tx1"/>
            </w14:solidFill>
          </w14:textFill>
        </w:rPr>
        <w:t xml:space="preserve">第一章 </w:t>
      </w:r>
      <w:bookmarkEnd w:id="0"/>
      <w:bookmarkEnd w:id="1"/>
      <w:r>
        <w:rPr>
          <w:rFonts w:hint="eastAsia"/>
          <w:color w:val="000000" w:themeColor="text1"/>
          <w:sz w:val="30"/>
          <w:szCs w:val="30"/>
          <w:lang w:val="en-US" w:eastAsia="zh-CN"/>
          <w14:textFill>
            <w14:solidFill>
              <w14:schemeClr w14:val="tx1"/>
            </w14:solidFill>
          </w14:textFill>
        </w:rPr>
        <w:t>采购公告</w:t>
      </w:r>
      <w:bookmarkEnd w:id="2"/>
    </w:p>
    <w:p w14:paraId="2B8F345F">
      <w:pPr>
        <w:pStyle w:val="51"/>
        <w:keepNext w:val="0"/>
        <w:keepLines w:val="0"/>
        <w:pageBreakBefore w:val="0"/>
        <w:widowControl/>
        <w:tabs>
          <w:tab w:val="clear" w:pos="360"/>
        </w:tabs>
        <w:kinsoku/>
        <w:wordWrap/>
        <w:overflowPunct/>
        <w:topLinePunct w:val="0"/>
        <w:autoSpaceDE/>
        <w:autoSpaceDN/>
        <w:bidi w:val="0"/>
        <w:adjustRightInd w:val="0"/>
        <w:snapToGrid w:val="0"/>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全球数源中心(广州南沙)有限公司</w:t>
      </w:r>
      <w:r>
        <w:rPr>
          <w:rFonts w:hint="eastAsia"/>
          <w:color w:val="000000" w:themeColor="text1"/>
          <w:sz w:val="24"/>
          <w:szCs w:val="24"/>
          <w14:textFill>
            <w14:solidFill>
              <w14:schemeClr w14:val="tx1"/>
            </w14:solidFill>
          </w14:textFill>
        </w:rPr>
        <w:t>（以下简称“采购方”）就以下采购项目进行公开采购，欢迎符合资格条件的供应商参与。</w:t>
      </w:r>
    </w:p>
    <w:p w14:paraId="6567D8DC">
      <w:pPr>
        <w:pStyle w:val="4"/>
        <w:keepNext/>
        <w:keepLines/>
        <w:pageBreakBefore w:val="0"/>
        <w:widowControl/>
        <w:kinsoku/>
        <w:wordWrap/>
        <w:overflowPunct/>
        <w:topLinePunct w:val="0"/>
        <w:autoSpaceDE/>
        <w:autoSpaceDN/>
        <w:bidi w:val="0"/>
        <w:adjustRightInd w:val="0"/>
        <w:snapToGrid w:val="0"/>
        <w:spacing w:before="0" w:after="0" w:line="360" w:lineRule="auto"/>
        <w:ind w:firstLine="267"/>
        <w:jc w:val="left"/>
        <w:textAlignment w:val="auto"/>
        <w:outlineLvl w:val="1"/>
        <w:rPr>
          <w:rFonts w:hint="eastAsia"/>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一、项目基本信息</w:t>
      </w:r>
    </w:p>
    <w:p w14:paraId="1C630E50">
      <w:pPr>
        <w:pStyle w:val="53"/>
        <w:widowControl w:val="0"/>
        <w:numPr>
          <w:ilvl w:val="0"/>
          <w:numId w:val="3"/>
        </w:numPr>
        <w:tabs>
          <w:tab w:val="clear" w:pos="360"/>
        </w:tabs>
        <w:ind w:left="0" w:leftChars="0"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r>
        <w:rPr>
          <w:rFonts w:hint="eastAsia" w:ascii="宋体" w:hAnsi="宋体" w:cs="宋体"/>
          <w:bCs/>
          <w:color w:val="000000" w:themeColor="text1"/>
          <w:sz w:val="24"/>
          <w:lang w:eastAsia="zh-CN"/>
          <w14:textFill>
            <w14:solidFill>
              <w14:schemeClr w14:val="tx1"/>
            </w14:solidFill>
          </w14:textFill>
        </w:rPr>
        <w:t>全球数源中心数据流通利用基础设施先行先试项目</w:t>
      </w:r>
      <w:r>
        <w:rPr>
          <w:rFonts w:hint="eastAsia" w:ascii="宋体" w:hAnsi="宋体" w:cs="宋体"/>
          <w:bCs/>
          <w:color w:val="000000" w:themeColor="text1"/>
          <w:sz w:val="24"/>
          <w:lang w:val="en-US" w:eastAsia="zh-CN"/>
          <w14:textFill>
            <w14:solidFill>
              <w14:schemeClr w14:val="tx1"/>
            </w14:solidFill>
          </w14:textFill>
        </w:rPr>
        <w:t>方案</w:t>
      </w:r>
      <w:r>
        <w:rPr>
          <w:rFonts w:hint="eastAsia" w:ascii="宋体" w:hAnsi="宋体" w:cs="宋体"/>
          <w:bCs/>
          <w:color w:val="000000" w:themeColor="text1"/>
          <w:sz w:val="24"/>
          <w:lang w:eastAsia="zh-CN"/>
          <w14:textFill>
            <w14:solidFill>
              <w14:schemeClr w14:val="tx1"/>
            </w14:solidFill>
          </w14:textFill>
        </w:rPr>
        <w:t>设计服务项目</w:t>
      </w:r>
    </w:p>
    <w:p w14:paraId="375970B5">
      <w:pPr>
        <w:pStyle w:val="53"/>
        <w:widowControl w:val="0"/>
        <w:numPr>
          <w:ilvl w:val="0"/>
          <w:numId w:val="3"/>
        </w:numPr>
        <w:tabs>
          <w:tab w:val="clear" w:pos="360"/>
        </w:tabs>
        <w:ind w:left="0" w:leftChars="0"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项目类别:</w:t>
      </w:r>
      <w:r>
        <w:rPr>
          <w:rFonts w:hint="eastAsia" w:ascii="宋体" w:hAnsi="宋体" w:cs="宋体"/>
          <w:bCs/>
          <w:color w:val="000000" w:themeColor="text1"/>
          <w:sz w:val="24"/>
          <w14:textFill>
            <w14:solidFill>
              <w14:schemeClr w14:val="tx1"/>
            </w14:solidFill>
          </w14:textFill>
        </w:rPr>
        <w:t>服务类</w:t>
      </w:r>
    </w:p>
    <w:p w14:paraId="56231695">
      <w:pPr>
        <w:pStyle w:val="53"/>
        <w:widowControl w:val="0"/>
        <w:numPr>
          <w:ilvl w:val="0"/>
          <w:numId w:val="3"/>
        </w:numPr>
        <w:tabs>
          <w:tab w:val="clear" w:pos="360"/>
        </w:tabs>
        <w:ind w:left="0" w:leftChars="0"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采购方式:</w:t>
      </w:r>
      <w:r>
        <w:rPr>
          <w:rFonts w:hint="eastAsia" w:ascii="宋体" w:hAnsi="宋体" w:cs="宋体"/>
          <w:b w:val="0"/>
          <w:bCs/>
          <w:color w:val="000000" w:themeColor="text1"/>
          <w:sz w:val="24"/>
          <w:lang w:val="en-US" w:eastAsia="zh-CN"/>
          <w14:textFill>
            <w14:solidFill>
              <w14:schemeClr w14:val="tx1"/>
            </w14:solidFill>
          </w14:textFill>
        </w:rPr>
        <w:t>邀请</w:t>
      </w:r>
      <w:r>
        <w:rPr>
          <w:rFonts w:hint="eastAsia" w:ascii="宋体" w:hAnsi="宋体" w:cs="宋体"/>
          <w:bCs/>
          <w:color w:val="000000" w:themeColor="text1"/>
          <w:sz w:val="24"/>
          <w:lang w:eastAsia="zh-CN"/>
          <w14:textFill>
            <w14:solidFill>
              <w14:schemeClr w14:val="tx1"/>
            </w14:solidFill>
          </w14:textFill>
        </w:rPr>
        <w:t>招标</w:t>
      </w:r>
    </w:p>
    <w:p w14:paraId="547BA696">
      <w:pPr>
        <w:pStyle w:val="53"/>
        <w:widowControl w:val="0"/>
        <w:numPr>
          <w:ilvl w:val="0"/>
          <w:numId w:val="3"/>
        </w:numPr>
        <w:tabs>
          <w:tab w:val="clear" w:pos="360"/>
        </w:tabs>
        <w:ind w:left="0" w:leftChars="0"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采购内容:</w:t>
      </w:r>
      <w:r>
        <w:rPr>
          <w:rFonts w:hint="eastAsia" w:ascii="宋体" w:hAnsi="宋体" w:cs="宋体"/>
          <w:b/>
          <w:bCs/>
          <w:color w:val="000000" w:themeColor="text1"/>
          <w:sz w:val="24"/>
          <w:lang w:val="en-US" w:eastAsia="zh-CN"/>
          <w14:textFill>
            <w14:solidFill>
              <w14:schemeClr w14:val="tx1"/>
            </w14:solidFill>
          </w14:textFill>
        </w:rPr>
        <w:t>包括项目方案编制、根据评审意见修改完善、方案讲解并指导落地。（详见招标文件第二章）</w:t>
      </w:r>
    </w:p>
    <w:p w14:paraId="12978062">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项目方案编制服务</w:t>
      </w:r>
    </w:p>
    <w:p w14:paraId="12795ACE">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编制全球数源中心数据流通利用基础设施先行先试项目设计方案（含投资概算）。方案编制设计咨询服务需要依据项目实际情况，针对试点任务的点、线、面、场及安全治理五个方面信息平台建设要求，结合</w:t>
      </w:r>
      <w:r>
        <w:rPr>
          <w:rFonts w:hint="eastAsia" w:ascii="宋体" w:hAnsi="宋体" w:cs="宋体"/>
          <w:color w:val="000000" w:themeColor="text1"/>
          <w:sz w:val="24"/>
          <w:lang w:val="en-US" w:eastAsia="zh-CN"/>
          <w14:textFill>
            <w14:solidFill>
              <w14:schemeClr w14:val="tx1"/>
            </w14:solidFill>
          </w14:textFill>
        </w:rPr>
        <w:t>全球</w:t>
      </w:r>
      <w:r>
        <w:rPr>
          <w:rFonts w:hint="eastAsia" w:ascii="宋体" w:hAnsi="宋体" w:cs="宋体"/>
          <w:color w:val="000000" w:themeColor="text1"/>
          <w:sz w:val="24"/>
          <w14:textFill>
            <w14:solidFill>
              <w14:schemeClr w14:val="tx1"/>
            </w14:solidFill>
          </w14:textFill>
        </w:rPr>
        <w:t>数源中心现有平台基础，设计详细建设方案，</w:t>
      </w:r>
      <w:r>
        <w:rPr>
          <w:rFonts w:hint="eastAsia" w:ascii="宋体" w:hAnsi="宋体" w:cs="宋体"/>
          <w:color w:val="000000" w:themeColor="text1"/>
          <w:kern w:val="2"/>
          <w:sz w:val="24"/>
          <w:szCs w:val="24"/>
          <w:lang w:val="en-US" w:eastAsia="zh-CN" w:bidi="ar-SA"/>
          <w14:textFill>
            <w14:solidFill>
              <w14:schemeClr w14:val="tx1"/>
            </w14:solidFill>
          </w14:textFill>
        </w:rPr>
        <w:t>包括但不限于</w:t>
      </w:r>
      <w:r>
        <w:rPr>
          <w:rFonts w:hint="eastAsia" w:ascii="宋体" w:hAnsi="宋体" w:cs="宋体"/>
          <w:color w:val="000000" w:themeColor="text1"/>
          <w:sz w:val="24"/>
          <w14:textFill>
            <w14:solidFill>
              <w14:schemeClr w14:val="tx1"/>
            </w14:solidFill>
          </w14:textFill>
        </w:rPr>
        <w:t>确定工程项目的需求、目标、范围、主要内容、总体技术方案</w:t>
      </w:r>
      <w:r>
        <w:rPr>
          <w:rFonts w:hint="eastAsia" w:ascii="宋体" w:hAnsi="宋体" w:cs="宋体"/>
          <w:color w:val="000000" w:themeColor="text1"/>
          <w:sz w:val="24"/>
          <w:lang w:val="en-US" w:eastAsia="zh-CN"/>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实施方案、人员组织保障、项目执行计划、实施进度</w:t>
      </w:r>
      <w:r>
        <w:rPr>
          <w:rFonts w:hint="eastAsia" w:ascii="宋体" w:hAnsi="宋体" w:cs="宋体"/>
          <w:color w:val="000000" w:themeColor="text1"/>
          <w:kern w:val="2"/>
          <w:sz w:val="24"/>
          <w:szCs w:val="24"/>
          <w:lang w:val="en-US" w:eastAsia="zh-CN" w:bidi="ar-SA"/>
          <w14:textFill>
            <w14:solidFill>
              <w14:schemeClr w14:val="tx1"/>
            </w14:solidFill>
          </w14:textFill>
        </w:rPr>
        <w:t>、安全设计、运行管理、投资概算、风险效益、绩效目标</w:t>
      </w:r>
      <w:r>
        <w:rPr>
          <w:rFonts w:hint="eastAsia" w:ascii="宋体" w:hAnsi="宋体" w:cs="宋体"/>
          <w:color w:val="000000" w:themeColor="text1"/>
          <w:sz w:val="24"/>
          <w14:textFill>
            <w14:solidFill>
              <w14:schemeClr w14:val="tx1"/>
            </w14:solidFill>
          </w14:textFill>
        </w:rPr>
        <w:t>等，</w:t>
      </w:r>
      <w:r>
        <w:rPr>
          <w:rFonts w:hint="eastAsia" w:ascii="宋体" w:hAnsi="宋体" w:cs="宋体"/>
          <w:color w:val="000000" w:themeColor="text1"/>
          <w:kern w:val="2"/>
          <w:sz w:val="24"/>
          <w:szCs w:val="24"/>
          <w:lang w:val="en-US" w:eastAsia="zh-CN" w:bidi="ar-SA"/>
          <w14:textFill>
            <w14:solidFill>
              <w14:schemeClr w14:val="tx1"/>
            </w14:solidFill>
          </w14:textFill>
        </w:rPr>
        <w:t>需</w:t>
      </w:r>
      <w:r>
        <w:rPr>
          <w:rFonts w:hint="eastAsia" w:ascii="宋体" w:hAnsi="宋体" w:cs="宋体"/>
          <w:color w:val="000000" w:themeColor="text1"/>
          <w:sz w:val="24"/>
          <w14:textFill>
            <w14:solidFill>
              <w14:schemeClr w14:val="tx1"/>
            </w14:solidFill>
          </w14:textFill>
        </w:rPr>
        <w:t>深化理解用户需求，确保设计的完整性、先进性、合规性。</w:t>
      </w:r>
    </w:p>
    <w:p w14:paraId="3A5DDA3B">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内部审核及修改完善</w:t>
      </w:r>
    </w:p>
    <w:p w14:paraId="012A3B4D">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完成编制的成果物提交采购人内部审核</w:t>
      </w:r>
      <w:r>
        <w:rPr>
          <w:rFonts w:hint="eastAsia" w:ascii="宋体" w:hAnsi="宋体" w:cs="宋体"/>
          <w:color w:val="000000" w:themeColor="text1"/>
          <w:sz w:val="24"/>
          <w:lang w:val="en-US" w:eastAsia="zh-CN"/>
          <w14:textFill>
            <w14:solidFill>
              <w14:schemeClr w14:val="tx1"/>
            </w14:solidFill>
          </w14:textFill>
        </w:rPr>
        <w:t>并协助采购人向各级数据主管部门汇报</w:t>
      </w:r>
      <w:r>
        <w:rPr>
          <w:rFonts w:hint="eastAsia" w:ascii="宋体" w:hAnsi="宋体" w:cs="宋体"/>
          <w:color w:val="000000" w:themeColor="text1"/>
          <w:sz w:val="24"/>
          <w14:textFill>
            <w14:solidFill>
              <w14:schemeClr w14:val="tx1"/>
            </w14:solidFill>
          </w14:textFill>
        </w:rPr>
        <w:t>，根据内部审核</w:t>
      </w:r>
      <w:r>
        <w:rPr>
          <w:rFonts w:hint="eastAsia" w:ascii="宋体" w:hAnsi="宋体" w:cs="宋体"/>
          <w:color w:val="000000" w:themeColor="text1"/>
          <w:sz w:val="24"/>
          <w:lang w:val="en-US" w:eastAsia="zh-CN"/>
          <w14:textFill>
            <w14:solidFill>
              <w14:schemeClr w14:val="tx1"/>
            </w14:solidFill>
          </w14:textFill>
        </w:rPr>
        <w:t>及汇报意见</w:t>
      </w:r>
      <w:r>
        <w:rPr>
          <w:rFonts w:hint="eastAsia" w:ascii="宋体" w:hAnsi="宋体" w:cs="宋体"/>
          <w:color w:val="000000" w:themeColor="text1"/>
          <w:sz w:val="24"/>
          <w14:textFill>
            <w14:solidFill>
              <w14:schemeClr w14:val="tx1"/>
            </w14:solidFill>
          </w14:textFill>
        </w:rPr>
        <w:t>，对成果物进行修改完善。</w:t>
      </w:r>
    </w:p>
    <w:p w14:paraId="7D82E0F9">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专家评审并修改完善</w:t>
      </w:r>
    </w:p>
    <w:p w14:paraId="08BCB18F">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采购人在设计各阶段组织专家对成果物进行评审,</w:t>
      </w:r>
      <w:r>
        <w:rPr>
          <w:rFonts w:hint="eastAsia" w:ascii="宋体" w:hAnsi="宋体" w:cs="宋体"/>
          <w:color w:val="000000" w:themeColor="text1"/>
          <w:sz w:val="24"/>
          <w:lang w:val="en-US"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协助采购人开展专家评审，并根据专家意见修改完善</w:t>
      </w:r>
      <w:r>
        <w:rPr>
          <w:rFonts w:hint="default" w:ascii="宋体" w:hAnsi="宋体" w:cs="宋体"/>
          <w:color w:val="000000" w:themeColor="text1"/>
          <w:kern w:val="2"/>
          <w:sz w:val="24"/>
          <w:szCs w:val="24"/>
          <w:lang w:val="en-US" w:eastAsia="zh-CN" w:bidi="ar-SA"/>
          <w14:textFill>
            <w14:solidFill>
              <w14:schemeClr w14:val="tx1"/>
            </w14:solidFill>
          </w14:textFill>
        </w:rPr>
        <w:t>。</w:t>
      </w:r>
    </w:p>
    <w:p w14:paraId="606DBEA9">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4、方案咨询讲解</w:t>
      </w:r>
      <w:r>
        <w:rPr>
          <w:rFonts w:hint="default" w:ascii="宋体" w:hAnsi="宋体" w:cs="宋体"/>
          <w:color w:val="000000" w:themeColor="text1"/>
          <w:kern w:val="2"/>
          <w:sz w:val="24"/>
          <w:szCs w:val="24"/>
          <w:lang w:val="en-US" w:eastAsia="zh-CN" w:bidi="ar-SA"/>
          <w14:textFill>
            <w14:solidFill>
              <w14:schemeClr w14:val="tx1"/>
            </w14:solidFill>
          </w14:textFill>
        </w:rPr>
        <w:t>并</w:t>
      </w:r>
      <w:r>
        <w:rPr>
          <w:rFonts w:hint="eastAsia" w:ascii="宋体" w:hAnsi="宋体" w:cs="宋体"/>
          <w:color w:val="000000" w:themeColor="text1"/>
          <w:kern w:val="2"/>
          <w:sz w:val="24"/>
          <w:szCs w:val="24"/>
          <w:lang w:val="en-US" w:eastAsia="zh-CN" w:bidi="ar-SA"/>
          <w14:textFill>
            <w14:solidFill>
              <w14:schemeClr w14:val="tx1"/>
            </w14:solidFill>
          </w14:textFill>
        </w:rPr>
        <w:t>指导项目落地</w:t>
      </w:r>
    </w:p>
    <w:p w14:paraId="5A0CFAE8">
      <w:pPr>
        <w:numPr>
          <w:ilvl w:val="0"/>
          <w:numId w:val="0"/>
        </w:numPr>
        <w:ind w:firstLine="480" w:firstLineChars="200"/>
        <w:rPr>
          <w:color w:val="000000" w:themeColor="text1"/>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从项目建设开始至试点项目验收</w:t>
      </w:r>
      <w:r>
        <w:rPr>
          <w:rFonts w:hint="default"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供应商</w:t>
      </w:r>
      <w:r>
        <w:rPr>
          <w:rFonts w:hint="default" w:ascii="宋体" w:hAnsi="宋体" w:cs="宋体"/>
          <w:color w:val="000000" w:themeColor="text1"/>
          <w:kern w:val="2"/>
          <w:sz w:val="24"/>
          <w:szCs w:val="24"/>
          <w:lang w:val="en-US" w:eastAsia="zh-CN" w:bidi="ar-SA"/>
          <w14:textFill>
            <w14:solidFill>
              <w14:schemeClr w14:val="tx1"/>
            </w14:solidFill>
          </w14:textFill>
        </w:rPr>
        <w:t>协助采购人</w:t>
      </w:r>
      <w:r>
        <w:rPr>
          <w:rFonts w:hint="eastAsia" w:ascii="宋体" w:hAnsi="宋体" w:cs="宋体"/>
          <w:color w:val="000000" w:themeColor="text1"/>
          <w:kern w:val="2"/>
          <w:sz w:val="24"/>
          <w:szCs w:val="24"/>
          <w:lang w:val="en-US" w:eastAsia="zh-CN" w:bidi="ar-SA"/>
          <w14:textFill>
            <w14:solidFill>
              <w14:schemeClr w14:val="tx1"/>
            </w14:solidFill>
          </w14:textFill>
        </w:rPr>
        <w:t>向项目实施单位</w:t>
      </w:r>
      <w:r>
        <w:rPr>
          <w:rFonts w:hint="default" w:ascii="宋体" w:hAnsi="宋体" w:cs="宋体"/>
          <w:color w:val="000000" w:themeColor="text1"/>
          <w:kern w:val="2"/>
          <w:sz w:val="24"/>
          <w:szCs w:val="24"/>
          <w:lang w:val="en-US" w:eastAsia="zh-CN" w:bidi="ar-SA"/>
          <w14:textFill>
            <w14:solidFill>
              <w14:schemeClr w14:val="tx1"/>
            </w14:solidFill>
          </w14:textFill>
        </w:rPr>
        <w:t>开展</w:t>
      </w:r>
      <w:r>
        <w:rPr>
          <w:rFonts w:hint="eastAsia" w:ascii="宋体" w:hAnsi="宋体" w:cs="宋体"/>
          <w:color w:val="000000" w:themeColor="text1"/>
          <w:kern w:val="2"/>
          <w:sz w:val="24"/>
          <w:szCs w:val="24"/>
          <w:lang w:val="en-US" w:eastAsia="zh-CN" w:bidi="ar-SA"/>
          <w14:textFill>
            <w14:solidFill>
              <w14:schemeClr w14:val="tx1"/>
            </w14:solidFill>
          </w14:textFill>
        </w:rPr>
        <w:t>设计方案咨询讲解，并持续跟踪指导项目实施落地。</w:t>
      </w:r>
    </w:p>
    <w:p w14:paraId="4967346F">
      <w:pPr>
        <w:pStyle w:val="53"/>
        <w:widowControl w:val="0"/>
        <w:numPr>
          <w:ilvl w:val="0"/>
          <w:numId w:val="3"/>
        </w:numPr>
        <w:tabs>
          <w:tab w:val="clear" w:pos="360"/>
        </w:tabs>
        <w:ind w:left="0" w:leftChars="0"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最高限价：￥</w:t>
      </w:r>
      <w:r>
        <w:rPr>
          <w:rFonts w:hint="eastAsia" w:ascii="宋体" w:hAnsi="宋体" w:cs="宋体"/>
          <w:b/>
          <w:bCs/>
          <w:color w:val="000000" w:themeColor="text1"/>
          <w:sz w:val="24"/>
          <w:lang w:val="en-US" w:eastAsia="zh-CN"/>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120</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0</w:t>
      </w:r>
      <w:r>
        <w:rPr>
          <w:rFonts w:hint="eastAsia" w:ascii="宋体" w:hAnsi="宋体" w:cs="宋体"/>
          <w:b/>
          <w:bCs/>
          <w:color w:val="000000" w:themeColor="text1"/>
          <w:sz w:val="24"/>
          <w14:textFill>
            <w14:solidFill>
              <w14:schemeClr w14:val="tx1"/>
            </w14:solidFill>
          </w14:textFill>
        </w:rPr>
        <w:t>00.00元（人民币</w:t>
      </w:r>
      <w:r>
        <w:rPr>
          <w:rFonts w:hint="eastAsia" w:ascii="宋体" w:hAnsi="宋体" w:cs="宋体"/>
          <w:b/>
          <w:bCs/>
          <w:color w:val="000000" w:themeColor="text1"/>
          <w:sz w:val="24"/>
          <w:lang w:val="en-US" w:eastAsia="zh-CN"/>
          <w14:textFill>
            <w14:solidFill>
              <w14:schemeClr w14:val="tx1"/>
            </w14:solidFill>
          </w14:textFill>
        </w:rPr>
        <w:t>壹佰壹拾贰万元</w:t>
      </w:r>
      <w:r>
        <w:rPr>
          <w:rFonts w:hint="eastAsia" w:ascii="宋体" w:hAnsi="宋体" w:cs="宋体"/>
          <w:b/>
          <w:bCs/>
          <w:color w:val="000000" w:themeColor="text1"/>
          <w:sz w:val="24"/>
          <w14:textFill>
            <w14:solidFill>
              <w14:schemeClr w14:val="tx1"/>
            </w14:solidFill>
          </w14:textFill>
        </w:rPr>
        <w:t>整）（含税）</w:t>
      </w:r>
    </w:p>
    <w:p w14:paraId="111C7732">
      <w:pPr>
        <w:pStyle w:val="53"/>
        <w:widowControl w:val="0"/>
        <w:numPr>
          <w:ilvl w:val="-1"/>
          <w:numId w:val="0"/>
        </w:numPr>
        <w:tabs>
          <w:tab w:val="clear" w:pos="360"/>
        </w:tabs>
        <w:ind w:left="0" w:leftChars="0" w:firstLine="482"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（六）工期/服务期：</w:t>
      </w:r>
      <w:r>
        <w:rPr>
          <w:rFonts w:hint="eastAsia" w:ascii="宋体" w:hAnsi="宋体" w:cs="宋体"/>
          <w:color w:val="000000" w:themeColor="text1"/>
          <w:sz w:val="24"/>
          <w14:textFill>
            <w14:solidFill>
              <w14:schemeClr w14:val="tx1"/>
            </w14:solidFill>
          </w14:textFill>
        </w:rPr>
        <w:t>设计方案（含投资概算）应自合同签订之日起</w:t>
      </w:r>
      <w:r>
        <w:rPr>
          <w:rFonts w:hint="eastAsia" w:ascii="宋体" w:hAnsi="宋体" w:cs="宋体"/>
          <w:color w:val="000000" w:themeColor="text1"/>
          <w:sz w:val="24"/>
          <w:lang w:eastAsia="zh-CN"/>
          <w14:textFill>
            <w14:solidFill>
              <w14:schemeClr w14:val="tx1"/>
            </w14:solidFill>
          </w14:textFill>
        </w:rPr>
        <w:t>6</w:t>
      </w:r>
      <w:r>
        <w:rPr>
          <w:rFonts w:hint="eastAsia" w:ascii="宋体" w:hAnsi="宋体" w:cs="宋体"/>
          <w:color w:val="000000" w:themeColor="text1"/>
          <w:sz w:val="24"/>
          <w:lang w:val="en-US" w:eastAsia="zh-CN"/>
          <w14:textFill>
            <w14:solidFill>
              <w14:schemeClr w14:val="tx1"/>
            </w14:solidFill>
          </w14:textFill>
        </w:rPr>
        <w:t>0个自然日</w:t>
      </w:r>
      <w:r>
        <w:rPr>
          <w:rFonts w:hint="eastAsia" w:ascii="宋体" w:hAnsi="宋体" w:cs="宋体"/>
          <w:color w:val="000000" w:themeColor="text1"/>
          <w:sz w:val="24"/>
          <w14:textFill>
            <w14:solidFill>
              <w14:schemeClr w14:val="tx1"/>
            </w14:solidFill>
          </w14:textFill>
        </w:rPr>
        <w:t>内完成，项目整体工期至试点项目验收之日。</w:t>
      </w:r>
    </w:p>
    <w:p w14:paraId="0D6057FA">
      <w:pPr>
        <w:pStyle w:val="4"/>
        <w:keepNext/>
        <w:keepLines/>
        <w:pageBreakBefore w:val="0"/>
        <w:widowControl/>
        <w:kinsoku/>
        <w:wordWrap/>
        <w:overflowPunct/>
        <w:topLinePunct w:val="0"/>
        <w:autoSpaceDE/>
        <w:autoSpaceDN/>
        <w:bidi w:val="0"/>
        <w:adjustRightInd w:val="0"/>
        <w:snapToGrid w:val="0"/>
        <w:spacing w:before="0" w:after="0" w:line="360" w:lineRule="auto"/>
        <w:ind w:firstLine="267"/>
        <w:jc w:val="left"/>
        <w:textAlignment w:val="auto"/>
        <w:outlineLvl w:val="1"/>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二、供应商资格条件</w:t>
      </w:r>
    </w:p>
    <w:p w14:paraId="3D8C630B">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有独立承担民事责任的能力。（依据《响应承诺函》及依据供应商法人营业执照或事业法人登记证或其他组织的营业执照或执业许可证等相关证照的扫描件。分支机构响应的，还须提供加盖总公司公章的总公司的营业执照（执业许可证）扫描件及总公司出具给分支机构的授权书）</w:t>
      </w:r>
    </w:p>
    <w:p w14:paraId="12A06874">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（二）具有良好的商业信誉和健全的财务会计制度。（依据《响应承诺函》）</w:t>
      </w:r>
    </w:p>
    <w:p w14:paraId="2A36C2B1">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（三）具有履行合同所必需的设备和专业技术能力。（依据《响应承诺函》）</w:t>
      </w:r>
    </w:p>
    <w:p w14:paraId="301857D7">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（四）有依法缴纳税收和社会保障资金的良好记录。（依据《响应承诺函》）</w:t>
      </w:r>
    </w:p>
    <w:p w14:paraId="265A37CA">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（五）参加采购活动前三年内，在经营活动中没有重大违法记录。（依据《响应承诺函》）</w:t>
      </w:r>
    </w:p>
    <w:p w14:paraId="614F6C6D">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（六）供应商没有处于被责令停业或破产状态，且资产未被重组、接管和冻结。（格式见《企业经营情况声明》）</w:t>
      </w:r>
    </w:p>
    <w:p w14:paraId="1A6993DB">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供应商未被列入“信用中国”网站(www.creditchina.gov.cn)“记录失信被执行人或重大税收违法案件当事人名单，供应商须提供《信用记录承诺函》附“信用中国”网站（www.creditchina.gov.cn）的信用记录查询结果截图并打印页面加盖公章。（格式见《信用记录承诺函》）</w:t>
      </w:r>
    </w:p>
    <w:p w14:paraId="58B1EB3C">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不处于“中国政府采购网”（www.ccgp.gov.cn/search/cr/）中“政府采购严重违法失信行为信息记录”的政府采购严重违法失信行为”的记录名单（附“中国政府采购网”的记录查询结果截图并打印页面加盖公章。格式见《信用记录承诺函》）</w:t>
      </w:r>
    </w:p>
    <w:p w14:paraId="6B5F2AF1">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（九）本项目不接受联合体响应。（格式见《非联合体响应承诺函》）</w:t>
      </w:r>
    </w:p>
    <w:p w14:paraId="32868E7F">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（十）投标人须具备有效期内的工</w:t>
      </w:r>
      <w:bookmarkStart w:id="111" w:name="_GoBack"/>
      <w:bookmarkEnd w:id="111"/>
      <w:r>
        <w:rPr>
          <w:rFonts w:hint="eastAsia" w:ascii="宋体" w:hAnsi="宋体" w:cs="宋体"/>
          <w:color w:val="000000" w:themeColor="text1"/>
          <w:sz w:val="24"/>
          <w14:textFill>
            <w14:solidFill>
              <w14:schemeClr w14:val="tx1"/>
            </w14:solidFill>
          </w14:textFill>
        </w:rPr>
        <w:t>程咨询单位资信证书或工程设计资质证书。</w:t>
      </w:r>
    </w:p>
    <w:p w14:paraId="63ABDB8C">
      <w:pPr>
        <w:pStyle w:val="4"/>
        <w:keepNext/>
        <w:keepLines/>
        <w:pageBreakBefore w:val="0"/>
        <w:widowControl/>
        <w:kinsoku/>
        <w:wordWrap/>
        <w:overflowPunct/>
        <w:topLinePunct w:val="0"/>
        <w:autoSpaceDE/>
        <w:autoSpaceDN/>
        <w:bidi w:val="0"/>
        <w:adjustRightInd w:val="0"/>
        <w:snapToGrid w:val="0"/>
        <w:spacing w:before="0" w:after="0" w:line="360" w:lineRule="auto"/>
        <w:ind w:firstLine="267"/>
        <w:jc w:val="left"/>
        <w:textAlignment w:val="auto"/>
        <w:outlineLvl w:val="1"/>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三、公告及招标文件获取</w:t>
      </w:r>
    </w:p>
    <w:p w14:paraId="25D9AE56">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（一）公告时间：2025年6月</w:t>
      </w:r>
      <w:r>
        <w:rPr>
          <w:rFonts w:hint="eastAsia" w:ascii="宋体" w:hAnsi="宋体" w:cs="宋体"/>
          <w:color w:val="000000" w:themeColor="text1"/>
          <w:sz w:val="24"/>
          <w:lang w:val="en-US" w:eastAsia="zh-CN"/>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09时00分</w:t>
      </w:r>
      <w:r>
        <w:rPr>
          <w:rFonts w:hint="eastAsia" w:ascii="宋体" w:hAnsi="宋体" w:cs="宋体"/>
          <w:color w:val="000000" w:themeColor="text1"/>
          <w:sz w:val="24"/>
          <w14:textFill>
            <w14:solidFill>
              <w14:schemeClr w14:val="tx1"/>
            </w14:solidFill>
          </w14:textFill>
        </w:rPr>
        <w:t>至6月</w:t>
      </w:r>
      <w:r>
        <w:rPr>
          <w:rFonts w:hint="eastAsia" w:ascii="宋体" w:hAnsi="宋体" w:cs="宋体"/>
          <w:color w:val="000000" w:themeColor="text1"/>
          <w:sz w:val="24"/>
          <w:lang w:val="en-US" w:eastAsia="zh-CN"/>
          <w14:textFill>
            <w14:solidFill>
              <w14:schemeClr w14:val="tx1"/>
            </w14:solidFill>
          </w14:textFill>
        </w:rPr>
        <w:t>27</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w:t>
      </w:r>
    </w:p>
    <w:p w14:paraId="20ACB9FD">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（二）响应登记时间：2025年6月</w:t>
      </w:r>
      <w:r>
        <w:rPr>
          <w:rFonts w:hint="eastAsia" w:ascii="宋体" w:hAnsi="宋体" w:cs="宋体"/>
          <w:color w:val="000000" w:themeColor="text1"/>
          <w:sz w:val="24"/>
          <w:lang w:val="en-US" w:eastAsia="zh-CN"/>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9时00分至6月</w:t>
      </w:r>
      <w:r>
        <w:rPr>
          <w:rFonts w:hint="eastAsia" w:ascii="宋体" w:hAnsi="宋体" w:cs="宋体"/>
          <w:color w:val="000000" w:themeColor="text1"/>
          <w:sz w:val="24"/>
          <w:lang w:val="en-US" w:eastAsia="zh-CN"/>
          <w14:textFill>
            <w14:solidFill>
              <w14:schemeClr w14:val="tx1"/>
            </w14:solidFill>
          </w14:textFill>
        </w:rPr>
        <w:t>26</w:t>
      </w:r>
      <w:r>
        <w:rPr>
          <w:rFonts w:hint="eastAsia" w:ascii="宋体" w:hAnsi="宋体" w:cs="宋体"/>
          <w:color w:val="000000" w:themeColor="text1"/>
          <w:sz w:val="24"/>
          <w14:textFill>
            <w14:solidFill>
              <w14:schemeClr w14:val="tx1"/>
            </w14:solidFill>
          </w14:textFill>
        </w:rPr>
        <w:t>日17时00分</w:t>
      </w:r>
    </w:p>
    <w:p w14:paraId="21D27249">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招标</w:t>
      </w:r>
      <w:r>
        <w:rPr>
          <w:rFonts w:hint="eastAsia" w:ascii="宋体" w:hAnsi="宋体" w:cs="宋体"/>
          <w:color w:val="000000" w:themeColor="text1"/>
          <w:sz w:val="24"/>
          <w14:textFill>
            <w14:solidFill>
              <w14:schemeClr w14:val="tx1"/>
            </w14:solidFill>
          </w14:textFill>
        </w:rPr>
        <w:t>文件领取：报价人须在登记时间内通过邮箱递交资料申请（邮箱</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地址见联系方式）</w:t>
      </w:r>
      <w:r>
        <w:rPr>
          <w:rFonts w:hint="eastAsia" w:ascii="宋体" w:hAnsi="宋体" w:cs="宋体"/>
          <w:color w:val="000000" w:themeColor="text1"/>
          <w:sz w:val="24"/>
          <w:lang w:val="en-US" w:eastAsia="zh-CN"/>
          <w14:textFill>
            <w14:solidFill>
              <w14:schemeClr w14:val="tx1"/>
            </w14:solidFill>
          </w14:textFill>
        </w:rPr>
        <w:t>获取</w:t>
      </w:r>
      <w:r>
        <w:rPr>
          <w:rFonts w:hint="eastAsia" w:ascii="宋体" w:hAnsi="宋体" w:cs="宋体"/>
          <w:color w:val="000000" w:themeColor="text1"/>
          <w:sz w:val="24"/>
          <w14:textFill>
            <w14:solidFill>
              <w14:schemeClr w14:val="tx1"/>
            </w14:solidFill>
          </w14:textFill>
        </w:rPr>
        <w:t>，逾期不受。</w:t>
      </w:r>
    </w:p>
    <w:p w14:paraId="64B9DE77">
      <w:pPr>
        <w:pStyle w:val="53"/>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登记时需提供以下资料：</w:t>
      </w:r>
    </w:p>
    <w:p w14:paraId="24DE4CD4">
      <w:pPr>
        <w:pStyle w:val="53"/>
        <w:widowControl w:val="0"/>
        <w:tabs>
          <w:tab w:val="clear" w:pos="360"/>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《响应登记申请表》（格式见本采购公告附件1）；</w:t>
      </w:r>
    </w:p>
    <w:p w14:paraId="65F1F90C">
      <w:pPr>
        <w:pStyle w:val="53"/>
        <w:widowControl w:val="0"/>
        <w:tabs>
          <w:tab w:val="clear" w:pos="360"/>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法定代表人（负责人）证明书原件、法定代表人（负责人）身份证复印件加盖公章，授权委托书原件、授权委托人身份证复印件加盖公章（在委托代理情况下）（格式见本采购公告附件2）。</w:t>
      </w:r>
    </w:p>
    <w:p w14:paraId="4D021BD6">
      <w:pPr>
        <w:pStyle w:val="53"/>
        <w:widowControl w:val="0"/>
        <w:tabs>
          <w:tab w:val="clear" w:pos="360"/>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）报名注意：本项目不接收联合体报名。</w:t>
      </w:r>
    </w:p>
    <w:p w14:paraId="4819917F">
      <w:pPr>
        <w:pStyle w:val="53"/>
        <w:keepNext/>
        <w:keepLines/>
        <w:pageBreakBefore w:val="0"/>
        <w:widowControl w:val="0"/>
        <w:tabs>
          <w:tab w:val="clear" w:pos="360"/>
        </w:tabs>
        <w:kinsoku/>
        <w:wordWrap/>
        <w:overflowPunct/>
        <w:topLinePunct w:val="0"/>
        <w:autoSpaceDE/>
        <w:autoSpaceDN/>
        <w:bidi w:val="0"/>
        <w:adjustRightInd w:val="0"/>
        <w:snapToGrid w:val="0"/>
        <w:spacing w:before="0" w:after="0" w:line="360" w:lineRule="auto"/>
        <w:ind w:firstLine="0" w:firstLineChars="0"/>
        <w:jc w:val="left"/>
        <w:textAlignment w:val="auto"/>
        <w:outlineLvl w:val="1"/>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四、投标文件递交要求</w:t>
      </w:r>
    </w:p>
    <w:p w14:paraId="4E124828">
      <w:pPr>
        <w:pStyle w:val="53"/>
        <w:widowControl w:val="0"/>
        <w:tabs>
          <w:tab w:val="clear" w:pos="360"/>
        </w:tabs>
        <w:spacing w:line="360" w:lineRule="auto"/>
        <w:ind w:left="2" w:firstLineChars="1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提交投标文件时间：2025年6月</w:t>
      </w:r>
      <w:r>
        <w:rPr>
          <w:rFonts w:hint="eastAsia" w:ascii="宋体" w:hAnsi="宋体" w:cs="宋体"/>
          <w:color w:val="000000" w:themeColor="text1"/>
          <w:sz w:val="24"/>
          <w:lang w:val="en-US" w:eastAsia="zh-CN"/>
          <w14:textFill>
            <w14:solidFill>
              <w14:schemeClr w14:val="tx1"/>
            </w14:solidFill>
          </w14:textFill>
        </w:rPr>
        <w:t>27</w:t>
      </w:r>
      <w:r>
        <w:rPr>
          <w:rFonts w:hint="eastAsia" w:ascii="宋体" w:hAnsi="宋体" w:cs="宋体"/>
          <w:color w:val="000000" w:themeColor="text1"/>
          <w:sz w:val="24"/>
          <w14:textFill>
            <w14:solidFill>
              <w14:schemeClr w14:val="tx1"/>
            </w14:solidFill>
          </w14:textFill>
        </w:rPr>
        <w:t>日9时</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0分</w:t>
      </w:r>
      <w:r>
        <w:rPr>
          <w:rFonts w:hint="eastAsia" w:ascii="宋体" w:hAnsi="宋体" w:cs="宋体"/>
          <w:color w:val="000000" w:themeColor="text1"/>
          <w:sz w:val="24"/>
          <w:lang w:val="en-US" w:eastAsia="zh-CN"/>
          <w14:textFill>
            <w14:solidFill>
              <w14:schemeClr w14:val="tx1"/>
            </w14:solidFill>
          </w14:textFill>
        </w:rPr>
        <w:t>至09时30分</w:t>
      </w:r>
      <w:r>
        <w:rPr>
          <w:rFonts w:hint="eastAsia" w:ascii="宋体" w:hAnsi="宋体" w:cs="宋体"/>
          <w:color w:val="000000" w:themeColor="text1"/>
          <w:sz w:val="24"/>
          <w14:textFill>
            <w14:solidFill>
              <w14:schemeClr w14:val="tx1"/>
            </w14:solidFill>
          </w14:textFill>
        </w:rPr>
        <w:t>，递交地点：广州市南沙区海滨路171号南沙金融大厦1807会议室</w:t>
      </w:r>
      <w:r>
        <w:rPr>
          <w:rFonts w:hint="eastAsia" w:ascii="宋体" w:hAnsi="宋体" w:cs="宋体"/>
          <w:color w:val="000000" w:themeColor="text1"/>
          <w:sz w:val="24"/>
          <w:lang w:eastAsia="zh-CN"/>
          <w14:textFill>
            <w14:solidFill>
              <w14:schemeClr w14:val="tx1"/>
            </w14:solidFill>
          </w14:textFill>
        </w:rPr>
        <w:t>。</w:t>
      </w:r>
    </w:p>
    <w:p w14:paraId="494DB954">
      <w:pPr>
        <w:pStyle w:val="53"/>
        <w:widowControl w:val="0"/>
        <w:tabs>
          <w:tab w:val="clear" w:pos="360"/>
        </w:tabs>
        <w:spacing w:line="360" w:lineRule="auto"/>
        <w:ind w:left="2"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开标时间：2025年6月</w:t>
      </w:r>
      <w:r>
        <w:rPr>
          <w:rFonts w:hint="eastAsia" w:ascii="宋体" w:hAnsi="宋体" w:cs="宋体"/>
          <w:color w:val="000000" w:themeColor="text1"/>
          <w:sz w:val="24"/>
          <w:lang w:val="en-US" w:eastAsia="zh-CN"/>
          <w14:textFill>
            <w14:solidFill>
              <w14:schemeClr w14:val="tx1"/>
            </w14:solidFill>
          </w14:textFill>
        </w:rPr>
        <w:t>27</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0分，开标地点：广州市</w:t>
      </w:r>
      <w:r>
        <w:rPr>
          <w:rFonts w:hint="eastAsia" w:ascii="宋体" w:hAnsi="宋体" w:cs="宋体"/>
          <w:color w:val="000000" w:themeColor="text1"/>
          <w:sz w:val="24"/>
          <w:lang w:val="en-US" w:eastAsia="zh-CN"/>
          <w14:textFill>
            <w14:solidFill>
              <w14:schemeClr w14:val="tx1"/>
            </w14:solidFill>
          </w14:textFill>
        </w:rPr>
        <w:t>南沙区海滨路171号南沙金融大厦1807会议室</w:t>
      </w:r>
      <w:r>
        <w:rPr>
          <w:rFonts w:hint="eastAsia" w:ascii="宋体" w:hAnsi="宋体" w:cs="宋体"/>
          <w:color w:val="000000" w:themeColor="text1"/>
          <w:sz w:val="24"/>
          <w14:textFill>
            <w14:solidFill>
              <w14:schemeClr w14:val="tx1"/>
            </w14:solidFill>
          </w14:textFill>
        </w:rPr>
        <w:t>。</w:t>
      </w:r>
    </w:p>
    <w:p w14:paraId="2357DB04">
      <w:pPr>
        <w:pStyle w:val="53"/>
        <w:widowControl w:val="0"/>
        <w:tabs>
          <w:tab w:val="clear" w:pos="360"/>
        </w:tabs>
        <w:spacing w:line="360" w:lineRule="auto"/>
        <w:ind w:left="2"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递交方式：现场递交纸质文件。</w:t>
      </w:r>
    </w:p>
    <w:p w14:paraId="5C7D1BC9">
      <w:pPr>
        <w:pStyle w:val="53"/>
        <w:widowControl w:val="0"/>
        <w:tabs>
          <w:tab w:val="clear" w:pos="360"/>
        </w:tabs>
        <w:spacing w:line="360" w:lineRule="auto"/>
        <w:ind w:left="2"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递交份数：1份正本，</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份副本。</w:t>
      </w:r>
    </w:p>
    <w:p w14:paraId="33C96B96">
      <w:pPr>
        <w:pStyle w:val="53"/>
        <w:widowControl w:val="0"/>
        <w:tabs>
          <w:tab w:val="clear" w:pos="360"/>
        </w:tabs>
        <w:spacing w:line="360" w:lineRule="auto"/>
        <w:ind w:left="0" w:firstLine="0" w:firstLineChars="0"/>
        <w:rPr>
          <w:rFonts w:hint="eastAsia" w:ascii="Times New Roman" w:hAnsi="Times New Roman"/>
          <w:b/>
          <w:bCs/>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lang w:val="en-US" w:eastAsia="zh-CN"/>
          <w14:textFill>
            <w14:solidFill>
              <w14:schemeClr w14:val="tx1"/>
            </w14:solidFill>
          </w14:textFill>
        </w:rPr>
        <w:t>五</w:t>
      </w:r>
      <w:r>
        <w:rPr>
          <w:rFonts w:hint="eastAsia" w:ascii="Times New Roman" w:hAnsi="Times New Roman"/>
          <w:b/>
          <w:bCs/>
          <w:color w:val="000000" w:themeColor="text1"/>
          <w:sz w:val="28"/>
          <w:szCs w:val="28"/>
          <w:lang w:eastAsia="zh-CN"/>
          <w14:textFill>
            <w14:solidFill>
              <w14:schemeClr w14:val="tx1"/>
            </w14:solidFill>
          </w14:textFill>
        </w:rPr>
        <w:t>、</w:t>
      </w:r>
      <w:r>
        <w:rPr>
          <w:rFonts w:hint="eastAsia" w:ascii="Times New Roman" w:hAnsi="Times New Roman"/>
          <w:b/>
          <w:bCs/>
          <w:color w:val="000000" w:themeColor="text1"/>
          <w:sz w:val="28"/>
          <w:szCs w:val="28"/>
          <w14:textFill>
            <w14:solidFill>
              <w14:schemeClr w14:val="tx1"/>
            </w14:solidFill>
          </w14:textFill>
        </w:rPr>
        <w:t>发布公告的媒介</w:t>
      </w:r>
    </w:p>
    <w:p w14:paraId="431BD5A5">
      <w:pPr>
        <w:pStyle w:val="53"/>
        <w:widowControl w:val="0"/>
        <w:tabs>
          <w:tab w:val="clear" w:pos="360"/>
        </w:tabs>
        <w:spacing w:line="360" w:lineRule="auto"/>
        <w:ind w:left="2" w:firstLineChars="175"/>
        <w:rPr>
          <w:rFonts w:hint="eastAsia" w:ascii="宋体" w:hAnsi="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一</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广州南沙资产经营集团有限公司官方网站（www.gnao.com.cn）</w:t>
      </w:r>
    </w:p>
    <w:p w14:paraId="1275C84A">
      <w:pPr>
        <w:pStyle w:val="53"/>
        <w:widowControl w:val="0"/>
        <w:tabs>
          <w:tab w:val="clear" w:pos="360"/>
        </w:tabs>
        <w:spacing w:line="360" w:lineRule="auto"/>
        <w:ind w:left="2" w:firstLineChars="1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二</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广州国企阳光采购信息发布平台（https://ygcg.gzggzy.cn/p92/index.html）</w:t>
      </w:r>
    </w:p>
    <w:p w14:paraId="5C54488B">
      <w:pPr>
        <w:keepNext/>
        <w:keepLines/>
        <w:pageBreakBefore w:val="0"/>
        <w:widowControl/>
        <w:kinsoku/>
        <w:wordWrap/>
        <w:overflowPunct/>
        <w:topLinePunct w:val="0"/>
        <w:autoSpaceDE/>
        <w:autoSpaceDN/>
        <w:bidi w:val="0"/>
        <w:adjustRightInd w:val="0"/>
        <w:snapToGrid w:val="0"/>
        <w:spacing w:before="0" w:after="0" w:line="360" w:lineRule="auto"/>
        <w:jc w:val="left"/>
        <w:textAlignment w:val="auto"/>
        <w:outlineLvl w:val="1"/>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t>六、采购人信息及联系方式</w:t>
      </w:r>
    </w:p>
    <w:p w14:paraId="428E0C1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招标人：</w:t>
      </w:r>
      <w:r>
        <w:rPr>
          <w:rFonts w:hint="eastAsia" w:ascii="宋体" w:hAnsi="宋体" w:cs="宋体"/>
          <w:color w:val="000000" w:themeColor="text1"/>
          <w:sz w:val="24"/>
          <w:lang w:val="en-US" w:eastAsia="zh-CN"/>
          <w14:textFill>
            <w14:solidFill>
              <w14:schemeClr w14:val="tx1"/>
            </w14:solidFill>
          </w14:textFill>
        </w:rPr>
        <w:t>全球数源中心（广州南沙）</w:t>
      </w:r>
      <w:r>
        <w:rPr>
          <w:rFonts w:hint="eastAsia" w:ascii="宋体" w:hAnsi="宋体" w:cs="宋体"/>
          <w:color w:val="000000" w:themeColor="text1"/>
          <w:sz w:val="24"/>
          <w14:textFill>
            <w14:solidFill>
              <w14:schemeClr w14:val="tx1"/>
            </w14:solidFill>
          </w14:textFill>
        </w:rPr>
        <w:t>有限公司</w:t>
      </w:r>
    </w:p>
    <w:p w14:paraId="5E723EE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广州市南沙区蕉西路115号融通大厦6楼</w:t>
      </w:r>
    </w:p>
    <w:p w14:paraId="5FE4AD8A">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lang w:val="en-US" w:eastAsia="zh-CN"/>
          <w14:textFill>
            <w14:solidFill>
              <w14:schemeClr w14:val="tx1"/>
            </w14:solidFill>
          </w14:textFill>
        </w:rPr>
        <w:t>020-62920520</w:t>
      </w:r>
    </w:p>
    <w:p w14:paraId="543D16D0">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（四）邮箱地址：support@global-suyuan.com</w:t>
      </w:r>
    </w:p>
    <w:p w14:paraId="144CED24">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五</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val="en-US" w:eastAsia="zh-CN"/>
          <w14:textFill>
            <w14:solidFill>
              <w14:schemeClr w14:val="tx1"/>
            </w14:solidFill>
          </w14:textFill>
        </w:rPr>
        <w:t>刘工</w:t>
      </w:r>
    </w:p>
    <w:p w14:paraId="624E14A9">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p>
    <w:p w14:paraId="5DE22B0C">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附件：1.响应登记申请表</w:t>
      </w:r>
    </w:p>
    <w:p w14:paraId="2E2993CB">
      <w:pPr>
        <w:spacing w:line="360" w:lineRule="auto"/>
        <w:ind w:firstLine="1200" w:firstLineChars="5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2.法定代表人（负责人）证明书及授权委托证明书</w:t>
      </w:r>
    </w:p>
    <w:p w14:paraId="197AE301">
      <w:pPr>
        <w:pStyle w:val="53"/>
        <w:widowControl w:val="0"/>
        <w:tabs>
          <w:tab w:val="clear" w:pos="360"/>
        </w:tabs>
        <w:ind w:firstLine="420" w:firstLineChars="175"/>
        <w:rPr>
          <w:rFonts w:hint="eastAsia" w:ascii="宋体" w:hAnsi="宋体" w:cs="宋体"/>
          <w:color w:val="000000" w:themeColor="text1"/>
          <w:sz w:val="24"/>
          <w:lang w:val="en-US" w:eastAsia="zh-CN"/>
          <w14:textFill>
            <w14:solidFill>
              <w14:schemeClr w14:val="tx1"/>
            </w14:solidFill>
          </w14:textFill>
        </w:rPr>
      </w:pPr>
    </w:p>
    <w:p w14:paraId="0062BF56">
      <w:pPr>
        <w:pStyle w:val="53"/>
        <w:widowControl w:val="0"/>
        <w:tabs>
          <w:tab w:val="clear" w:pos="360"/>
        </w:tabs>
        <w:ind w:firstLine="420" w:firstLineChars="175"/>
        <w:rPr>
          <w:rFonts w:hint="eastAsia" w:ascii="宋体" w:hAnsi="宋体" w:cs="宋体"/>
          <w:color w:val="000000" w:themeColor="text1"/>
          <w:sz w:val="24"/>
          <w:lang w:val="en-US" w:eastAsia="zh-CN"/>
          <w14:textFill>
            <w14:solidFill>
              <w14:schemeClr w14:val="tx1"/>
            </w14:solidFill>
          </w14:textFill>
        </w:rPr>
      </w:pPr>
    </w:p>
    <w:p w14:paraId="2C27897D">
      <w:pPr>
        <w:pStyle w:val="53"/>
        <w:widowControl w:val="0"/>
        <w:tabs>
          <w:tab w:val="clear" w:pos="360"/>
        </w:tabs>
        <w:ind w:firstLine="420" w:firstLineChars="175"/>
        <w:rPr>
          <w:rFonts w:hint="eastAsia" w:ascii="宋体" w:hAnsi="宋体" w:cs="宋体"/>
          <w:color w:val="000000" w:themeColor="text1"/>
          <w:sz w:val="24"/>
          <w:lang w:val="en-US" w:eastAsia="zh-CN"/>
          <w14:textFill>
            <w14:solidFill>
              <w14:schemeClr w14:val="tx1"/>
            </w14:solidFill>
          </w14:textFill>
        </w:rPr>
      </w:pPr>
    </w:p>
    <w:p w14:paraId="396DF64C">
      <w:pPr>
        <w:pStyle w:val="51"/>
        <w:ind w:firstLine="420" w:firstLineChars="175"/>
        <w:jc w:val="right"/>
        <w:rPr>
          <w:rFonts w:hint="eastAsia" w:hAnsi="宋体" w:eastAsia="宋体" w:cs="宋体"/>
          <w:color w:val="000000" w:themeColor="text1"/>
          <w:sz w:val="24"/>
          <w:lang w:eastAsia="zh-CN"/>
          <w14:textFill>
            <w14:solidFill>
              <w14:schemeClr w14:val="tx1"/>
            </w14:solidFill>
          </w14:textFill>
        </w:rPr>
      </w:pPr>
      <w:r>
        <w:rPr>
          <w:rFonts w:hint="eastAsia" w:hAnsi="宋体" w:cs="宋体"/>
          <w:color w:val="000000" w:themeColor="text1"/>
          <w:sz w:val="24"/>
          <w14:textFill>
            <w14:solidFill>
              <w14:schemeClr w14:val="tx1"/>
            </w14:solidFill>
          </w14:textFill>
        </w:rPr>
        <w:t>采购人：</w:t>
      </w:r>
      <w:r>
        <w:rPr>
          <w:rFonts w:hint="eastAsia"/>
          <w:color w:val="000000" w:themeColor="text1"/>
          <w:sz w:val="24"/>
          <w:szCs w:val="24"/>
          <w:lang w:val="en-US" w:eastAsia="zh-CN"/>
          <w14:textFill>
            <w14:solidFill>
              <w14:schemeClr w14:val="tx1"/>
            </w14:solidFill>
          </w14:textFill>
        </w:rPr>
        <w:t>全球数源中心(广州南沙)有限公司</w:t>
      </w:r>
      <w:r>
        <w:rPr>
          <w:rFonts w:hint="eastAsia" w:hAnsi="宋体" w:cs="宋体"/>
          <w:color w:val="000000" w:themeColor="text1"/>
          <w:sz w:val="24"/>
          <w:lang w:eastAsia="zh-CN"/>
          <w14:textFill>
            <w14:solidFill>
              <w14:schemeClr w14:val="tx1"/>
            </w14:solidFill>
          </w14:textFill>
        </w:rPr>
        <w:t xml:space="preserve"> </w:t>
      </w:r>
    </w:p>
    <w:p w14:paraId="05D95E45">
      <w:pPr>
        <w:pStyle w:val="51"/>
        <w:ind w:firstLine="420" w:firstLineChars="175"/>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日期：2025年</w:t>
      </w:r>
      <w:r>
        <w:rPr>
          <w:rFonts w:hint="eastAsia" w:hAnsi="宋体" w:cs="宋体"/>
          <w:color w:val="000000" w:themeColor="text1"/>
          <w:sz w:val="24"/>
          <w:lang w:val="en-US" w:eastAsia="zh-CN"/>
          <w14:textFill>
            <w14:solidFill>
              <w14:schemeClr w14:val="tx1"/>
            </w14:solidFill>
          </w14:textFill>
        </w:rPr>
        <w:t>6</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lang w:val="en-US" w:eastAsia="zh-CN"/>
          <w14:textFill>
            <w14:solidFill>
              <w14:schemeClr w14:val="tx1"/>
            </w14:solidFill>
          </w14:textFill>
        </w:rPr>
        <w:t>23</w:t>
      </w:r>
      <w:r>
        <w:rPr>
          <w:rFonts w:hint="eastAsia" w:hAnsi="宋体" w:cs="宋体"/>
          <w:color w:val="000000" w:themeColor="text1"/>
          <w:sz w:val="24"/>
          <w14:textFill>
            <w14:solidFill>
              <w14:schemeClr w14:val="tx1"/>
            </w14:solidFill>
          </w14:textFill>
        </w:rPr>
        <w:t>日</w:t>
      </w:r>
    </w:p>
    <w:p w14:paraId="3CB14F14">
      <w:pPr>
        <w:rPr>
          <w:rFonts w:ascii="宋体" w:hAnsi="宋体" w:cs="宋体"/>
          <w:color w:val="000000" w:themeColor="text1"/>
          <w:sz w:val="24"/>
          <w14:textFill>
            <w14:solidFill>
              <w14:schemeClr w14:val="tx1"/>
            </w14:solidFill>
          </w14:textFill>
        </w:rPr>
        <w:sectPr>
          <w:headerReference r:id="rId9" w:type="default"/>
          <w:footerReference r:id="rId10" w:type="default"/>
          <w:pgSz w:w="11906" w:h="16838"/>
          <w:pgMar w:top="1440" w:right="1080" w:bottom="1440" w:left="1080" w:header="709" w:footer="709" w:gutter="0"/>
          <w:pgNumType w:fmt="decimal" w:start="1"/>
          <w:cols w:space="0" w:num="1"/>
          <w:docGrid w:type="lines" w:linePitch="312" w:charSpace="0"/>
        </w:sectPr>
      </w:pPr>
    </w:p>
    <w:p w14:paraId="58216F68">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附件1</w:t>
      </w:r>
    </w:p>
    <w:p w14:paraId="3CF6DB3C">
      <w:pPr>
        <w:pStyle w:val="11"/>
        <w:tabs>
          <w:tab w:val="left" w:pos="5562"/>
          <w:tab w:val="left" w:pos="7290"/>
          <w:tab w:val="left" w:pos="7560"/>
          <w:tab w:val="clear" w:pos="360"/>
        </w:tabs>
        <w:spacing w:after="0"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响应登记申请表</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701"/>
        <w:gridCol w:w="1701"/>
        <w:gridCol w:w="1703"/>
        <w:gridCol w:w="1701"/>
        <w:gridCol w:w="1981"/>
      </w:tblGrid>
      <w:tr w14:paraId="2309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20283068">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采购项目名称</w:t>
            </w:r>
          </w:p>
        </w:tc>
        <w:tc>
          <w:tcPr>
            <w:tcW w:w="4267" w:type="pct"/>
            <w:gridSpan w:val="5"/>
            <w:noWrap w:val="0"/>
            <w:vAlign w:val="center"/>
          </w:tcPr>
          <w:p w14:paraId="7E5F6A4C">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全球数源中心数据流通利用基础设施先行先试项目</w:t>
            </w:r>
            <w:r>
              <w:rPr>
                <w:rFonts w:hint="eastAsia" w:ascii="宋体" w:hAnsi="宋体"/>
                <w:color w:val="000000" w:themeColor="text1"/>
                <w:szCs w:val="21"/>
                <w:lang w:val="en-US" w:eastAsia="zh-CN"/>
                <w14:textFill>
                  <w14:solidFill>
                    <w14:schemeClr w14:val="tx1"/>
                  </w14:solidFill>
                </w14:textFill>
              </w:rPr>
              <w:t>方案</w:t>
            </w:r>
            <w:r>
              <w:rPr>
                <w:rFonts w:hint="eastAsia" w:ascii="宋体" w:hAnsi="宋体"/>
                <w:color w:val="000000" w:themeColor="text1"/>
                <w:szCs w:val="21"/>
                <w14:textFill>
                  <w14:solidFill>
                    <w14:schemeClr w14:val="tx1"/>
                  </w14:solidFill>
                </w14:textFill>
              </w:rPr>
              <w:t>设计服务项目</w:t>
            </w:r>
          </w:p>
        </w:tc>
      </w:tr>
      <w:tr w14:paraId="3D9E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26E5058E">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报价人名称</w:t>
            </w:r>
          </w:p>
        </w:tc>
        <w:tc>
          <w:tcPr>
            <w:tcW w:w="826" w:type="pct"/>
            <w:noWrap w:val="0"/>
            <w:vAlign w:val="center"/>
          </w:tcPr>
          <w:p w14:paraId="1FC9AE56">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p>
        </w:tc>
        <w:tc>
          <w:tcPr>
            <w:tcW w:w="826" w:type="pct"/>
            <w:noWrap w:val="0"/>
            <w:vAlign w:val="center"/>
          </w:tcPr>
          <w:p w14:paraId="66BD2DD0">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被授权人</w:t>
            </w:r>
          </w:p>
        </w:tc>
        <w:tc>
          <w:tcPr>
            <w:tcW w:w="826" w:type="pct"/>
            <w:noWrap w:val="0"/>
            <w:vAlign w:val="center"/>
          </w:tcPr>
          <w:p w14:paraId="62F30C23">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p>
        </w:tc>
        <w:tc>
          <w:tcPr>
            <w:tcW w:w="826" w:type="pct"/>
            <w:noWrap w:val="0"/>
            <w:vAlign w:val="center"/>
          </w:tcPr>
          <w:p w14:paraId="28B3AD69">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kern w:val="0"/>
                <w:sz w:val="21"/>
                <w:szCs w:val="21"/>
                <w14:textFill>
                  <w14:solidFill>
                    <w14:schemeClr w14:val="tx1"/>
                  </w14:solidFill>
                </w14:textFill>
              </w:rPr>
              <w:t>联系电话</w:t>
            </w:r>
          </w:p>
        </w:tc>
        <w:tc>
          <w:tcPr>
            <w:tcW w:w="961" w:type="pct"/>
            <w:noWrap w:val="0"/>
            <w:vAlign w:val="center"/>
          </w:tcPr>
          <w:p w14:paraId="2CC80A00">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p>
        </w:tc>
      </w:tr>
      <w:tr w14:paraId="253F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50EDA429">
            <w:pPr>
              <w:keepNext w:val="0"/>
              <w:keepLines w:val="0"/>
              <w:widowControl/>
              <w:suppressLineNumbers w:val="0"/>
              <w:spacing w:before="0" w:beforeAutospacing="0" w:after="0" w:afterAutospacing="0" w:line="360" w:lineRule="auto"/>
              <w:ind w:left="0" w:right="0"/>
              <w:jc w:val="center"/>
              <w:rPr>
                <w:rFonts w:hint="default" w:ascii="宋体" w:hAnsi="宋体" w:eastAsia="宋体" w:cs="仿宋"/>
                <w:color w:val="000000" w:themeColor="text1"/>
                <w:sz w:val="21"/>
                <w:szCs w:val="21"/>
                <w14:textFill>
                  <w14:solidFill>
                    <w14:schemeClr w14:val="tx1"/>
                  </w14:solidFill>
                </w14:textFill>
              </w:rPr>
            </w:pPr>
            <w:r>
              <w:rPr>
                <w:rFonts w:hint="eastAsia" w:ascii="宋体" w:hAnsi="宋体" w:eastAsia="宋体" w:cs="仿宋"/>
                <w:color w:val="000000" w:themeColor="text1"/>
                <w:sz w:val="21"/>
                <w:szCs w:val="21"/>
                <w14:textFill>
                  <w14:solidFill>
                    <w14:schemeClr w14:val="tx1"/>
                  </w14:solidFill>
                </w14:textFill>
              </w:rPr>
              <w:t>项目负责人</w:t>
            </w:r>
          </w:p>
          <w:p w14:paraId="01D28A87">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sz w:val="21"/>
                <w:szCs w:val="21"/>
                <w14:textFill>
                  <w14:solidFill>
                    <w14:schemeClr w14:val="tx1"/>
                  </w14:solidFill>
                </w14:textFill>
              </w:rPr>
              <w:t>（如需要）</w:t>
            </w:r>
          </w:p>
        </w:tc>
        <w:tc>
          <w:tcPr>
            <w:tcW w:w="2479" w:type="pct"/>
            <w:gridSpan w:val="3"/>
            <w:noWrap w:val="0"/>
            <w:vAlign w:val="center"/>
          </w:tcPr>
          <w:p w14:paraId="3AD7528E">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p>
        </w:tc>
        <w:tc>
          <w:tcPr>
            <w:tcW w:w="826" w:type="pct"/>
            <w:noWrap w:val="0"/>
            <w:vAlign w:val="center"/>
          </w:tcPr>
          <w:p w14:paraId="6A68372A">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kern w:val="0"/>
                <w:sz w:val="21"/>
                <w:szCs w:val="21"/>
                <w14:textFill>
                  <w14:solidFill>
                    <w14:schemeClr w14:val="tx1"/>
                  </w14:solidFill>
                </w14:textFill>
              </w:rPr>
              <w:t>联系电话</w:t>
            </w:r>
          </w:p>
        </w:tc>
        <w:tc>
          <w:tcPr>
            <w:tcW w:w="961" w:type="pct"/>
            <w:noWrap w:val="0"/>
            <w:vAlign w:val="top"/>
          </w:tcPr>
          <w:p w14:paraId="228784E1">
            <w:pPr>
              <w:keepNext w:val="0"/>
              <w:keepLines w:val="0"/>
              <w:widowControl/>
              <w:suppressLineNumbers w:val="0"/>
              <w:spacing w:before="0" w:beforeAutospacing="0" w:after="0" w:afterAutospacing="0" w:line="360" w:lineRule="auto"/>
              <w:ind w:left="0" w:right="0"/>
              <w:rPr>
                <w:rFonts w:hint="eastAsia" w:ascii="宋体" w:hAnsi="宋体" w:eastAsia="宋体"/>
                <w:color w:val="000000" w:themeColor="text1"/>
                <w:sz w:val="21"/>
                <w:szCs w:val="21"/>
                <w14:textFill>
                  <w14:solidFill>
                    <w14:schemeClr w14:val="tx1"/>
                  </w14:solidFill>
                </w14:textFill>
              </w:rPr>
            </w:pPr>
          </w:p>
        </w:tc>
      </w:tr>
      <w:tr w14:paraId="07AD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662F97B1">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sz w:val="21"/>
                <w:szCs w:val="21"/>
                <w14:textFill>
                  <w14:solidFill>
                    <w14:schemeClr w14:val="tx1"/>
                  </w14:solidFill>
                </w14:textFill>
              </w:rPr>
              <w:t>保证书</w:t>
            </w:r>
          </w:p>
        </w:tc>
        <w:tc>
          <w:tcPr>
            <w:tcW w:w="4267" w:type="pct"/>
            <w:gridSpan w:val="5"/>
            <w:noWrap w:val="0"/>
            <w:vAlign w:val="center"/>
          </w:tcPr>
          <w:p w14:paraId="72EBC185">
            <w:pPr>
              <w:keepNext w:val="0"/>
              <w:keepLines w:val="0"/>
              <w:widowControl/>
              <w:suppressLineNumbers w:val="0"/>
              <w:spacing w:before="0" w:beforeAutospacing="0" w:after="0" w:afterAutospacing="0" w:line="360" w:lineRule="auto"/>
              <w:ind w:left="0" w:right="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kern w:val="0"/>
                <w:sz w:val="21"/>
                <w:szCs w:val="21"/>
                <w14:textFill>
                  <w14:solidFill>
                    <w14:schemeClr w14:val="tx1"/>
                  </w14:solidFill>
                </w14:textFill>
              </w:rPr>
              <w:t>我公司保证该项目由本单位承包，不接受他人挂靠，不转包，不非法分包。如有违反，责任自负。</w:t>
            </w:r>
          </w:p>
        </w:tc>
      </w:tr>
      <w:tr w14:paraId="262B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4517D2A9">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kern w:val="0"/>
                <w:sz w:val="21"/>
                <w:szCs w:val="21"/>
                <w14:textFill>
                  <w14:solidFill>
                    <w14:schemeClr w14:val="tx1"/>
                  </w14:solidFill>
                </w14:textFill>
              </w:rPr>
              <w:t>报价人盖章</w:t>
            </w:r>
          </w:p>
        </w:tc>
        <w:tc>
          <w:tcPr>
            <w:tcW w:w="1652" w:type="pct"/>
            <w:gridSpan w:val="2"/>
            <w:noWrap w:val="0"/>
            <w:vAlign w:val="center"/>
          </w:tcPr>
          <w:p w14:paraId="4137E46E">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p>
        </w:tc>
        <w:tc>
          <w:tcPr>
            <w:tcW w:w="1653" w:type="pct"/>
            <w:gridSpan w:val="2"/>
            <w:noWrap w:val="0"/>
            <w:vAlign w:val="center"/>
          </w:tcPr>
          <w:p w14:paraId="20D62D46">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kern w:val="0"/>
                <w:sz w:val="21"/>
                <w:szCs w:val="21"/>
                <w14:textFill>
                  <w14:solidFill>
                    <w14:schemeClr w14:val="tx1"/>
                  </w14:solidFill>
                </w14:textFill>
              </w:rPr>
              <w:t>法定代表人（负责人）签字或盖章</w:t>
            </w:r>
          </w:p>
        </w:tc>
        <w:tc>
          <w:tcPr>
            <w:tcW w:w="961" w:type="pct"/>
            <w:noWrap w:val="0"/>
            <w:vAlign w:val="top"/>
          </w:tcPr>
          <w:p w14:paraId="1A0E8768">
            <w:pPr>
              <w:keepNext w:val="0"/>
              <w:keepLines w:val="0"/>
              <w:widowControl/>
              <w:suppressLineNumbers w:val="0"/>
              <w:spacing w:before="0" w:beforeAutospacing="0" w:after="0" w:afterAutospacing="0" w:line="360" w:lineRule="auto"/>
              <w:ind w:left="0" w:right="0"/>
              <w:rPr>
                <w:rFonts w:hint="eastAsia" w:ascii="宋体" w:hAnsi="宋体" w:eastAsia="宋体"/>
                <w:color w:val="000000" w:themeColor="text1"/>
                <w:sz w:val="21"/>
                <w:szCs w:val="21"/>
                <w14:textFill>
                  <w14:solidFill>
                    <w14:schemeClr w14:val="tx1"/>
                  </w14:solidFill>
                </w14:textFill>
              </w:rPr>
            </w:pPr>
          </w:p>
        </w:tc>
      </w:tr>
    </w:tbl>
    <w:p w14:paraId="6B043A28">
      <w:pPr>
        <w:spacing w:line="360" w:lineRule="auto"/>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注：本表内容不允许涂改或删除。</w:t>
      </w:r>
    </w:p>
    <w:p w14:paraId="02D6DFD3">
      <w:pPr>
        <w:rPr>
          <w:color w:val="000000" w:themeColor="text1"/>
          <w14:textFill>
            <w14:solidFill>
              <w14:schemeClr w14:val="tx1"/>
            </w14:solidFill>
          </w14:textFill>
        </w:rPr>
      </w:pPr>
    </w:p>
    <w:p w14:paraId="75BFDABE">
      <w:pPr>
        <w:rPr>
          <w:color w:val="000000" w:themeColor="text1"/>
          <w14:textFill>
            <w14:solidFill>
              <w14:schemeClr w14:val="tx1"/>
            </w14:solidFill>
          </w14:textFill>
        </w:rPr>
      </w:pPr>
    </w:p>
    <w:p w14:paraId="5F81EAD7">
      <w:pPr>
        <w:rPr>
          <w:color w:val="000000" w:themeColor="text1"/>
          <w14:textFill>
            <w14:solidFill>
              <w14:schemeClr w14:val="tx1"/>
            </w14:solidFill>
          </w14:textFill>
        </w:rPr>
      </w:pPr>
    </w:p>
    <w:p w14:paraId="32B55BAD">
      <w:pPr>
        <w:rPr>
          <w:color w:val="000000" w:themeColor="text1"/>
          <w14:textFill>
            <w14:solidFill>
              <w14:schemeClr w14:val="tx1"/>
            </w14:solidFill>
          </w14:textFill>
        </w:rPr>
      </w:pPr>
    </w:p>
    <w:p w14:paraId="7F3AA2D0">
      <w:pPr>
        <w:rPr>
          <w:color w:val="000000" w:themeColor="text1"/>
          <w14:textFill>
            <w14:solidFill>
              <w14:schemeClr w14:val="tx1"/>
            </w14:solidFill>
          </w14:textFill>
        </w:rPr>
      </w:pPr>
    </w:p>
    <w:p w14:paraId="2530B825">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01BF1B5">
      <w:pPr>
        <w:spacing w:before="156" w:after="156" w:line="460" w:lineRule="exact"/>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附件2</w:t>
      </w:r>
    </w:p>
    <w:p w14:paraId="141C3EE4">
      <w:pPr>
        <w:spacing w:before="156" w:after="156" w:line="460" w:lineRule="exact"/>
        <w:jc w:val="center"/>
        <w:rPr>
          <w:rFonts w:hint="eastAsia" w:ascii="宋体" w:hAnsi="宋体" w:cstheme="minorBidi"/>
          <w:b/>
          <w:bCs/>
          <w:color w:val="000000" w:themeColor="text1"/>
          <w:sz w:val="24"/>
          <w:szCs w:val="24"/>
          <w14:textFill>
            <w14:solidFill>
              <w14:schemeClr w14:val="tx1"/>
            </w14:solidFill>
          </w14:textFill>
        </w:rPr>
      </w:pPr>
    </w:p>
    <w:p w14:paraId="5BA40916">
      <w:pPr>
        <w:pStyle w:val="2"/>
        <w:spacing w:line="360" w:lineRule="auto"/>
        <w:ind w:firstLine="0"/>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法定代表人身份证明书及授权委托书</w:t>
      </w:r>
    </w:p>
    <w:p w14:paraId="535F1955">
      <w:pPr>
        <w:pStyle w:val="2"/>
        <w:spacing w:line="360" w:lineRule="auto"/>
        <w:ind w:firstLine="0"/>
        <w:jc w:val="center"/>
        <w:rPr>
          <w:rFonts w:hint="eastAsia" w:ascii="宋体" w:hAnsi="宋体"/>
          <w:b/>
          <w:bCs/>
          <w:color w:val="000000" w:themeColor="text1"/>
          <w:sz w:val="24"/>
          <w:szCs w:val="24"/>
          <w14:textFill>
            <w14:solidFill>
              <w14:schemeClr w14:val="tx1"/>
            </w14:solidFill>
          </w14:textFill>
        </w:rPr>
      </w:pPr>
    </w:p>
    <w:p w14:paraId="7E3FDC7D">
      <w:pPr>
        <w:pStyle w:val="2"/>
        <w:spacing w:line="360" w:lineRule="auto"/>
        <w:ind w:firstLine="0"/>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法定代表人身份证明书</w:t>
      </w:r>
    </w:p>
    <w:p w14:paraId="126F40C8">
      <w:pPr>
        <w:pStyle w:val="2"/>
        <w:spacing w:line="360" w:lineRule="auto"/>
        <w:ind w:firstLine="0"/>
        <w:jc w:val="center"/>
        <w:rPr>
          <w:rFonts w:ascii="宋体" w:hAnsi="宋体"/>
          <w:b/>
          <w:bCs/>
          <w:color w:val="000000" w:themeColor="text1"/>
          <w:szCs w:val="21"/>
          <w14:textFill>
            <w14:solidFill>
              <w14:schemeClr w14:val="tx1"/>
            </w14:solidFill>
          </w14:textFill>
        </w:rPr>
      </w:pPr>
    </w:p>
    <w:p w14:paraId="72931C66">
      <w:pPr>
        <w:spacing w:line="360" w:lineRule="auto"/>
        <w:ind w:firstLine="785" w:firstLineChars="250"/>
        <w:rPr>
          <w:rFonts w:ascii="宋体" w:hAnsi="宋体"/>
          <w:color w:val="000000" w:themeColor="text1"/>
          <w:szCs w:val="21"/>
          <w14:textFill>
            <w14:solidFill>
              <w14:schemeClr w14:val="tx1"/>
            </w14:solidFill>
          </w14:textFill>
        </w:rPr>
      </w:pPr>
      <w:r>
        <w:rPr>
          <w:rFonts w:hint="eastAsia" w:ascii="仿宋" w:hAnsi="仿宋" w:eastAsia="仿宋" w:cs="仿宋"/>
          <w:color w:val="000000" w:themeColor="text1"/>
          <w:spacing w:val="12"/>
          <w:position w:val="-3"/>
          <w:sz w:val="29"/>
          <w:szCs w:val="29"/>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是我单位法定代表人，任</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职务。</w:t>
      </w:r>
    </w:p>
    <w:p w14:paraId="168AD0EF">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14:paraId="42C6A8BB">
      <w:pPr>
        <w:pStyle w:val="2"/>
        <w:spacing w:line="360" w:lineRule="auto"/>
        <w:ind w:firstLine="735"/>
        <w:rPr>
          <w:rFonts w:ascii="宋体" w:hAnsi="宋体"/>
          <w:color w:val="000000" w:themeColor="text1"/>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投标人名称（盖章）：</w:t>
      </w:r>
    </w:p>
    <w:p w14:paraId="6CE47FBF">
      <w:pPr>
        <w:pStyle w:val="2"/>
        <w:spacing w:line="360" w:lineRule="auto"/>
        <w:ind w:firstLine="73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14:paraId="69FA3D1B">
      <w:pPr>
        <w:pStyle w:val="2"/>
        <w:spacing w:line="360" w:lineRule="auto"/>
        <w:ind w:firstLine="0"/>
        <w:jc w:val="center"/>
        <w:rPr>
          <w:rFonts w:ascii="宋体" w:hAnsi="宋体"/>
          <w:b/>
          <w:bCs/>
          <w:color w:val="000000" w:themeColor="text1"/>
          <w:szCs w:val="21"/>
          <w14:textFill>
            <w14:solidFill>
              <w14:schemeClr w14:val="tx1"/>
            </w14:solidFill>
          </w14:textFill>
        </w:rPr>
      </w:pPr>
    </w:p>
    <w:p w14:paraId="49328767">
      <w:pPr>
        <w:pStyle w:val="2"/>
        <w:spacing w:line="360" w:lineRule="auto"/>
        <w:ind w:firstLine="0"/>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法定代表人授权委托书</w:t>
      </w:r>
    </w:p>
    <w:p w14:paraId="7ED646F3">
      <w:pPr>
        <w:pStyle w:val="2"/>
        <w:spacing w:line="360" w:lineRule="auto"/>
        <w:ind w:firstLine="0"/>
        <w:rPr>
          <w:rFonts w:ascii="宋体" w:hAnsi="宋体"/>
          <w:color w:val="000000" w:themeColor="text1"/>
          <w:szCs w:val="21"/>
          <w14:textFill>
            <w14:solidFill>
              <w14:schemeClr w14:val="tx1"/>
            </w14:solidFill>
          </w14:textFill>
        </w:rPr>
      </w:pPr>
    </w:p>
    <w:p w14:paraId="29CEFA9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p>
    <w:p w14:paraId="2E12C3B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（投标人全称）法定代表人</w:t>
      </w:r>
      <w:r>
        <w:rPr>
          <w:rFonts w:hint="eastAsia" w:ascii="宋体" w:hAnsi="宋体"/>
          <w:color w:val="000000" w:themeColor="text1"/>
          <w:szCs w:val="21"/>
          <w:u w:val="single"/>
          <w14:textFill>
            <w14:solidFill>
              <w14:schemeClr w14:val="tx1"/>
            </w14:solidFill>
          </w14:textFill>
        </w:rPr>
        <w:t>（姓名）</w:t>
      </w:r>
      <w:r>
        <w:rPr>
          <w:rFonts w:hint="eastAsia" w:ascii="宋体" w:hAnsi="宋体"/>
          <w:color w:val="000000" w:themeColor="text1"/>
          <w:szCs w:val="21"/>
          <w14:textFill>
            <w14:solidFill>
              <w14:schemeClr w14:val="tx1"/>
            </w14:solidFill>
          </w14:textFill>
        </w:rPr>
        <w:t>兹授权</w:t>
      </w:r>
      <w:r>
        <w:rPr>
          <w:rFonts w:hint="eastAsia" w:ascii="宋体" w:hAnsi="宋体"/>
          <w:color w:val="000000" w:themeColor="text1"/>
          <w:szCs w:val="21"/>
          <w:u w:val="single"/>
          <w14:textFill>
            <w14:solidFill>
              <w14:schemeClr w14:val="tx1"/>
            </w14:solidFill>
          </w14:textFill>
        </w:rPr>
        <w:t>（授权代表姓名）</w:t>
      </w:r>
      <w:r>
        <w:rPr>
          <w:rFonts w:hint="eastAsia" w:ascii="宋体" w:hAnsi="宋体"/>
          <w:color w:val="000000" w:themeColor="text1"/>
          <w:szCs w:val="21"/>
          <w14:textFill>
            <w14:solidFill>
              <w14:schemeClr w14:val="tx1"/>
            </w14:solidFill>
          </w14:textFill>
        </w:rPr>
        <w:t>为授权代表，参加贵方组织的项目招标活动。</w:t>
      </w:r>
    </w:p>
    <w:p w14:paraId="2D41415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（授权代表姓名） </w:t>
      </w:r>
      <w:r>
        <w:rPr>
          <w:rFonts w:hint="eastAsia" w:ascii="宋体" w:hAnsi="宋体"/>
          <w:color w:val="000000" w:themeColor="text1"/>
          <w:szCs w:val="21"/>
          <w14:textFill>
            <w14:solidFill>
              <w14:schemeClr w14:val="tx1"/>
            </w14:solidFill>
          </w14:textFill>
        </w:rPr>
        <w:t>以我单位的名义并代表我单位签署投标书和所有投标文件，进行谈判、签署合同和全权处理招投标活动中的一切事宜，其在该项目招投标活动中的一切行为对我单位具有法律约束力。</w:t>
      </w:r>
    </w:p>
    <w:p w14:paraId="2B4BE650">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授权有效期：投标截止后180天。</w:t>
      </w:r>
    </w:p>
    <w:p w14:paraId="25F03792">
      <w:pPr>
        <w:spacing w:line="360" w:lineRule="auto"/>
        <w:rPr>
          <w:rFonts w:ascii="宋体" w:hAnsi="宋体"/>
          <w:color w:val="000000" w:themeColor="text1"/>
          <w:szCs w:val="21"/>
          <w14:textFill>
            <w14:solidFill>
              <w14:schemeClr w14:val="tx1"/>
            </w14:solidFill>
          </w14:textFill>
        </w:rPr>
      </w:pPr>
    </w:p>
    <w:p w14:paraId="38747D78">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投标人名称（公章）：</w:t>
      </w:r>
    </w:p>
    <w:p w14:paraId="493A5B99">
      <w:pPr>
        <w:pStyle w:val="16"/>
        <w:spacing w:line="360" w:lineRule="auto"/>
        <w:ind w:left="0" w:leftChars="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法定代表人（签字或盖章）：</w:t>
      </w:r>
    </w:p>
    <w:p w14:paraId="67B3F9B9">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   年   月   日</w:t>
      </w:r>
    </w:p>
    <w:p w14:paraId="3EB69DDA">
      <w:pPr>
        <w:pStyle w:val="16"/>
        <w:spacing w:line="360" w:lineRule="auto"/>
        <w:ind w:left="0" w:leftChars="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授权代表（签字或盖章）：</w:t>
      </w:r>
    </w:p>
    <w:p w14:paraId="4354545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   年   月   日</w:t>
      </w:r>
    </w:p>
    <w:p w14:paraId="46E013D3">
      <w:pPr>
        <w:jc w:val="center"/>
        <w:rPr>
          <w:rFonts w:hAnsi="宋体"/>
          <w:color w:val="000000" w:themeColor="text1"/>
          <w:szCs w:val="21"/>
          <w14:textFill>
            <w14:solidFill>
              <w14:schemeClr w14:val="tx1"/>
            </w14:solidFill>
          </w14:textFill>
        </w:rPr>
      </w:pPr>
    </w:p>
    <w:p w14:paraId="65EA4A8F">
      <w:pPr>
        <w:jc w:val="center"/>
        <w:rPr>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注：请随附法定代表人/负责人、被授权人身份证复印件</w:t>
      </w:r>
    </w:p>
    <w:p w14:paraId="5617EB76">
      <w:pPr>
        <w:ind w:firstLine="420"/>
        <w:rPr>
          <w:color w:val="000000" w:themeColor="text1"/>
          <w14:textFill>
            <w14:solidFill>
              <w14:schemeClr w14:val="tx1"/>
            </w14:solidFill>
          </w14:textFill>
        </w:rPr>
      </w:pPr>
      <w:r>
        <w:rPr>
          <w:color w:val="000000" w:themeColor="text1"/>
          <w14:textFill>
            <w14:solidFill>
              <w14:schemeClr w14:val="tx1"/>
            </w14:solidFill>
          </w14:textFill>
        </w:rPr>
        <w:br w:type="page"/>
      </w:r>
      <w:bookmarkEnd w:id="3"/>
      <w:bookmarkStart w:id="4" w:name="_Toc37245276"/>
      <w:bookmarkStart w:id="5" w:name="_Toc98035088"/>
      <w:bookmarkStart w:id="6" w:name="_Toc98579068"/>
      <w:bookmarkStart w:id="7" w:name="_Toc27220"/>
      <w:bookmarkStart w:id="8" w:name="_Toc98579010"/>
      <w:bookmarkStart w:id="9" w:name="_Hlk47596224"/>
      <w:bookmarkStart w:id="10" w:name="_Toc50276195"/>
      <w:bookmarkStart w:id="11" w:name="_Toc50276156"/>
      <w:bookmarkStart w:id="12" w:name="_Toc98580292"/>
      <w:bookmarkStart w:id="13" w:name="_Toc37569519"/>
      <w:bookmarkStart w:id="14" w:name="_Toc46308683"/>
      <w:bookmarkStart w:id="15" w:name="_Toc46308527"/>
      <w:bookmarkStart w:id="16" w:name="_Toc98579609"/>
      <w:bookmarkStart w:id="17" w:name="_Toc37331038"/>
      <w:bookmarkStart w:id="18" w:name="_Toc37581420"/>
      <w:bookmarkStart w:id="19" w:name="_Toc40762370"/>
      <w:bookmarkStart w:id="20" w:name="_Toc24117376"/>
      <w:bookmarkStart w:id="21" w:name="_Toc37331080"/>
      <w:bookmarkStart w:id="22" w:name="_Toc45532478"/>
      <w:bookmarkStart w:id="23" w:name="_Toc37663391"/>
      <w:bookmarkStart w:id="24" w:name="_Hlk68685664"/>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20565333">
      <w:pPr>
        <w:pStyle w:val="3"/>
        <w:spacing w:before="0" w:after="0" w:line="360" w:lineRule="auto"/>
        <w:ind w:firstLine="254"/>
        <w:jc w:val="center"/>
        <w:rPr>
          <w:color w:val="000000" w:themeColor="text1"/>
          <w:sz w:val="30"/>
          <w:szCs w:val="30"/>
          <w14:textFill>
            <w14:solidFill>
              <w14:schemeClr w14:val="tx1"/>
            </w14:solidFill>
          </w14:textFill>
        </w:rPr>
      </w:pPr>
      <w:bookmarkStart w:id="25" w:name="_Toc157590366"/>
      <w:bookmarkStart w:id="26" w:name="_Toc29456"/>
      <w:bookmarkStart w:id="27" w:name="_Toc13168"/>
      <w:bookmarkStart w:id="28" w:name="_Toc98035089"/>
      <w:bookmarkStart w:id="29" w:name="_Toc98579011"/>
      <w:bookmarkStart w:id="30" w:name="_Toc42313172"/>
      <w:bookmarkStart w:id="31" w:name="_Toc37245277"/>
      <w:bookmarkStart w:id="32" w:name="_Toc46308684"/>
      <w:bookmarkStart w:id="33" w:name="_Toc37331081"/>
      <w:bookmarkStart w:id="34" w:name="_Toc98579069"/>
      <w:bookmarkStart w:id="35" w:name="_Toc46308528"/>
      <w:bookmarkStart w:id="36" w:name="_Toc37331039"/>
      <w:bookmarkStart w:id="37" w:name="_Toc42394517"/>
      <w:bookmarkStart w:id="38" w:name="_Toc41884706"/>
      <w:bookmarkStart w:id="39" w:name="_Toc46308687"/>
      <w:bookmarkStart w:id="40" w:name="_Toc40762371"/>
      <w:bookmarkStart w:id="41" w:name="_Toc98580293"/>
      <w:bookmarkStart w:id="42" w:name="_Toc98579610"/>
      <w:bookmarkStart w:id="43" w:name="_Toc50276204"/>
      <w:bookmarkStart w:id="44" w:name="_Toc46308531"/>
      <w:bookmarkStart w:id="45" w:name="_Toc50276165"/>
      <w:bookmarkStart w:id="46" w:name="_Toc37569520"/>
      <w:bookmarkStart w:id="47" w:name="_Toc42394673"/>
      <w:bookmarkStart w:id="48" w:name="_Toc37581421"/>
      <w:bookmarkStart w:id="49" w:name="_Toc37663392"/>
      <w:bookmarkStart w:id="50" w:name="_Toc41723936"/>
      <w:r>
        <w:rPr>
          <w:rFonts w:hint="eastAsia"/>
          <w:color w:val="000000" w:themeColor="text1"/>
          <w:sz w:val="30"/>
          <w:szCs w:val="30"/>
          <w14:textFill>
            <w14:solidFill>
              <w14:schemeClr w14:val="tx1"/>
            </w14:solidFill>
          </w14:textFill>
        </w:rPr>
        <w:t>第二章 用户需求书</w:t>
      </w:r>
      <w:bookmarkEnd w:id="25"/>
      <w:bookmarkEnd w:id="26"/>
      <w:bookmarkEnd w:id="27"/>
    </w:p>
    <w:p w14:paraId="73A8F106">
      <w:pPr>
        <w:ind w:firstLine="420" w:firstLineChars="175"/>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供应商须对本项目为单位的服务进行整体响应，任何只对其中一部分内容进行的响应都被视为无效响应。</w:t>
      </w:r>
    </w:p>
    <w:p w14:paraId="5195F2BF">
      <w:pPr>
        <w:numPr>
          <w:ilvl w:val="0"/>
          <w:numId w:val="4"/>
        </w:numPr>
        <w:ind w:firstLine="422" w:firstLineChars="175"/>
        <w:jc w:val="both"/>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p>
    <w:p w14:paraId="440EC3EC">
      <w:pPr>
        <w:numPr>
          <w:ilvl w:val="255"/>
          <w:numId w:val="0"/>
        </w:numPr>
        <w:ind w:firstLine="420" w:firstLineChars="175"/>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全球数源中心数据流通利用基础设施先行先试项目方案设计服务项目</w:t>
      </w:r>
    </w:p>
    <w:p w14:paraId="46D46611">
      <w:pPr>
        <w:numPr>
          <w:ilvl w:val="0"/>
          <w:numId w:val="4"/>
        </w:numPr>
        <w:ind w:firstLine="422" w:firstLineChars="175"/>
        <w:jc w:val="both"/>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项目背景</w:t>
      </w:r>
    </w:p>
    <w:p w14:paraId="0DB954E1">
      <w:pPr>
        <w:widowControl w:val="0"/>
        <w:numPr>
          <w:ilvl w:val="255"/>
          <w:numId w:val="0"/>
        </w:numPr>
        <w:tabs>
          <w:tab w:val="left" w:pos="420"/>
        </w:tabs>
        <w:autoSpaceDE w:val="0"/>
        <w:ind w:firstLine="420" w:firstLineChars="175"/>
        <w:jc w:val="both"/>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为贯彻落实党的二十届三中全会关于数据基础设施建设的战略部署，国家数据局在全国数据工作会议中明确将数据流通利用基础设施列为重点工程。南沙区作为粤港澳大湾区核心承载区，依托《粤港澳大湾区发展规划纲要》《南沙深化面向世界的粤港澳全面合作条例》等政策支持，充分发挥国家级新区、自贸试验区、粤港澳全面合作示范区</w:t>
      </w:r>
      <w:r>
        <w:rPr>
          <w:rFonts w:hint="eastAsia" w:ascii="宋体" w:hAnsi="宋体" w:cs="宋体"/>
          <w:color w:val="000000" w:themeColor="text1"/>
          <w:sz w:val="24"/>
          <w:lang w:eastAsia="zh-CN"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三区叠加</w:t>
      </w:r>
      <w:r>
        <w:rPr>
          <w:rFonts w:hint="eastAsia" w:ascii="宋体" w:hAnsi="宋体" w:cs="宋体"/>
          <w:color w:val="000000" w:themeColor="text1"/>
          <w:sz w:val="24"/>
          <w:lang w:eastAsia="zh-CN"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优势。</w:t>
      </w:r>
    </w:p>
    <w:p w14:paraId="7E55AD30">
      <w:pPr>
        <w:widowControl w:val="0"/>
        <w:numPr>
          <w:ilvl w:val="255"/>
          <w:numId w:val="0"/>
        </w:numPr>
        <w:tabs>
          <w:tab w:val="left" w:pos="420"/>
        </w:tabs>
        <w:autoSpaceDE w:val="0"/>
        <w:ind w:firstLine="420" w:firstLineChars="175"/>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目前，全球数源中心已根据《国家数据基础设施建设（先行先试）数场任务书》完成城市试点任务申报工作，成为第一批数据流通利用基础设施先行先试项目。为高效落实任务要求、科学指导后续开发实施，参照南沙区信息化项目管理办法，试点将开展建设方案编制设计工作，采购专业设计咨询服务，编制具备前瞻性与可操作性的设计方案，开展现状分析和需求分析，明确项目建设目标和任务，设计总体架构和功能系统，评估投资概算，确保技术架构与实施路径符合国家规范，并为工程建设和运营提供系统性指导。试点设计方案是试点建设的基本依据，为试点建设实施过程中清晰界定建设内容边界和精准化预算管理提供重要支撑。</w:t>
      </w:r>
    </w:p>
    <w:p w14:paraId="5C741B7F">
      <w:pPr>
        <w:numPr>
          <w:ilvl w:val="0"/>
          <w:numId w:val="4"/>
        </w:numPr>
        <w:ind w:firstLine="422" w:firstLineChars="175"/>
        <w:jc w:val="both"/>
        <w:outlineLvl w:val="1"/>
        <w:rPr>
          <w:rFonts w:ascii="宋体" w:hAnsi="宋体" w:cs="宋体"/>
          <w:b/>
          <w:bCs/>
          <w:color w:val="000000" w:themeColor="text1"/>
          <w:sz w:val="24"/>
          <w:lang w:val="zh-TW"/>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项目目标</w:t>
      </w:r>
    </w:p>
    <w:p w14:paraId="05790D17">
      <w:pPr>
        <w:widowControl w:val="0"/>
        <w:tabs>
          <w:tab w:val="left" w:pos="420"/>
        </w:tabs>
        <w:autoSpaceDE w:val="0"/>
        <w:ind w:firstLine="420" w:firstLineChars="175"/>
        <w:jc w:val="both"/>
        <w:rPr>
          <w:rFonts w:ascii="宋体" w:hAnsi="宋体" w:cs="宋体"/>
          <w:color w:val="000000" w:themeColor="text1"/>
          <w:sz w:val="24"/>
          <w:lang w:val="zh-TW" w:bidi="ar"/>
          <w14:textFill>
            <w14:solidFill>
              <w14:schemeClr w14:val="tx1"/>
            </w14:solidFill>
          </w14:textFill>
        </w:rPr>
      </w:pPr>
      <w:r>
        <w:rPr>
          <w:rFonts w:hint="eastAsia" w:ascii="宋体" w:hAnsi="宋体" w:cs="宋体"/>
          <w:color w:val="000000" w:themeColor="text1"/>
          <w:sz w:val="24"/>
          <w:lang w:val="zh-TW" w:bidi="ar"/>
          <w14:textFill>
            <w14:solidFill>
              <w14:schemeClr w14:val="tx1"/>
            </w14:solidFill>
          </w14:textFill>
        </w:rPr>
        <w:t>全球数源中心数据流通应用基础设施的先行先试建设项目以全球溯源体系4.0版本为</w:t>
      </w:r>
      <w:r>
        <w:rPr>
          <w:rFonts w:hint="eastAsia" w:ascii="宋体" w:hAnsi="宋体" w:cs="宋体"/>
          <w:color w:val="000000" w:themeColor="text1"/>
          <w:sz w:val="24"/>
          <w:lang w:bidi="ar"/>
          <w14:textFill>
            <w14:solidFill>
              <w14:schemeClr w14:val="tx1"/>
            </w14:solidFill>
          </w14:textFill>
        </w:rPr>
        <w:t>基础</w:t>
      </w:r>
      <w:r>
        <w:rPr>
          <w:rFonts w:hint="eastAsia" w:ascii="宋体" w:hAnsi="宋体" w:cs="宋体"/>
          <w:color w:val="000000" w:themeColor="text1"/>
          <w:sz w:val="24"/>
          <w:lang w:val="zh-TW" w:bidi="ar"/>
          <w14:textFill>
            <w14:solidFill>
              <w14:schemeClr w14:val="tx1"/>
            </w14:solidFill>
          </w14:textFill>
        </w:rPr>
        <w:t>，以“分布自治、充分复用、互联互通、应用牵引”为原则，建设立足南沙、服务广州、辐射广东、链接全球的数据流通利用基础设施，形成开放互联、共用共赢的数据生态网络，为全国推动数据要素流通提供有力支撑和借鉴经验。本项目将建设数据流通利用基础设施底座、数场流通利用平台、数场管理平台，接入高速数据网，覆盖不少于3个行业，打造30个以上示范性强、带动性广的典型应用场景，支持5个以上重点行业的跨域数据流通利用，支持1000个数据流通利用主体接入，上架不少于2000个数据产品，其中30个公共数据产品，5个公共数据应用场景。</w:t>
      </w:r>
    </w:p>
    <w:p w14:paraId="1667B758">
      <w:pPr>
        <w:widowControl w:val="0"/>
        <w:tabs>
          <w:tab w:val="left" w:pos="420"/>
        </w:tabs>
        <w:autoSpaceDE w:val="0"/>
        <w:ind w:firstLine="420" w:firstLineChars="175"/>
        <w:jc w:val="both"/>
        <w:rPr>
          <w:rFonts w:ascii="宋体" w:hAnsi="宋体" w:cs="宋体"/>
          <w:color w:val="000000" w:themeColor="text1"/>
          <w:sz w:val="24"/>
          <w:lang w:val="zh-TW" w:bidi="ar"/>
          <w14:textFill>
            <w14:solidFill>
              <w14:schemeClr w14:val="tx1"/>
            </w14:solidFill>
          </w14:textFill>
        </w:rPr>
      </w:pPr>
      <w:r>
        <w:rPr>
          <w:rFonts w:hint="eastAsia" w:ascii="宋体" w:hAnsi="宋体" w:cs="宋体"/>
          <w:color w:val="000000" w:themeColor="text1"/>
          <w:sz w:val="24"/>
          <w:lang w:val="zh-TW" w:bidi="ar"/>
          <w14:textFill>
            <w14:solidFill>
              <w14:schemeClr w14:val="tx1"/>
            </w14:solidFill>
          </w14:textFill>
        </w:rPr>
        <w:t>分布自治方面。一是支持全国各区域分布式部署基础支撑平台，实现物理上分布式部署，逻辑上统一管理。二是面向数据提供方、数据服务方和第三方服务商等流通利用主体部署接入连接器，推动不少于1000家流通利用主体接入，实现数据端到端数据安全可控传输和使用控制。</w:t>
      </w:r>
    </w:p>
    <w:p w14:paraId="0EE527E8">
      <w:pPr>
        <w:widowControl w:val="0"/>
        <w:tabs>
          <w:tab w:val="left" w:pos="420"/>
        </w:tabs>
        <w:autoSpaceDE w:val="0"/>
        <w:ind w:firstLine="420" w:firstLineChars="175"/>
        <w:jc w:val="both"/>
        <w:rPr>
          <w:rFonts w:ascii="宋体" w:hAnsi="宋体" w:cs="宋体"/>
          <w:color w:val="000000" w:themeColor="text1"/>
          <w:sz w:val="24"/>
          <w:lang w:val="zh-TW" w:bidi="ar"/>
          <w14:textFill>
            <w14:solidFill>
              <w14:schemeClr w14:val="tx1"/>
            </w14:solidFill>
          </w14:textFill>
        </w:rPr>
      </w:pPr>
      <w:r>
        <w:rPr>
          <w:rFonts w:hint="eastAsia" w:ascii="宋体" w:hAnsi="宋体" w:cs="宋体"/>
          <w:color w:val="000000" w:themeColor="text1"/>
          <w:sz w:val="24"/>
          <w:lang w:val="zh-TW" w:bidi="ar"/>
          <w14:textFill>
            <w14:solidFill>
              <w14:schemeClr w14:val="tx1"/>
            </w14:solidFill>
          </w14:textFill>
        </w:rPr>
        <w:t>充分复用方面。一是依托数源已有平台建设数场流通利用平台，支持开展供需磋商、加工利用、交易结算和数据交付等业务。二是充分利用已有互联网资源，接入数据高速传输网，实现数据高效、安全传输，满足高带宽、低时延要求。</w:t>
      </w:r>
    </w:p>
    <w:p w14:paraId="484DECA6">
      <w:pPr>
        <w:widowControl w:val="0"/>
        <w:tabs>
          <w:tab w:val="left" w:pos="420"/>
        </w:tabs>
        <w:autoSpaceDE w:val="0"/>
        <w:ind w:firstLine="420" w:firstLineChars="175"/>
        <w:jc w:val="both"/>
        <w:rPr>
          <w:lang w:val="zh-TW"/>
        </w:rPr>
      </w:pPr>
      <w:r>
        <w:rPr>
          <w:rFonts w:hint="eastAsia" w:ascii="宋体" w:hAnsi="宋体" w:cs="宋体"/>
          <w:color w:val="000000" w:themeColor="text1"/>
          <w:sz w:val="24"/>
          <w:lang w:val="zh-TW" w:bidi="ar"/>
          <w14:textFill>
            <w14:solidFill>
              <w14:schemeClr w14:val="tx1"/>
            </w14:solidFill>
          </w14:textFill>
        </w:rPr>
        <w:t>互联互通方面。</w:t>
      </w:r>
      <w:r>
        <w:rPr>
          <w:rFonts w:hint="eastAsia" w:ascii="宋体" w:hAnsi="宋体" w:cs="宋体"/>
          <w:color w:val="000000" w:themeColor="text1"/>
          <w:sz w:val="24"/>
          <w:lang w:bidi="ar"/>
          <w14:textFill>
            <w14:solidFill>
              <w14:schemeClr w14:val="tx1"/>
            </w14:solidFill>
          </w14:textFill>
        </w:rPr>
        <w:t>基于数据基础设施参考架构、互联互通基本要求、用户身份管理和接入、标识管理、接入连接器技术要求、数据目录描述六项技术规范，</w:t>
      </w:r>
      <w:r>
        <w:rPr>
          <w:rFonts w:hint="eastAsia" w:ascii="宋体" w:hAnsi="宋体" w:cs="宋体"/>
          <w:color w:val="000000" w:themeColor="text1"/>
          <w:sz w:val="24"/>
          <w:lang w:val="zh-TW" w:bidi="ar"/>
          <w14:textFill>
            <w14:solidFill>
              <w14:schemeClr w14:val="tx1"/>
            </w14:solidFill>
          </w14:textFill>
        </w:rPr>
        <w:t>按照</w:t>
      </w:r>
      <w:r>
        <w:rPr>
          <w:rFonts w:hint="eastAsia" w:ascii="宋体" w:hAnsi="宋体" w:cs="宋体"/>
          <w:color w:val="000000" w:themeColor="text1"/>
          <w:sz w:val="24"/>
          <w:lang w:bidi="ar"/>
          <w14:textFill>
            <w14:solidFill>
              <w14:schemeClr w14:val="tx1"/>
            </w14:solidFill>
          </w14:textFill>
        </w:rPr>
        <w:t>目录、身份、标识等“三统一”</w:t>
      </w:r>
      <w:r>
        <w:rPr>
          <w:rFonts w:hint="eastAsia" w:ascii="宋体" w:hAnsi="宋体" w:cs="宋体"/>
          <w:color w:val="000000" w:themeColor="text1"/>
          <w:sz w:val="24"/>
          <w:lang w:val="zh-TW" w:bidi="ar"/>
          <w14:textFill>
            <w14:solidFill>
              <w14:schemeClr w14:val="tx1"/>
            </w14:solidFill>
          </w14:textFill>
        </w:rPr>
        <w:t>要求</w:t>
      </w:r>
      <w:r>
        <w:rPr>
          <w:rFonts w:hint="eastAsia" w:ascii="宋体" w:hAnsi="宋体" w:cs="宋体"/>
          <w:color w:val="000000" w:themeColor="text1"/>
          <w:sz w:val="24"/>
          <w:lang w:bidi="ar"/>
          <w14:textFill>
            <w14:solidFill>
              <w14:schemeClr w14:val="tx1"/>
            </w14:solidFill>
          </w14:textFill>
        </w:rPr>
        <w:t>实现互联互通</w:t>
      </w:r>
      <w:r>
        <w:rPr>
          <w:rFonts w:hint="eastAsia" w:ascii="宋体" w:hAnsi="宋体" w:cs="宋体"/>
          <w:color w:val="000000" w:themeColor="text1"/>
          <w:sz w:val="24"/>
          <w:lang w:val="zh-TW" w:bidi="ar"/>
          <w14:textFill>
            <w14:solidFill>
              <w14:schemeClr w14:val="tx1"/>
            </w14:solidFill>
          </w14:textFill>
        </w:rPr>
        <w:t>，以分布式形式面向不同区域建设区域支撑平台，并与数场管理平台对接，实现域内自治、跨域数据互通。</w:t>
      </w:r>
    </w:p>
    <w:p w14:paraId="55ADC4D2">
      <w:pPr>
        <w:widowControl w:val="0"/>
        <w:numPr>
          <w:ilvl w:val="255"/>
          <w:numId w:val="0"/>
        </w:numPr>
        <w:tabs>
          <w:tab w:val="left" w:pos="420"/>
        </w:tabs>
        <w:autoSpaceDE w:val="0"/>
        <w:adjustRightInd/>
        <w:snapToGrid/>
        <w:ind w:firstLine="420" w:firstLineChars="175"/>
        <w:jc w:val="both"/>
        <w:rPr>
          <w:rFonts w:ascii="宋体" w:hAnsi="宋体" w:cs="宋体"/>
          <w:color w:val="000000" w:themeColor="text1"/>
          <w:sz w:val="24"/>
          <w:lang w:val="zh-TW" w:bidi="ar"/>
          <w14:textFill>
            <w14:solidFill>
              <w14:schemeClr w14:val="tx1"/>
            </w14:solidFill>
          </w14:textFill>
        </w:rPr>
      </w:pPr>
      <w:r>
        <w:rPr>
          <w:rFonts w:hint="eastAsia" w:ascii="宋体" w:hAnsi="宋体" w:cs="宋体"/>
          <w:color w:val="000000" w:themeColor="text1"/>
          <w:sz w:val="24"/>
          <w:lang w:val="zh-TW" w:bidi="ar"/>
          <w14:textFill>
            <w14:solidFill>
              <w14:schemeClr w14:val="tx1"/>
            </w14:solidFill>
          </w14:textFill>
        </w:rPr>
        <w:t>应用牵引方面。以物品信息转化为数据生产资料为核心，打造30个以上示范性强、带动性广的典型应用场景，孵化发布不少于2000个数据产品，其中30个公共数据产品，5个公共数据应用场景。</w:t>
      </w:r>
    </w:p>
    <w:p w14:paraId="2406B5C5">
      <w:pPr>
        <w:widowControl w:val="0"/>
        <w:numPr>
          <w:ilvl w:val="255"/>
          <w:numId w:val="0"/>
        </w:numPr>
        <w:tabs>
          <w:tab w:val="left" w:pos="420"/>
        </w:tabs>
        <w:autoSpaceDE w:val="0"/>
        <w:ind w:firstLine="420" w:firstLineChars="175"/>
        <w:jc w:val="both"/>
        <w:rPr>
          <w:rFonts w:ascii="宋体" w:hAnsi="宋体" w:cs="宋体"/>
          <w:color w:val="000000" w:themeColor="text1"/>
          <w:sz w:val="24"/>
          <w:lang w:val="zh-TW" w:bidi="ar"/>
          <w14:textFill>
            <w14:solidFill>
              <w14:schemeClr w14:val="tx1"/>
            </w14:solidFill>
          </w14:textFill>
        </w:rPr>
      </w:pPr>
      <w:r>
        <w:rPr>
          <w:rFonts w:hint="eastAsia" w:ascii="宋体" w:hAnsi="宋体" w:cs="宋体"/>
          <w:color w:val="000000" w:themeColor="text1"/>
          <w:sz w:val="24"/>
          <w:lang w:val="zh-TW" w:bidi="ar"/>
          <w14:textFill>
            <w14:solidFill>
              <w14:schemeClr w14:val="tx1"/>
            </w14:solidFill>
          </w14:textFill>
        </w:rPr>
        <w:t>对于数据流通存在的标准割裂、主体互信不足、跨境传输合规性不足、</w:t>
      </w:r>
      <w:r>
        <w:rPr>
          <w:rFonts w:hint="eastAsia" w:ascii="宋体" w:hAnsi="宋体" w:cs="宋体"/>
          <w:color w:val="000000" w:themeColor="text1"/>
          <w:sz w:val="24"/>
          <w:lang w:bidi="ar"/>
          <w14:textFill>
            <w14:solidFill>
              <w14:schemeClr w14:val="tx1"/>
            </w14:solidFill>
          </w14:textFill>
        </w:rPr>
        <w:t>数据责任和权益、数据争议、数据安全</w:t>
      </w:r>
      <w:r>
        <w:rPr>
          <w:rFonts w:hint="eastAsia" w:ascii="宋体" w:hAnsi="宋体" w:cs="宋体"/>
          <w:color w:val="000000" w:themeColor="text1"/>
          <w:sz w:val="24"/>
          <w:lang w:val="zh-TW" w:bidi="ar"/>
          <w14:textFill>
            <w14:solidFill>
              <w14:schemeClr w14:val="tx1"/>
            </w14:solidFill>
          </w14:textFill>
        </w:rPr>
        <w:t>等突出问题，构建全球数源中心“点、线、面、场”数据流通利用体系，为数据流通参与各方提供身份统一、数据目录共享、数据流通管理、数据权益登记、数据要素流通应用、数据安全可控等服务，打造支持产业数字化、数字产业化和数据价值化的综合性数据流通利用基础设施。</w:t>
      </w:r>
    </w:p>
    <w:p w14:paraId="3066C960">
      <w:pPr>
        <w:widowControl w:val="0"/>
        <w:numPr>
          <w:ilvl w:val="255"/>
          <w:numId w:val="0"/>
        </w:numPr>
        <w:tabs>
          <w:tab w:val="left" w:pos="420"/>
        </w:tabs>
        <w:autoSpaceDE w:val="0"/>
        <w:ind w:firstLine="420" w:firstLineChars="175"/>
        <w:jc w:val="both"/>
        <w:rPr>
          <w:rFonts w:ascii="宋体" w:hAnsi="宋体" w:cs="宋体"/>
          <w:b/>
          <w:bCs/>
          <w:color w:val="000000" w:themeColor="text1"/>
          <w:sz w:val="24"/>
          <w:lang w:val="zh-TW"/>
          <w14:textFill>
            <w14:solidFill>
              <w14:schemeClr w14:val="tx1"/>
            </w14:solidFill>
          </w14:textFill>
        </w:rPr>
      </w:pPr>
      <w:r>
        <w:rPr>
          <w:rFonts w:hint="eastAsia" w:ascii="宋体" w:hAnsi="宋体" w:cs="宋体"/>
          <w:color w:val="000000" w:themeColor="text1"/>
          <w:sz w:val="24"/>
          <w:lang w:val="zh-TW" w:bidi="ar"/>
          <w14:textFill>
            <w14:solidFill>
              <w14:schemeClr w14:val="tx1"/>
            </w14:solidFill>
          </w14:textFill>
        </w:rPr>
        <w:t>本次项目需充分调研全球数源中心现状与用户需求，结合国家新型数据基础设施建设技术发展方向，按照广州市政务信息化主管单位相应规范要求编制形成全球数源中心数据流通利用基础设施先行先试项目设计方案。</w:t>
      </w:r>
    </w:p>
    <w:p w14:paraId="2DFB413B">
      <w:pPr>
        <w:numPr>
          <w:ilvl w:val="0"/>
          <w:numId w:val="4"/>
        </w:numPr>
        <w:ind w:firstLine="422" w:firstLineChars="175"/>
        <w:jc w:val="both"/>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项目服务内容</w:t>
      </w:r>
    </w:p>
    <w:p w14:paraId="4A95B0BC">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一</w:t>
      </w:r>
      <w:r>
        <w:rPr>
          <w:rFonts w:ascii="宋体" w:hAnsi="宋体" w:cs="宋体"/>
          <w:color w:val="000000" w:themeColor="text1"/>
          <w:sz w:val="24"/>
          <w14:textFill>
            <w14:solidFill>
              <w14:schemeClr w14:val="tx1"/>
            </w14:solidFill>
          </w14:textFill>
        </w:rPr>
        <w:t>）项目方案编制服务</w:t>
      </w:r>
    </w:p>
    <w:p w14:paraId="55C5AB54">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编制全球数源中心数据流通利用基础设施先行先试项目设计方案（含投资概算）。方案编制设计咨询服务需要</w:t>
      </w:r>
      <w:r>
        <w:rPr>
          <w:rFonts w:hint="eastAsia" w:ascii="宋体" w:hAnsi="宋体" w:cs="宋体"/>
          <w:color w:val="000000" w:themeColor="text1"/>
          <w:sz w:val="24"/>
          <w14:textFill>
            <w14:solidFill>
              <w14:schemeClr w14:val="tx1"/>
            </w14:solidFill>
          </w14:textFill>
        </w:rPr>
        <w:t>依据项目实际情况，</w:t>
      </w:r>
      <w:r>
        <w:rPr>
          <w:rFonts w:ascii="宋体" w:hAnsi="宋体" w:cs="宋体"/>
          <w:color w:val="000000" w:themeColor="text1"/>
          <w:sz w:val="24"/>
          <w14:textFill>
            <w14:solidFill>
              <w14:schemeClr w14:val="tx1"/>
            </w14:solidFill>
          </w14:textFill>
        </w:rPr>
        <w:t>针对试点任务的点、线、面、场及安全治理五个方面信息平台建设要求，结合</w:t>
      </w:r>
      <w:r>
        <w:rPr>
          <w:rFonts w:hint="eastAsia" w:ascii="宋体" w:hAnsi="宋体" w:cs="宋体"/>
          <w:color w:val="000000" w:themeColor="text1"/>
          <w:sz w:val="24"/>
          <w14:textFill>
            <w14:solidFill>
              <w14:schemeClr w14:val="tx1"/>
            </w14:solidFill>
          </w14:textFill>
        </w:rPr>
        <w:t>全球</w:t>
      </w:r>
      <w:r>
        <w:rPr>
          <w:rFonts w:ascii="宋体" w:hAnsi="宋体" w:cs="宋体"/>
          <w:color w:val="000000" w:themeColor="text1"/>
          <w:sz w:val="24"/>
          <w14:textFill>
            <w14:solidFill>
              <w14:schemeClr w14:val="tx1"/>
            </w14:solidFill>
          </w14:textFill>
        </w:rPr>
        <w:t>数源中心现有平台基础，</w:t>
      </w:r>
      <w:r>
        <w:rPr>
          <w:rFonts w:hint="eastAsia" w:ascii="宋体" w:hAnsi="宋体" w:cs="宋体"/>
          <w:color w:val="000000" w:themeColor="text1"/>
          <w:sz w:val="24"/>
          <w14:textFill>
            <w14:solidFill>
              <w14:schemeClr w14:val="tx1"/>
            </w14:solidFill>
          </w14:textFill>
        </w:rPr>
        <w:t>设计详细建设方案，包括但不限于</w:t>
      </w:r>
      <w:r>
        <w:rPr>
          <w:rFonts w:ascii="宋体" w:hAnsi="宋体" w:cs="宋体"/>
          <w:color w:val="000000" w:themeColor="text1"/>
          <w:sz w:val="24"/>
          <w14:textFill>
            <w14:solidFill>
              <w14:schemeClr w14:val="tx1"/>
            </w14:solidFill>
          </w14:textFill>
        </w:rPr>
        <w:t>确定工程项目的需求、目标、范围、主要内容、总体技术方案和实施方案、人员组织保障、项目执行计划、实施进度</w:t>
      </w:r>
      <w:r>
        <w:rPr>
          <w:rFonts w:hint="eastAsia" w:ascii="宋体" w:hAnsi="宋体" w:cs="宋体"/>
          <w:color w:val="000000" w:themeColor="text1"/>
          <w:sz w:val="24"/>
          <w14:textFill>
            <w14:solidFill>
              <w14:schemeClr w14:val="tx1"/>
            </w14:solidFill>
          </w14:textFill>
        </w:rPr>
        <w:t>、安全设计、运行管理、投资概算、风险效益、绩效目标</w:t>
      </w:r>
      <w:r>
        <w:rPr>
          <w:rFonts w:ascii="宋体" w:hAnsi="宋体" w:cs="宋体"/>
          <w:color w:val="000000" w:themeColor="text1"/>
          <w:sz w:val="24"/>
          <w14:textFill>
            <w14:solidFill>
              <w14:schemeClr w14:val="tx1"/>
            </w14:solidFill>
          </w14:textFill>
        </w:rPr>
        <w:t>等，</w:t>
      </w:r>
      <w:r>
        <w:rPr>
          <w:rFonts w:hint="eastAsia" w:ascii="宋体" w:hAnsi="宋体" w:cs="宋体"/>
          <w:color w:val="000000" w:themeColor="text1"/>
          <w:sz w:val="24"/>
          <w14:textFill>
            <w14:solidFill>
              <w14:schemeClr w14:val="tx1"/>
            </w14:solidFill>
          </w14:textFill>
        </w:rPr>
        <w:t>需</w:t>
      </w:r>
      <w:r>
        <w:rPr>
          <w:rFonts w:ascii="宋体" w:hAnsi="宋体" w:cs="宋体"/>
          <w:color w:val="000000" w:themeColor="text1"/>
          <w:sz w:val="24"/>
          <w14:textFill>
            <w14:solidFill>
              <w14:schemeClr w14:val="tx1"/>
            </w14:solidFill>
          </w14:textFill>
        </w:rPr>
        <w:t>深化理解用户需求，确保设计的完整性、先进性、合规性。</w:t>
      </w:r>
    </w:p>
    <w:p w14:paraId="1D15AE30">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二</w:t>
      </w:r>
      <w:r>
        <w:rPr>
          <w:rFonts w:ascii="宋体" w:hAnsi="宋体" w:cs="宋体"/>
          <w:color w:val="000000" w:themeColor="text1"/>
          <w:sz w:val="24"/>
          <w14:textFill>
            <w14:solidFill>
              <w14:schemeClr w14:val="tx1"/>
            </w14:solidFill>
          </w14:textFill>
        </w:rPr>
        <w:t>）内部审核及修改完善</w:t>
      </w:r>
    </w:p>
    <w:p w14:paraId="4ED59DFF">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设计单位完成编制的成果物提交采购人内部审核</w:t>
      </w:r>
      <w:r>
        <w:rPr>
          <w:rFonts w:hint="eastAsia" w:ascii="宋体" w:hAnsi="宋体" w:cs="宋体"/>
          <w:color w:val="000000" w:themeColor="text1"/>
          <w:sz w:val="24"/>
          <w:lang w:val="en-US" w:eastAsia="zh-CN"/>
          <w14:textFill>
            <w14:solidFill>
              <w14:schemeClr w14:val="tx1"/>
            </w14:solidFill>
          </w14:textFill>
        </w:rPr>
        <w:t>并协助采购人向各级数据主管部门汇报</w:t>
      </w:r>
      <w:r>
        <w:rPr>
          <w:rFonts w:ascii="宋体" w:hAnsi="宋体" w:cs="宋体"/>
          <w:color w:val="000000" w:themeColor="text1"/>
          <w:sz w:val="24"/>
          <w14:textFill>
            <w14:solidFill>
              <w14:schemeClr w14:val="tx1"/>
            </w14:solidFill>
          </w14:textFill>
        </w:rPr>
        <w:t>，根据内部审核</w:t>
      </w:r>
      <w:r>
        <w:rPr>
          <w:rFonts w:hint="eastAsia" w:ascii="宋体" w:hAnsi="宋体" w:cs="宋体"/>
          <w:color w:val="000000" w:themeColor="text1"/>
          <w:sz w:val="24"/>
          <w14:textFill>
            <w14:solidFill>
              <w14:schemeClr w14:val="tx1"/>
            </w14:solidFill>
          </w14:textFill>
        </w:rPr>
        <w:t>及汇报意见</w:t>
      </w:r>
      <w:r>
        <w:rPr>
          <w:rFonts w:ascii="宋体" w:hAnsi="宋体" w:cs="宋体"/>
          <w:color w:val="000000" w:themeColor="text1"/>
          <w:sz w:val="24"/>
          <w14:textFill>
            <w14:solidFill>
              <w14:schemeClr w14:val="tx1"/>
            </w14:solidFill>
          </w14:textFill>
        </w:rPr>
        <w:t>，对成果物进行修改完善。</w:t>
      </w:r>
    </w:p>
    <w:p w14:paraId="181BF208">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三</w:t>
      </w:r>
      <w:r>
        <w:rPr>
          <w:rFonts w:ascii="宋体" w:hAnsi="宋体" w:cs="宋体"/>
          <w:color w:val="000000" w:themeColor="text1"/>
          <w:sz w:val="24"/>
          <w14:textFill>
            <w14:solidFill>
              <w14:schemeClr w14:val="tx1"/>
            </w14:solidFill>
          </w14:textFill>
        </w:rPr>
        <w:t>）专家评审并修改完善</w:t>
      </w:r>
    </w:p>
    <w:p w14:paraId="395ECC0D">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采购人在设计各阶段组织专家对成果物进行评审,设计单位协助采购人开展专家评审，并根据专家意见修改完善。</w:t>
      </w:r>
    </w:p>
    <w:p w14:paraId="73C2A03A">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方案咨询讲解</w:t>
      </w:r>
      <w:r>
        <w:rPr>
          <w:rFonts w:ascii="宋体" w:hAnsi="宋体" w:cs="宋体"/>
          <w:color w:val="000000" w:themeColor="text1"/>
          <w:sz w:val="24"/>
          <w14:textFill>
            <w14:solidFill>
              <w14:schemeClr w14:val="tx1"/>
            </w14:solidFill>
          </w14:textFill>
        </w:rPr>
        <w:t>并</w:t>
      </w:r>
      <w:r>
        <w:rPr>
          <w:rFonts w:hint="eastAsia" w:ascii="宋体" w:hAnsi="宋体" w:cs="宋体"/>
          <w:color w:val="000000" w:themeColor="text1"/>
          <w:sz w:val="24"/>
          <w14:textFill>
            <w14:solidFill>
              <w14:schemeClr w14:val="tx1"/>
            </w14:solidFill>
          </w14:textFill>
        </w:rPr>
        <w:t>指导项目落地</w:t>
      </w:r>
    </w:p>
    <w:p w14:paraId="200762E4">
      <w:pPr>
        <w:ind w:firstLine="480" w:firstLineChars="200"/>
        <w:jc w:val="both"/>
        <w:rPr>
          <w:color w:val="000000" w:themeColor="text1"/>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从项目建设开始至试点项目验收</w:t>
      </w:r>
      <w:r>
        <w:rPr>
          <w:rFonts w:hint="eastAsia" w:ascii="宋体" w:hAnsi="宋体" w:cs="宋体"/>
          <w:color w:val="000000" w:themeColor="text1"/>
          <w:sz w:val="24"/>
          <w:lang w:eastAsia="zh-CN"/>
          <w14:textFill>
            <w14:solidFill>
              <w14:schemeClr w14:val="tx1"/>
            </w14:solidFill>
          </w14:textFill>
        </w:rPr>
        <w:t>，</w:t>
      </w:r>
      <w:r>
        <w:rPr>
          <w:rFonts w:ascii="宋体" w:hAnsi="宋体" w:cs="宋体"/>
          <w:color w:val="000000" w:themeColor="text1"/>
          <w:sz w:val="24"/>
          <w14:textFill>
            <w14:solidFill>
              <w14:schemeClr w14:val="tx1"/>
            </w14:solidFill>
          </w14:textFill>
        </w:rPr>
        <w:t>设计单位协助采购人</w:t>
      </w:r>
      <w:r>
        <w:rPr>
          <w:rFonts w:hint="eastAsia" w:ascii="宋体" w:hAnsi="宋体" w:cs="宋体"/>
          <w:color w:val="000000" w:themeColor="text1"/>
          <w:sz w:val="24"/>
          <w14:textFill>
            <w14:solidFill>
              <w14:schemeClr w14:val="tx1"/>
            </w14:solidFill>
          </w14:textFill>
        </w:rPr>
        <w:t>向项目实施单位</w:t>
      </w:r>
      <w:r>
        <w:rPr>
          <w:rFonts w:ascii="宋体" w:hAnsi="宋体" w:cs="宋体"/>
          <w:color w:val="000000" w:themeColor="text1"/>
          <w:sz w:val="24"/>
          <w14:textFill>
            <w14:solidFill>
              <w14:schemeClr w14:val="tx1"/>
            </w14:solidFill>
          </w14:textFill>
        </w:rPr>
        <w:t>开展</w:t>
      </w:r>
      <w:r>
        <w:rPr>
          <w:rFonts w:hint="eastAsia" w:ascii="宋体" w:hAnsi="宋体" w:cs="宋体"/>
          <w:color w:val="000000" w:themeColor="text1"/>
          <w:sz w:val="24"/>
          <w14:textFill>
            <w14:solidFill>
              <w14:schemeClr w14:val="tx1"/>
            </w14:solidFill>
          </w14:textFill>
        </w:rPr>
        <w:t>设计方案咨询讲解，并持续跟踪指导项目实施落地。</w:t>
      </w:r>
    </w:p>
    <w:p w14:paraId="23829EFD">
      <w:pPr>
        <w:numPr>
          <w:ilvl w:val="0"/>
          <w:numId w:val="4"/>
        </w:numPr>
        <w:ind w:firstLine="422" w:firstLineChars="175"/>
        <w:jc w:val="both"/>
        <w:outlineLvl w:val="1"/>
        <w:rPr>
          <w:rFonts w:ascii="宋体" w:hAnsi="宋体" w:cs="宋体"/>
          <w:b/>
          <w:bCs/>
          <w:color w:val="000000" w:themeColor="text1"/>
          <w:sz w:val="24"/>
          <w:lang w:val="zh-TW"/>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项目服务成果</w:t>
      </w:r>
    </w:p>
    <w:p w14:paraId="2FE841E7">
      <w:pPr>
        <w:spacing w:line="480" w:lineRule="auto"/>
        <w:ind w:firstLine="480" w:firstLineChars="200"/>
        <w:jc w:val="both"/>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编制全球数源中心数据流通利用基础设施先行先试项目设计方案(含投资概算)。</w:t>
      </w:r>
    </w:p>
    <w:p w14:paraId="064FCFEC">
      <w:pPr>
        <w:numPr>
          <w:ilvl w:val="0"/>
          <w:numId w:val="4"/>
        </w:numPr>
        <w:ind w:firstLine="422" w:firstLineChars="175"/>
        <w:jc w:val="both"/>
        <w:outlineLvl w:val="1"/>
        <w:rPr>
          <w:rFonts w:ascii="宋体" w:hAnsi="宋体" w:cs="宋体"/>
          <w:b/>
          <w:bCs/>
          <w:color w:val="000000" w:themeColor="text1"/>
          <w:sz w:val="24"/>
          <w:lang w:val="zh-TW"/>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项目要求</w:t>
      </w:r>
    </w:p>
    <w:p w14:paraId="775FA209">
      <w:pPr>
        <w:numPr>
          <w:ilvl w:val="0"/>
          <w:numId w:val="5"/>
        </w:num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项目经理要求</w:t>
      </w:r>
    </w:p>
    <w:p w14:paraId="4E52B4CC">
      <w:pPr>
        <w:numPr>
          <w:ilvl w:val="0"/>
          <w:numId w:val="0"/>
        </w:numPr>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项目经理须全职负责本项目，</w:t>
      </w:r>
      <w:r>
        <w:rPr>
          <w:rFonts w:ascii="Segoe UI" w:hAnsi="Segoe UI" w:cs="Segoe UI"/>
          <w:sz w:val="23"/>
          <w:szCs w:val="23"/>
          <w:shd w:val="clear" w:color="auto" w:fill="FCFCFC"/>
        </w:rPr>
        <w:t>未经许可不得更换或兼任其他项目，否则视为违约</w:t>
      </w:r>
      <w:r>
        <w:rPr>
          <w:rFonts w:hint="eastAsia" w:ascii="宋体" w:hAnsi="宋体" w:cs="宋体"/>
          <w:color w:val="000000" w:themeColor="text1"/>
          <w:sz w:val="24"/>
          <w14:textFill>
            <w14:solidFill>
              <w14:schemeClr w14:val="tx1"/>
            </w14:solidFill>
          </w14:textFill>
        </w:rPr>
        <w:t>。</w:t>
      </w:r>
    </w:p>
    <w:p w14:paraId="355FB068">
      <w:pPr>
        <w:numPr>
          <w:ilvl w:val="0"/>
          <w:numId w:val="5"/>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核心团队人员</w:t>
      </w:r>
      <w:r>
        <w:rPr>
          <w:rFonts w:hint="eastAsia" w:ascii="宋体" w:hAnsi="宋体" w:cs="宋体"/>
          <w:color w:val="000000" w:themeColor="text1"/>
          <w:sz w:val="24"/>
          <w14:textFill>
            <w14:solidFill>
              <w14:schemeClr w14:val="tx1"/>
            </w14:solidFill>
          </w14:textFill>
        </w:rPr>
        <w:t>要求</w:t>
      </w:r>
    </w:p>
    <w:p w14:paraId="5792FB17">
      <w:pPr>
        <w:spacing w:line="360" w:lineRule="auto"/>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设计方案核心团队人员</w:t>
      </w:r>
      <w:r>
        <w:rPr>
          <w:rFonts w:hint="eastAsia" w:ascii="宋体" w:hAnsi="宋体" w:cs="宋体"/>
          <w:color w:val="000000" w:themeColor="text1"/>
          <w:sz w:val="24"/>
          <w14:textFill>
            <w14:solidFill>
              <w14:schemeClr w14:val="tx1"/>
            </w14:solidFill>
          </w14:textFill>
        </w:rPr>
        <w:t>至少</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人以上，要求</w:t>
      </w:r>
      <w:r>
        <w:rPr>
          <w:rFonts w:ascii="宋体" w:hAnsi="宋体" w:cs="宋体"/>
          <w:color w:val="000000" w:themeColor="text1"/>
          <w:sz w:val="24"/>
          <w14:textFill>
            <w14:solidFill>
              <w14:schemeClr w14:val="tx1"/>
            </w14:solidFill>
          </w14:textFill>
        </w:rPr>
        <w:t>不少于三个数据流通类</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包括但不限于数场、数据空间等</w:t>
      </w:r>
      <w:r>
        <w:rPr>
          <w:rFonts w:hint="eastAsia" w:ascii="宋体" w:hAnsi="宋体" w:cs="宋体"/>
          <w:color w:val="000000" w:themeColor="text1"/>
          <w:sz w:val="24"/>
          <w:lang w:eastAsia="zh-CN"/>
          <w14:textFill>
            <w14:solidFill>
              <w14:schemeClr w14:val="tx1"/>
            </w14:solidFill>
          </w14:textFill>
        </w:rPr>
        <w:t>）</w:t>
      </w:r>
      <w:r>
        <w:rPr>
          <w:rFonts w:ascii="宋体" w:hAnsi="宋体" w:cs="宋体"/>
          <w:color w:val="000000" w:themeColor="text1"/>
          <w:sz w:val="24"/>
          <w14:textFill>
            <w14:solidFill>
              <w14:schemeClr w14:val="tx1"/>
            </w14:solidFill>
          </w14:textFill>
        </w:rPr>
        <w:t>项目设计经验</w:t>
      </w:r>
      <w:r>
        <w:rPr>
          <w:rFonts w:hint="eastAsia" w:ascii="宋体" w:hAnsi="宋体" w:cs="宋体"/>
          <w:color w:val="000000" w:themeColor="text1"/>
          <w:sz w:val="24"/>
          <w14:textFill>
            <w14:solidFill>
              <w14:schemeClr w14:val="tx1"/>
            </w14:solidFill>
          </w14:textFill>
        </w:rPr>
        <w:t>，以提供相关合同业绩或项目经历证明材料为准。</w:t>
      </w:r>
    </w:p>
    <w:p w14:paraId="6A54AA6E">
      <w:pPr>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设计方案编制过程中，核心团队人员的离项需要提前一个月申请且征得</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同意后方可离项。</w:t>
      </w:r>
    </w:p>
    <w:p w14:paraId="41DE7C1C">
      <w:pPr>
        <w:numPr>
          <w:ilvl w:val="0"/>
          <w:numId w:val="5"/>
        </w:num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驻场要求</w:t>
      </w:r>
    </w:p>
    <w:p w14:paraId="55D23CB9">
      <w:pPr>
        <w:spacing w:line="360" w:lineRule="auto"/>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方案设计阶段要求不少于2人驻场，在项目实施过程中</w:t>
      </w:r>
      <w:r>
        <w:rPr>
          <w:rFonts w:hint="eastAsia" w:ascii="宋体" w:hAnsi="宋体" w:cs="宋体"/>
          <w:color w:val="000000" w:themeColor="text1"/>
          <w:sz w:val="24"/>
          <w14:textFill>
            <w14:solidFill>
              <w14:schemeClr w14:val="tx1"/>
            </w14:solidFill>
          </w14:textFill>
        </w:rPr>
        <w:t>若涉及到设计方案</w:t>
      </w:r>
      <w:r>
        <w:rPr>
          <w:rFonts w:hint="eastAsia" w:ascii="宋体" w:hAnsi="宋体" w:cs="宋体"/>
          <w:color w:val="000000" w:themeColor="text1"/>
          <w:sz w:val="24"/>
          <w:lang w:val="en-US" w:eastAsia="zh-CN"/>
          <w14:textFill>
            <w14:solidFill>
              <w14:schemeClr w14:val="tx1"/>
            </w14:solidFill>
          </w14:textFill>
        </w:rPr>
        <w:t>应派员</w:t>
      </w:r>
      <w:r>
        <w:rPr>
          <w:rFonts w:hint="eastAsia" w:ascii="宋体" w:hAnsi="宋体" w:cs="宋体"/>
          <w:color w:val="000000" w:themeColor="text1"/>
          <w:sz w:val="24"/>
          <w14:textFill>
            <w14:solidFill>
              <w14:schemeClr w14:val="tx1"/>
            </w14:solidFill>
          </w14:textFill>
        </w:rPr>
        <w:t>现场参与</w:t>
      </w:r>
      <w:r>
        <w:rPr>
          <w:rFonts w:ascii="宋体" w:hAnsi="宋体" w:cs="宋体"/>
          <w:color w:val="000000" w:themeColor="text1"/>
          <w:sz w:val="24"/>
          <w14:textFill>
            <w14:solidFill>
              <w14:schemeClr w14:val="tx1"/>
            </w14:solidFill>
          </w14:textFill>
        </w:rPr>
        <w:t>。</w:t>
      </w:r>
    </w:p>
    <w:p w14:paraId="2EF86D38">
      <w:pPr>
        <w:numPr>
          <w:ilvl w:val="0"/>
          <w:numId w:val="4"/>
        </w:numPr>
        <w:ind w:firstLine="422" w:firstLineChars="175"/>
        <w:jc w:val="both"/>
        <w:outlineLvl w:val="1"/>
        <w:rPr>
          <w:rFonts w:ascii="宋体" w:hAnsi="宋体" w:cs="宋体"/>
          <w:b/>
          <w:bCs/>
          <w:color w:val="000000" w:themeColor="text1"/>
          <w:sz w:val="24"/>
          <w:lang w:val="zh-TW"/>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项目工期</w:t>
      </w:r>
    </w:p>
    <w:p w14:paraId="015588B5">
      <w:pPr>
        <w:widowControl w:val="0"/>
        <w:ind w:firstLine="420" w:firstLineChars="175"/>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设计方案（含投资概算）应自合同签订之日起2个月内完成，项目整体工期至试点项目验收之日。</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73D325E0">
      <w:pPr>
        <w:jc w:val="both"/>
        <w:rPr>
          <w:b/>
          <w:bCs/>
          <w:color w:val="000000" w:themeColor="text1"/>
          <w:kern w:val="44"/>
          <w:sz w:val="30"/>
          <w:szCs w:val="30"/>
          <w14:textFill>
            <w14:solidFill>
              <w14:schemeClr w14:val="tx1"/>
            </w14:solidFill>
          </w14:textFill>
        </w:rPr>
      </w:pPr>
      <w:bookmarkStart w:id="51" w:name="_Toc157590367"/>
      <w:bookmarkStart w:id="52" w:name="_Toc45532487"/>
      <w:bookmarkStart w:id="53" w:name="_Hlk47596327"/>
      <w:r>
        <w:rPr>
          <w:rFonts w:hint="eastAsia"/>
          <w:b/>
          <w:bCs/>
          <w:color w:val="000000" w:themeColor="text1"/>
          <w:kern w:val="44"/>
          <w:sz w:val="30"/>
          <w:szCs w:val="30"/>
          <w14:textFill>
            <w14:solidFill>
              <w14:schemeClr w14:val="tx1"/>
            </w14:solidFill>
          </w14:textFill>
        </w:rPr>
        <w:br w:type="page"/>
      </w:r>
    </w:p>
    <w:p w14:paraId="4A01AAD2">
      <w:pPr>
        <w:keepNext/>
        <w:keepLines/>
        <w:numPr>
          <w:ilvl w:val="0"/>
          <w:numId w:val="6"/>
        </w:numPr>
        <w:tabs>
          <w:tab w:val="clear" w:pos="360"/>
        </w:tabs>
        <w:jc w:val="center"/>
        <w:outlineLvl w:val="0"/>
        <w:rPr>
          <w:b/>
          <w:bCs/>
          <w:color w:val="000000" w:themeColor="text1"/>
          <w:kern w:val="44"/>
          <w:sz w:val="30"/>
          <w:szCs w:val="30"/>
          <w14:textFill>
            <w14:solidFill>
              <w14:schemeClr w14:val="tx1"/>
            </w14:solidFill>
          </w14:textFill>
        </w:rPr>
      </w:pPr>
      <w:bookmarkStart w:id="54" w:name="_Toc6431"/>
      <w:bookmarkStart w:id="55" w:name="_Toc3461"/>
      <w:r>
        <w:rPr>
          <w:rFonts w:hint="eastAsia"/>
          <w:b/>
          <w:bCs/>
          <w:color w:val="000000" w:themeColor="text1"/>
          <w:kern w:val="44"/>
          <w:sz w:val="30"/>
          <w:szCs w:val="30"/>
          <w14:textFill>
            <w14:solidFill>
              <w14:schemeClr w14:val="tx1"/>
            </w14:solidFill>
          </w14:textFill>
        </w:rPr>
        <w:t>合同格式</w:t>
      </w:r>
      <w:bookmarkEnd w:id="51"/>
      <w:bookmarkEnd w:id="54"/>
      <w:bookmarkEnd w:id="55"/>
    </w:p>
    <w:p w14:paraId="684594D5">
      <w:pPr>
        <w:keepNext/>
        <w:keepLines/>
        <w:tabs>
          <w:tab w:val="clear" w:pos="360"/>
        </w:tabs>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（本合同格式仅供参考，具体内容以最终签署的合同为准）</w:t>
      </w:r>
    </w:p>
    <w:p w14:paraId="009608CD">
      <w:pPr>
        <w:keepNext/>
        <w:keepLines/>
        <w:jc w:val="right"/>
        <w:rPr>
          <w:rFonts w:ascii="宋体" w:hAnsi="宋体" w:cs="宋体"/>
          <w:color w:val="000000" w:themeColor="text1"/>
          <w:sz w:val="24"/>
          <w14:textFill>
            <w14:solidFill>
              <w14:schemeClr w14:val="tx1"/>
            </w14:solidFill>
          </w14:textFill>
        </w:rPr>
      </w:pPr>
    </w:p>
    <w:p w14:paraId="08A24427">
      <w:pPr>
        <w:widowControl w:val="0"/>
        <w:jc w:val="center"/>
        <w:rPr>
          <w:rFonts w:ascii="宋体" w:hAnsi="宋体" w:cs="宋体"/>
          <w:b/>
          <w:color w:val="000000" w:themeColor="text1"/>
          <w:sz w:val="44"/>
          <w:szCs w:val="44"/>
          <w14:textFill>
            <w14:solidFill>
              <w14:schemeClr w14:val="tx1"/>
            </w14:solidFill>
          </w14:textFill>
        </w:rPr>
      </w:pPr>
    </w:p>
    <w:p w14:paraId="160967D8">
      <w:pPr>
        <w:widowControl w:val="0"/>
        <w:jc w:val="center"/>
        <w:rPr>
          <w:rFonts w:eastAsia="KaiTi_GB2312"/>
          <w:b/>
          <w:bCs/>
          <w:color w:val="000000" w:themeColor="text1"/>
          <w:spacing w:val="26"/>
          <w:sz w:val="96"/>
          <w:szCs w:val="96"/>
          <w14:textFill>
            <w14:solidFill>
              <w14:schemeClr w14:val="tx1"/>
            </w14:solidFill>
          </w14:textFill>
        </w:rPr>
      </w:pPr>
    </w:p>
    <w:p w14:paraId="48F8ABD9">
      <w:pPr>
        <w:jc w:val="center"/>
        <w:rPr>
          <w:rFonts w:eastAsia="KaiTi_GB2312"/>
          <w:bCs/>
          <w:color w:val="000000" w:themeColor="text1"/>
          <w:spacing w:val="26"/>
          <w:sz w:val="96"/>
          <w:szCs w:val="96"/>
          <w14:textFill>
            <w14:solidFill>
              <w14:schemeClr w14:val="tx1"/>
            </w14:solidFill>
          </w14:textFill>
        </w:rPr>
      </w:pPr>
      <w:r>
        <w:rPr>
          <w:rFonts w:eastAsia="KaiTi_GB2312"/>
          <w:bCs/>
          <w:color w:val="000000" w:themeColor="text1"/>
          <w:spacing w:val="26"/>
          <w:sz w:val="96"/>
          <w:szCs w:val="96"/>
          <w14:textFill>
            <w14:solidFill>
              <w14:schemeClr w14:val="tx1"/>
            </w14:solidFill>
          </w14:textFill>
        </w:rPr>
        <w:t>服务采购合同</w:t>
      </w:r>
    </w:p>
    <w:p w14:paraId="39785644">
      <w:pPr>
        <w:jc w:val="center"/>
        <w:rPr>
          <w:rFonts w:eastAsia="KaiTi_GB2312"/>
          <w:bCs/>
          <w:color w:val="000000" w:themeColor="text1"/>
          <w:spacing w:val="26"/>
          <w:sz w:val="96"/>
          <w:szCs w:val="96"/>
          <w14:textFill>
            <w14:solidFill>
              <w14:schemeClr w14:val="tx1"/>
            </w14:solidFill>
          </w14:textFill>
        </w:rPr>
      </w:pPr>
    </w:p>
    <w:p w14:paraId="3A91C201">
      <w:pPr>
        <w:jc w:val="center"/>
        <w:rPr>
          <w:rFonts w:eastAsia="KaiTi_GB2312"/>
          <w:b/>
          <w:bCs/>
          <w:color w:val="000000" w:themeColor="text1"/>
          <w:spacing w:val="26"/>
          <w:sz w:val="96"/>
          <w:szCs w:val="96"/>
          <w14:textFill>
            <w14:solidFill>
              <w14:schemeClr w14:val="tx1"/>
            </w14:solidFill>
          </w14:textFill>
        </w:rPr>
      </w:pPr>
    </w:p>
    <w:p w14:paraId="7E4BAF99">
      <w:pPr>
        <w:widowControl w:val="0"/>
        <w:ind w:firstLine="720" w:firstLineChars="200"/>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全球数源中心(广州南沙)有限公司</w:t>
      </w:r>
    </w:p>
    <w:p w14:paraId="6AFB77D2">
      <w:pPr>
        <w:widowControl w:val="0"/>
        <w:ind w:firstLine="720" w:firstLineChars="200"/>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2025年6月</w:t>
      </w:r>
    </w:p>
    <w:p w14:paraId="34882300">
      <w:pPr>
        <w:jc w:val="right"/>
        <w:rPr>
          <w:rFonts w:ascii="宋体" w:hAnsi="宋体" w:cs="宋体"/>
          <w:color w:val="000000" w:themeColor="text1"/>
          <w14:textFill>
            <w14:solidFill>
              <w14:schemeClr w14:val="tx1"/>
            </w14:solidFill>
          </w14:textFill>
        </w:rPr>
        <w:sectPr>
          <w:headerReference r:id="rId11" w:type="default"/>
          <w:footerReference r:id="rId12" w:type="default"/>
          <w:pgSz w:w="12240" w:h="15840"/>
          <w:pgMar w:top="1440" w:right="1080" w:bottom="1440" w:left="1080" w:header="720" w:footer="720" w:gutter="0"/>
          <w:cols w:space="720" w:num="1"/>
          <w:docGrid w:linePitch="326" w:charSpace="0"/>
        </w:sectPr>
      </w:pPr>
    </w:p>
    <w:p w14:paraId="41935958">
      <w:pPr>
        <w:jc w:val="right"/>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合同编号：  </w:t>
      </w:r>
    </w:p>
    <w:p w14:paraId="7CED50C2">
      <w:pPr>
        <w:keepNext/>
        <w:keepLines/>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方案设计</w:t>
      </w:r>
      <w:r>
        <w:rPr>
          <w:rFonts w:ascii="宋体" w:hAnsi="宋体" w:cs="宋体"/>
          <w:color w:val="000000" w:themeColor="text1"/>
          <w:sz w:val="44"/>
          <w:szCs w:val="44"/>
          <w14:textFill>
            <w14:solidFill>
              <w14:schemeClr w14:val="tx1"/>
            </w14:solidFill>
          </w14:textFill>
        </w:rPr>
        <w:t>服务项目</w:t>
      </w:r>
      <w:r>
        <w:rPr>
          <w:rFonts w:hint="eastAsia" w:ascii="宋体" w:hAnsi="宋体" w:cs="宋体"/>
          <w:color w:val="000000" w:themeColor="text1"/>
          <w:sz w:val="44"/>
          <w:szCs w:val="44"/>
          <w14:textFill>
            <w14:solidFill>
              <w14:schemeClr w14:val="tx1"/>
            </w14:solidFill>
          </w14:textFill>
        </w:rPr>
        <w:t>采购</w:t>
      </w:r>
      <w:r>
        <w:rPr>
          <w:rFonts w:ascii="宋体" w:hAnsi="宋体" w:cs="宋体"/>
          <w:color w:val="000000" w:themeColor="text1"/>
          <w:sz w:val="44"/>
          <w:szCs w:val="44"/>
          <w14:textFill>
            <w14:solidFill>
              <w14:schemeClr w14:val="tx1"/>
            </w14:solidFill>
          </w14:textFill>
        </w:rPr>
        <w:t>合同</w:t>
      </w:r>
    </w:p>
    <w:p w14:paraId="0D64A94A">
      <w:pPr>
        <w:pStyle w:val="25"/>
        <w:spacing w:before="0" w:beforeAutospacing="0" w:after="0" w:afterAutospacing="0"/>
        <w:rPr>
          <w:color w:val="000000" w:themeColor="text1"/>
          <w14:textFill>
            <w14:solidFill>
              <w14:schemeClr w14:val="tx1"/>
            </w14:solidFill>
          </w14:textFill>
        </w:rPr>
      </w:pPr>
      <w:r>
        <w:rPr>
          <w:b/>
          <w:color w:val="000000" w:themeColor="text1"/>
          <w14:textFill>
            <w14:solidFill>
              <w14:schemeClr w14:val="tx1"/>
            </w14:solidFill>
          </w14:textFill>
        </w:rPr>
        <w:t>甲方：</w:t>
      </w:r>
      <w:r>
        <w:rPr>
          <w:rFonts w:hint="eastAsia"/>
          <w:b/>
          <w:color w:val="000000" w:themeColor="text1"/>
          <w14:textFill>
            <w14:solidFill>
              <w14:schemeClr w14:val="tx1"/>
            </w14:solidFill>
          </w14:textFill>
        </w:rPr>
        <w:t>全球数源中心（广州南沙）有限公司</w:t>
      </w:r>
    </w:p>
    <w:p w14:paraId="5E7450E7">
      <w:pPr>
        <w:pStyle w:val="25"/>
        <w:spacing w:before="0" w:beforeAutospacing="0" w:after="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统一社会信用代码：91440115MAEKNLL15K</w:t>
      </w:r>
    </w:p>
    <w:p w14:paraId="6D37FFAD">
      <w:pPr>
        <w:pStyle w:val="25"/>
        <w:spacing w:before="0" w:beforeAutospacing="0" w:after="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法定代表人：李杰明</w:t>
      </w:r>
    </w:p>
    <w:p w14:paraId="4627F486">
      <w:pPr>
        <w:pStyle w:val="25"/>
        <w:spacing w:before="0" w:beforeAutospacing="0" w:after="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地址：广州市南沙区海滨路171号11楼</w:t>
      </w:r>
    </w:p>
    <w:p w14:paraId="4AFC1E02">
      <w:pPr>
        <w:pStyle w:val="25"/>
        <w:spacing w:before="0" w:beforeAutospacing="0" w:after="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p>
    <w:p w14:paraId="0ADDBF44">
      <w:pPr>
        <w:pStyle w:val="25"/>
        <w:spacing w:before="0" w:beforeAutospacing="0" w:after="0" w:afterAutospacing="0"/>
        <w:rPr>
          <w:color w:val="000000" w:themeColor="text1"/>
          <w14:textFill>
            <w14:solidFill>
              <w14:schemeClr w14:val="tx1"/>
            </w14:solidFill>
          </w14:textFill>
        </w:rPr>
      </w:pPr>
      <w:r>
        <w:rPr>
          <w:b/>
          <w:color w:val="000000" w:themeColor="text1"/>
          <w14:textFill>
            <w14:solidFill>
              <w14:schemeClr w14:val="tx1"/>
            </w14:solidFill>
          </w14:textFill>
        </w:rPr>
        <w:t>乙方：</w:t>
      </w:r>
    </w:p>
    <w:p w14:paraId="6AE174D7">
      <w:pPr>
        <w:pStyle w:val="25"/>
        <w:spacing w:before="0" w:beforeAutospacing="0" w:after="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统一社会信用代码：</w:t>
      </w:r>
    </w:p>
    <w:p w14:paraId="014EE242">
      <w:pPr>
        <w:pStyle w:val="25"/>
        <w:spacing w:before="0" w:beforeAutospacing="0" w:after="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p>
    <w:p w14:paraId="35463349">
      <w:pPr>
        <w:pStyle w:val="25"/>
        <w:spacing w:before="0" w:beforeAutospacing="0" w:after="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p>
    <w:p w14:paraId="1DA89E33">
      <w:pPr>
        <w:pStyle w:val="25"/>
        <w:spacing w:before="0" w:beforeAutospacing="0" w:after="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p>
    <w:p w14:paraId="56ACDE3E">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根据《中华人民共和国民法典》及 全球数源中心（广州南沙）有限公司“方案设计服务项目”采购文件的要求和采购结果，经甲乙双方协商一致，签订本合同。双方共同遵守如下条款（其他有关合同项目的特定信息由合同附件予以说明，合同附件及本项目的采购文件、投标/响应文件、中标/成交通知书等均为本合同不可分割之一部分）。</w:t>
      </w:r>
    </w:p>
    <w:p w14:paraId="0F3F9BF2">
      <w:pPr>
        <w:autoSpaceDE w:val="0"/>
        <w:autoSpaceDN w:val="0"/>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第一条 </w:t>
      </w:r>
      <w:r>
        <w:rPr>
          <w:rFonts w:ascii="宋体" w:hAnsi="宋体" w:cs="宋体"/>
          <w:color w:val="000000" w:themeColor="text1"/>
          <w:sz w:val="24"/>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事项/服务内容</w:t>
      </w:r>
    </w:p>
    <w:p w14:paraId="4833C272">
      <w:pPr>
        <w:autoSpaceDE w:val="0"/>
        <w:autoSpaceDN w:val="0"/>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甲方委托乙方提供下列服务：</w:t>
      </w:r>
    </w:p>
    <w:p w14:paraId="34DF3271">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一</w:t>
      </w:r>
      <w:r>
        <w:rPr>
          <w:rFonts w:ascii="宋体" w:hAnsi="宋体" w:cs="宋体"/>
          <w:color w:val="000000" w:themeColor="text1"/>
          <w:sz w:val="24"/>
          <w14:textFill>
            <w14:solidFill>
              <w14:schemeClr w14:val="tx1"/>
            </w14:solidFill>
          </w14:textFill>
        </w:rPr>
        <w:t>）项目方案编制服务</w:t>
      </w:r>
    </w:p>
    <w:p w14:paraId="5EE9937D">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编制全球数源中心数据流通利用基础设施先行先试项目设计方案（含投资概算）。方案编制设计咨询服务需要</w:t>
      </w:r>
      <w:r>
        <w:rPr>
          <w:rFonts w:hint="eastAsia" w:ascii="宋体" w:hAnsi="宋体" w:cs="宋体"/>
          <w:color w:val="000000" w:themeColor="text1"/>
          <w:sz w:val="24"/>
          <w14:textFill>
            <w14:solidFill>
              <w14:schemeClr w14:val="tx1"/>
            </w14:solidFill>
          </w14:textFill>
        </w:rPr>
        <w:t>依据项目实际情况，</w:t>
      </w:r>
      <w:r>
        <w:rPr>
          <w:rFonts w:ascii="宋体" w:hAnsi="宋体" w:cs="宋体"/>
          <w:color w:val="000000" w:themeColor="text1"/>
          <w:sz w:val="24"/>
          <w14:textFill>
            <w14:solidFill>
              <w14:schemeClr w14:val="tx1"/>
            </w14:solidFill>
          </w14:textFill>
        </w:rPr>
        <w:t>针对试点任务的点、线、面、场及安全治理五个方面信息平台建设要求，结合</w:t>
      </w:r>
      <w:r>
        <w:rPr>
          <w:rFonts w:hint="eastAsia" w:ascii="宋体" w:hAnsi="宋体" w:cs="宋体"/>
          <w:color w:val="000000" w:themeColor="text1"/>
          <w:sz w:val="24"/>
          <w14:textFill>
            <w14:solidFill>
              <w14:schemeClr w14:val="tx1"/>
            </w14:solidFill>
          </w14:textFill>
        </w:rPr>
        <w:t>全球</w:t>
      </w:r>
      <w:r>
        <w:rPr>
          <w:rFonts w:ascii="宋体" w:hAnsi="宋体" w:cs="宋体"/>
          <w:color w:val="000000" w:themeColor="text1"/>
          <w:sz w:val="24"/>
          <w14:textFill>
            <w14:solidFill>
              <w14:schemeClr w14:val="tx1"/>
            </w14:solidFill>
          </w14:textFill>
        </w:rPr>
        <w:t>数源中心现有平台基础，</w:t>
      </w:r>
      <w:r>
        <w:rPr>
          <w:rFonts w:hint="eastAsia" w:ascii="宋体" w:hAnsi="宋体" w:cs="宋体"/>
          <w:color w:val="000000" w:themeColor="text1"/>
          <w:sz w:val="24"/>
          <w14:textFill>
            <w14:solidFill>
              <w14:schemeClr w14:val="tx1"/>
            </w14:solidFill>
          </w14:textFill>
        </w:rPr>
        <w:t>设计详细建设方案，包括但不限于</w:t>
      </w:r>
      <w:r>
        <w:rPr>
          <w:rFonts w:ascii="宋体" w:hAnsi="宋体" w:cs="宋体"/>
          <w:color w:val="000000" w:themeColor="text1"/>
          <w:sz w:val="24"/>
          <w14:textFill>
            <w14:solidFill>
              <w14:schemeClr w14:val="tx1"/>
            </w14:solidFill>
          </w14:textFill>
        </w:rPr>
        <w:t>确定工程项目的需求、目标、范围、主要内容、总体技术方案和实施方案、人员组织保障、项目执行计划、实施进度</w:t>
      </w:r>
      <w:r>
        <w:rPr>
          <w:rFonts w:hint="eastAsia" w:ascii="宋体" w:hAnsi="宋体" w:cs="宋体"/>
          <w:color w:val="000000" w:themeColor="text1"/>
          <w:sz w:val="24"/>
          <w14:textFill>
            <w14:solidFill>
              <w14:schemeClr w14:val="tx1"/>
            </w14:solidFill>
          </w14:textFill>
        </w:rPr>
        <w:t>、安全设计、运行管理、投资概算、风险效益、绩效目标</w:t>
      </w:r>
      <w:r>
        <w:rPr>
          <w:rFonts w:ascii="宋体" w:hAnsi="宋体" w:cs="宋体"/>
          <w:color w:val="000000" w:themeColor="text1"/>
          <w:sz w:val="24"/>
          <w14:textFill>
            <w14:solidFill>
              <w14:schemeClr w14:val="tx1"/>
            </w14:solidFill>
          </w14:textFill>
        </w:rPr>
        <w:t>等，</w:t>
      </w:r>
      <w:r>
        <w:rPr>
          <w:rFonts w:hint="eastAsia" w:ascii="宋体" w:hAnsi="宋体" w:cs="宋体"/>
          <w:color w:val="000000" w:themeColor="text1"/>
          <w:sz w:val="24"/>
          <w14:textFill>
            <w14:solidFill>
              <w14:schemeClr w14:val="tx1"/>
            </w14:solidFill>
          </w14:textFill>
        </w:rPr>
        <w:t>需</w:t>
      </w:r>
      <w:r>
        <w:rPr>
          <w:rFonts w:ascii="宋体" w:hAnsi="宋体" w:cs="宋体"/>
          <w:color w:val="000000" w:themeColor="text1"/>
          <w:sz w:val="24"/>
          <w14:textFill>
            <w14:solidFill>
              <w14:schemeClr w14:val="tx1"/>
            </w14:solidFill>
          </w14:textFill>
        </w:rPr>
        <w:t>深化理解用户需求，确保设计的完整性、先进性、合规性。</w:t>
      </w:r>
    </w:p>
    <w:p w14:paraId="01C3275F">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二</w:t>
      </w:r>
      <w:r>
        <w:rPr>
          <w:rFonts w:ascii="宋体" w:hAnsi="宋体" w:cs="宋体"/>
          <w:color w:val="000000" w:themeColor="text1"/>
          <w:sz w:val="24"/>
          <w14:textFill>
            <w14:solidFill>
              <w14:schemeClr w14:val="tx1"/>
            </w14:solidFill>
          </w14:textFill>
        </w:rPr>
        <w:t>）内部审核及修改完善</w:t>
      </w:r>
    </w:p>
    <w:p w14:paraId="180A4224">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乙方</w:t>
      </w:r>
      <w:r>
        <w:rPr>
          <w:rFonts w:hint="default" w:ascii="宋体" w:hAnsi="宋体" w:cs="宋体"/>
          <w:color w:val="000000" w:themeColor="text1"/>
          <w:sz w:val="24"/>
          <w14:textFill>
            <w14:solidFill>
              <w14:schemeClr w14:val="tx1"/>
            </w14:solidFill>
          </w14:textFill>
        </w:rPr>
        <w:t>完成编制的成果物提交</w:t>
      </w:r>
      <w:r>
        <w:rPr>
          <w:rFonts w:hint="eastAsia" w:ascii="宋体" w:hAnsi="宋体" w:cs="宋体"/>
          <w:color w:val="000000" w:themeColor="text1"/>
          <w:sz w:val="24"/>
          <w:lang w:val="en-US" w:eastAsia="zh-CN"/>
          <w14:textFill>
            <w14:solidFill>
              <w14:schemeClr w14:val="tx1"/>
            </w14:solidFill>
          </w14:textFill>
        </w:rPr>
        <w:t>甲方</w:t>
      </w:r>
      <w:r>
        <w:rPr>
          <w:rFonts w:hint="default" w:ascii="宋体" w:hAnsi="宋体" w:cs="宋体"/>
          <w:color w:val="000000" w:themeColor="text1"/>
          <w:sz w:val="24"/>
          <w14:textFill>
            <w14:solidFill>
              <w14:schemeClr w14:val="tx1"/>
            </w14:solidFill>
          </w14:textFill>
        </w:rPr>
        <w:t>内部审核并协助</w:t>
      </w:r>
      <w:r>
        <w:rPr>
          <w:rFonts w:hint="eastAsia" w:ascii="宋体" w:hAnsi="宋体" w:cs="宋体"/>
          <w:color w:val="000000" w:themeColor="text1"/>
          <w:sz w:val="24"/>
          <w:lang w:val="en-US" w:eastAsia="zh-CN"/>
          <w14:textFill>
            <w14:solidFill>
              <w14:schemeClr w14:val="tx1"/>
            </w14:solidFill>
          </w14:textFill>
        </w:rPr>
        <w:t>甲方</w:t>
      </w:r>
      <w:r>
        <w:rPr>
          <w:rFonts w:hint="default" w:ascii="宋体" w:hAnsi="宋体" w:cs="宋体"/>
          <w:color w:val="000000" w:themeColor="text1"/>
          <w:sz w:val="24"/>
          <w14:textFill>
            <w14:solidFill>
              <w14:schemeClr w14:val="tx1"/>
            </w14:solidFill>
          </w14:textFill>
        </w:rPr>
        <w:t>向各级数据主管部门汇报，根据内部审核及汇报意见，对成果物进行修改完善。</w:t>
      </w:r>
    </w:p>
    <w:p w14:paraId="7BBB93C6">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三</w:t>
      </w:r>
      <w:r>
        <w:rPr>
          <w:rFonts w:ascii="宋体" w:hAnsi="宋体" w:cs="宋体"/>
          <w:color w:val="000000" w:themeColor="text1"/>
          <w:sz w:val="24"/>
          <w14:textFill>
            <w14:solidFill>
              <w14:schemeClr w14:val="tx1"/>
            </w14:solidFill>
          </w14:textFill>
        </w:rPr>
        <w:t>）专家评审并修改完善</w:t>
      </w:r>
    </w:p>
    <w:p w14:paraId="2C4C21F5">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甲方</w:t>
      </w:r>
      <w:r>
        <w:rPr>
          <w:rFonts w:ascii="宋体" w:hAnsi="宋体" w:cs="宋体"/>
          <w:color w:val="000000" w:themeColor="text1"/>
          <w:sz w:val="24"/>
          <w14:textFill>
            <w14:solidFill>
              <w14:schemeClr w14:val="tx1"/>
            </w14:solidFill>
          </w14:textFill>
        </w:rPr>
        <w:t>在设计各阶段组织专家对成果物进行评审,</w:t>
      </w:r>
      <w:r>
        <w:rPr>
          <w:rFonts w:hint="eastAsia" w:ascii="宋体" w:hAnsi="宋体" w:cs="宋体"/>
          <w:color w:val="000000" w:themeColor="text1"/>
          <w:sz w:val="24"/>
          <w:lang w:val="en-US" w:eastAsia="zh-CN"/>
          <w14:textFill>
            <w14:solidFill>
              <w14:schemeClr w14:val="tx1"/>
            </w14:solidFill>
          </w14:textFill>
        </w:rPr>
        <w:t>乙方须</w:t>
      </w:r>
      <w:r>
        <w:rPr>
          <w:rFonts w:ascii="宋体" w:hAnsi="宋体" w:cs="宋体"/>
          <w:color w:val="000000" w:themeColor="text1"/>
          <w:sz w:val="24"/>
          <w14:textFill>
            <w14:solidFill>
              <w14:schemeClr w14:val="tx1"/>
            </w14:solidFill>
          </w14:textFill>
        </w:rPr>
        <w:t>协助</w:t>
      </w:r>
      <w:r>
        <w:rPr>
          <w:rFonts w:hint="eastAsia" w:ascii="宋体" w:hAnsi="宋体" w:cs="宋体"/>
          <w:color w:val="000000" w:themeColor="text1"/>
          <w:sz w:val="24"/>
          <w:lang w:val="en-US" w:eastAsia="zh-CN"/>
          <w14:textFill>
            <w14:solidFill>
              <w14:schemeClr w14:val="tx1"/>
            </w14:solidFill>
          </w14:textFill>
        </w:rPr>
        <w:t>甲方</w:t>
      </w:r>
      <w:r>
        <w:rPr>
          <w:rFonts w:ascii="宋体" w:hAnsi="宋体" w:cs="宋体"/>
          <w:color w:val="000000" w:themeColor="text1"/>
          <w:sz w:val="24"/>
          <w14:textFill>
            <w14:solidFill>
              <w14:schemeClr w14:val="tx1"/>
            </w14:solidFill>
          </w14:textFill>
        </w:rPr>
        <w:t>开展专家评审，并根据专家意见修改完善。</w:t>
      </w:r>
    </w:p>
    <w:p w14:paraId="4F573DD9">
      <w:pPr>
        <w:numPr>
          <w:ilvl w:val="255"/>
          <w:numId w:val="0"/>
        </w:numPr>
        <w:ind w:firstLine="480" w:firstLineChars="20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方案咨询讲解</w:t>
      </w:r>
      <w:r>
        <w:rPr>
          <w:rFonts w:ascii="宋体" w:hAnsi="宋体" w:cs="宋体"/>
          <w:color w:val="000000" w:themeColor="text1"/>
          <w:sz w:val="24"/>
          <w14:textFill>
            <w14:solidFill>
              <w14:schemeClr w14:val="tx1"/>
            </w14:solidFill>
          </w14:textFill>
        </w:rPr>
        <w:t>并</w:t>
      </w:r>
      <w:r>
        <w:rPr>
          <w:rFonts w:hint="eastAsia" w:ascii="宋体" w:hAnsi="宋体" w:cs="宋体"/>
          <w:color w:val="000000" w:themeColor="text1"/>
          <w:sz w:val="24"/>
          <w14:textFill>
            <w14:solidFill>
              <w14:schemeClr w14:val="tx1"/>
            </w14:solidFill>
          </w14:textFill>
        </w:rPr>
        <w:t>指导项目落地</w:t>
      </w:r>
    </w:p>
    <w:p w14:paraId="50D81D20">
      <w:pPr>
        <w:adjustRightInd/>
        <w:snapToGrid/>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从项目建设开始至试点项目验收,</w:t>
      </w:r>
      <w:r>
        <w:rPr>
          <w:rFonts w:hint="eastAsia" w:ascii="宋体" w:hAnsi="宋体" w:cs="宋体"/>
          <w:color w:val="000000" w:themeColor="text1"/>
          <w:sz w:val="24"/>
          <w:lang w:val="en-US" w:eastAsia="zh-CN"/>
          <w14:textFill>
            <w14:solidFill>
              <w14:schemeClr w14:val="tx1"/>
            </w14:solidFill>
          </w14:textFill>
        </w:rPr>
        <w:t>乙方</w:t>
      </w:r>
      <w:r>
        <w:rPr>
          <w:rFonts w:ascii="宋体" w:hAnsi="宋体" w:cs="宋体"/>
          <w:color w:val="000000" w:themeColor="text1"/>
          <w:sz w:val="24"/>
          <w14:textFill>
            <w14:solidFill>
              <w14:schemeClr w14:val="tx1"/>
            </w14:solidFill>
          </w14:textFill>
        </w:rPr>
        <w:t>协助</w:t>
      </w:r>
      <w:r>
        <w:rPr>
          <w:rFonts w:hint="eastAsia" w:ascii="宋体" w:hAnsi="宋体" w:cs="宋体"/>
          <w:color w:val="000000" w:themeColor="text1"/>
          <w:sz w:val="24"/>
          <w:lang w:val="en-US" w:eastAsia="zh-CN"/>
          <w14:textFill>
            <w14:solidFill>
              <w14:schemeClr w14:val="tx1"/>
            </w14:solidFill>
          </w14:textFill>
        </w:rPr>
        <w:t>甲方</w:t>
      </w:r>
      <w:r>
        <w:rPr>
          <w:rFonts w:ascii="宋体" w:hAnsi="宋体" w:cs="宋体"/>
          <w:color w:val="000000" w:themeColor="text1"/>
          <w:sz w:val="24"/>
          <w14:textFill>
            <w14:solidFill>
              <w14:schemeClr w14:val="tx1"/>
            </w14:solidFill>
          </w14:textFill>
        </w:rPr>
        <w:t>向项目实施单位开展设计方案咨询讲解，并持续跟踪指导项目实施落地。</w:t>
      </w:r>
    </w:p>
    <w:p w14:paraId="35985A83">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第二条 </w:t>
      </w:r>
      <w:r>
        <w:rPr>
          <w:rFonts w:ascii="宋体" w:hAnsi="宋体" w:cs="宋体"/>
          <w:color w:val="000000" w:themeColor="text1"/>
          <w:sz w:val="24"/>
          <w14:textFill>
            <w14:solidFill>
              <w14:schemeClr w14:val="tx1"/>
            </w14:solidFill>
          </w14:textFill>
        </w:rPr>
        <w:t>服务期限</w:t>
      </w:r>
    </w:p>
    <w:p w14:paraId="282BCF1B">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服务期限：</w:t>
      </w:r>
      <w:r>
        <w:rPr>
          <w:color w:val="000000" w:themeColor="text1"/>
          <w:u w:val="single"/>
          <w14:textFill>
            <w14:solidFill>
              <w14:schemeClr w14:val="tx1"/>
            </w14:solidFill>
          </w14:textFill>
        </w:rPr>
        <w:t>自</w:t>
      </w:r>
      <w:r>
        <w:rPr>
          <w:rFonts w:hint="eastAsia"/>
          <w:color w:val="000000" w:themeColor="text1"/>
          <w:u w:val="single"/>
          <w14:textFill>
            <w14:solidFill>
              <w14:schemeClr w14:val="tx1"/>
            </w14:solidFill>
          </w14:textFill>
        </w:rPr>
        <w:t>2025</w:t>
      </w:r>
      <w:r>
        <w:rPr>
          <w:color w:val="000000" w:themeColor="text1"/>
          <w:u w:val="single"/>
          <w14:textFill>
            <w14:solidFill>
              <w14:schemeClr w14:val="tx1"/>
            </w14:solidFill>
          </w14:textFill>
        </w:rPr>
        <w:t>年</w:t>
      </w:r>
      <w:r>
        <w:rPr>
          <w:rFonts w:hint="eastAsia"/>
          <w:color w:val="000000" w:themeColor="text1"/>
          <w:u w:val="single"/>
          <w14:textFill>
            <w14:solidFill>
              <w14:schemeClr w14:val="tx1"/>
            </w14:solidFill>
          </w14:textFill>
        </w:rPr>
        <w:t>6</w:t>
      </w:r>
      <w:r>
        <w:rPr>
          <w:color w:val="000000" w:themeColor="text1"/>
          <w:u w:val="single"/>
          <w14:textFill>
            <w14:solidFill>
              <w14:schemeClr w14:val="tx1"/>
            </w14:solidFill>
          </w14:textFill>
        </w:rPr>
        <w:t>月</w:t>
      </w:r>
      <w:r>
        <w:rPr>
          <w:rFonts w:hint="eastAsia"/>
          <w:color w:val="000000" w:themeColor="text1"/>
          <w:u w:val="single"/>
          <w14:textFill>
            <w14:solidFill>
              <w14:schemeClr w14:val="tx1"/>
            </w14:solidFill>
          </w14:textFill>
        </w:rPr>
        <w:t>X</w:t>
      </w:r>
      <w:r>
        <w:rPr>
          <w:color w:val="000000" w:themeColor="text1"/>
          <w:u w:val="single"/>
          <w14:textFill>
            <w14:solidFill>
              <w14:schemeClr w14:val="tx1"/>
            </w14:solidFill>
          </w14:textFill>
        </w:rPr>
        <w:t>日起至</w:t>
      </w:r>
      <w:r>
        <w:rPr>
          <w:rFonts w:hint="eastAsia" w:ascii="宋体" w:hAnsi="宋体" w:cs="宋体"/>
          <w:color w:val="000000" w:themeColor="text1"/>
          <w:sz w:val="24"/>
          <w14:textFill>
            <w14:solidFill>
              <w14:schemeClr w14:val="tx1"/>
            </w14:solidFill>
          </w14:textFill>
        </w:rPr>
        <w:t>试点项目验收</w:t>
      </w:r>
      <w:r>
        <w:rPr>
          <w:rFonts w:hint="eastAsia"/>
          <w:color w:val="000000" w:themeColor="text1"/>
          <w:u w:val="single"/>
          <w:lang w:val="en-US" w:eastAsia="zh-CN"/>
          <w14:textFill>
            <w14:solidFill>
              <w14:schemeClr w14:val="tx1"/>
            </w14:solidFill>
          </w14:textFill>
        </w:rPr>
        <w:t>之日止</w:t>
      </w:r>
      <w:r>
        <w:rPr>
          <w:color w:val="000000" w:themeColor="text1"/>
          <w14:textFill>
            <w14:solidFill>
              <w14:schemeClr w14:val="tx1"/>
            </w14:solidFill>
          </w14:textFill>
        </w:rPr>
        <w:t>。</w:t>
      </w:r>
    </w:p>
    <w:p w14:paraId="453C6771">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第三条 </w:t>
      </w:r>
      <w:r>
        <w:rPr>
          <w:rFonts w:ascii="宋体" w:hAnsi="宋体" w:cs="宋体"/>
          <w:color w:val="000000" w:themeColor="text1"/>
          <w:sz w:val="24"/>
          <w14:textFill>
            <w14:solidFill>
              <w14:schemeClr w14:val="tx1"/>
            </w14:solidFill>
          </w14:textFill>
        </w:rPr>
        <w:t>服务费用与付款方式</w:t>
      </w:r>
    </w:p>
    <w:p w14:paraId="3EC0B0D7">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（一）</w:t>
      </w:r>
      <w:r>
        <w:rPr>
          <w:color w:val="000000" w:themeColor="text1"/>
          <w14:textFill>
            <w14:solidFill>
              <w14:schemeClr w14:val="tx1"/>
            </w14:solidFill>
          </w14:textFill>
        </w:rPr>
        <w:tab/>
      </w:r>
      <w:r>
        <w:rPr>
          <w:color w:val="000000" w:themeColor="text1"/>
          <w14:textFill>
            <w14:solidFill>
              <w14:schemeClr w14:val="tx1"/>
            </w14:solidFill>
          </w14:textFill>
        </w:rPr>
        <w:t>服务费用标准</w:t>
      </w:r>
    </w:p>
    <w:p w14:paraId="40EAD1FD">
      <w:pPr>
        <w:pStyle w:val="25"/>
        <w:tabs>
          <w:tab w:val="clear" w:pos="360"/>
        </w:tabs>
        <w:spacing w:before="0" w:beforeAutospacing="0" w:after="0" w:afterAutospacing="0"/>
        <w:ind w:firstLine="480" w:firstLineChars="200"/>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.本合同项下的</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甲方应向乙方支付服务费总额共计人民币（大写）</w:t>
      </w:r>
      <w:r>
        <w:rPr>
          <w:rFonts w:hint="eastAsia"/>
          <w:b/>
          <w:bCs/>
          <w:color w:val="000000" w:themeColor="text1"/>
          <w14:textFill>
            <w14:solidFill>
              <w14:schemeClr w14:val="tx1"/>
            </w14:solidFill>
          </w14:textFill>
        </w:rPr>
        <w:t xml:space="preserve">壹佰壹拾贰万 </w:t>
      </w:r>
      <w:r>
        <w:rPr>
          <w:color w:val="000000" w:themeColor="text1"/>
          <w14:textFill>
            <w14:solidFill>
              <w14:schemeClr w14:val="tx1"/>
            </w14:solidFill>
          </w14:textFill>
        </w:rPr>
        <w:t>元</w:t>
      </w:r>
      <w:r>
        <w:rPr>
          <w:rFonts w:hint="eastAsia"/>
          <w:color w:val="000000" w:themeColor="text1"/>
          <w14:textFill>
            <w14:solidFill>
              <w14:schemeClr w14:val="tx1"/>
            </w14:solidFill>
          </w14:textFill>
        </w:rPr>
        <w:t>整</w:t>
      </w:r>
      <w:r>
        <w:rPr>
          <w:color w:val="000000" w:themeColor="text1"/>
          <w14:textFill>
            <w14:solidFill>
              <w14:schemeClr w14:val="tx1"/>
            </w14:solidFill>
          </w14:textFill>
        </w:rPr>
        <w:t>（￥</w:t>
      </w:r>
      <w:r>
        <w:rPr>
          <w:rFonts w:hint="eastAsia"/>
          <w:b/>
          <w:bCs/>
          <w:color w:val="000000" w:themeColor="text1"/>
          <w14:textFill>
            <w14:solidFill>
              <w14:schemeClr w14:val="tx1"/>
            </w14:solidFill>
          </w14:textFill>
        </w:rPr>
        <w:t>1,120,000.00</w:t>
      </w:r>
      <w:r>
        <w:rPr>
          <w:color w:val="000000" w:themeColor="text1"/>
          <w14:textFill>
            <w14:solidFill>
              <w14:schemeClr w14:val="tx1"/>
            </w14:solidFill>
          </w14:textFill>
        </w:rPr>
        <w:t>元）。</w:t>
      </w:r>
    </w:p>
    <w:p w14:paraId="66D00F4A">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.本合同约定的价格为含税价，增值税率为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%，不含税价为人民币（大写）</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元）。</w:t>
      </w:r>
    </w:p>
    <w:p w14:paraId="20A119A1">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合同履行期间，如遇国家税收政策调整，则不含税价格不变，含税价按调整后的税率重新计算，以开具发票时的税率为准。</w:t>
      </w:r>
    </w:p>
    <w:p w14:paraId="604399BE">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（二）</w:t>
      </w:r>
      <w:r>
        <w:rPr>
          <w:color w:val="000000" w:themeColor="text1"/>
          <w14:textFill>
            <w14:solidFill>
              <w14:schemeClr w14:val="tx1"/>
            </w14:solidFill>
          </w14:textFill>
        </w:rPr>
        <w:tab/>
      </w:r>
      <w:r>
        <w:rPr>
          <w:color w:val="000000" w:themeColor="text1"/>
          <w14:textFill>
            <w14:solidFill>
              <w14:schemeClr w14:val="tx1"/>
            </w14:solidFill>
          </w14:textFill>
        </w:rPr>
        <w:t>付款方式</w:t>
      </w:r>
    </w:p>
    <w:p w14:paraId="552B8A25">
      <w:pPr>
        <w:pStyle w:val="25"/>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合同</w:t>
      </w:r>
      <w:r>
        <w:rPr>
          <w:rFonts w:hint="eastAsia"/>
          <w:color w:val="000000" w:themeColor="text1"/>
          <w14:textFill>
            <w14:solidFill>
              <w14:schemeClr w14:val="tx1"/>
            </w14:solidFill>
          </w14:textFill>
        </w:rPr>
        <w:t>生效</w:t>
      </w:r>
      <w:r>
        <w:rPr>
          <w:color w:val="000000" w:themeColor="text1"/>
          <w14:textFill>
            <w14:solidFill>
              <w14:schemeClr w14:val="tx1"/>
            </w14:solidFill>
          </w14:textFill>
        </w:rPr>
        <w:t>并在甲方完成支付审批流程后</w:t>
      </w:r>
      <w:r>
        <w:rPr>
          <w:color w:val="000000" w:themeColor="text1"/>
          <w:u w:val="single"/>
          <w14:textFill>
            <w14:solidFill>
              <w14:schemeClr w14:val="tx1"/>
            </w14:solidFill>
          </w14:textFill>
        </w:rPr>
        <w:t>10</w:t>
      </w:r>
      <w:r>
        <w:rPr>
          <w:color w:val="000000" w:themeColor="text1"/>
          <w14:textFill>
            <w14:solidFill>
              <w14:schemeClr w14:val="tx1"/>
            </w14:solidFill>
          </w14:textFill>
        </w:rPr>
        <w:t>个工作日内，甲方向乙方支付</w:t>
      </w:r>
      <w:r>
        <w:rPr>
          <w:color w:val="000000" w:themeColor="text1"/>
          <w:u w:val="single"/>
          <w14:textFill>
            <w14:solidFill>
              <w14:schemeClr w14:val="tx1"/>
            </w14:solidFill>
          </w14:textFill>
        </w:rPr>
        <w:t>30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的服务费用，即人民币（大写）</w:t>
      </w:r>
      <w:r>
        <w:rPr>
          <w:rFonts w:hint="eastAsia"/>
          <w:color w:val="000000" w:themeColor="text1"/>
          <w:u w:val="single"/>
          <w14:textFill>
            <w14:solidFill>
              <w14:schemeClr w14:val="tx1"/>
            </w14:solidFill>
          </w14:textFill>
        </w:rPr>
        <w:t xml:space="preserve"> 叁拾叁万陆仟 </w:t>
      </w:r>
      <w:r>
        <w:rPr>
          <w:color w:val="000000" w:themeColor="text1"/>
          <w14:textFill>
            <w14:solidFill>
              <w14:schemeClr w14:val="tx1"/>
            </w14:solidFill>
          </w14:textFill>
        </w:rPr>
        <w:t>元</w:t>
      </w:r>
      <w:r>
        <w:rPr>
          <w:rFonts w:hint="eastAsia"/>
          <w:color w:val="000000" w:themeColor="text1"/>
          <w14:textFill>
            <w14:solidFill>
              <w14:schemeClr w14:val="tx1"/>
            </w14:solidFill>
          </w14:textFill>
        </w:rPr>
        <w:t>整</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336</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000.00 </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p w14:paraId="77FE05B1">
      <w:pPr>
        <w:pStyle w:val="25"/>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2.乙方完成项目</w:t>
      </w:r>
      <w:r>
        <w:rPr>
          <w:color w:val="000000" w:themeColor="text1"/>
          <w14:textFill>
            <w14:solidFill>
              <w14:schemeClr w14:val="tx1"/>
            </w14:solidFill>
          </w14:textFill>
        </w:rPr>
        <w:t>工作并提交</w:t>
      </w:r>
      <w:r>
        <w:rPr>
          <w:rFonts w:hint="eastAsia"/>
          <w:color w:val="000000" w:themeColor="text1"/>
          <w14:textFill>
            <w14:solidFill>
              <w14:schemeClr w14:val="tx1"/>
            </w14:solidFill>
          </w14:textFill>
        </w:rPr>
        <w:t>全部</w:t>
      </w:r>
      <w:r>
        <w:rPr>
          <w:color w:val="000000" w:themeColor="text1"/>
          <w14:textFill>
            <w14:solidFill>
              <w14:schemeClr w14:val="tx1"/>
            </w14:solidFill>
          </w14:textFill>
        </w:rPr>
        <w:t>成果，</w:t>
      </w:r>
      <w:r>
        <w:rPr>
          <w:rFonts w:hint="eastAsia"/>
          <w:color w:val="000000" w:themeColor="text1"/>
          <w14:textFill>
            <w14:solidFill>
              <w14:schemeClr w14:val="tx1"/>
            </w14:solidFill>
          </w14:textFill>
        </w:rPr>
        <w:t>经甲方确认</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验收合格</w:t>
      </w:r>
      <w:r>
        <w:rPr>
          <w:color w:val="000000" w:themeColor="text1"/>
          <w14:textFill>
            <w14:solidFill>
              <w14:schemeClr w14:val="tx1"/>
            </w14:solidFill>
          </w14:textFill>
        </w:rPr>
        <w:t>，并在甲方完成支付审批流程</w:t>
      </w:r>
      <w:r>
        <w:rPr>
          <w:rFonts w:hint="eastAsia"/>
          <w:color w:val="000000" w:themeColor="text1"/>
          <w14:textFill>
            <w14:solidFill>
              <w14:schemeClr w14:val="tx1"/>
            </w14:solidFill>
          </w14:textFill>
        </w:rPr>
        <w:t>后，甲方向乙方支付</w:t>
      </w:r>
      <w:r>
        <w:rPr>
          <w:color w:val="000000" w:themeColor="text1"/>
          <w:u w:val="single"/>
          <w14:textFill>
            <w14:solidFill>
              <w14:schemeClr w14:val="tx1"/>
            </w14:solidFill>
          </w14:textFill>
        </w:rPr>
        <w:t>60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的服务费用，即人民币（大写）</w:t>
      </w:r>
      <w:r>
        <w:rPr>
          <w:rFonts w:hint="eastAsia"/>
          <w:color w:val="000000" w:themeColor="text1"/>
          <w:u w:val="single"/>
          <w14:textFill>
            <w14:solidFill>
              <w14:schemeClr w14:val="tx1"/>
            </w14:solidFill>
          </w14:textFill>
        </w:rPr>
        <w:t xml:space="preserve"> 陆拾柒万贰仟 </w:t>
      </w:r>
      <w:r>
        <w:rPr>
          <w:color w:val="000000" w:themeColor="text1"/>
          <w14:textFill>
            <w14:solidFill>
              <w14:schemeClr w14:val="tx1"/>
            </w14:solidFill>
          </w14:textFill>
        </w:rPr>
        <w:t>元</w:t>
      </w:r>
      <w:r>
        <w:rPr>
          <w:rFonts w:hint="eastAsia"/>
          <w:color w:val="000000" w:themeColor="text1"/>
          <w14:textFill>
            <w14:solidFill>
              <w14:schemeClr w14:val="tx1"/>
            </w14:solidFill>
          </w14:textFill>
        </w:rPr>
        <w:t>整</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672,000.00</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p w14:paraId="200BBE9D">
      <w:pPr>
        <w:pStyle w:val="25"/>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项目验收后一年并在甲方完成支付审批流程后</w:t>
      </w:r>
      <w:r>
        <w:rPr>
          <w:rFonts w:hint="eastAsia"/>
          <w:color w:val="000000" w:themeColor="text1"/>
          <w14:textFill>
            <w14:solidFill>
              <w14:schemeClr w14:val="tx1"/>
            </w14:solidFill>
          </w14:textFill>
        </w:rPr>
        <w:t>，甲方向乙方支付</w:t>
      </w:r>
      <w:r>
        <w:rPr>
          <w:color w:val="000000" w:themeColor="text1"/>
          <w:u w:val="single"/>
          <w14:textFill>
            <w14:solidFill>
              <w14:schemeClr w14:val="tx1"/>
            </w14:solidFill>
          </w14:textFill>
        </w:rPr>
        <w:t>10</w:t>
      </w:r>
      <w:r>
        <w:rPr>
          <w:rFonts w:hint="eastAsia"/>
          <w:color w:val="000000" w:themeColor="text1"/>
          <w14:textFill>
            <w14:solidFill>
              <w14:schemeClr w14:val="tx1"/>
            </w14:solidFill>
          </w14:textFill>
        </w:rPr>
        <w:t>%的服务费用，</w:t>
      </w:r>
      <w:r>
        <w:rPr>
          <w:color w:val="000000" w:themeColor="text1"/>
          <w14:textFill>
            <w14:solidFill>
              <w14:schemeClr w14:val="tx1"/>
            </w14:solidFill>
          </w14:textFill>
        </w:rPr>
        <w:t>即人民币（大写）</w:t>
      </w:r>
      <w:r>
        <w:rPr>
          <w:color w:val="000000" w:themeColor="text1"/>
          <w:u w:val="single"/>
          <w14:textFill>
            <w14:solidFill>
              <w14:schemeClr w14:val="tx1"/>
            </w14:solidFill>
          </w14:textFill>
        </w:rPr>
        <w:t> </w:t>
      </w:r>
      <w:r>
        <w:rPr>
          <w:rFonts w:hint="eastAsia"/>
          <w:color w:val="000000" w:themeColor="text1"/>
          <w:u w:val="single"/>
          <w14:textFill>
            <w14:solidFill>
              <w14:schemeClr w14:val="tx1"/>
            </w14:solidFill>
          </w14:textFill>
        </w:rPr>
        <w:t xml:space="preserve">拾壹万贰仟 </w:t>
      </w:r>
      <w:r>
        <w:rPr>
          <w:color w:val="000000" w:themeColor="text1"/>
          <w14:textFill>
            <w14:solidFill>
              <w14:schemeClr w14:val="tx1"/>
            </w14:solidFill>
          </w14:textFill>
        </w:rPr>
        <w:t>元</w:t>
      </w:r>
      <w:r>
        <w:rPr>
          <w:rFonts w:hint="eastAsia"/>
          <w:color w:val="000000" w:themeColor="text1"/>
          <w14:textFill>
            <w14:solidFill>
              <w14:schemeClr w14:val="tx1"/>
            </w14:solidFill>
          </w14:textFill>
        </w:rPr>
        <w:t>整</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112,000.00 </w:t>
      </w:r>
      <w:r>
        <w:rPr>
          <w:rFonts w:hint="eastAsia"/>
          <w:color w:val="000000" w:themeColor="text1"/>
          <w14:textFill>
            <w14:solidFill>
              <w14:schemeClr w14:val="tx1"/>
            </w14:solidFill>
          </w14:textFill>
        </w:rPr>
        <w:t xml:space="preserve">元 </w:t>
      </w:r>
      <w:r>
        <w:rPr>
          <w:color w:val="000000" w:themeColor="text1"/>
          <w14:textFill>
            <w14:solidFill>
              <w14:schemeClr w14:val="tx1"/>
            </w14:solidFill>
          </w14:textFill>
        </w:rPr>
        <w:t>）。</w:t>
      </w:r>
    </w:p>
    <w:p w14:paraId="1C2C664F">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（三）</w:t>
      </w:r>
      <w:r>
        <w:rPr>
          <w:color w:val="000000" w:themeColor="text1"/>
          <w14:textFill>
            <w14:solidFill>
              <w14:schemeClr w14:val="tx1"/>
            </w14:solidFill>
          </w14:textFill>
        </w:rPr>
        <w:tab/>
      </w:r>
      <w:r>
        <w:rPr>
          <w:color w:val="000000" w:themeColor="text1"/>
          <w14:textFill>
            <w14:solidFill>
              <w14:schemeClr w14:val="tx1"/>
            </w14:solidFill>
          </w14:textFill>
        </w:rPr>
        <w:t>乙方指定收款账号：</w:t>
      </w:r>
    </w:p>
    <w:p w14:paraId="01FD4995">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户名：</w:t>
      </w:r>
      <w:r>
        <w:rPr>
          <w:rFonts w:hint="eastAsia"/>
          <w:color w:val="000000" w:themeColor="text1"/>
          <w14:textFill>
            <w14:solidFill>
              <w14:schemeClr w14:val="tx1"/>
            </w14:solidFill>
          </w14:textFill>
        </w:rPr>
        <w:t xml:space="preserve">                               </w:t>
      </w:r>
    </w:p>
    <w:p w14:paraId="393AD762">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账号：</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w:t>
      </w:r>
    </w:p>
    <w:p w14:paraId="7B282E41">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开户行：</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w:t>
      </w:r>
    </w:p>
    <w:p w14:paraId="4BFCBF4B">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（四）</w:t>
      </w:r>
      <w:r>
        <w:rPr>
          <w:color w:val="000000" w:themeColor="text1"/>
          <w14:textFill>
            <w14:solidFill>
              <w14:schemeClr w14:val="tx1"/>
            </w14:solidFill>
          </w14:textFill>
        </w:rPr>
        <w:t>发票</w:t>
      </w:r>
    </w:p>
    <w:p w14:paraId="4FBC82EC">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甲方应当按照合同的约定支付价款，</w:t>
      </w:r>
      <w:r>
        <w:rPr>
          <w:color w:val="000000" w:themeColor="text1"/>
          <w14:textFill>
            <w14:solidFill>
              <w14:schemeClr w14:val="tx1"/>
            </w14:solidFill>
          </w14:textFill>
        </w:rPr>
        <w:t>乙方需在甲方办理付款手续前</w:t>
      </w:r>
      <w:r>
        <w:rPr>
          <w:color w:val="000000" w:themeColor="text1"/>
          <w:u w:val="single"/>
          <w14:textFill>
            <w14:solidFill>
              <w14:schemeClr w14:val="tx1"/>
            </w14:solidFill>
          </w14:textFill>
        </w:rPr>
        <w:t>5</w:t>
      </w:r>
      <w:r>
        <w:rPr>
          <w:rFonts w:hint="eastAsia"/>
          <w:color w:val="000000" w:themeColor="text1"/>
          <w14:textFill>
            <w14:solidFill>
              <w14:schemeClr w14:val="tx1"/>
            </w14:solidFill>
          </w14:textFill>
        </w:rPr>
        <w:t>个工作日内，向甲方提供</w:t>
      </w:r>
      <w:r>
        <w:rPr>
          <w:rFonts w:hint="eastAsia" w:asciiTheme="minorEastAsia" w:hAnsiTheme="minorEastAsia"/>
          <w:color w:val="000000" w:themeColor="text1"/>
          <w14:textFill>
            <w14:solidFill>
              <w14:schemeClr w14:val="tx1"/>
            </w14:solidFill>
          </w14:textFill>
        </w:rPr>
        <w:t>与</w:t>
      </w:r>
      <w:r>
        <w:rPr>
          <w:rFonts w:hint="eastAsia"/>
          <w:color w:val="000000" w:themeColor="text1"/>
          <w14:textFill>
            <w14:solidFill>
              <w14:schemeClr w14:val="tx1"/>
            </w14:solidFill>
          </w14:textFill>
        </w:rPr>
        <w:t>应收款项等额</w:t>
      </w:r>
      <w:r>
        <w:rPr>
          <w:rFonts w:hint="eastAsia" w:asciiTheme="minorEastAsia" w:hAnsiTheme="minorEastAsia"/>
          <w:color w:val="000000" w:themeColor="text1"/>
          <w14:textFill>
            <w14:solidFill>
              <w14:schemeClr w14:val="tx1"/>
            </w14:solidFill>
          </w14:textFill>
        </w:rPr>
        <w:t>合法合规</w:t>
      </w:r>
      <w:r>
        <w:rPr>
          <w:rFonts w:hint="eastAsia"/>
          <w:color w:val="000000" w:themeColor="text1"/>
          <w14:textFill>
            <w14:solidFill>
              <w14:schemeClr w14:val="tx1"/>
            </w14:solidFill>
          </w14:textFill>
        </w:rPr>
        <w:t>的正式增值税专用发票，乙方未按期开具或者所开具的发票不符合约定的，甲方有权延迟付款，且不视为甲方违约，此时乙方仍应按合同约定履行义务。具体开票信息</w:t>
      </w:r>
      <w:r>
        <w:rPr>
          <w:color w:val="000000" w:themeColor="text1"/>
          <w14:textFill>
            <w14:solidFill>
              <w14:schemeClr w14:val="tx1"/>
            </w14:solidFill>
          </w14:textFill>
        </w:rPr>
        <w:t>如下：</w:t>
      </w:r>
    </w:p>
    <w:p w14:paraId="5FA23BFC">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开票单位</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全球数源中心（广州南沙）有限公司</w:t>
      </w:r>
    </w:p>
    <w:p w14:paraId="0D2B3D5C">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纳税人识别号：</w:t>
      </w:r>
    </w:p>
    <w:p w14:paraId="2B766CBE">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地址</w:t>
      </w:r>
      <w:r>
        <w:rPr>
          <w:rFonts w:hint="eastAsia"/>
          <w:color w:val="000000" w:themeColor="text1"/>
          <w14:textFill>
            <w14:solidFill>
              <w14:schemeClr w14:val="tx1"/>
            </w14:solidFill>
          </w14:textFill>
        </w:rPr>
        <w:t>：</w:t>
      </w:r>
    </w:p>
    <w:p w14:paraId="0BBBA8E7">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电话：</w:t>
      </w:r>
    </w:p>
    <w:p w14:paraId="2F3BC572">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开户行</w:t>
      </w:r>
      <w:r>
        <w:rPr>
          <w:rFonts w:hint="eastAsia"/>
          <w:color w:val="000000" w:themeColor="text1"/>
          <w14:textFill>
            <w14:solidFill>
              <w14:schemeClr w14:val="tx1"/>
            </w14:solidFill>
          </w14:textFill>
        </w:rPr>
        <w:t>：</w:t>
      </w:r>
    </w:p>
    <w:p w14:paraId="6C0124FE">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账号：</w:t>
      </w:r>
    </w:p>
    <w:p w14:paraId="729E5851">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（五）特别说明</w:t>
      </w:r>
    </w:p>
    <w:p w14:paraId="5A848F06">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.除本合同及附件明确约定的情形外，双方人员均无权调整本合同及附件约定的服务费用标准；确需调整服务费用标准的，经双方协商签署书面合同后方可生效。</w:t>
      </w:r>
    </w:p>
    <w:p w14:paraId="666D4FFB">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.本合同约定的服务费用已经包含乙方提供</w:t>
      </w:r>
      <w:r>
        <w:rPr>
          <w:rFonts w:hint="eastAsia"/>
          <w:color w:val="000000" w:themeColor="text1"/>
          <w:lang w:val="en-US" w:eastAsia="zh-CN"/>
          <w14:textFill>
            <w14:solidFill>
              <w14:schemeClr w14:val="tx1"/>
            </w14:solidFill>
          </w14:textFill>
        </w:rPr>
        <w:t>合同约定全部</w:t>
      </w:r>
      <w:r>
        <w:rPr>
          <w:color w:val="000000" w:themeColor="text1"/>
          <w14:textFill>
            <w14:solidFill>
              <w14:schemeClr w14:val="tx1"/>
            </w14:solidFill>
          </w14:textFill>
        </w:rPr>
        <w:t>服务的全部成本，包括但不限于乙方的材料设备成本、乙方人员的工资/五险一金/加班费等人工成本以及其他成本。</w:t>
      </w:r>
    </w:p>
    <w:p w14:paraId="179BAE74">
      <w:pPr>
        <w:autoSpaceDE w:val="0"/>
        <w:autoSpaceDN w:val="0"/>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第四条 </w:t>
      </w:r>
      <w:r>
        <w:rPr>
          <w:rFonts w:ascii="宋体" w:hAnsi="宋体" w:cs="宋体"/>
          <w:color w:val="000000" w:themeColor="text1"/>
          <w:sz w:val="24"/>
          <w14:textFill>
            <w14:solidFill>
              <w14:schemeClr w14:val="tx1"/>
            </w14:solidFill>
          </w14:textFill>
        </w:rPr>
        <w:t>项目组织形式</w:t>
      </w:r>
    </w:p>
    <w:p w14:paraId="6B1BEE2B">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（一）</w:t>
      </w:r>
      <w:r>
        <w:rPr>
          <w:rFonts w:hint="eastAsia"/>
          <w:color w:val="000000" w:themeColor="text1"/>
          <w14:textFill>
            <w14:solidFill>
              <w14:schemeClr w14:val="tx1"/>
            </w14:solidFill>
          </w14:textFill>
        </w:rPr>
        <w:t>双方成立项目领导小组。</w:t>
      </w:r>
    </w:p>
    <w:p w14:paraId="66AF912B">
      <w:pPr>
        <w:pStyle w:val="25"/>
        <w:tabs>
          <w:tab w:val="clear" w:pos="360"/>
        </w:tabs>
        <w:spacing w:before="0" w:beforeAutospacing="0" w:after="0" w:afterAutospacing="0"/>
        <w:ind w:firstLine="480" w:firstLineChars="200"/>
        <w:jc w:val="both"/>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（二）</w:t>
      </w:r>
      <w:r>
        <w:rPr>
          <w:rFonts w:hint="eastAsia"/>
          <w:color w:val="000000" w:themeColor="text1"/>
          <w14:textFill>
            <w14:solidFill>
              <w14:schemeClr w14:val="tx1"/>
            </w14:solidFill>
          </w14:textFill>
        </w:rPr>
        <w:t>双方成立项目工作执行小组，由乙方派出有丰富经验与专业能力的5名人员，甲方派出1-2名工作人员组成。项目小组负责人由乙方指派一名人员担任，负责人姓名：</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，联系方式：</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负责项目工作总方案，组织团队成员执行项目计划。</w:t>
      </w:r>
      <w:r>
        <w:rPr>
          <w:rFonts w:hint="eastAsia"/>
          <w:color w:val="000000" w:themeColor="text1"/>
          <w:lang w:val="en-US" w:eastAsia="zh-CN"/>
          <w14:textFill>
            <w14:solidFill>
              <w14:schemeClr w14:val="tx1"/>
            </w14:solidFill>
          </w14:textFill>
        </w:rPr>
        <w:t>乙方更换服务人员的，需提前征得甲方同意。</w:t>
      </w:r>
    </w:p>
    <w:p w14:paraId="2A027BDB">
      <w:pPr>
        <w:pStyle w:val="25"/>
        <w:tabs>
          <w:tab w:val="clear" w:pos="360"/>
        </w:tabs>
        <w:spacing w:before="0" w:beforeAutospacing="0" w:after="0" w:afterAutospacing="0"/>
        <w:ind w:firstLine="480" w:firstLineChars="200"/>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项目团队人员姓名：</w:t>
      </w:r>
      <w:r>
        <w:rPr>
          <w:rFonts w:hint="eastAsia"/>
          <w:color w:val="000000" w:themeColor="text1"/>
          <w:u w:val="single"/>
          <w14:textFill>
            <w14:solidFill>
              <w14:schemeClr w14:val="tx1"/>
            </w14:solidFill>
          </w14:textFill>
        </w:rPr>
        <w:t xml:space="preserve">                                      </w:t>
      </w:r>
    </w:p>
    <w:p w14:paraId="014CD832">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（三）</w:t>
      </w:r>
      <w:r>
        <w:rPr>
          <w:rFonts w:hint="eastAsia"/>
          <w:color w:val="000000" w:themeColor="text1"/>
          <w14:textFill>
            <w14:solidFill>
              <w14:schemeClr w14:val="tx1"/>
            </w14:solidFill>
          </w14:textFill>
        </w:rPr>
        <w:t>项目运行中，甲方向乙方提供项目所需信息，向乙方人员开放已有的资料文件（甲方有保密义务的信息和资料文件除外）。</w:t>
      </w:r>
    </w:p>
    <w:p w14:paraId="6A54A2D2">
      <w:pPr>
        <w:autoSpaceDE w:val="0"/>
        <w:autoSpaceDN w:val="0"/>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第五条 </w:t>
      </w:r>
      <w:r>
        <w:rPr>
          <w:rFonts w:ascii="宋体" w:hAnsi="宋体" w:cs="宋体"/>
          <w:color w:val="000000" w:themeColor="text1"/>
          <w:sz w:val="24"/>
          <w14:textFill>
            <w14:solidFill>
              <w14:schemeClr w14:val="tx1"/>
            </w14:solidFill>
          </w14:textFill>
        </w:rPr>
        <w:t>项目运行阶段</w:t>
      </w:r>
    </w:p>
    <w:p w14:paraId="1ED4B379">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自合同签订之日起，项目</w:t>
      </w:r>
      <w:r>
        <w:rPr>
          <w:rFonts w:hint="eastAsia"/>
          <w:color w:val="000000" w:themeColor="text1"/>
          <w:lang w:val="en-US" w:eastAsia="zh-CN"/>
          <w14:textFill>
            <w14:solidFill>
              <w14:schemeClr w14:val="tx1"/>
            </w14:solidFill>
          </w14:textFill>
        </w:rPr>
        <w:t>设计方案</w:t>
      </w:r>
      <w:r>
        <w:rPr>
          <w:color w:val="000000" w:themeColor="text1"/>
          <w14:textFill>
            <w14:solidFill>
              <w14:schemeClr w14:val="tx1"/>
            </w14:solidFill>
          </w14:textFill>
        </w:rPr>
        <w:t>主体工作为期</w:t>
      </w:r>
      <w:r>
        <w:rPr>
          <w:rFonts w:hint="eastAsia"/>
          <w:color w:val="000000" w:themeColor="text1"/>
          <w:lang w:val="en-US" w:eastAsia="zh-CN"/>
          <w14:textFill>
            <w14:solidFill>
              <w14:schemeClr w14:val="tx1"/>
            </w14:solidFill>
          </w14:textFill>
        </w:rPr>
        <w:t>60个自然日内完成</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共</w:t>
      </w:r>
      <w:r>
        <w:rPr>
          <w:rFonts w:hint="eastAsia"/>
          <w:color w:val="000000" w:themeColor="text1"/>
          <w:lang w:val="en-US" w:eastAsia="zh-CN"/>
          <w14:textFill>
            <w14:solidFill>
              <w14:schemeClr w14:val="tx1"/>
            </w14:solidFill>
          </w14:textFill>
        </w:rPr>
        <w:t>包含</w:t>
      </w:r>
      <w:r>
        <w:rPr>
          <w:rFonts w:hint="eastAsia"/>
          <w:color w:val="000000" w:themeColor="text1"/>
          <w:u w:val="single"/>
          <w14:textFill>
            <w14:solidFill>
              <w14:schemeClr w14:val="tx1"/>
            </w14:solidFill>
          </w14:textFill>
        </w:rPr>
        <w:t xml:space="preserve"> 3 </w:t>
      </w:r>
      <w:r>
        <w:rPr>
          <w:rFonts w:hint="eastAsia"/>
          <w:color w:val="000000" w:themeColor="text1"/>
          <w14:textFill>
            <w14:solidFill>
              <w14:schemeClr w14:val="tx1"/>
            </w14:solidFill>
          </w14:textFill>
        </w:rPr>
        <w:t>个阶段：</w:t>
      </w:r>
    </w:p>
    <w:p w14:paraId="1E947E96">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（一）第一阶段：项目启动</w:t>
      </w:r>
    </w:p>
    <w:p w14:paraId="64933E94">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双方</w:t>
      </w:r>
      <w:r>
        <w:rPr>
          <w:color w:val="000000" w:themeColor="text1"/>
          <w14:textFill>
            <w14:solidFill>
              <w14:schemeClr w14:val="tx1"/>
            </w14:solidFill>
          </w14:textFill>
        </w:rPr>
        <w:t>签订咨询合同</w:t>
      </w:r>
      <w:r>
        <w:rPr>
          <w:rFonts w:hint="eastAsia"/>
          <w:color w:val="000000" w:themeColor="text1"/>
          <w14:textFill>
            <w14:solidFill>
              <w14:schemeClr w14:val="tx1"/>
            </w14:solidFill>
          </w14:textFill>
        </w:rPr>
        <w:t>，开展设计咨询服务项目启动会，明确项目背景、目标、要求、项目人员情况等信息，启动开展方案编制工作。</w:t>
      </w:r>
    </w:p>
    <w:p w14:paraId="22ACF41D">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（二）</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第二阶段：项目实施</w:t>
      </w:r>
    </w:p>
    <w:p w14:paraId="1FCF66BF">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围绕项目现状（制度、数据资源、网络、安全、系统、基础设施等）、项目需求（数据、用户、业务、功能、性能、安全等）编制调研提纲和计划</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开展调研</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形成调研报告</w:t>
      </w:r>
      <w:r>
        <w:rPr>
          <w:rFonts w:hint="eastAsia"/>
          <w:color w:val="000000" w:themeColor="text1"/>
          <w14:textFill>
            <w14:solidFill>
              <w14:schemeClr w14:val="tx1"/>
            </w14:solidFill>
          </w14:textFill>
        </w:rPr>
        <w:t>。</w:t>
      </w:r>
    </w:p>
    <w:p w14:paraId="77E40862">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完成项目方案编制，包括但不限于确定工程项目的需求、目标、范围、主要内容、总体技术方案和实施方案、人员组织保障、项目执行计划、实施进度、安全设计、运行管理、投资概算、风险效益、绩效目标等，深化理解用户需求，包含不限于设计数场项目的整体架构，包含总体架构、技术架构、功能架构，设计接入连接器、基础支撑平台、数据流通利用平台、数场管理平台等实施方案，分析重点行业（工业、电信、交通、金融等）的数据流通利用场景。</w:t>
      </w:r>
    </w:p>
    <w:p w14:paraId="21B1914A">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（三）第三阶段：项目验收</w:t>
      </w:r>
    </w:p>
    <w:p w14:paraId="53D1F789">
      <w:pPr>
        <w:pStyle w:val="25"/>
        <w:tabs>
          <w:tab w:val="clear" w:pos="360"/>
        </w:tabs>
        <w:spacing w:before="0" w:beforeAutospacing="0" w:after="0" w:afterAutospacing="0"/>
        <w:ind w:firstLine="480" w:firstLineChars="200"/>
        <w:jc w:val="both"/>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协助组织专家对</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方案及概算进行专家评审</w:t>
      </w:r>
      <w:r>
        <w:rPr>
          <w:rFonts w:hint="eastAsia"/>
          <w:color w:val="000000" w:themeColor="text1"/>
          <w:lang w:eastAsia="zh-CN"/>
          <w14:textFill>
            <w14:solidFill>
              <w14:schemeClr w14:val="tx1"/>
            </w14:solidFill>
          </w14:textFill>
        </w:rPr>
        <w:t>、协助向各级数据主管部门汇报</w:t>
      </w:r>
      <w:r>
        <w:rPr>
          <w:rFonts w:hint="eastAsia"/>
          <w:color w:val="000000" w:themeColor="text1"/>
          <w14:textFill>
            <w14:solidFill>
              <w14:schemeClr w14:val="tx1"/>
            </w14:solidFill>
          </w14:textFill>
        </w:rPr>
        <w:t>，并根据专家</w:t>
      </w:r>
      <w:r>
        <w:rPr>
          <w:rFonts w:hint="eastAsia"/>
          <w:color w:val="000000" w:themeColor="text1"/>
          <w:lang w:val="en-US" w:eastAsia="zh-CN"/>
          <w14:textFill>
            <w14:solidFill>
              <w14:schemeClr w14:val="tx1"/>
            </w14:solidFill>
          </w14:textFill>
        </w:rPr>
        <w:t>及汇报</w:t>
      </w:r>
      <w:r>
        <w:rPr>
          <w:rFonts w:hint="eastAsia"/>
          <w:color w:val="000000" w:themeColor="text1"/>
          <w14:textFill>
            <w14:solidFill>
              <w14:schemeClr w14:val="tx1"/>
            </w14:solidFill>
          </w14:textFill>
        </w:rPr>
        <w:t>意见修改完善。协助同项目实施单位开展设计方案咨询讲解，并持续跟踪指导项目实施落地。</w:t>
      </w:r>
      <w:r>
        <w:rPr>
          <w:rFonts w:hint="eastAsia"/>
          <w:lang w:val="en-US" w:eastAsia="zh-CN"/>
        </w:rPr>
        <w:t>具体验收方式按照本合同第九条执行。</w:t>
      </w:r>
    </w:p>
    <w:p w14:paraId="4DEBF9DF">
      <w:pPr>
        <w:autoSpaceDE w:val="0"/>
        <w:autoSpaceDN w:val="0"/>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hAnsi="宋体" w:cs="宋体"/>
          <w:color w:val="000000" w:themeColor="text1"/>
          <w:sz w:val="24"/>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 xml:space="preserve">条 </w:t>
      </w:r>
      <w:r>
        <w:rPr>
          <w:rFonts w:ascii="宋体" w:hAnsi="宋体" w:cs="宋体"/>
          <w:color w:val="000000" w:themeColor="text1"/>
          <w:sz w:val="24"/>
          <w14:textFill>
            <w14:solidFill>
              <w14:schemeClr w14:val="tx1"/>
            </w14:solidFill>
          </w14:textFill>
        </w:rPr>
        <w:t>服务要求</w:t>
      </w:r>
    </w:p>
    <w:p w14:paraId="254CB7CA">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服务人员要求</w:t>
      </w:r>
    </w:p>
    <w:p w14:paraId="58FE14C2">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.乙方应按双方约定配备服务人员。</w:t>
      </w:r>
    </w:p>
    <w:p w14:paraId="0F2290D0">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.甲方有权要求乙方更换服务人员</w:t>
      </w:r>
      <w:r>
        <w:rPr>
          <w:rFonts w:hint="eastAsia"/>
          <w:color w:val="000000" w:themeColor="text1"/>
          <w14:textFill>
            <w14:solidFill>
              <w14:schemeClr w14:val="tx1"/>
            </w14:solidFill>
          </w14:textFill>
        </w:rPr>
        <w:t>，乙方应积极配合并在甲方指定时间内更换具备同等或更高资历的服务人员进入本合同项目</w:t>
      </w:r>
      <w:r>
        <w:rPr>
          <w:color w:val="000000" w:themeColor="text1"/>
          <w14:textFill>
            <w14:solidFill>
              <w14:schemeClr w14:val="tx1"/>
            </w14:solidFill>
          </w14:textFill>
        </w:rPr>
        <w:t>。</w:t>
      </w:r>
    </w:p>
    <w:p w14:paraId="752DD276">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.服务过程中，乙方更换相同级别人员</w:t>
      </w:r>
      <w:r>
        <w:rPr>
          <w:rFonts w:hint="eastAsia"/>
          <w:color w:val="000000" w:themeColor="text1"/>
          <w14:textFill>
            <w14:solidFill>
              <w14:schemeClr w14:val="tx1"/>
            </w14:solidFill>
          </w14:textFill>
        </w:rPr>
        <w:t>须经甲方同意，</w:t>
      </w:r>
      <w:r>
        <w:rPr>
          <w:color w:val="000000" w:themeColor="text1"/>
          <w14:textFill>
            <w14:solidFill>
              <w14:schemeClr w14:val="tx1"/>
            </w14:solidFill>
          </w14:textFill>
        </w:rPr>
        <w:t>不能影响服务质量，且整个服务过程中，更换人次不能超过</w:t>
      </w:r>
      <w:r>
        <w:rPr>
          <w:color w:val="000000" w:themeColor="text1"/>
          <w:u w:val="single"/>
          <w14:textFill>
            <w14:solidFill>
              <w14:schemeClr w14:val="tx1"/>
            </w14:solidFill>
          </w14:textFill>
        </w:rPr>
        <w:t>1</w:t>
      </w:r>
      <w:r>
        <w:rPr>
          <w:color w:val="000000" w:themeColor="text1"/>
          <w14:textFill>
            <w14:solidFill>
              <w14:schemeClr w14:val="tx1"/>
            </w14:solidFill>
          </w14:textFill>
        </w:rPr>
        <w:t>人次。</w:t>
      </w:r>
    </w:p>
    <w:p w14:paraId="1266D050">
      <w:pPr>
        <w:pStyle w:val="25"/>
        <w:tabs>
          <w:tab w:val="clear" w:pos="360"/>
        </w:tabs>
        <w:spacing w:before="0" w:beforeAutospacing="0" w:after="0" w:afterAutospacing="0"/>
        <w:ind w:firstLine="480" w:firstLineChars="200"/>
        <w:jc w:val="both"/>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乙方项目经理</w:t>
      </w:r>
      <w:r>
        <w:rPr>
          <w:rFonts w:hint="eastAsia"/>
          <w:color w:val="000000" w:themeColor="text1"/>
          <w14:textFill>
            <w14:solidFill>
              <w14:schemeClr w14:val="tx1"/>
            </w14:solidFill>
          </w14:textFill>
        </w:rPr>
        <w:t>须全职负责本项目，未经许可不得更换或兼任其他项目，否则视为违约。</w:t>
      </w:r>
    </w:p>
    <w:p w14:paraId="4F8B921E">
      <w:pPr>
        <w:pStyle w:val="25"/>
        <w:tabs>
          <w:tab w:val="clear" w:pos="360"/>
        </w:tabs>
        <w:spacing w:before="0" w:beforeAutospacing="0" w:after="0" w:afterAutospacing="0"/>
        <w:ind w:firstLine="480" w:firstLineChars="200"/>
        <w:jc w:val="both"/>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乙方设计方案核心团队人员至少3人以上，要求不少于三个中大型数据流通类项目设计经验，以提供相关合同业绩或项目经历证明材料为准。</w:t>
      </w:r>
    </w:p>
    <w:p w14:paraId="74CA0F8F">
      <w:pPr>
        <w:pStyle w:val="25"/>
        <w:tabs>
          <w:tab w:val="clear" w:pos="360"/>
        </w:tabs>
        <w:spacing w:before="0" w:beforeAutospacing="0" w:after="0" w:afterAutospacing="0"/>
        <w:ind w:firstLine="480" w:firstLineChars="200"/>
        <w:jc w:val="both"/>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设计方案编制过程中，</w:t>
      </w:r>
      <w:r>
        <w:rPr>
          <w:rFonts w:hint="eastAsia"/>
          <w:color w:val="000000" w:themeColor="text1"/>
          <w:lang w:val="en-US" w:eastAsia="zh-CN"/>
          <w14:textFill>
            <w14:solidFill>
              <w14:schemeClr w14:val="tx1"/>
            </w14:solidFill>
          </w14:textFill>
        </w:rPr>
        <w:t>乙方</w:t>
      </w:r>
      <w:r>
        <w:rPr>
          <w:rFonts w:hint="eastAsia"/>
          <w:color w:val="000000" w:themeColor="text1"/>
          <w14:textFill>
            <w14:solidFill>
              <w14:schemeClr w14:val="tx1"/>
            </w14:solidFill>
          </w14:textFill>
        </w:rPr>
        <w:t>核心团队人员的离项需要提前一个月申请且征得甲方同意后方可离项。</w:t>
      </w:r>
    </w:p>
    <w:p w14:paraId="61194F60">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（二）</w:t>
      </w:r>
      <w:r>
        <w:rPr>
          <w:color w:val="000000" w:themeColor="text1"/>
          <w14:textFill>
            <w14:solidFill>
              <w14:schemeClr w14:val="tx1"/>
            </w14:solidFill>
          </w14:textFill>
        </w:rPr>
        <w:tab/>
      </w:r>
      <w:r>
        <w:rPr>
          <w:color w:val="000000" w:themeColor="text1"/>
          <w14:textFill>
            <w14:solidFill>
              <w14:schemeClr w14:val="tx1"/>
            </w14:solidFill>
          </w14:textFill>
        </w:rPr>
        <w:t>期限要求</w:t>
      </w:r>
    </w:p>
    <w:p w14:paraId="02DBB67A">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.日常工作响应：甲方向乙方发出需求后，乙方必须在</w:t>
      </w:r>
      <w:r>
        <w:rPr>
          <w:color w:val="000000" w:themeColor="text1"/>
          <w:u w:val="single"/>
          <w14:textFill>
            <w14:solidFill>
              <w14:schemeClr w14:val="tx1"/>
            </w14:solidFill>
          </w14:textFill>
        </w:rPr>
        <w:t>2</w:t>
      </w:r>
      <w:r>
        <w:rPr>
          <w:color w:val="000000" w:themeColor="text1"/>
          <w14:textFill>
            <w14:solidFill>
              <w14:schemeClr w14:val="tx1"/>
            </w14:solidFill>
          </w14:textFill>
        </w:rPr>
        <w:t>小时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工作时间内</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响应</w:t>
      </w:r>
      <w:r>
        <w:rPr>
          <w:rFonts w:hint="eastAsia"/>
          <w:color w:val="000000" w:themeColor="text1"/>
          <w14:textFill>
            <w14:solidFill>
              <w14:schemeClr w14:val="tx1"/>
            </w14:solidFill>
          </w14:textFill>
        </w:rPr>
        <w:t>。</w:t>
      </w:r>
    </w:p>
    <w:p w14:paraId="54FCB914">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.整改要求：甲方向乙方提出的工作整改要求，乙方必须在</w:t>
      </w:r>
      <w:r>
        <w:rPr>
          <w:color w:val="000000" w:themeColor="text1"/>
          <w:u w:val="single"/>
          <w14:textFill>
            <w14:solidFill>
              <w14:schemeClr w14:val="tx1"/>
            </w14:solidFill>
          </w14:textFill>
        </w:rPr>
        <w:t>8</w:t>
      </w:r>
      <w:r>
        <w:rPr>
          <w:color w:val="000000" w:themeColor="text1"/>
          <w14:textFill>
            <w14:solidFill>
              <w14:schemeClr w14:val="tx1"/>
            </w14:solidFill>
          </w14:textFill>
        </w:rPr>
        <w:t>小时内（工作时间内）提供解决方案。对于紧急的要求，必须立即</w:t>
      </w:r>
      <w:r>
        <w:rPr>
          <w:rFonts w:hint="eastAsia"/>
          <w:color w:val="000000" w:themeColor="text1"/>
          <w14:textFill>
            <w14:solidFill>
              <w14:schemeClr w14:val="tx1"/>
            </w14:solidFill>
          </w14:textFill>
        </w:rPr>
        <w:t>做出</w:t>
      </w:r>
      <w:r>
        <w:rPr>
          <w:color w:val="000000" w:themeColor="text1"/>
          <w14:textFill>
            <w14:solidFill>
              <w14:schemeClr w14:val="tx1"/>
            </w14:solidFill>
          </w14:textFill>
        </w:rPr>
        <w:t>反馈。</w:t>
      </w:r>
    </w:p>
    <w:p w14:paraId="20B79FDE">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（三）驻场要求</w:t>
      </w:r>
    </w:p>
    <w:p w14:paraId="521B656B">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1.方案设计阶段要求不少于2人驻场，在项目实施过程中若涉及到设计方案</w:t>
      </w:r>
      <w:r>
        <w:rPr>
          <w:rFonts w:hint="eastAsia"/>
          <w:color w:val="000000" w:themeColor="text1"/>
          <w:lang w:val="en-US" w:eastAsia="zh-CN"/>
          <w14:textFill>
            <w14:solidFill>
              <w14:schemeClr w14:val="tx1"/>
            </w14:solidFill>
          </w14:textFill>
        </w:rPr>
        <w:t>应派员</w:t>
      </w:r>
      <w:r>
        <w:rPr>
          <w:rFonts w:hint="eastAsia"/>
          <w:color w:val="000000" w:themeColor="text1"/>
          <w14:textFill>
            <w14:solidFill>
              <w14:schemeClr w14:val="tx1"/>
            </w14:solidFill>
          </w14:textFill>
        </w:rPr>
        <w:t>现场参与。</w:t>
      </w:r>
    </w:p>
    <w:p w14:paraId="0A7BF2CC">
      <w:pPr>
        <w:autoSpaceDE w:val="0"/>
        <w:autoSpaceDN w:val="0"/>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hAnsi="宋体" w:cs="宋体"/>
          <w:color w:val="000000" w:themeColor="text1"/>
          <w:sz w:val="24"/>
          <w14:textFill>
            <w14:solidFill>
              <w14:schemeClr w14:val="tx1"/>
            </w14:solidFill>
          </w14:textFill>
        </w:rPr>
        <w:t>七</w:t>
      </w:r>
      <w:r>
        <w:rPr>
          <w:rFonts w:hint="eastAsia" w:ascii="宋体" w:hAnsi="宋体" w:cs="宋体"/>
          <w:color w:val="000000" w:themeColor="text1"/>
          <w:sz w:val="24"/>
          <w14:textFill>
            <w14:solidFill>
              <w14:schemeClr w14:val="tx1"/>
            </w14:solidFill>
          </w14:textFill>
        </w:rPr>
        <w:t>条 甲方权利义务</w:t>
      </w:r>
    </w:p>
    <w:p w14:paraId="30872381">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（一）甲方有权要求乙方提供优质服务；</w:t>
      </w:r>
    </w:p>
    <w:p w14:paraId="568AD938">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（二）甲方有权对乙方工作进度进行监督，要求乙方按照合同约定履行义务；</w:t>
      </w:r>
    </w:p>
    <w:p w14:paraId="297FD161">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（三）甲方应及时向乙方提供履行本合同范围内服务所需的信息和内部相关资料，保证提供资料及时、准确、真实、完整；</w:t>
      </w:r>
    </w:p>
    <w:p w14:paraId="62D23AE6">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（四）甲方应为乙方提供必要人员安排、场地等支持；</w:t>
      </w:r>
    </w:p>
    <w:p w14:paraId="517A5BB3">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（五）甲方应按照本合同约定向乙方支付费用。</w:t>
      </w:r>
    </w:p>
    <w:p w14:paraId="5A29BD96">
      <w:pPr>
        <w:autoSpaceDE w:val="0"/>
        <w:autoSpaceDN w:val="0"/>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hAnsi="宋体" w:cs="宋体"/>
          <w:color w:val="000000" w:themeColor="text1"/>
          <w:sz w:val="24"/>
          <w14:textFill>
            <w14:solidFill>
              <w14:schemeClr w14:val="tx1"/>
            </w14:solidFill>
          </w14:textFill>
        </w:rPr>
        <w:t>八</w:t>
      </w:r>
      <w:r>
        <w:rPr>
          <w:rFonts w:hint="eastAsia" w:ascii="宋体" w:hAnsi="宋体" w:cs="宋体"/>
          <w:color w:val="000000" w:themeColor="text1"/>
          <w:sz w:val="24"/>
          <w14:textFill>
            <w14:solidFill>
              <w14:schemeClr w14:val="tx1"/>
            </w14:solidFill>
          </w14:textFill>
        </w:rPr>
        <w:t>条 乙方权利义务</w:t>
      </w:r>
    </w:p>
    <w:p w14:paraId="35E5C220">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（一）乙方有权要求甲方配合工作；</w:t>
      </w:r>
    </w:p>
    <w:p w14:paraId="29BF2F30">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（二）乙方应按照工作进度，按时交付成果；</w:t>
      </w:r>
    </w:p>
    <w:p w14:paraId="0E89B9FE">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（三）乙方有权要求甲方支付本合同约定的服务费用；</w:t>
      </w:r>
    </w:p>
    <w:p w14:paraId="5838A693">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（四）</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乙方保证所提供的服务及成果不会侵犯第三人合法权益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保证甲方在使用乙方提交成果时不会被任何第三方追诉或主张任何权利</w:t>
      </w:r>
      <w:r>
        <w:rPr>
          <w:rFonts w:hint="eastAsia"/>
          <w:color w:val="000000" w:themeColor="text1"/>
          <w14:textFill>
            <w14:solidFill>
              <w14:schemeClr w14:val="tx1"/>
            </w14:solidFill>
          </w14:textFill>
        </w:rPr>
        <w:t>。</w:t>
      </w:r>
    </w:p>
    <w:p w14:paraId="04B0CC4E">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hAnsi="宋体" w:cs="宋体"/>
          <w:color w:val="000000" w:themeColor="text1"/>
          <w:sz w:val="24"/>
          <w14:textFill>
            <w14:solidFill>
              <w14:schemeClr w14:val="tx1"/>
            </w14:solidFill>
          </w14:textFill>
        </w:rPr>
        <w:t>九</w:t>
      </w:r>
      <w:r>
        <w:rPr>
          <w:rFonts w:hint="eastAsia" w:ascii="宋体" w:hAnsi="宋体" w:cs="宋体"/>
          <w:color w:val="000000" w:themeColor="text1"/>
          <w:sz w:val="24"/>
          <w14:textFill>
            <w14:solidFill>
              <w14:schemeClr w14:val="tx1"/>
            </w14:solidFill>
          </w14:textFill>
        </w:rPr>
        <w:t>条 项目验收</w:t>
      </w:r>
    </w:p>
    <w:p w14:paraId="33FB1923">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（一）</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乙方提交工作成果及验收申请后的</w:t>
      </w:r>
      <w:r>
        <w:rPr>
          <w:rFonts w:hint="eastAsia"/>
          <w:color w:val="000000" w:themeColor="text1"/>
          <w:u w:val="single"/>
          <w14:textFill>
            <w14:solidFill>
              <w14:schemeClr w14:val="tx1"/>
            </w14:solidFill>
          </w14:textFill>
        </w:rPr>
        <w:t>15</w:t>
      </w:r>
      <w:r>
        <w:rPr>
          <w:rFonts w:hint="eastAsia"/>
          <w:color w:val="000000" w:themeColor="text1"/>
          <w14:textFill>
            <w14:solidFill>
              <w14:schemeClr w14:val="tx1"/>
            </w14:solidFill>
          </w14:textFill>
        </w:rPr>
        <w:t>个工作日内，甲方对工作成果进行验收并以书面形式作出答复。甲方验收期间，不计入乙方的服务期限。</w:t>
      </w:r>
    </w:p>
    <w:p w14:paraId="73D90B36">
      <w:pPr>
        <w:pStyle w:val="25"/>
        <w:tabs>
          <w:tab w:val="clear" w:pos="360"/>
        </w:tabs>
        <w:spacing w:before="0" w:beforeAutospacing="0" w:after="0" w:afterAutospacing="0"/>
        <w:ind w:firstLine="480" w:firstLineChars="200"/>
        <w:jc w:val="both"/>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乙方按合同要求完成规定内容，交付文档齐全，提出验收申请，甲方根据验收申请组织内部验收</w:t>
      </w:r>
      <w:r>
        <w:rPr>
          <w:rFonts w:hint="eastAsia"/>
          <w:color w:val="000000" w:themeColor="text1"/>
          <w:lang w:eastAsia="zh-CN"/>
          <w14:textFill>
            <w14:solidFill>
              <w14:schemeClr w14:val="tx1"/>
            </w14:solidFill>
          </w14:textFill>
        </w:rPr>
        <w:t>。</w:t>
      </w:r>
    </w:p>
    <w:p w14:paraId="3DAD95C1">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如甲方在验收期限过后</w:t>
      </w:r>
      <w:r>
        <w:rPr>
          <w:color w:val="000000" w:themeColor="text1"/>
          <w:u w:val="single"/>
          <w14:textFill>
            <w14:solidFill>
              <w14:schemeClr w14:val="tx1"/>
            </w14:solidFill>
          </w14:textFill>
        </w:rPr>
        <w:t>10</w:t>
      </w:r>
      <w:r>
        <w:rPr>
          <w:rFonts w:hint="eastAsia"/>
          <w:color w:val="000000" w:themeColor="text1"/>
          <w14:textFill>
            <w14:solidFill>
              <w14:schemeClr w14:val="tx1"/>
            </w14:solidFill>
          </w14:textFill>
        </w:rPr>
        <w:t>个工作日内没有以书面形式做出任何答复，则视为甲方已经接受并确认工作成果。如甲方在验收期内向乙方提出有依据的合理书面异议，乙方应该根据修改意见进行修改，并</w:t>
      </w:r>
      <w:r>
        <w:rPr>
          <w:rFonts w:hint="eastAsia"/>
          <w:color w:val="000000" w:themeColor="text1"/>
          <w:lang w:val="en-US" w:eastAsia="zh-CN"/>
          <w14:textFill>
            <w14:solidFill>
              <w14:schemeClr w14:val="tx1"/>
            </w14:solidFill>
          </w14:textFill>
        </w:rPr>
        <w:t>在甲方要求的时间内</w:t>
      </w:r>
      <w:r>
        <w:rPr>
          <w:rFonts w:hint="eastAsia"/>
          <w:color w:val="000000" w:themeColor="text1"/>
          <w14:textFill>
            <w14:solidFill>
              <w14:schemeClr w14:val="tx1"/>
            </w14:solidFill>
          </w14:textFill>
        </w:rPr>
        <w:t>将修改后的工作成果再次交甲方验收确认（此时不免除乙方逾期交付违约责任），验收期将重新计算，乙方不得另行收取费用。</w:t>
      </w:r>
    </w:p>
    <w:p w14:paraId="35A63F22">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第十条 合同转让和分包</w:t>
      </w:r>
    </w:p>
    <w:p w14:paraId="362D7BD4">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本合同乙方在任何情况下都不得全部或者部分转让其应该履行的合同义务</w:t>
      </w:r>
      <w:r>
        <w:rPr>
          <w:color w:val="000000" w:themeColor="text1"/>
          <w14:textFill>
            <w14:solidFill>
              <w14:schemeClr w14:val="tx1"/>
            </w14:solidFill>
          </w14:textFill>
        </w:rPr>
        <w:t>。</w:t>
      </w:r>
    </w:p>
    <w:p w14:paraId="66CEF046">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第十</w:t>
      </w:r>
      <w:r>
        <w:rPr>
          <w:rFonts w:hint="eastAsia" w:hAnsi="宋体" w:cs="宋体"/>
          <w:color w:val="000000" w:themeColor="text1"/>
          <w:sz w:val="24"/>
          <w14:textFill>
            <w14:solidFill>
              <w14:schemeClr w14:val="tx1"/>
            </w14:solidFill>
          </w14:textFill>
        </w:rPr>
        <w:t>一</w:t>
      </w:r>
      <w:r>
        <w:rPr>
          <w:rFonts w:hint="eastAsia" w:ascii="宋体" w:hAnsi="宋体" w:cs="宋体"/>
          <w:color w:val="000000" w:themeColor="text1"/>
          <w:sz w:val="24"/>
          <w14:textFill>
            <w14:solidFill>
              <w14:schemeClr w14:val="tx1"/>
            </w14:solidFill>
          </w14:textFill>
        </w:rPr>
        <w:t xml:space="preserve">条 </w:t>
      </w:r>
      <w:r>
        <w:rPr>
          <w:rFonts w:ascii="宋体" w:hAnsi="宋体" w:cs="宋体"/>
          <w:color w:val="000000" w:themeColor="text1"/>
          <w:sz w:val="24"/>
          <w14:textFill>
            <w14:solidFill>
              <w14:schemeClr w14:val="tx1"/>
            </w14:solidFill>
          </w14:textFill>
        </w:rPr>
        <w:t>知识产权</w:t>
      </w:r>
    </w:p>
    <w:p w14:paraId="0C362DF7">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（一）</w:t>
      </w:r>
      <w:r>
        <w:rPr>
          <w:color w:val="000000" w:themeColor="text1"/>
          <w14:textFill>
            <w14:solidFill>
              <w14:schemeClr w14:val="tx1"/>
            </w14:solidFill>
          </w14:textFill>
        </w:rPr>
        <w:tab/>
      </w:r>
      <w:r>
        <w:rPr>
          <w:color w:val="000000" w:themeColor="text1"/>
          <w14:textFill>
            <w14:solidFill>
              <w14:schemeClr w14:val="tx1"/>
            </w14:solidFill>
          </w14:textFill>
        </w:rPr>
        <w:t>甲方的知识产权</w:t>
      </w:r>
    </w:p>
    <w:p w14:paraId="121E1C43">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履行合同中甲方向乙方及乙方人员提供的信息、材料、技术等知识产权归甲方所有，本合同的签订与履行不代表甲方知识产权的转让和许可，乙方仅可出于为甲方提供服务之目标而使用。乙方承诺</w:t>
      </w:r>
      <w:r>
        <w:rPr>
          <w:color w:val="000000" w:themeColor="text1"/>
          <w:shd w:val="clear" w:color="auto" w:fill="FFFFFF"/>
          <w14:textFill>
            <w14:solidFill>
              <w14:schemeClr w14:val="tx1"/>
            </w14:solidFill>
          </w14:textFill>
        </w:rPr>
        <w:t>仅限直接参与本项目的服务团队成员</w:t>
      </w:r>
      <w:r>
        <w:rPr>
          <w:color w:val="000000" w:themeColor="text1"/>
          <w14:textFill>
            <w14:solidFill>
              <w14:schemeClr w14:val="tx1"/>
            </w14:solidFill>
          </w14:textFill>
        </w:rPr>
        <w:t>可接触甲方提供的信息、材料及相关知识产权，</w:t>
      </w:r>
      <w:r>
        <w:rPr>
          <w:color w:val="000000" w:themeColor="text1"/>
          <w:shd w:val="clear" w:color="auto" w:fill="FFFFFF"/>
          <w14:textFill>
            <w14:solidFill>
              <w14:schemeClr w14:val="tx1"/>
            </w14:solidFill>
          </w14:textFill>
        </w:rPr>
        <w:t>不得以任何形式</w:t>
      </w:r>
      <w:r>
        <w:rPr>
          <w:color w:val="000000" w:themeColor="text1"/>
          <w14:textFill>
            <w14:solidFill>
              <w14:schemeClr w14:val="tx1"/>
            </w14:solidFill>
          </w14:textFill>
        </w:rPr>
        <w:t>将</w:t>
      </w:r>
      <w:r>
        <w:rPr>
          <w:rFonts w:hint="eastAsia"/>
          <w:color w:val="000000" w:themeColor="text1"/>
          <w:lang w:val="en-US" w:eastAsia="zh-CN"/>
          <w14:textFill>
            <w14:solidFill>
              <w14:schemeClr w14:val="tx1"/>
            </w14:solidFill>
          </w14:textFill>
        </w:rPr>
        <w:t>以上内容</w:t>
      </w:r>
      <w:r>
        <w:rPr>
          <w:color w:val="000000" w:themeColor="text1"/>
          <w14:textFill>
            <w14:solidFill>
              <w14:schemeClr w14:val="tx1"/>
            </w14:solidFill>
          </w14:textFill>
        </w:rPr>
        <w:t>透露给未直接参与本项目服务的</w:t>
      </w:r>
      <w:r>
        <w:rPr>
          <w:color w:val="000000" w:themeColor="text1"/>
          <w:shd w:val="clear" w:color="auto" w:fill="FFFFFF"/>
          <w14:textFill>
            <w14:solidFill>
              <w14:schemeClr w14:val="tx1"/>
            </w14:solidFill>
          </w14:textFill>
        </w:rPr>
        <w:t>任何其他人员（包括乙方内部其他团队、部门、关联公司员工等）。</w:t>
      </w:r>
    </w:p>
    <w:p w14:paraId="7BB768A7">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（二）</w:t>
      </w:r>
      <w:r>
        <w:rPr>
          <w:color w:val="000000" w:themeColor="text1"/>
          <w14:textFill>
            <w14:solidFill>
              <w14:schemeClr w14:val="tx1"/>
            </w14:solidFill>
          </w14:textFill>
        </w:rPr>
        <w:tab/>
      </w:r>
      <w:r>
        <w:rPr>
          <w:color w:val="000000" w:themeColor="text1"/>
          <w14:textFill>
            <w14:solidFill>
              <w14:schemeClr w14:val="tx1"/>
            </w14:solidFill>
          </w14:textFill>
        </w:rPr>
        <w:t>专有信息</w:t>
      </w:r>
    </w:p>
    <w:p w14:paraId="538D5DE3">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服务过程中产生的属于甲方、甲方关联公司、甲方客户的专有信息的任何权利仍属于甲方、甲方关联公司、甲方客户所有。</w:t>
      </w:r>
    </w:p>
    <w:p w14:paraId="22968D14">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（三）</w:t>
      </w:r>
      <w:r>
        <w:rPr>
          <w:color w:val="000000" w:themeColor="text1"/>
          <w14:textFill>
            <w14:solidFill>
              <w14:schemeClr w14:val="tx1"/>
            </w14:solidFill>
          </w14:textFill>
        </w:rPr>
        <w:tab/>
      </w:r>
      <w:r>
        <w:rPr>
          <w:color w:val="000000" w:themeColor="text1"/>
          <w14:textFill>
            <w14:solidFill>
              <w14:schemeClr w14:val="tx1"/>
            </w14:solidFill>
          </w14:textFill>
        </w:rPr>
        <w:t>乙方知识产权</w:t>
      </w:r>
    </w:p>
    <w:p w14:paraId="15B59E4D">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因提供服务的需要，乙方提供给甲方使用的软件的知识产权仍归乙方所有，甲方仅在接受服务的范围内有权使用。</w:t>
      </w:r>
    </w:p>
    <w:p w14:paraId="14532CCF">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（四）</w:t>
      </w:r>
      <w:r>
        <w:rPr>
          <w:color w:val="000000" w:themeColor="text1"/>
          <w14:textFill>
            <w14:solidFill>
              <w14:schemeClr w14:val="tx1"/>
            </w14:solidFill>
          </w14:textFill>
        </w:rPr>
        <w:tab/>
      </w:r>
      <w:r>
        <w:rPr>
          <w:color w:val="000000" w:themeColor="text1"/>
          <w14:textFill>
            <w14:solidFill>
              <w14:schemeClr w14:val="tx1"/>
            </w14:solidFill>
          </w14:textFill>
        </w:rPr>
        <w:t>工作成果知识产权归属</w:t>
      </w:r>
    </w:p>
    <w:p w14:paraId="5E88AC0F">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服务过程中乙方向甲方提交的各类文档、工作成果</w:t>
      </w:r>
      <w:r>
        <w:rPr>
          <w:rFonts w:hint="eastAsia"/>
          <w:color w:val="000000" w:themeColor="text1"/>
          <w14:textFill>
            <w14:solidFill>
              <w14:schemeClr w14:val="tx1"/>
            </w14:solidFill>
          </w14:textFill>
        </w:rPr>
        <w:t>的知识产权归甲方所有</w:t>
      </w:r>
      <w:r>
        <w:rPr>
          <w:color w:val="000000" w:themeColor="text1"/>
          <w14:textFill>
            <w14:solidFill>
              <w14:schemeClr w14:val="tx1"/>
            </w14:solidFill>
          </w14:textFill>
        </w:rPr>
        <w:t>，除非双方另有约定，甲方有权永久、免费使用，无需向乙方另外支付费用。</w:t>
      </w:r>
      <w:r>
        <w:rPr>
          <w:rFonts w:hint="eastAsia"/>
          <w:color w:val="000000" w:themeColor="text1"/>
          <w14:textFill>
            <w14:solidFill>
              <w14:schemeClr w14:val="tx1"/>
            </w14:solidFill>
          </w14:textFill>
        </w:rPr>
        <w:t>在未经甲方书面同意的情况下，乙方不得以任何方式将上述成果、文档及/或软件的任何数据或程序向甲方以外的任何第三方明示或暗示地披露、提供、转让，不得许可第三方使用或以任何方式加以利用。</w:t>
      </w:r>
    </w:p>
    <w:p w14:paraId="339FB319">
      <w:pPr>
        <w:pStyle w:val="25"/>
        <w:numPr>
          <w:ilvl w:val="0"/>
          <w:numId w:val="7"/>
        </w:numPr>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乙方应保证甲方不会因为购买、使用本项目合同项下服务成果而受到第三人提起的有关知识产权或其他合法权益的主张。</w:t>
      </w:r>
    </w:p>
    <w:p w14:paraId="71632402">
      <w:pPr>
        <w:pStyle w:val="25"/>
        <w:numPr>
          <w:ilvl w:val="0"/>
          <w:numId w:val="7"/>
        </w:numPr>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如果甲方因按照合同的约定行使合同项下服务成果的相关权利而侵犯第三方的合法权利，并因此涉入诉讼、索赔或其他司法程序（以下称“侵权诉讼”），乙方同意指派代表为甲方的权益并以甲方的名义参与上述第三方提起的侵权诉讼，乙方应在上述侵权诉讼进行过程中就诉讼策略及其他事宜向甲方提供必要的支持与协助，并承担所产生的一切诉讼费用、律师费用、调查取证费用、差旅费用、和解金额或生效法律文书中规定的损害赔偿金额、设备和/或软件使用费等费用以及由此给甲方造成的损失。</w:t>
      </w:r>
    </w:p>
    <w:p w14:paraId="5CFA9B9D">
      <w:pPr>
        <w:pStyle w:val="25"/>
        <w:numPr>
          <w:ilvl w:val="0"/>
          <w:numId w:val="7"/>
        </w:numPr>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如果在上述侵权诉讼中有效法律文书认定甲方构成侵权，禁止甲方继续使用合同项下服务成果的一部分或全部，或要求甲方向第三方权利人支付使用费用，乙方应采取以下措施之一：</w:t>
      </w:r>
    </w:p>
    <w:p w14:paraId="5F18183C">
      <w:pPr>
        <w:pStyle w:val="25"/>
        <w:numPr>
          <w:ilvl w:val="255"/>
          <w:numId w:val="0"/>
        </w:numPr>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1.免费使甲方重新获得合法使用上述合同项下服务成果的权利；</w:t>
      </w:r>
    </w:p>
    <w:p w14:paraId="406597BE">
      <w:pPr>
        <w:pStyle w:val="25"/>
        <w:numPr>
          <w:ilvl w:val="255"/>
          <w:numId w:val="0"/>
        </w:numPr>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在甲方要求的合理期限内对上述合同项下服务成果进行修改或更换使其满足合同的相关规定，以使甲方使用合同项下服务成果不受上述法律文书限制，并继续合法、不受限制地使用合同项下服务成果。采取以上措施所发生的费用均由乙方承担。</w:t>
      </w:r>
    </w:p>
    <w:p w14:paraId="5A40E127">
      <w:pPr>
        <w:pStyle w:val="25"/>
        <w:numPr>
          <w:ilvl w:val="0"/>
          <w:numId w:val="7"/>
        </w:numPr>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如果甲方因司法机关对上述侵权诉讼做出的生效法律文书或为避免损失扩大且经乙方同意而与第三方达成生效和解协议后，完全不可能继续使用合同项下服务成果的，则甲方有权解除合同，乙方应承担本合同规定的违约责任。</w:t>
      </w:r>
    </w:p>
    <w:p w14:paraId="06750D2E">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第十</w:t>
      </w:r>
      <w:r>
        <w:rPr>
          <w:rFonts w:hint="eastAsia" w:hAnsi="宋体" w:cs="宋体"/>
          <w:color w:val="000000" w:themeColor="text1"/>
          <w:sz w:val="24"/>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条 违约责任</w:t>
      </w:r>
    </w:p>
    <w:p w14:paraId="12112551">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（一）甲方无正当理由逾期付款的，每逾期一天，应按逾期金额的</w:t>
      </w:r>
      <w:r>
        <w:rPr>
          <w:color w:val="000000" w:themeColor="text1"/>
          <w:u w:val="single"/>
          <w14:textFill>
            <w14:solidFill>
              <w14:schemeClr w14:val="tx1"/>
            </w14:solidFill>
          </w14:textFill>
        </w:rPr>
        <w:t>0.1</w:t>
      </w:r>
      <w:r>
        <w:rPr>
          <w:rFonts w:hint="eastAsia" w:ascii="MS Gothic" w:hAnsi="MS Gothic" w:cs="MS Gothic"/>
          <w:color w:val="000000" w:themeColor="text1"/>
          <w14:textFill>
            <w14:solidFill>
              <w14:schemeClr w14:val="tx1"/>
            </w14:solidFill>
          </w14:textFill>
        </w:rPr>
        <w:t>%</w:t>
      </w:r>
      <w:r>
        <w:rPr>
          <w:rFonts w:hint="eastAsia"/>
          <w:color w:val="000000" w:themeColor="text1"/>
          <w14:textFill>
            <w14:solidFill>
              <w14:schemeClr w14:val="tx1"/>
            </w14:solidFill>
          </w14:textFill>
        </w:rPr>
        <w:t>向乙方支付违约金，最高不超过合同金额的10%，同时仍应履行付款义务。逾期超过</w:t>
      </w:r>
      <w:r>
        <w:rPr>
          <w:rFonts w:hint="eastAsia"/>
          <w:color w:val="000000" w:themeColor="text1"/>
          <w:u w:val="single"/>
          <w14:textFill>
            <w14:solidFill>
              <w14:schemeClr w14:val="tx1"/>
            </w14:solidFill>
          </w14:textFill>
        </w:rPr>
        <w:t>15</w:t>
      </w:r>
      <w:r>
        <w:rPr>
          <w:rFonts w:hint="eastAsia"/>
          <w:color w:val="000000" w:themeColor="text1"/>
          <w14:textFill>
            <w14:solidFill>
              <w14:schemeClr w14:val="tx1"/>
            </w14:solidFill>
          </w14:textFill>
        </w:rPr>
        <w:t>日的，乙方有权解除本合同。</w:t>
      </w:r>
    </w:p>
    <w:p w14:paraId="00568FFB">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乙方提供的服务违法或侵犯他人权益的，应赔偿甲方全部损失，包括但不限于甲方因此支出的罚款、向他人作出的赔偿、诉讼仲裁费用、律师费用等；因甲方原因造成的除外。</w:t>
      </w:r>
    </w:p>
    <w:p w14:paraId="7BDDEEB2">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（三）乙方未按规定时间提交对应工作成果的（含验收不合格返工导致的逾期），每逾期1天，应按合同总金额的</w:t>
      </w:r>
      <w:r>
        <w:rPr>
          <w:color w:val="000000" w:themeColor="text1"/>
          <w:u w:val="single"/>
          <w14:textFill>
            <w14:solidFill>
              <w14:schemeClr w14:val="tx1"/>
            </w14:solidFill>
          </w14:textFill>
        </w:rPr>
        <w:t>1</w:t>
      </w:r>
      <w:r>
        <w:rPr>
          <w:rFonts w:hint="eastAsia"/>
          <w:color w:val="000000" w:themeColor="text1"/>
          <w14:textFill>
            <w14:solidFill>
              <w14:schemeClr w14:val="tx1"/>
            </w14:solidFill>
          </w14:textFill>
        </w:rPr>
        <w:t>%支付违约金，最高不超过合同金额的10%，逾期超过</w:t>
      </w:r>
      <w:r>
        <w:rPr>
          <w:color w:val="000000" w:themeColor="text1"/>
          <w:u w:val="single"/>
          <w14:textFill>
            <w14:solidFill>
              <w14:schemeClr w14:val="tx1"/>
            </w14:solidFill>
          </w14:textFill>
        </w:rPr>
        <w:t>15</w:t>
      </w:r>
      <w:r>
        <w:rPr>
          <w:rFonts w:hint="eastAsia"/>
          <w:color w:val="000000" w:themeColor="text1"/>
          <w14:textFill>
            <w14:solidFill>
              <w14:schemeClr w14:val="tx1"/>
            </w14:solidFill>
          </w14:textFill>
        </w:rPr>
        <w:t>日的，甲方有权解除合同。</w:t>
      </w:r>
    </w:p>
    <w:p w14:paraId="0B2CB955">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（四）乙方有下列情形之一的，甲方有权立即解除合同：</w:t>
      </w:r>
    </w:p>
    <w:p w14:paraId="4798E5EA">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乙方或乙方人员造成自身、甲方人员或客户人身伤害事故的；</w:t>
      </w:r>
    </w:p>
    <w:p w14:paraId="4493C660">
      <w:pPr>
        <w:pStyle w:val="25"/>
        <w:tabs>
          <w:tab w:val="clear" w:pos="360"/>
        </w:tabs>
        <w:spacing w:before="0" w:beforeAutospacing="0" w:after="0" w:afterAutospacing="0"/>
        <w:ind w:firstLine="480" w:firstLineChars="200"/>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乙方或乙方人员造成甲方财产损失超过</w:t>
      </w:r>
      <w:r>
        <w:rPr>
          <w:color w:val="000000" w:themeColor="text1"/>
          <w:u w:val="single"/>
          <w14:textFill>
            <w14:solidFill>
              <w14:schemeClr w14:val="tx1"/>
            </w14:solidFill>
          </w14:textFill>
        </w:rPr>
        <w:t>5000</w:t>
      </w:r>
      <w:r>
        <w:rPr>
          <w:rFonts w:hint="eastAsia"/>
          <w:color w:val="000000" w:themeColor="text1"/>
          <w14:textFill>
            <w14:solidFill>
              <w14:schemeClr w14:val="tx1"/>
            </w14:solidFill>
          </w14:textFill>
        </w:rPr>
        <w:t>元的；</w:t>
      </w:r>
    </w:p>
    <w:p w14:paraId="4D62A9D6">
      <w:pPr>
        <w:pStyle w:val="25"/>
        <w:tabs>
          <w:tab w:val="clear" w:pos="360"/>
        </w:tabs>
        <w:spacing w:before="0" w:beforeAutospacing="0" w:after="0" w:afterAutospacing="0"/>
        <w:ind w:firstLine="480" w:firstLineChars="200"/>
        <w:jc w:val="both"/>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乙方</w:t>
      </w:r>
      <w:r>
        <w:rPr>
          <w:rFonts w:hint="eastAsia"/>
          <w:color w:val="000000" w:themeColor="text1"/>
          <w14:textFill>
            <w14:solidFill>
              <w14:schemeClr w14:val="tx1"/>
            </w14:solidFill>
          </w14:textFill>
        </w:rPr>
        <w:t>全部或者部分转让其应该履行的合同义务</w:t>
      </w:r>
      <w:r>
        <w:rPr>
          <w:rFonts w:hint="eastAsia"/>
          <w:color w:val="000000" w:themeColor="text1"/>
          <w:lang w:eastAsia="zh-CN"/>
          <w14:textFill>
            <w14:solidFill>
              <w14:schemeClr w14:val="tx1"/>
            </w14:solidFill>
          </w14:textFill>
        </w:rPr>
        <w:t>。</w:t>
      </w:r>
    </w:p>
    <w:p w14:paraId="0E01016A">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乙方违反本合同约定，经甲方通知后在</w:t>
      </w:r>
      <w:r>
        <w:rPr>
          <w:color w:val="000000" w:themeColor="text1"/>
          <w:u w:val="single"/>
          <w14:textFill>
            <w14:solidFill>
              <w14:schemeClr w14:val="tx1"/>
            </w14:solidFill>
          </w14:textFill>
        </w:rPr>
        <w:t>3</w:t>
      </w:r>
      <w:r>
        <w:rPr>
          <w:rFonts w:hint="eastAsia"/>
          <w:color w:val="000000" w:themeColor="text1"/>
          <w14:textFill>
            <w14:solidFill>
              <w14:schemeClr w14:val="tx1"/>
            </w14:solidFill>
          </w14:textFill>
        </w:rPr>
        <w:t>天内仍不改正的；</w:t>
      </w:r>
    </w:p>
    <w:p w14:paraId="238C57B1">
      <w:pPr>
        <w:pStyle w:val="25"/>
        <w:tabs>
          <w:tab w:val="clear" w:pos="360"/>
        </w:tabs>
        <w:spacing w:before="0" w:beforeAutospacing="0" w:after="0" w:afterAutospacing="0"/>
        <w:ind w:firstLine="480" w:firstLineChars="200"/>
        <w:jc w:val="both"/>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乙方违反本合同约定，根据法律规定或双方约定甲方有权解除合同的。</w:t>
      </w:r>
    </w:p>
    <w:p w14:paraId="1B21AC20">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（五）甲方有下列情形之一的，乙方有权立即解除合同：</w:t>
      </w:r>
    </w:p>
    <w:p w14:paraId="0F8E208F">
      <w:pPr>
        <w:pStyle w:val="25"/>
        <w:tabs>
          <w:tab w:val="clear" w:pos="360"/>
        </w:tabs>
        <w:spacing w:before="0" w:beforeAutospacing="0" w:after="0" w:afterAutospacing="0"/>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甲方要求乙方提供违法服务的；</w:t>
      </w:r>
    </w:p>
    <w:p w14:paraId="2E17FE43">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甲方违反本合同约定，根据法律规定或双方约定乙方有权解除合同的。</w:t>
      </w:r>
    </w:p>
    <w:p w14:paraId="514E46C6">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（六）</w:t>
      </w:r>
      <w:r>
        <w:rPr>
          <w:rFonts w:hint="eastAsia"/>
          <w:color w:val="000000" w:themeColor="text1"/>
          <w:lang w:val="en-US" w:eastAsia="zh-CN"/>
          <w14:textFill>
            <w14:solidFill>
              <w14:schemeClr w14:val="tx1"/>
            </w14:solidFill>
          </w14:textFill>
        </w:rPr>
        <w:t>除本合同另有约定外，</w:t>
      </w:r>
      <w:r>
        <w:rPr>
          <w:rFonts w:hint="eastAsia"/>
          <w:color w:val="000000" w:themeColor="text1"/>
          <w14:textFill>
            <w14:solidFill>
              <w14:schemeClr w14:val="tx1"/>
            </w14:solidFill>
          </w14:textFill>
        </w:rPr>
        <w:t>任何一方违约导致合同提前解除或者任何一方违约提前解除本合同的，违约方应按合同价款的</w:t>
      </w:r>
      <w:r>
        <w:rPr>
          <w:color w:val="000000" w:themeColor="text1"/>
          <w:u w:val="single"/>
          <w14:textFill>
            <w14:solidFill>
              <w14:schemeClr w14:val="tx1"/>
            </w14:solidFill>
          </w14:textFill>
        </w:rPr>
        <w:t>20</w:t>
      </w:r>
      <w:r>
        <w:rPr>
          <w:rFonts w:hint="eastAsia"/>
          <w:color w:val="000000" w:themeColor="text1"/>
          <w14:textFill>
            <w14:solidFill>
              <w14:schemeClr w14:val="tx1"/>
            </w14:solidFill>
          </w14:textFill>
        </w:rPr>
        <w:t>%向对方支付违约金。</w:t>
      </w:r>
    </w:p>
    <w:p w14:paraId="2538C72A">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（七）任何一方有其他违反本合同情形的，应赔偿守约方全部损失。</w:t>
      </w:r>
    </w:p>
    <w:p w14:paraId="0057A69C">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八）本合同项下，乙方应向甲方支付的违约金、赔偿的损失等，甲方有权直接从应支付给乙方的费用中予以扣除。如本合同项下约定的乙方需向甲方支付的违约金、赔偿金不足以弥补甲方直接损失或间接损失的，乙方应按照甲方的实际损失进行赔偿。</w:t>
      </w:r>
    </w:p>
    <w:p w14:paraId="75596B50">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第十</w:t>
      </w:r>
      <w:r>
        <w:rPr>
          <w:rFonts w:hint="eastAsia" w:hAnsi="宋体" w:cs="宋体"/>
          <w:color w:val="000000" w:themeColor="text1"/>
          <w:sz w:val="24"/>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 xml:space="preserve">条 </w:t>
      </w:r>
      <w:r>
        <w:rPr>
          <w:rFonts w:ascii="宋体" w:hAnsi="宋体" w:cs="宋体"/>
          <w:color w:val="000000" w:themeColor="text1"/>
          <w:sz w:val="24"/>
          <w14:textFill>
            <w14:solidFill>
              <w14:schemeClr w14:val="tx1"/>
            </w14:solidFill>
          </w14:textFill>
        </w:rPr>
        <w:t>合同解除与终止</w:t>
      </w:r>
    </w:p>
    <w:p w14:paraId="5C3D1345">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双方协商一致时，可提前解除本合同</w:t>
      </w:r>
      <w:r>
        <w:rPr>
          <w:rFonts w:hint="eastAsia"/>
          <w:color w:val="000000" w:themeColor="text1"/>
          <w14:textFill>
            <w14:solidFill>
              <w14:schemeClr w14:val="tx1"/>
            </w14:solidFill>
          </w14:textFill>
        </w:rPr>
        <w:t>。</w:t>
      </w:r>
    </w:p>
    <w:p w14:paraId="3E054D0E">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第十</w:t>
      </w:r>
      <w:r>
        <w:rPr>
          <w:rFonts w:hint="eastAsia" w:hAnsi="宋体" w:cs="宋体"/>
          <w:color w:val="000000" w:themeColor="text1"/>
          <w:sz w:val="24"/>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 xml:space="preserve">条 </w:t>
      </w:r>
      <w:r>
        <w:rPr>
          <w:rFonts w:ascii="宋体" w:hAnsi="宋体" w:cs="宋体"/>
          <w:color w:val="000000" w:themeColor="text1"/>
          <w:sz w:val="24"/>
          <w14:textFill>
            <w14:solidFill>
              <w14:schemeClr w14:val="tx1"/>
            </w14:solidFill>
          </w14:textFill>
        </w:rPr>
        <w:t>保密</w:t>
      </w:r>
    </w:p>
    <w:p w14:paraId="7476D9E2">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14:paraId="003936F9">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上述保密义务，在本合同终止或解除之后仍需履行。</w:t>
      </w:r>
    </w:p>
    <w:p w14:paraId="2916564A">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color w:val="000000" w:themeColor="text1"/>
          <w14:textFill>
            <w14:solidFill>
              <w14:schemeClr w14:val="tx1"/>
            </w14:solidFill>
          </w14:textFill>
        </w:rPr>
        <w:t>本合同关于对保密信息的保护不适用于以下情形：</w:t>
      </w:r>
    </w:p>
    <w:p w14:paraId="77A5078E">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保密信息在披露给接收方之前，已经公开或能从公开领域获得；</w:t>
      </w:r>
    </w:p>
    <w:p w14:paraId="52DF9AEE">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在本合同约定的保密义务未被违反的前提下，保密信息已经公开或能从公开领域获得；</w:t>
      </w:r>
    </w:p>
    <w:p w14:paraId="0E8D01B6">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接收方应法院</w:t>
      </w:r>
      <w:r>
        <w:rPr>
          <w:rFonts w:hint="eastAsia"/>
          <w:color w:val="000000" w:themeColor="text1"/>
          <w14:textFill>
            <w14:solidFill>
              <w14:schemeClr w14:val="tx1"/>
            </w14:solidFill>
          </w14:textFill>
        </w:rPr>
        <w:t>或其他</w:t>
      </w:r>
      <w:r>
        <w:rPr>
          <w:color w:val="000000" w:themeColor="text1"/>
          <w14:textFill>
            <w14:solidFill>
              <w14:schemeClr w14:val="tx1"/>
            </w14:solidFill>
          </w14:textFill>
        </w:rPr>
        <w:t>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14:paraId="59CB5619">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14:paraId="2E9DD47B">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第十</w:t>
      </w:r>
      <w:r>
        <w:rPr>
          <w:rFonts w:hint="eastAsia" w:hAnsi="宋体" w:cs="宋体"/>
          <w:color w:val="000000" w:themeColor="text1"/>
          <w:sz w:val="24"/>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条</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不可抗力条款</w:t>
      </w:r>
    </w:p>
    <w:p w14:paraId="20929B02">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（一）不可抗力是指不能预见、不能避免且不能克服的客观情况，包括但不限于洪水、地震、风暴、台风、地陷、疫病或者其他自然灾害、战争或者威胁、恐怖主义行为、暴乱、入侵、内乱、起义、贸易禁运等。</w:t>
      </w:r>
    </w:p>
    <w:p w14:paraId="0225EF4A">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（二）除履行本合同项下保密义务之外，本合同任何一方因为不可抗力全部或部分不能履行其义务或者延迟履行其义务，不应视为违约行为，其履行约定义务的时间相应扣除。</w:t>
      </w:r>
    </w:p>
    <w:p w14:paraId="784CEA2A">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（三）如果发生了任何不可抗力事件，遇有不可抗力事件的一方应立即将事件情况以电话或传真等形式通知对方，并应在其后的</w:t>
      </w:r>
      <w:r>
        <w:rPr>
          <w:rFonts w:hint="eastAsia"/>
          <w:color w:val="000000" w:themeColor="text1"/>
          <w:u w:val="single"/>
          <w14:textFill>
            <w14:solidFill>
              <w14:schemeClr w14:val="tx1"/>
            </w14:solidFill>
          </w14:textFill>
        </w:rPr>
        <w:t>1</w:t>
      </w:r>
      <w:r>
        <w:rPr>
          <w:color w:val="000000" w:themeColor="text1"/>
          <w:u w:val="single"/>
          <w14:textFill>
            <w14:solidFill>
              <w14:schemeClr w14:val="tx1"/>
            </w14:solidFill>
          </w14:textFill>
        </w:rPr>
        <w:t>5</w:t>
      </w:r>
      <w:r>
        <w:rPr>
          <w:rFonts w:hint="eastAsia"/>
          <w:color w:val="000000" w:themeColor="text1"/>
          <w14:textFill>
            <w14:solidFill>
              <w14:schemeClr w14:val="tx1"/>
            </w14:solidFill>
          </w14:textFill>
        </w:rPr>
        <w:t>天内提供事故详情，及合同不能履行、部分不能履行或者需要延期履行的理由的有效证明文件。如因未及时通知造成另一方损失的，遇有不可抗力事件的该方应赔偿损失。</w:t>
      </w:r>
    </w:p>
    <w:p w14:paraId="77454E42">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（四）如果不可抗力事件导致本合同的目的无法实现，双方可协商解除本合同以寻求公平的解决方法，并尽最大努力尽量减轻不可抗力事件所造成的影响。</w:t>
      </w:r>
    </w:p>
    <w:p w14:paraId="63A5AF70">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第十</w:t>
      </w:r>
      <w:r>
        <w:rPr>
          <w:rFonts w:hint="eastAsia" w:hAnsi="宋体" w:cs="宋体"/>
          <w:color w:val="000000" w:themeColor="text1"/>
          <w:sz w:val="24"/>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条</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通知与送达</w:t>
      </w:r>
    </w:p>
    <w:p w14:paraId="0A31553E">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为更好</w:t>
      </w:r>
      <w:r>
        <w:rPr>
          <w:rFonts w:hint="eastAsia"/>
          <w:color w:val="000000" w:themeColor="text1"/>
          <w14:textFill>
            <w14:solidFill>
              <w14:schemeClr w14:val="tx1"/>
            </w14:solidFill>
          </w14:textFill>
        </w:rPr>
        <w:t>地</w:t>
      </w:r>
      <w:r>
        <w:rPr>
          <w:color w:val="000000" w:themeColor="text1"/>
          <w14:textFill>
            <w14:solidFill>
              <w14:schemeClr w14:val="tx1"/>
            </w14:solidFill>
          </w14:textFill>
        </w:rPr>
        <w:t>履行本合同，双方提供如下联系方式：</w:t>
      </w:r>
    </w:p>
    <w:p w14:paraId="79FAD631">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（1）甲方联系方式</w:t>
      </w:r>
    </w:p>
    <w:p w14:paraId="1E36F9DB">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联系人：</w:t>
      </w:r>
    </w:p>
    <w:p w14:paraId="74CF4432">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地址：</w:t>
      </w:r>
      <w:r>
        <w:rPr>
          <w:rFonts w:hint="eastAsia"/>
          <w:color w:val="000000" w:themeColor="text1"/>
          <w:u w:val="single"/>
          <w14:textFill>
            <w14:solidFill>
              <w14:schemeClr w14:val="tx1"/>
            </w14:solidFill>
          </w14:textFill>
        </w:rPr>
        <w:t>广州市南沙区海滨路171号11楼</w:t>
      </w:r>
    </w:p>
    <w:p w14:paraId="3F21B72D">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手机：</w:t>
      </w:r>
    </w:p>
    <w:p w14:paraId="6655A5BD">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电子邮箱：</w:t>
      </w:r>
      <w:r>
        <w:rPr>
          <w:rFonts w:hint="eastAsia"/>
          <w:color w:val="000000" w:themeColor="text1"/>
          <w:u w:val="single"/>
          <w14:textFill>
            <w14:solidFill>
              <w14:schemeClr w14:val="tx1"/>
            </w14:solidFill>
          </w14:textFill>
        </w:rPr>
        <w:t>support@global-suyuan.com</w:t>
      </w:r>
    </w:p>
    <w:p w14:paraId="3231A1F1">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（2）乙方联系方式</w:t>
      </w:r>
    </w:p>
    <w:p w14:paraId="31DFD2F8">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联系人：</w:t>
      </w:r>
    </w:p>
    <w:p w14:paraId="4D8E5510">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地址：</w:t>
      </w:r>
    </w:p>
    <w:p w14:paraId="435F774C">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手机：</w:t>
      </w:r>
    </w:p>
    <w:p w14:paraId="452BE6BE">
      <w:pPr>
        <w:pStyle w:val="25"/>
        <w:tabs>
          <w:tab w:val="clear" w:pos="360"/>
        </w:tabs>
        <w:spacing w:before="0" w:beforeAutospacing="0" w:after="0" w:afterAutospacing="0"/>
        <w:ind w:firstLine="480" w:firstLineChars="200"/>
        <w:jc w:val="both"/>
        <w:rPr>
          <w:color w:val="000000" w:themeColor="text1"/>
          <w:u w:val="single"/>
          <w14:textFill>
            <w14:solidFill>
              <w14:schemeClr w14:val="tx1"/>
            </w14:solidFill>
          </w14:textFill>
        </w:rPr>
      </w:pPr>
      <w:r>
        <w:rPr>
          <w:color w:val="000000" w:themeColor="text1"/>
          <w14:textFill>
            <w14:solidFill>
              <w14:schemeClr w14:val="tx1"/>
            </w14:solidFill>
          </w14:textFill>
        </w:rPr>
        <w:t>电子邮箱：</w:t>
      </w:r>
    </w:p>
    <w:p w14:paraId="1CD3C333">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（二）以上送达地址适用范围包括但不限于以本合同为目的或与之相关的各类告知书、通知书、工作联系单、协议文件等法律文书，送达主体可以是合同各方、人民法院、仲裁委员会及各行政机关。</w:t>
      </w:r>
    </w:p>
    <w:p w14:paraId="675F7D09">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（三）因履行本合同发生争议而发生诉讼、仲裁的，以上送达地址适用于法院或仲裁机构对诉讼文书的送达。</w:t>
      </w:r>
    </w:p>
    <w:p w14:paraId="2C9572C4">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通过电子邮箱</w:t>
      </w:r>
      <w:r>
        <w:rPr>
          <w:rFonts w:hint="eastAsia"/>
          <w:color w:val="000000" w:themeColor="text1"/>
          <w14:textFill>
            <w14:solidFill>
              <w14:schemeClr w14:val="tx1"/>
            </w14:solidFill>
          </w14:textFill>
        </w:rPr>
        <w:t>及其他</w:t>
      </w:r>
      <w:r>
        <w:rPr>
          <w:color w:val="000000" w:themeColor="text1"/>
          <w14:textFill>
            <w14:solidFill>
              <w14:schemeClr w14:val="tx1"/>
            </w14:solidFill>
          </w14:textFill>
        </w:rPr>
        <w:t>电子方式送达时，发出之日视为有效送达</w:t>
      </w:r>
      <w:r>
        <w:rPr>
          <w:rFonts w:hint="eastAsia"/>
          <w:color w:val="000000" w:themeColor="text1"/>
          <w14:textFill>
            <w14:solidFill>
              <w14:schemeClr w14:val="tx1"/>
            </w14:solidFill>
          </w14:textFill>
        </w:rPr>
        <w:t>之日</w:t>
      </w:r>
      <w:r>
        <w:rPr>
          <w:color w:val="000000" w:themeColor="text1"/>
          <w14:textFill>
            <w14:solidFill>
              <w14:schemeClr w14:val="tx1"/>
            </w14:solidFill>
          </w14:textFill>
        </w:rPr>
        <w:t>。</w:t>
      </w:r>
    </w:p>
    <w:p w14:paraId="3DA38ECE">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通过</w:t>
      </w:r>
      <w:r>
        <w:rPr>
          <w:rFonts w:hint="eastAsia"/>
          <w:color w:val="000000" w:themeColor="text1"/>
          <w14:textFill>
            <w14:solidFill>
              <w14:schemeClr w14:val="tx1"/>
            </w14:solidFill>
          </w14:textFill>
        </w:rPr>
        <w:t>邮寄</w:t>
      </w:r>
      <w:r>
        <w:rPr>
          <w:color w:val="000000" w:themeColor="text1"/>
          <w14:textFill>
            <w14:solidFill>
              <w14:schemeClr w14:val="tx1"/>
            </w14:solidFill>
          </w14:textFill>
        </w:rPr>
        <w:t>送达</w:t>
      </w:r>
      <w:r>
        <w:rPr>
          <w:rFonts w:hint="eastAsia"/>
          <w:color w:val="000000" w:themeColor="text1"/>
          <w14:textFill>
            <w14:solidFill>
              <w14:schemeClr w14:val="tx1"/>
            </w14:solidFill>
          </w14:textFill>
        </w:rPr>
        <w:t>的，以快递发送之日起第</w:t>
      </w:r>
      <w:r>
        <w:rPr>
          <w:color w:val="000000" w:themeColor="text1"/>
          <w:u w:val="single"/>
          <w14:textFill>
            <w14:solidFill>
              <w14:schemeClr w14:val="tx1"/>
            </w14:solidFill>
          </w14:textFill>
        </w:rPr>
        <w:t>3</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视为有效送达</w:t>
      </w:r>
      <w:r>
        <w:rPr>
          <w:rFonts w:hint="eastAsia"/>
          <w:color w:val="000000" w:themeColor="text1"/>
          <w14:textFill>
            <w14:solidFill>
              <w14:schemeClr w14:val="tx1"/>
            </w14:solidFill>
          </w14:textFill>
        </w:rPr>
        <w:t>之日；直接送达的，送达人当场在送达回证上记明情况之日视为送达之日。</w:t>
      </w:r>
    </w:p>
    <w:p w14:paraId="32D90CAC">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六</w:t>
      </w:r>
      <w:r>
        <w:rPr>
          <w:rFonts w:hint="eastAsia"/>
          <w:color w:val="000000" w:themeColor="text1"/>
          <w14:textFill>
            <w14:solidFill>
              <w14:schemeClr w14:val="tx1"/>
            </w14:solidFill>
          </w14:textFill>
        </w:rPr>
        <w:t>）合同约定的通信地址、通信方式和联系人发生变化，应自变更之日起</w:t>
      </w:r>
      <w:r>
        <w:rPr>
          <w:color w:val="000000" w:themeColor="text1"/>
          <w:u w:val="single"/>
          <w14:textFill>
            <w14:solidFill>
              <w14:schemeClr w14:val="tx1"/>
            </w14:solidFill>
          </w14:textFill>
        </w:rPr>
        <w:t>2</w:t>
      </w:r>
      <w:r>
        <w:rPr>
          <w:rFonts w:hint="eastAsia"/>
          <w:color w:val="000000" w:themeColor="text1"/>
          <w14:textFill>
            <w14:solidFill>
              <w14:schemeClr w14:val="tx1"/>
            </w14:solidFill>
          </w14:textFill>
        </w:rPr>
        <w:t>日内以书面形式通知对方。未履行通知义务的，由未履行义务方承担相应的责任。因当事人送达地址变更后未及时书面告知，导致未能被当事人实际接收的，</w:t>
      </w:r>
      <w:bookmarkStart w:id="56" w:name="_Hlk129624820"/>
      <w:r>
        <w:rPr>
          <w:rFonts w:hint="eastAsia"/>
          <w:color w:val="000000" w:themeColor="text1"/>
          <w14:textFill>
            <w14:solidFill>
              <w14:schemeClr w14:val="tx1"/>
            </w14:solidFill>
          </w14:textFill>
        </w:rPr>
        <w:t>邮寄送达的，以快递发送之日起第</w:t>
      </w:r>
      <w:r>
        <w:rPr>
          <w:color w:val="000000" w:themeColor="text1"/>
          <w:u w:val="single"/>
          <w14:textFill>
            <w14:solidFill>
              <w14:schemeClr w14:val="tx1"/>
            </w14:solidFill>
          </w14:textFill>
        </w:rPr>
        <w:t>3</w:t>
      </w:r>
      <w:r>
        <w:rPr>
          <w:rFonts w:hint="eastAsia"/>
          <w:color w:val="000000" w:themeColor="text1"/>
          <w14:textFill>
            <w14:solidFill>
              <w14:schemeClr w14:val="tx1"/>
            </w14:solidFill>
          </w14:textFill>
        </w:rPr>
        <w:t>日视为送达之日；直接送达的，送达人当场在送达回证上记明情况之日视为送达之日；履行送达地址变更通知义务的，以变更后的送达地址为有效送达地址。</w:t>
      </w:r>
    </w:p>
    <w:bookmarkEnd w:id="56"/>
    <w:p w14:paraId="7E0FE178">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七</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条款为独立条款，不受合同整体或其他条款的效力影响，始终有效。</w:t>
      </w:r>
    </w:p>
    <w:p w14:paraId="63B7957F">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第十</w:t>
      </w:r>
      <w:r>
        <w:rPr>
          <w:rFonts w:hint="eastAsia" w:hAnsi="宋体" w:cs="宋体"/>
          <w:color w:val="000000" w:themeColor="text1"/>
          <w:sz w:val="24"/>
          <w14:textFill>
            <w14:solidFill>
              <w14:schemeClr w14:val="tx1"/>
            </w14:solidFill>
          </w14:textFill>
        </w:rPr>
        <w:t>七</w:t>
      </w:r>
      <w:r>
        <w:rPr>
          <w:rFonts w:hint="eastAsia" w:ascii="宋体" w:hAnsi="宋体" w:cs="宋体"/>
          <w:color w:val="000000" w:themeColor="text1"/>
          <w:sz w:val="24"/>
          <w14:textFill>
            <w14:solidFill>
              <w14:schemeClr w14:val="tx1"/>
            </w14:solidFill>
          </w14:textFill>
        </w:rPr>
        <w:t>条</w:t>
      </w:r>
      <w:r>
        <w:rPr>
          <w:rFonts w:hint="eastAsia" w:ascii="宋体" w:hAnsi="宋体" w:cs="宋体"/>
          <w:color w:val="000000" w:themeColor="text1"/>
          <w:sz w:val="24"/>
          <w14:textFill>
            <w14:solidFill>
              <w14:schemeClr w14:val="tx1"/>
            </w14:solidFill>
          </w14:textFill>
        </w:rPr>
        <w:tab/>
      </w:r>
      <w:r>
        <w:rPr>
          <w:rFonts w:ascii="宋体" w:hAnsi="宋体" w:cs="宋体"/>
          <w:color w:val="000000" w:themeColor="text1"/>
          <w:sz w:val="24"/>
          <w14:textFill>
            <w14:solidFill>
              <w14:schemeClr w14:val="tx1"/>
            </w14:solidFill>
          </w14:textFill>
        </w:rPr>
        <w:t>反商业贿赂</w:t>
      </w:r>
    </w:p>
    <w:p w14:paraId="58A2F683">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14:paraId="35F4A17B">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第十</w:t>
      </w:r>
      <w:r>
        <w:rPr>
          <w:rFonts w:hint="eastAsia" w:hAnsi="宋体" w:cs="宋体"/>
          <w:color w:val="000000" w:themeColor="text1"/>
          <w:sz w:val="24"/>
          <w14:textFill>
            <w14:solidFill>
              <w14:schemeClr w14:val="tx1"/>
            </w14:solidFill>
          </w14:textFill>
        </w:rPr>
        <w:t>八</w:t>
      </w:r>
      <w:r>
        <w:rPr>
          <w:rFonts w:hint="eastAsia" w:ascii="宋体" w:hAnsi="宋体" w:cs="宋体"/>
          <w:color w:val="000000" w:themeColor="text1"/>
          <w:sz w:val="24"/>
          <w14:textFill>
            <w14:solidFill>
              <w14:schemeClr w14:val="tx1"/>
            </w14:solidFill>
          </w14:textFill>
        </w:rPr>
        <w:t>条</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争议解决</w:t>
      </w:r>
    </w:p>
    <w:p w14:paraId="6988EC34">
      <w:pPr>
        <w:ind w:firstLine="512" w:firstLineChars="200"/>
        <w:jc w:val="both"/>
        <w:rPr>
          <w:rFonts w:ascii="宋体" w:hAnsi="宋体" w:cs="宋体"/>
          <w:color w:val="000000" w:themeColor="text1"/>
          <w:spacing w:val="8"/>
          <w:sz w:val="24"/>
          <w14:textFill>
            <w14:solidFill>
              <w14:schemeClr w14:val="tx1"/>
            </w14:solidFill>
          </w14:textFill>
        </w:rPr>
      </w:pPr>
      <w:r>
        <w:rPr>
          <w:rFonts w:hint="eastAsia" w:ascii="宋体" w:hAnsi="宋体" w:cs="宋体"/>
          <w:color w:val="000000" w:themeColor="text1"/>
          <w:spacing w:val="8"/>
          <w:sz w:val="24"/>
          <w:lang w:val="zh-TW"/>
          <w14:textFill>
            <w14:solidFill>
              <w14:schemeClr w14:val="tx1"/>
            </w14:solidFill>
          </w14:textFill>
        </w:rPr>
        <w:t>（一）双方因本合同产生的任何争议应首先通过友好协商解决；若协商不成，选择以下第</w:t>
      </w:r>
      <w:r>
        <w:rPr>
          <w:rFonts w:hint="eastAsia" w:ascii="宋体" w:hAnsi="宋体"/>
          <w:color w:val="000000" w:themeColor="text1"/>
          <w:spacing w:val="8"/>
          <w:sz w:val="24"/>
          <w:u w:val="single"/>
          <w14:textFill>
            <w14:solidFill>
              <w14:schemeClr w14:val="tx1"/>
            </w14:solidFill>
          </w14:textFill>
        </w:rPr>
        <w:t>1</w:t>
      </w:r>
      <w:r>
        <w:rPr>
          <w:rFonts w:hint="eastAsia" w:ascii="宋体" w:hAnsi="宋体" w:cs="宋体"/>
          <w:color w:val="000000" w:themeColor="text1"/>
          <w:spacing w:val="8"/>
          <w:sz w:val="24"/>
          <w:lang w:val="zh-TW"/>
          <w14:textFill>
            <w14:solidFill>
              <w14:schemeClr w14:val="tx1"/>
            </w14:solidFill>
          </w14:textFill>
        </w:rPr>
        <w:t>种方式解决：</w:t>
      </w:r>
    </w:p>
    <w:p w14:paraId="0EF17CDA">
      <w:pPr>
        <w:ind w:firstLine="512" w:firstLineChars="200"/>
        <w:jc w:val="both"/>
        <w:rPr>
          <w:rFonts w:ascii="宋体" w:hAnsi="宋体" w:cs="宋体"/>
          <w:color w:val="000000" w:themeColor="text1"/>
          <w:spacing w:val="8"/>
          <w:sz w:val="24"/>
          <w14:textFill>
            <w14:solidFill>
              <w14:schemeClr w14:val="tx1"/>
            </w14:solidFill>
          </w14:textFill>
        </w:rPr>
      </w:pPr>
      <w:r>
        <w:rPr>
          <w:rFonts w:hint="eastAsia" w:ascii="宋体" w:hAnsi="宋体" w:cs="宋体"/>
          <w:color w:val="000000" w:themeColor="text1"/>
          <w:spacing w:val="8"/>
          <w:sz w:val="24"/>
          <w:lang w:val="zh-TW"/>
          <w14:textFill>
            <w14:solidFill>
              <w14:schemeClr w14:val="tx1"/>
            </w14:solidFill>
          </w14:textFill>
        </w:rPr>
        <w:t>（</w:t>
      </w:r>
      <w:r>
        <w:rPr>
          <w:rFonts w:hint="eastAsia" w:ascii="宋体" w:hAnsi="宋体"/>
          <w:color w:val="000000" w:themeColor="text1"/>
          <w:spacing w:val="8"/>
          <w:sz w:val="24"/>
          <w14:textFill>
            <w14:solidFill>
              <w14:schemeClr w14:val="tx1"/>
            </w14:solidFill>
          </w14:textFill>
        </w:rPr>
        <w:t>1</w:t>
      </w:r>
      <w:r>
        <w:rPr>
          <w:rFonts w:hint="eastAsia" w:ascii="宋体" w:hAnsi="宋体" w:cs="宋体"/>
          <w:color w:val="000000" w:themeColor="text1"/>
          <w:spacing w:val="8"/>
          <w:sz w:val="24"/>
          <w:lang w:val="zh-TW"/>
          <w14:textFill>
            <w14:solidFill>
              <w14:schemeClr w14:val="tx1"/>
            </w14:solidFill>
          </w14:textFill>
        </w:rPr>
        <w:t>）任何一方可向</w:t>
      </w:r>
      <w:r>
        <w:rPr>
          <w:rFonts w:hint="eastAsia" w:ascii="宋体" w:hAnsi="宋体" w:cs="宋体"/>
          <w:color w:val="000000" w:themeColor="text1"/>
          <w:spacing w:val="8"/>
          <w:sz w:val="24"/>
          <w:u w:val="single"/>
          <w:lang w:val="zh-CN"/>
          <w14:textFill>
            <w14:solidFill>
              <w14:schemeClr w14:val="tx1"/>
            </w14:solidFill>
          </w14:textFill>
        </w:rPr>
        <w:t>甲方</w:t>
      </w:r>
      <w:r>
        <w:rPr>
          <w:rFonts w:hint="eastAsia" w:ascii="宋体" w:hAnsi="宋体" w:cs="宋体"/>
          <w:color w:val="000000" w:themeColor="text1"/>
          <w:spacing w:val="8"/>
          <w:sz w:val="24"/>
          <w:u w:val="single"/>
          <w:lang w:val="zh-TW"/>
          <w14:textFill>
            <w14:solidFill>
              <w14:schemeClr w14:val="tx1"/>
            </w14:solidFill>
          </w14:textFill>
        </w:rPr>
        <w:t>住所地</w:t>
      </w:r>
      <w:r>
        <w:rPr>
          <w:rFonts w:hint="eastAsia" w:ascii="宋体" w:hAnsi="宋体" w:cs="宋体"/>
          <w:color w:val="000000" w:themeColor="text1"/>
          <w:spacing w:val="8"/>
          <w:sz w:val="24"/>
          <w:lang w:val="zh-TW"/>
          <w14:textFill>
            <w14:solidFill>
              <w14:schemeClr w14:val="tx1"/>
            </w14:solidFill>
          </w14:textFill>
        </w:rPr>
        <w:t>人民法院提起诉讼；</w:t>
      </w:r>
    </w:p>
    <w:p w14:paraId="2D7013B6">
      <w:pPr>
        <w:ind w:firstLine="512" w:firstLineChars="200"/>
        <w:jc w:val="both"/>
        <w:rPr>
          <w:rFonts w:ascii="宋体" w:hAnsi="宋体" w:cs="宋体"/>
          <w:color w:val="000000" w:themeColor="text1"/>
          <w:spacing w:val="8"/>
          <w:sz w:val="24"/>
          <w14:textFill>
            <w14:solidFill>
              <w14:schemeClr w14:val="tx1"/>
            </w14:solidFill>
          </w14:textFill>
        </w:rPr>
      </w:pPr>
      <w:r>
        <w:rPr>
          <w:rFonts w:hint="eastAsia" w:ascii="宋体" w:hAnsi="宋体" w:cs="宋体"/>
          <w:color w:val="000000" w:themeColor="text1"/>
          <w:spacing w:val="8"/>
          <w:sz w:val="24"/>
          <w:lang w:val="zh-TW"/>
          <w14:textFill>
            <w14:solidFill>
              <w14:schemeClr w14:val="tx1"/>
            </w14:solidFill>
          </w14:textFill>
        </w:rPr>
        <w:t>（</w:t>
      </w:r>
      <w:r>
        <w:rPr>
          <w:rFonts w:hint="eastAsia" w:ascii="宋体" w:hAnsi="宋体"/>
          <w:color w:val="000000" w:themeColor="text1"/>
          <w:spacing w:val="8"/>
          <w:sz w:val="24"/>
          <w14:textFill>
            <w14:solidFill>
              <w14:schemeClr w14:val="tx1"/>
            </w14:solidFill>
          </w14:textFill>
        </w:rPr>
        <w:t>2</w:t>
      </w:r>
      <w:r>
        <w:rPr>
          <w:rFonts w:hint="eastAsia" w:ascii="宋体" w:hAnsi="宋体" w:cs="宋体"/>
          <w:color w:val="000000" w:themeColor="text1"/>
          <w:spacing w:val="8"/>
          <w:sz w:val="24"/>
          <w:lang w:val="zh-TW"/>
          <w14:textFill>
            <w14:solidFill>
              <w14:schemeClr w14:val="tx1"/>
            </w14:solidFill>
          </w14:textFill>
        </w:rPr>
        <w:t>）任何一方可向</w:t>
      </w:r>
      <w:r>
        <w:rPr>
          <w:rFonts w:hint="eastAsia" w:ascii="宋体" w:hAnsi="宋体" w:cs="宋体"/>
          <w:color w:val="000000" w:themeColor="text1"/>
          <w:spacing w:val="8"/>
          <w:sz w:val="24"/>
          <w:u w:val="single"/>
          <w:lang w:val="zh-CN"/>
          <w14:textFill>
            <w14:solidFill>
              <w14:schemeClr w14:val="tx1"/>
            </w14:solidFill>
          </w14:textFill>
        </w:rPr>
        <w:t>广州仲裁委员会</w:t>
      </w:r>
      <w:r>
        <w:rPr>
          <w:rFonts w:hint="eastAsia" w:ascii="宋体" w:hAnsi="宋体" w:cs="宋体"/>
          <w:color w:val="000000" w:themeColor="text1"/>
          <w:spacing w:val="8"/>
          <w:sz w:val="24"/>
          <w:lang w:val="zh-TW"/>
          <w14:textFill>
            <w14:solidFill>
              <w14:schemeClr w14:val="tx1"/>
            </w14:solidFill>
          </w14:textFill>
        </w:rPr>
        <w:t>申请仲裁；</w:t>
      </w:r>
    </w:p>
    <w:p w14:paraId="208AB5A0">
      <w:pPr>
        <w:ind w:firstLine="512" w:firstLineChars="200"/>
        <w:jc w:val="both"/>
        <w:rPr>
          <w:rFonts w:ascii="宋体" w:hAnsi="宋体" w:cs="宋体"/>
          <w:color w:val="000000" w:themeColor="text1"/>
          <w:spacing w:val="8"/>
          <w:sz w:val="24"/>
          <w:lang w:val="zh-TW"/>
          <w14:textFill>
            <w14:solidFill>
              <w14:schemeClr w14:val="tx1"/>
            </w14:solidFill>
          </w14:textFill>
        </w:rPr>
      </w:pPr>
      <w:r>
        <w:rPr>
          <w:rFonts w:hint="eastAsia" w:ascii="宋体" w:hAnsi="宋体" w:cs="宋体"/>
          <w:color w:val="000000" w:themeColor="text1"/>
          <w:spacing w:val="8"/>
          <w:sz w:val="24"/>
          <w:lang w:val="zh-TW"/>
          <w14:textFill>
            <w14:solidFill>
              <w14:schemeClr w14:val="tx1"/>
            </w14:solidFill>
          </w14:textFill>
        </w:rPr>
        <w:t>（二）因纠纷诉讼产生律师费、仲裁费或诉讼费、保全费、鉴定费、评估费、差旅费等全部费用由败诉方承担。</w:t>
      </w:r>
    </w:p>
    <w:p w14:paraId="2E011278">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hAnsi="宋体" w:cs="宋体"/>
          <w:color w:val="000000" w:themeColor="text1"/>
          <w:sz w:val="24"/>
          <w14:textFill>
            <w14:solidFill>
              <w14:schemeClr w14:val="tx1"/>
            </w14:solidFill>
          </w14:textFill>
        </w:rPr>
        <w:t>十九</w:t>
      </w:r>
      <w:r>
        <w:rPr>
          <w:rFonts w:hint="eastAsia" w:ascii="宋体" w:hAnsi="宋体" w:cs="宋体"/>
          <w:color w:val="000000" w:themeColor="text1"/>
          <w:sz w:val="24"/>
          <w14:textFill>
            <w14:solidFill>
              <w14:schemeClr w14:val="tx1"/>
            </w14:solidFill>
          </w14:textFill>
        </w:rPr>
        <w:t xml:space="preserve">条 </w:t>
      </w:r>
      <w:r>
        <w:rPr>
          <w:rFonts w:ascii="宋体" w:hAnsi="宋体" w:cs="宋体"/>
          <w:color w:val="000000" w:themeColor="text1"/>
          <w:sz w:val="24"/>
          <w14:textFill>
            <w14:solidFill>
              <w14:schemeClr w14:val="tx1"/>
            </w14:solidFill>
          </w14:textFill>
        </w:rPr>
        <w:t>法律适用</w:t>
      </w:r>
    </w:p>
    <w:p w14:paraId="01761537">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本合同以及本合同项下订单/附件/补充协议等的制定、解释及其在执行过程中出现的</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与本合同有关的纠纷之解决，受</w:t>
      </w:r>
      <w:r>
        <w:rPr>
          <w:color w:val="000000" w:themeColor="text1"/>
          <w:u w:val="single"/>
          <w14:textFill>
            <w14:solidFill>
              <w14:schemeClr w14:val="tx1"/>
            </w14:solidFill>
          </w14:textFill>
        </w:rPr>
        <w:t>中华人民共和国（不含港澳台）</w:t>
      </w:r>
      <w:r>
        <w:rPr>
          <w:color w:val="000000" w:themeColor="text1"/>
          <w14:textFill>
            <w14:solidFill>
              <w14:schemeClr w14:val="tx1"/>
            </w14:solidFill>
          </w14:textFill>
        </w:rPr>
        <w:t>现行有效的法律的约束。</w:t>
      </w:r>
    </w:p>
    <w:p w14:paraId="2D545944">
      <w:pPr>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第二十条 </w:t>
      </w:r>
      <w:r>
        <w:rPr>
          <w:rFonts w:ascii="宋体" w:hAnsi="宋体" w:cs="宋体"/>
          <w:color w:val="000000" w:themeColor="text1"/>
          <w:sz w:val="24"/>
          <w14:textFill>
            <w14:solidFill>
              <w14:schemeClr w14:val="tx1"/>
            </w14:solidFill>
          </w14:textFill>
        </w:rPr>
        <w:t>附则</w:t>
      </w:r>
    </w:p>
    <w:p w14:paraId="088190DF">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本合同一式</w:t>
      </w:r>
      <w:r>
        <w:rPr>
          <w:color w:val="000000" w:themeColor="text1"/>
          <w:u w:val="single"/>
          <w14:textFill>
            <w14:solidFill>
              <w14:schemeClr w14:val="tx1"/>
            </w14:solidFill>
          </w14:textFill>
        </w:rPr>
        <w:t>4</w:t>
      </w:r>
      <w:r>
        <w:rPr>
          <w:color w:val="000000" w:themeColor="text1"/>
          <w14:textFill>
            <w14:solidFill>
              <w14:schemeClr w14:val="tx1"/>
            </w14:solidFill>
          </w14:textFill>
        </w:rPr>
        <w:t>份，合同各方各执</w:t>
      </w:r>
      <w:r>
        <w:rPr>
          <w:color w:val="000000" w:themeColor="text1"/>
          <w:u w:val="single"/>
          <w14:textFill>
            <w14:solidFill>
              <w14:schemeClr w14:val="tx1"/>
            </w14:solidFill>
          </w14:textFill>
        </w:rPr>
        <w:t>2</w:t>
      </w:r>
      <w:r>
        <w:rPr>
          <w:color w:val="000000" w:themeColor="text1"/>
          <w14:textFill>
            <w14:solidFill>
              <w14:schemeClr w14:val="tx1"/>
            </w14:solidFill>
          </w14:textFill>
        </w:rPr>
        <w:t>份。各份合同文本具有同等法律效力。</w:t>
      </w:r>
    </w:p>
    <w:p w14:paraId="2D3C2DB0">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（二）在执行本合同的过程中，所有经甲乙双方加盖公司公章或合同专用章的文件（包括会议纪要、补充协议等）均为本合同的有效组成部分，其生效日期为双方均签字盖章之日期。</w:t>
      </w:r>
    </w:p>
    <w:p w14:paraId="3366C9A7">
      <w:pPr>
        <w:pStyle w:val="66"/>
        <w:widowControl/>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w:t>
      </w:r>
      <w:r>
        <w:rPr>
          <w:rFonts w:hint="eastAsia" w:ascii="宋体" w:hAnsi="宋体" w:cs="Arial"/>
          <w:color w:val="000000" w:themeColor="text1"/>
          <w:sz w:val="24"/>
          <w14:textFill>
            <w14:solidFill>
              <w14:schemeClr w14:val="tx1"/>
            </w14:solidFill>
          </w14:textFill>
        </w:rPr>
        <w:t>合同自双方签字并加盖公司公章或合同专用章之日起生效。</w:t>
      </w:r>
    </w:p>
    <w:p w14:paraId="443CDEA8">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（四）本合同未尽事宜，由双方协商处理。</w:t>
      </w:r>
    </w:p>
    <w:p w14:paraId="0AD2D6C3">
      <w:pPr>
        <w:pStyle w:val="25"/>
        <w:tabs>
          <w:tab w:val="clear" w:pos="360"/>
        </w:tabs>
        <w:spacing w:before="0" w:beforeAutospacing="0" w:after="0" w:afterAutospacing="0"/>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（以下无合同正文）</w:t>
      </w:r>
    </w:p>
    <w:p w14:paraId="17DDDE41">
      <w:pPr>
        <w:pStyle w:val="25"/>
        <w:tabs>
          <w:tab w:val="clear" w:pos="360"/>
        </w:tabs>
        <w:spacing w:before="0" w:beforeAutospacing="0" w:after="0" w:afterAutospacing="0"/>
        <w:ind w:firstLine="422" w:firstLineChars="175"/>
        <w:rPr>
          <w:color w:val="000000" w:themeColor="text1"/>
          <w14:textFill>
            <w14:solidFill>
              <w14:schemeClr w14:val="tx1"/>
            </w14:solidFill>
          </w14:textFill>
        </w:rPr>
      </w:pPr>
      <w:r>
        <w:rPr>
          <w:b/>
          <w:color w:val="000000" w:themeColor="text1"/>
          <w14:textFill>
            <w14:solidFill>
              <w14:schemeClr w14:val="tx1"/>
            </w14:solidFill>
          </w14:textFill>
        </w:rPr>
        <w:t>甲方（盖章）：</w:t>
      </w:r>
    </w:p>
    <w:p w14:paraId="7AC1EF97">
      <w:pPr>
        <w:pStyle w:val="25"/>
        <w:tabs>
          <w:tab w:val="clear" w:pos="360"/>
        </w:tabs>
        <w:spacing w:before="0" w:beforeAutospacing="0" w:after="0" w:afterAutospacing="0"/>
        <w:ind w:firstLine="420" w:firstLineChars="175"/>
        <w:rPr>
          <w:color w:val="000000" w:themeColor="text1"/>
          <w14:textFill>
            <w14:solidFill>
              <w14:schemeClr w14:val="tx1"/>
            </w14:solidFill>
          </w14:textFill>
        </w:rPr>
      </w:pPr>
      <w:r>
        <w:rPr>
          <w:color w:val="000000" w:themeColor="text1"/>
          <w14:textFill>
            <w14:solidFill>
              <w14:schemeClr w14:val="tx1"/>
            </w14:solidFill>
          </w14:textFill>
        </w:rPr>
        <w:t>法定代表人或授权代表：</w:t>
      </w:r>
    </w:p>
    <w:p w14:paraId="158B976C">
      <w:pPr>
        <w:pStyle w:val="25"/>
        <w:tabs>
          <w:tab w:val="clear" w:pos="360"/>
        </w:tabs>
        <w:spacing w:before="0" w:beforeAutospacing="0" w:after="0" w:afterAutospacing="0"/>
        <w:ind w:firstLine="420" w:firstLineChars="175"/>
        <w:rPr>
          <w:color w:val="000000" w:themeColor="text1"/>
          <w14:textFill>
            <w14:solidFill>
              <w14:schemeClr w14:val="tx1"/>
            </w14:solidFill>
          </w14:textFill>
        </w:rPr>
      </w:pPr>
      <w:r>
        <w:rPr>
          <w:color w:val="000000" w:themeColor="text1"/>
          <w14:textFill>
            <w14:solidFill>
              <w14:schemeClr w14:val="tx1"/>
            </w14:solidFill>
          </w14:textFill>
        </w:rPr>
        <w:t>签订时间：</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日</w:t>
      </w:r>
    </w:p>
    <w:p w14:paraId="7FC387BE">
      <w:pPr>
        <w:pStyle w:val="25"/>
        <w:tabs>
          <w:tab w:val="clear" w:pos="360"/>
        </w:tabs>
        <w:spacing w:before="0" w:beforeAutospacing="0" w:after="0" w:afterAutospacing="0"/>
        <w:ind w:firstLine="420" w:firstLineChars="175"/>
        <w:rPr>
          <w:color w:val="000000" w:themeColor="text1"/>
          <w14:textFill>
            <w14:solidFill>
              <w14:schemeClr w14:val="tx1"/>
            </w14:solidFill>
          </w14:textFill>
        </w:rPr>
      </w:pPr>
    </w:p>
    <w:p w14:paraId="375C583E">
      <w:pPr>
        <w:pStyle w:val="25"/>
        <w:tabs>
          <w:tab w:val="clear" w:pos="360"/>
        </w:tabs>
        <w:spacing w:before="0" w:beforeAutospacing="0" w:after="0" w:afterAutospacing="0"/>
        <w:ind w:firstLine="422" w:firstLineChars="175"/>
        <w:rPr>
          <w:color w:val="000000" w:themeColor="text1"/>
          <w14:textFill>
            <w14:solidFill>
              <w14:schemeClr w14:val="tx1"/>
            </w14:solidFill>
          </w14:textFill>
        </w:rPr>
      </w:pPr>
      <w:r>
        <w:rPr>
          <w:b/>
          <w:color w:val="000000" w:themeColor="text1"/>
          <w14:textFill>
            <w14:solidFill>
              <w14:schemeClr w14:val="tx1"/>
            </w14:solidFill>
          </w14:textFill>
        </w:rPr>
        <w:t>乙方（盖章）：</w:t>
      </w:r>
    </w:p>
    <w:p w14:paraId="151EED33">
      <w:pPr>
        <w:pStyle w:val="25"/>
        <w:tabs>
          <w:tab w:val="clear" w:pos="360"/>
        </w:tabs>
        <w:spacing w:before="0" w:beforeAutospacing="0" w:after="0" w:afterAutospacing="0"/>
        <w:ind w:firstLine="420" w:firstLineChars="175"/>
        <w:rPr>
          <w:color w:val="000000" w:themeColor="text1"/>
          <w14:textFill>
            <w14:solidFill>
              <w14:schemeClr w14:val="tx1"/>
            </w14:solidFill>
          </w14:textFill>
        </w:rPr>
      </w:pPr>
      <w:r>
        <w:rPr>
          <w:color w:val="000000" w:themeColor="text1"/>
          <w14:textFill>
            <w14:solidFill>
              <w14:schemeClr w14:val="tx1"/>
            </w14:solidFill>
          </w14:textFill>
        </w:rPr>
        <w:t>法定代表人或授权代表：</w:t>
      </w:r>
    </w:p>
    <w:p w14:paraId="563B83D9">
      <w:pPr>
        <w:pStyle w:val="25"/>
        <w:tabs>
          <w:tab w:val="clear" w:pos="360"/>
        </w:tabs>
        <w:spacing w:before="0" w:beforeAutospacing="0" w:after="0" w:afterAutospacing="0"/>
        <w:ind w:firstLine="420" w:firstLineChars="175"/>
        <w:rPr>
          <w:color w:val="000000" w:themeColor="text1"/>
          <w:sz w:val="30"/>
          <w:szCs w:val="30"/>
          <w14:textFill>
            <w14:solidFill>
              <w14:schemeClr w14:val="tx1"/>
            </w14:solidFill>
          </w14:textFill>
        </w:rPr>
      </w:pPr>
      <w:r>
        <w:rPr>
          <w:color w:val="000000" w:themeColor="text1"/>
          <w14:textFill>
            <w14:solidFill>
              <w14:schemeClr w14:val="tx1"/>
            </w14:solidFill>
          </w14:textFill>
        </w:rPr>
        <w:t>签订时间：</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日</w:t>
      </w:r>
      <w:bookmarkStart w:id="57" w:name="_Toc157590368"/>
      <w:bookmarkStart w:id="58" w:name="_Toc24117387"/>
      <w:bookmarkStart w:id="59" w:name="_Toc45532488"/>
      <w:r>
        <w:rPr>
          <w:rFonts w:hint="eastAsia"/>
          <w:color w:val="000000" w:themeColor="text1"/>
          <w:sz w:val="30"/>
          <w:szCs w:val="30"/>
          <w14:textFill>
            <w14:solidFill>
              <w14:schemeClr w14:val="tx1"/>
            </w14:solidFill>
          </w14:textFill>
        </w:rPr>
        <w:br w:type="page"/>
      </w:r>
    </w:p>
    <w:p w14:paraId="3DA87DCF">
      <w:pPr>
        <w:pStyle w:val="3"/>
        <w:tabs>
          <w:tab w:val="clear" w:pos="360"/>
        </w:tabs>
        <w:spacing w:before="0" w:after="0" w:line="360" w:lineRule="auto"/>
        <w:ind w:firstLine="0" w:firstLineChars="0"/>
        <w:jc w:val="center"/>
        <w:rPr>
          <w:color w:val="000000" w:themeColor="text1"/>
          <w:sz w:val="30"/>
          <w:szCs w:val="30"/>
          <w14:textFill>
            <w14:solidFill>
              <w14:schemeClr w14:val="tx1"/>
            </w14:solidFill>
          </w14:textFill>
        </w:rPr>
      </w:pPr>
      <w:bookmarkStart w:id="60" w:name="_Toc15323"/>
      <w:bookmarkStart w:id="61" w:name="_Toc203"/>
      <w:r>
        <w:rPr>
          <w:rFonts w:hint="eastAsia"/>
          <w:color w:val="000000" w:themeColor="text1"/>
          <w:sz w:val="30"/>
          <w:szCs w:val="30"/>
          <w14:textFill>
            <w14:solidFill>
              <w14:schemeClr w14:val="tx1"/>
            </w14:solidFill>
          </w14:textFill>
        </w:rPr>
        <w:t>第四章 报价、评审和确认成交</w:t>
      </w:r>
      <w:bookmarkEnd w:id="57"/>
      <w:bookmarkEnd w:id="60"/>
      <w:bookmarkEnd w:id="61"/>
    </w:p>
    <w:bookmarkEnd w:id="58"/>
    <w:bookmarkEnd w:id="59"/>
    <w:p w14:paraId="4058A821">
      <w:pPr>
        <w:pStyle w:val="51"/>
        <w:numPr>
          <w:ilvl w:val="0"/>
          <w:numId w:val="8"/>
        </w:numPr>
        <w:tabs>
          <w:tab w:val="clear" w:pos="360"/>
        </w:tabs>
        <w:ind w:left="0" w:firstLine="482"/>
        <w:jc w:val="both"/>
        <w:outlineLvl w:val="2"/>
        <w:rPr>
          <w:color w:val="000000" w:themeColor="text1"/>
          <w:sz w:val="24"/>
          <w14:textFill>
            <w14:solidFill>
              <w14:schemeClr w14:val="tx1"/>
            </w14:solidFill>
          </w14:textFill>
        </w:rPr>
      </w:pPr>
      <w:bookmarkStart w:id="62" w:name="_Toc45532489"/>
      <w:r>
        <w:rPr>
          <w:rFonts w:hint="eastAsia"/>
          <w:color w:val="000000" w:themeColor="text1"/>
          <w:sz w:val="24"/>
          <w14:textFill>
            <w14:solidFill>
              <w14:schemeClr w14:val="tx1"/>
            </w14:solidFill>
          </w14:textFill>
        </w:rPr>
        <w:t>评</w:t>
      </w:r>
      <w:bookmarkEnd w:id="62"/>
      <w:r>
        <w:rPr>
          <w:rFonts w:hint="eastAsia"/>
          <w:color w:val="000000" w:themeColor="text1"/>
          <w:sz w:val="24"/>
          <w14:textFill>
            <w14:solidFill>
              <w14:schemeClr w14:val="tx1"/>
            </w14:solidFill>
          </w14:textFill>
        </w:rPr>
        <w:t>审</w:t>
      </w:r>
    </w:p>
    <w:p w14:paraId="05B5F48F">
      <w:pPr>
        <w:pStyle w:val="14"/>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若本项目（标包）各供应商中出现文件创建标识码或文件制作机器码一致情况的，由评审</w:t>
      </w:r>
    </w:p>
    <w:p w14:paraId="19B6CED0">
      <w:pPr>
        <w:pStyle w:val="14"/>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小组判定供应商是否进入资格性审查。</w:t>
      </w:r>
    </w:p>
    <w:p w14:paraId="7679C76A">
      <w:pPr>
        <w:pStyle w:val="51"/>
        <w:numPr>
          <w:ilvl w:val="0"/>
          <w:numId w:val="8"/>
        </w:numPr>
        <w:tabs>
          <w:tab w:val="clear" w:pos="360"/>
        </w:tabs>
        <w:ind w:left="0" w:firstLine="482"/>
        <w:jc w:val="both"/>
        <w:outlineLvl w:val="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评审原则和评审方法</w:t>
      </w:r>
    </w:p>
    <w:p w14:paraId="045CD9BA">
      <w:pPr>
        <w:pStyle w:val="51"/>
        <w:tabs>
          <w:tab w:val="clear" w:pos="360"/>
        </w:tabs>
        <w:ind w:firstLine="48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基本原则：参照国家和地方政府有关规定，遵循“公开、公平、公正、择优、信用”的原则进行评审。</w:t>
      </w:r>
    </w:p>
    <w:p w14:paraId="57D52E83">
      <w:pPr>
        <w:pStyle w:val="51"/>
        <w:numPr>
          <w:ilvl w:val="0"/>
          <w:numId w:val="9"/>
        </w:numPr>
        <w:tabs>
          <w:tab w:val="clear" w:pos="360"/>
        </w:tabs>
        <w:ind w:left="0" w:firstLine="48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本次评审采用综合评分法。评审以采购须知规定的条件为依据。评分比重构成如下：</w:t>
      </w:r>
    </w:p>
    <w:tbl>
      <w:tblPr>
        <w:tblStyle w:val="29"/>
        <w:tblW w:w="4998" w:type="pct"/>
        <w:jc w:val="center"/>
        <w:tblLayout w:type="autofit"/>
        <w:tblCellMar>
          <w:top w:w="0" w:type="dxa"/>
          <w:left w:w="108" w:type="dxa"/>
          <w:bottom w:w="0" w:type="dxa"/>
          <w:right w:w="108" w:type="dxa"/>
        </w:tblCellMar>
      </w:tblPr>
      <w:tblGrid>
        <w:gridCol w:w="2029"/>
        <w:gridCol w:w="1843"/>
        <w:gridCol w:w="1845"/>
        <w:gridCol w:w="2013"/>
        <w:gridCol w:w="2228"/>
      </w:tblGrid>
      <w:tr w14:paraId="300965AF">
        <w:tblPrEx>
          <w:tblCellMar>
            <w:top w:w="0" w:type="dxa"/>
            <w:left w:w="108" w:type="dxa"/>
            <w:bottom w:w="0" w:type="dxa"/>
            <w:right w:w="108" w:type="dxa"/>
          </w:tblCellMar>
        </w:tblPrEx>
        <w:trPr>
          <w:jc w:val="center"/>
        </w:trPr>
        <w:tc>
          <w:tcPr>
            <w:tcW w:w="1018" w:type="pct"/>
            <w:tcBorders>
              <w:top w:val="single" w:color="auto" w:sz="4" w:space="0"/>
              <w:left w:val="single" w:color="auto" w:sz="4" w:space="0"/>
              <w:bottom w:val="single" w:color="auto" w:sz="4" w:space="0"/>
              <w:right w:val="single" w:color="auto" w:sz="4" w:space="0"/>
            </w:tcBorders>
            <w:shd w:val="clear" w:color="auto" w:fill="auto"/>
            <w:vAlign w:val="center"/>
          </w:tcPr>
          <w:p w14:paraId="54C8B2B4">
            <w:pPr>
              <w:jc w:val="both"/>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评分项</w:t>
            </w:r>
          </w:p>
        </w:tc>
        <w:tc>
          <w:tcPr>
            <w:tcW w:w="925" w:type="pct"/>
            <w:tcBorders>
              <w:top w:val="single" w:color="auto" w:sz="4" w:space="0"/>
              <w:left w:val="nil"/>
              <w:bottom w:val="single" w:color="auto" w:sz="4" w:space="0"/>
              <w:right w:val="single" w:color="auto" w:sz="4" w:space="0"/>
            </w:tcBorders>
            <w:shd w:val="clear" w:color="auto" w:fill="auto"/>
            <w:vAlign w:val="center"/>
          </w:tcPr>
          <w:p w14:paraId="200D69D4">
            <w:pPr>
              <w:jc w:val="both"/>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技术评分</w:t>
            </w:r>
          </w:p>
        </w:tc>
        <w:tc>
          <w:tcPr>
            <w:tcW w:w="926" w:type="pct"/>
            <w:tcBorders>
              <w:top w:val="single" w:color="auto" w:sz="4" w:space="0"/>
              <w:left w:val="nil"/>
              <w:bottom w:val="single" w:color="auto" w:sz="4" w:space="0"/>
              <w:right w:val="single" w:color="auto" w:sz="4" w:space="0"/>
            </w:tcBorders>
            <w:shd w:val="clear" w:color="auto" w:fill="auto"/>
            <w:vAlign w:val="center"/>
          </w:tcPr>
          <w:p w14:paraId="036C1AFF">
            <w:pPr>
              <w:jc w:val="both"/>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商务评分</w:t>
            </w:r>
          </w:p>
        </w:tc>
        <w:tc>
          <w:tcPr>
            <w:tcW w:w="1010" w:type="pct"/>
            <w:tcBorders>
              <w:top w:val="single" w:color="auto" w:sz="4" w:space="0"/>
              <w:left w:val="nil"/>
              <w:bottom w:val="single" w:color="auto" w:sz="4" w:space="0"/>
              <w:right w:val="single" w:color="auto" w:sz="4" w:space="0"/>
            </w:tcBorders>
            <w:shd w:val="clear" w:color="auto" w:fill="auto"/>
            <w:vAlign w:val="center"/>
          </w:tcPr>
          <w:p w14:paraId="222F5FB4">
            <w:pPr>
              <w:jc w:val="both"/>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价格评分</w:t>
            </w:r>
          </w:p>
        </w:tc>
        <w:tc>
          <w:tcPr>
            <w:tcW w:w="1118" w:type="pct"/>
            <w:tcBorders>
              <w:top w:val="single" w:color="auto" w:sz="4" w:space="0"/>
              <w:left w:val="nil"/>
              <w:bottom w:val="single" w:color="auto" w:sz="4" w:space="0"/>
              <w:right w:val="single" w:color="auto" w:sz="4" w:space="0"/>
            </w:tcBorders>
            <w:shd w:val="clear" w:color="auto" w:fill="auto"/>
            <w:vAlign w:val="center"/>
          </w:tcPr>
          <w:p w14:paraId="399E3C86">
            <w:pPr>
              <w:jc w:val="both"/>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总分</w:t>
            </w:r>
          </w:p>
        </w:tc>
      </w:tr>
      <w:tr w14:paraId="55BD3679">
        <w:tblPrEx>
          <w:tblCellMar>
            <w:top w:w="0" w:type="dxa"/>
            <w:left w:w="108" w:type="dxa"/>
            <w:bottom w:w="0" w:type="dxa"/>
            <w:right w:w="108" w:type="dxa"/>
          </w:tblCellMar>
        </w:tblPrEx>
        <w:trPr>
          <w:jc w:val="center"/>
        </w:trPr>
        <w:tc>
          <w:tcPr>
            <w:tcW w:w="1018" w:type="pct"/>
            <w:tcBorders>
              <w:top w:val="nil"/>
              <w:left w:val="single" w:color="auto" w:sz="4" w:space="0"/>
              <w:bottom w:val="single" w:color="auto" w:sz="4" w:space="0"/>
              <w:right w:val="single" w:color="auto" w:sz="4" w:space="0"/>
            </w:tcBorders>
            <w:shd w:val="clear" w:color="auto" w:fill="auto"/>
            <w:vAlign w:val="center"/>
          </w:tcPr>
          <w:p w14:paraId="734FC58D">
            <w:pPr>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分数</w:t>
            </w:r>
          </w:p>
        </w:tc>
        <w:tc>
          <w:tcPr>
            <w:tcW w:w="925" w:type="pct"/>
            <w:tcBorders>
              <w:top w:val="nil"/>
              <w:left w:val="nil"/>
              <w:bottom w:val="single" w:color="auto" w:sz="4" w:space="0"/>
              <w:right w:val="single" w:color="auto" w:sz="4" w:space="0"/>
            </w:tcBorders>
            <w:shd w:val="clear" w:color="auto" w:fill="auto"/>
            <w:vAlign w:val="center"/>
          </w:tcPr>
          <w:p w14:paraId="1B6646DA">
            <w:pPr>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45分</w:t>
            </w:r>
          </w:p>
        </w:tc>
        <w:tc>
          <w:tcPr>
            <w:tcW w:w="926" w:type="pct"/>
            <w:tcBorders>
              <w:top w:val="nil"/>
              <w:left w:val="nil"/>
              <w:bottom w:val="single" w:color="auto" w:sz="4" w:space="0"/>
              <w:right w:val="single" w:color="auto" w:sz="4" w:space="0"/>
            </w:tcBorders>
            <w:shd w:val="clear" w:color="auto" w:fill="auto"/>
            <w:vAlign w:val="center"/>
          </w:tcPr>
          <w:p w14:paraId="6636FDD1">
            <w:pPr>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45分</w:t>
            </w:r>
          </w:p>
        </w:tc>
        <w:tc>
          <w:tcPr>
            <w:tcW w:w="1010" w:type="pct"/>
            <w:tcBorders>
              <w:top w:val="nil"/>
              <w:left w:val="nil"/>
              <w:bottom w:val="single" w:color="auto" w:sz="4" w:space="0"/>
              <w:right w:val="single" w:color="auto" w:sz="4" w:space="0"/>
            </w:tcBorders>
            <w:shd w:val="clear" w:color="auto" w:fill="auto"/>
            <w:vAlign w:val="center"/>
          </w:tcPr>
          <w:p w14:paraId="1ACE3F31">
            <w:pPr>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10分</w:t>
            </w:r>
          </w:p>
        </w:tc>
        <w:tc>
          <w:tcPr>
            <w:tcW w:w="1118" w:type="pct"/>
            <w:tcBorders>
              <w:top w:val="nil"/>
              <w:left w:val="nil"/>
              <w:bottom w:val="single" w:color="auto" w:sz="4" w:space="0"/>
              <w:right w:val="single" w:color="auto" w:sz="4" w:space="0"/>
            </w:tcBorders>
            <w:shd w:val="clear" w:color="auto" w:fill="auto"/>
            <w:vAlign w:val="center"/>
          </w:tcPr>
          <w:p w14:paraId="6630AAD7">
            <w:pPr>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100分</w:t>
            </w:r>
          </w:p>
        </w:tc>
      </w:tr>
    </w:tbl>
    <w:p w14:paraId="3EE8EE1C">
      <w:pPr>
        <w:pStyle w:val="51"/>
        <w:numPr>
          <w:ilvl w:val="0"/>
          <w:numId w:val="9"/>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本次比选依法组建比选评审小组。</w:t>
      </w:r>
      <w:r>
        <w:rPr>
          <w:rFonts w:hint="eastAsia" w:hAnsi="宋体" w:cs="宋体"/>
          <w:color w:val="000000" w:themeColor="text1"/>
          <w:sz w:val="24"/>
          <w14:textFill>
            <w14:solidFill>
              <w14:schemeClr w14:val="tx1"/>
            </w14:solidFill>
          </w14:textFill>
        </w:rPr>
        <w:t>比选评审小组由采购人的代表组成，或采购人代表及广州南沙资产经营集团有限公司评审专家库随机抽取的专家共同组成。</w:t>
      </w:r>
      <w:r>
        <w:rPr>
          <w:rFonts w:hint="eastAsia"/>
          <w:color w:val="000000" w:themeColor="text1"/>
          <w:sz w:val="24"/>
          <w14:textFill>
            <w14:solidFill>
              <w14:schemeClr w14:val="tx1"/>
            </w14:solidFill>
          </w14:textFill>
        </w:rPr>
        <w:t>评委会将本着公平、公正、科学、择优的原则，严格按照法律法规和采购须知设定的程序和规则推荐评审结果，任何单位和个人不得非法干预或者影响评审过程和结果。</w:t>
      </w:r>
    </w:p>
    <w:p w14:paraId="188AD5CC">
      <w:pPr>
        <w:pStyle w:val="51"/>
        <w:numPr>
          <w:ilvl w:val="0"/>
          <w:numId w:val="9"/>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评审专家有下列情形之一的，受到邀请应主动提出回避，采购当事人也可以要求该评审专家回避：</w:t>
      </w:r>
    </w:p>
    <w:p w14:paraId="50D1C95C">
      <w:pPr>
        <w:pStyle w:val="53"/>
        <w:numPr>
          <w:ilvl w:val="0"/>
          <w:numId w:val="10"/>
        </w:numPr>
        <w:tabs>
          <w:tab w:val="clear" w:pos="840"/>
        </w:tabs>
        <w:ind w:left="0" w:firstLine="48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三年内曾在参加本采购项目的供应商中任职或担任顾问的；</w:t>
      </w:r>
    </w:p>
    <w:p w14:paraId="1D887E5D">
      <w:pPr>
        <w:pStyle w:val="53"/>
        <w:numPr>
          <w:ilvl w:val="0"/>
          <w:numId w:val="10"/>
        </w:numPr>
        <w:tabs>
          <w:tab w:val="clear" w:pos="840"/>
        </w:tabs>
        <w:ind w:left="0" w:firstLine="48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配偶或直系亲属在参加本采购项目的供应商中任职或担任顾问的；</w:t>
      </w:r>
    </w:p>
    <w:p w14:paraId="7A5289AE">
      <w:pPr>
        <w:pStyle w:val="53"/>
        <w:numPr>
          <w:ilvl w:val="0"/>
          <w:numId w:val="10"/>
        </w:numPr>
        <w:tabs>
          <w:tab w:val="clear" w:pos="840"/>
        </w:tabs>
        <w:ind w:left="0" w:firstLine="48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与参加本采购项目供应商发生过法律纠纷或存在其他利益纠纷的；</w:t>
      </w:r>
    </w:p>
    <w:p w14:paraId="113AD9C2">
      <w:pPr>
        <w:pStyle w:val="53"/>
        <w:numPr>
          <w:ilvl w:val="0"/>
          <w:numId w:val="10"/>
        </w:numPr>
        <w:tabs>
          <w:tab w:val="clear" w:pos="840"/>
        </w:tabs>
        <w:ind w:left="0" w:firstLine="48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法律、法规、规章规定应当回避以及其他可能影响公正评审的。</w:t>
      </w:r>
    </w:p>
    <w:p w14:paraId="3A0BCDBD">
      <w:pPr>
        <w:pStyle w:val="51"/>
        <w:numPr>
          <w:ilvl w:val="0"/>
          <w:numId w:val="9"/>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对不同文字文本响应文件的解释发生异议的，以中文文本为准。</w:t>
      </w:r>
    </w:p>
    <w:p w14:paraId="29C66FB2">
      <w:pPr>
        <w:pStyle w:val="51"/>
        <w:numPr>
          <w:ilvl w:val="0"/>
          <w:numId w:val="9"/>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价格修正</w:t>
      </w:r>
    </w:p>
    <w:p w14:paraId="2CC75B39">
      <w:pPr>
        <w:ind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1.评审小组将详细分析、核对每一份报价表，看其是否有计算上或累加上的算术误差，并加以修正。修正误差的原则如下：</w:t>
      </w:r>
    </w:p>
    <w:p w14:paraId="309B0525">
      <w:pPr>
        <w:ind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2.大写金额与小写金额不一致的，以大写金额为准；</w:t>
      </w:r>
    </w:p>
    <w:p w14:paraId="6CF2F6AB">
      <w:pPr>
        <w:ind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3.含税金额与不含税金额加税额计算的金额不一致的，以不含税金额为准，修正含税金额（单价小数点明显错位的除外）；</w:t>
      </w:r>
    </w:p>
    <w:p w14:paraId="4401F80E">
      <w:pPr>
        <w:ind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4.报价表合计总报价与系统显示不同的，以报价表合计总报价为准。</w:t>
      </w:r>
    </w:p>
    <w:p w14:paraId="3DCB4782">
      <w:pPr>
        <w:ind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5.评审小组按上述修正误差的原则调整的价格对其报价人具有约束力。如果报价人不接受修正后的价格，其报价将被拒绝。</w:t>
      </w:r>
    </w:p>
    <w:p w14:paraId="5090381A">
      <w:pPr>
        <w:pStyle w:val="11"/>
        <w:tabs>
          <w:tab w:val="clear" w:pos="360"/>
        </w:tabs>
        <w:spacing w:after="0"/>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6.超过最高限价的报价将被拒绝。</w:t>
      </w:r>
    </w:p>
    <w:p w14:paraId="405D9910">
      <w:pPr>
        <w:pStyle w:val="51"/>
        <w:numPr>
          <w:ilvl w:val="0"/>
          <w:numId w:val="8"/>
        </w:numPr>
        <w:tabs>
          <w:tab w:val="clear" w:pos="360"/>
        </w:tabs>
        <w:ind w:left="0" w:firstLine="482"/>
        <w:jc w:val="both"/>
        <w:outlineLvl w:val="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评审程序</w:t>
      </w:r>
    </w:p>
    <w:p w14:paraId="10B2BE5C">
      <w:pPr>
        <w:pStyle w:val="51"/>
        <w:numPr>
          <w:ilvl w:val="0"/>
          <w:numId w:val="11"/>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响应文件初审</w:t>
      </w:r>
    </w:p>
    <w:p w14:paraId="1631705D">
      <w:pPr>
        <w:pStyle w:val="51"/>
        <w:tabs>
          <w:tab w:val="clear" w:pos="360"/>
        </w:tabs>
        <w:ind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比选评审小组将根据评审细则的规定，对响应文件进行资格性审查。出现不符合下列情形之一的，该供应商作无效响应处理。《资格性审查表》如下：</w:t>
      </w:r>
    </w:p>
    <w:tbl>
      <w:tblPr>
        <w:tblStyle w:val="29"/>
        <w:tblW w:w="5015"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109"/>
        <w:gridCol w:w="8682"/>
      </w:tblGrid>
      <w:tr w14:paraId="3B32ABA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Header/>
        </w:trPr>
        <w:tc>
          <w:tcPr>
            <w:tcW w:w="566" w:type="pct"/>
            <w:tcBorders>
              <w:top w:val="outset" w:color="auto" w:sz="6" w:space="0"/>
              <w:left w:val="outset" w:color="auto" w:sz="6" w:space="0"/>
              <w:bottom w:val="outset" w:color="auto" w:sz="6" w:space="0"/>
              <w:right w:val="outset" w:color="auto" w:sz="6" w:space="0"/>
            </w:tcBorders>
            <w:vAlign w:val="center"/>
          </w:tcPr>
          <w:p w14:paraId="441AECF9">
            <w:pPr>
              <w:pStyle w:val="51"/>
              <w:spacing w:line="240" w:lineRule="auto"/>
              <w:jc w:val="both"/>
              <w:rPr>
                <w:rFonts w:hAnsi="宋体" w:cs="宋体"/>
                <w:b/>
                <w:bCs/>
                <w:color w:val="000000" w:themeColor="text1"/>
                <w:sz w:val="18"/>
                <w:szCs w:val="18"/>
                <w14:textFill>
                  <w14:solidFill>
                    <w14:schemeClr w14:val="tx1"/>
                  </w14:solidFill>
                </w14:textFill>
              </w:rPr>
            </w:pPr>
            <w:r>
              <w:rPr>
                <w:rFonts w:hint="eastAsia" w:hAnsi="宋体" w:cs="宋体"/>
                <w:b/>
                <w:bCs/>
                <w:color w:val="000000" w:themeColor="text1"/>
                <w:sz w:val="18"/>
                <w:szCs w:val="18"/>
                <w14:textFill>
                  <w14:solidFill>
                    <w14:schemeClr w14:val="tx1"/>
                  </w14:solidFill>
                </w14:textFill>
              </w:rPr>
              <w:t>审查类别</w:t>
            </w:r>
          </w:p>
        </w:tc>
        <w:tc>
          <w:tcPr>
            <w:tcW w:w="4433" w:type="pct"/>
            <w:tcBorders>
              <w:top w:val="outset" w:color="auto" w:sz="6" w:space="0"/>
              <w:left w:val="outset" w:color="auto" w:sz="6" w:space="0"/>
              <w:bottom w:val="outset" w:color="auto" w:sz="6" w:space="0"/>
              <w:right w:val="outset" w:color="auto" w:sz="6" w:space="0"/>
            </w:tcBorders>
            <w:vAlign w:val="center"/>
          </w:tcPr>
          <w:p w14:paraId="14A08E49">
            <w:pPr>
              <w:pStyle w:val="51"/>
              <w:spacing w:line="240" w:lineRule="auto"/>
              <w:jc w:val="both"/>
              <w:rPr>
                <w:rFonts w:hAnsi="宋体" w:cs="宋体"/>
                <w:b/>
                <w:bCs/>
                <w:color w:val="000000" w:themeColor="text1"/>
                <w:sz w:val="18"/>
                <w:szCs w:val="18"/>
                <w14:textFill>
                  <w14:solidFill>
                    <w14:schemeClr w14:val="tx1"/>
                  </w14:solidFill>
                </w14:textFill>
              </w:rPr>
            </w:pPr>
            <w:r>
              <w:rPr>
                <w:rFonts w:hint="eastAsia" w:hAnsi="宋体" w:cs="宋体"/>
                <w:b/>
                <w:bCs/>
                <w:color w:val="000000" w:themeColor="text1"/>
                <w:sz w:val="18"/>
                <w:szCs w:val="18"/>
                <w14:textFill>
                  <w14:solidFill>
                    <w14:schemeClr w14:val="tx1"/>
                  </w14:solidFill>
                </w14:textFill>
              </w:rPr>
              <w:t>审查内容</w:t>
            </w:r>
          </w:p>
        </w:tc>
      </w:tr>
      <w:tr w14:paraId="7D7DA0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66" w:type="pct"/>
            <w:tcBorders>
              <w:top w:val="outset" w:color="auto" w:sz="6" w:space="0"/>
              <w:left w:val="outset" w:color="auto" w:sz="6" w:space="0"/>
              <w:bottom w:val="outset" w:color="auto" w:sz="6" w:space="0"/>
              <w:right w:val="outset" w:color="auto" w:sz="6" w:space="0"/>
            </w:tcBorders>
            <w:vAlign w:val="center"/>
          </w:tcPr>
          <w:p w14:paraId="4E6762FF">
            <w:pPr>
              <w:spacing w:line="240" w:lineRule="auto"/>
              <w:jc w:val="both"/>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资格性审查</w:t>
            </w:r>
          </w:p>
        </w:tc>
        <w:tc>
          <w:tcPr>
            <w:tcW w:w="4433" w:type="pct"/>
            <w:tcBorders>
              <w:top w:val="outset" w:color="auto" w:sz="6" w:space="0"/>
              <w:left w:val="outset" w:color="auto" w:sz="6" w:space="0"/>
              <w:bottom w:val="outset" w:color="auto" w:sz="6" w:space="0"/>
              <w:right w:val="outset" w:color="auto" w:sz="6" w:space="0"/>
            </w:tcBorders>
            <w:vAlign w:val="center"/>
          </w:tcPr>
          <w:p w14:paraId="68BD6E5D">
            <w:pPr>
              <w:pStyle w:val="51"/>
              <w:tabs>
                <w:tab w:val="clear" w:pos="360"/>
              </w:tabs>
              <w:jc w:val="both"/>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具有独立承担民事责任的能力。（依据《响应承诺函》及依据供应商法人营业执照或事业法人登记证或其他组织的营业执照或执业许可证等相关证照的扫描件。分支机构响应的，还须提供加盖总公司公章的总公司的营业执照（执业许可证）扫描件及总公司出具给分支机构的授权书）</w:t>
            </w:r>
          </w:p>
          <w:p w14:paraId="2AAC6648">
            <w:pPr>
              <w:pStyle w:val="51"/>
              <w:tabs>
                <w:tab w:val="clear" w:pos="360"/>
              </w:tabs>
              <w:jc w:val="both"/>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（二）具有良好的商业信誉和健全的财务会计制度。（依据《响应承诺函》）</w:t>
            </w:r>
          </w:p>
          <w:p w14:paraId="26D4D49A">
            <w:pPr>
              <w:pStyle w:val="51"/>
              <w:tabs>
                <w:tab w:val="clear" w:pos="360"/>
              </w:tabs>
              <w:jc w:val="both"/>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（三）具有履行合同所必需的设备和专业技术能力。（依据《响应承诺函》）</w:t>
            </w:r>
          </w:p>
          <w:p w14:paraId="74DB02BF">
            <w:pPr>
              <w:pStyle w:val="51"/>
              <w:tabs>
                <w:tab w:val="clear" w:pos="360"/>
              </w:tabs>
              <w:jc w:val="both"/>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（四）有依法缴纳税收和社会保障资金的良好记录。（依据《响应承诺函》）</w:t>
            </w:r>
          </w:p>
          <w:p w14:paraId="1068A995">
            <w:pPr>
              <w:pStyle w:val="51"/>
              <w:tabs>
                <w:tab w:val="clear" w:pos="360"/>
              </w:tabs>
              <w:jc w:val="both"/>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（五）参加采购活动前三年内，在经营活动中没有重大违法记录。（依据《响应承诺函》）</w:t>
            </w:r>
          </w:p>
          <w:p w14:paraId="74151272">
            <w:pPr>
              <w:pStyle w:val="51"/>
              <w:tabs>
                <w:tab w:val="clear" w:pos="360"/>
              </w:tabs>
              <w:jc w:val="both"/>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（六）供应商没有处于被责令停业或破产状态，且资产未被重组、接管和冻结。（格式见《企业经营情况声明》）</w:t>
            </w:r>
          </w:p>
          <w:p w14:paraId="625E172E">
            <w:pPr>
              <w:pStyle w:val="51"/>
              <w:tabs>
                <w:tab w:val="clear" w:pos="360"/>
              </w:tabs>
              <w:jc w:val="both"/>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七）供应商未被列入“信用中国”网站(www.creditchina.gov.cn)“记录失信被执行人或重大税收违法案件当事人名单，供应商须提供《信用记录承诺函》附“信用中国”网站（www.creditchina.gov.cn）的信用记录查询结果截图并打印页面加盖公章。（格式见《信用记录承诺函》）</w:t>
            </w:r>
          </w:p>
          <w:p w14:paraId="60A78D98">
            <w:pPr>
              <w:pStyle w:val="51"/>
              <w:tabs>
                <w:tab w:val="clear" w:pos="360"/>
              </w:tabs>
              <w:jc w:val="both"/>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八）不处于“中国政府采购网”（www.ccgp.gov.cn/search/cr/）中“政府采购严重违法失信行为信息记录”的政府采购严重违法失信行为”的记录名单（附“中国政府采购网”的记录查询结果截图并打印页面加盖公章。格式见《信用记录承诺函》）</w:t>
            </w:r>
          </w:p>
          <w:p w14:paraId="691861F6">
            <w:pPr>
              <w:pStyle w:val="51"/>
              <w:tabs>
                <w:tab w:val="clear" w:pos="360"/>
              </w:tabs>
              <w:jc w:val="both"/>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（九）本项目不接受联合体响应。（格式见《非联合体响应承诺函》）</w:t>
            </w:r>
          </w:p>
          <w:p w14:paraId="2CAB6DFE">
            <w:pPr>
              <w:pStyle w:val="51"/>
              <w:tabs>
                <w:tab w:val="clear" w:pos="360"/>
              </w:tabs>
              <w:jc w:val="both"/>
              <w:rPr>
                <w:rFonts w:hAnsi="宋体" w:cs="宋体"/>
                <w:color w:val="000000" w:themeColor="text1"/>
                <w:sz w:val="18"/>
                <w:szCs w:val="18"/>
                <w14:textFill>
                  <w14:solidFill>
                    <w14:schemeClr w14:val="tx1"/>
                  </w14:solidFill>
                </w14:textFill>
              </w:rPr>
            </w:pPr>
            <w:r>
              <w:rPr>
                <w:rFonts w:hint="eastAsia" w:hAnsi="宋体" w:cs="宋体"/>
                <w:color w:val="000000" w:themeColor="text1"/>
                <w:szCs w:val="21"/>
                <w14:textFill>
                  <w14:solidFill>
                    <w14:schemeClr w14:val="tx1"/>
                  </w14:solidFill>
                </w14:textFill>
              </w:rPr>
              <w:t>（十）投标人须具备有效期内的工程咨询单位资信证书或工程设计资质证书。</w:t>
            </w:r>
          </w:p>
        </w:tc>
      </w:tr>
    </w:tbl>
    <w:p w14:paraId="73466C65">
      <w:pPr>
        <w:pStyle w:val="51"/>
        <w:numPr>
          <w:ilvl w:val="0"/>
          <w:numId w:val="12"/>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比选评审小组进行资格性审查时认定供应商不合格的，比选评审小组应当场电话或书面形式告知供应商，供应商可在限定时间内书面方式进行澄清，比选评审小组不再接受其他外部资料。如遇无法联系供应商达3次，比选评审小组主任（组长）现场宣布不合格结果，视为已通知供应商。</w:t>
      </w:r>
    </w:p>
    <w:p w14:paraId="2C15E990">
      <w:pPr>
        <w:pStyle w:val="51"/>
        <w:numPr>
          <w:ilvl w:val="0"/>
          <w:numId w:val="12"/>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不通过资格性审查或响应无效的，不作符合性审查。</w:t>
      </w:r>
    </w:p>
    <w:p w14:paraId="0360A3F3">
      <w:pPr>
        <w:pStyle w:val="51"/>
        <w:numPr>
          <w:ilvl w:val="0"/>
          <w:numId w:val="11"/>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符合性审查</w:t>
      </w:r>
    </w:p>
    <w:p w14:paraId="28FF8313">
      <w:pPr>
        <w:pStyle w:val="51"/>
        <w:tabs>
          <w:tab w:val="clear" w:pos="360"/>
        </w:tabs>
        <w:ind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比选评审小组将根据评审细则的规定，对响应文件进行符合性审查。出现不符合下列情形之一的，该供应商作无效响应处理。《符合性审查表》如下：</w:t>
      </w:r>
    </w:p>
    <w:tbl>
      <w:tblPr>
        <w:tblStyle w:val="29"/>
        <w:tblW w:w="5000" w:type="pct"/>
        <w:tblInd w:w="0" w:type="dxa"/>
        <w:tblLayout w:type="fixed"/>
        <w:tblCellMar>
          <w:top w:w="0" w:type="dxa"/>
          <w:left w:w="108" w:type="dxa"/>
          <w:bottom w:w="0" w:type="dxa"/>
          <w:right w:w="108" w:type="dxa"/>
        </w:tblCellMar>
      </w:tblPr>
      <w:tblGrid>
        <w:gridCol w:w="1265"/>
        <w:gridCol w:w="8697"/>
      </w:tblGrid>
      <w:tr w14:paraId="7F05197B">
        <w:tblPrEx>
          <w:tblCellMar>
            <w:top w:w="0" w:type="dxa"/>
            <w:left w:w="108" w:type="dxa"/>
            <w:bottom w:w="0" w:type="dxa"/>
            <w:right w:w="108" w:type="dxa"/>
          </w:tblCellMar>
        </w:tblPrEx>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0BF0BF">
            <w:pPr>
              <w:spacing w:line="240" w:lineRule="auto"/>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审查类别</w:t>
            </w:r>
          </w:p>
        </w:tc>
        <w:tc>
          <w:tcPr>
            <w:tcW w:w="4364" w:type="pct"/>
            <w:tcBorders>
              <w:top w:val="single" w:color="auto" w:sz="4" w:space="0"/>
              <w:left w:val="nil"/>
              <w:bottom w:val="single" w:color="auto" w:sz="4" w:space="0"/>
              <w:right w:val="single" w:color="auto" w:sz="4" w:space="0"/>
            </w:tcBorders>
            <w:shd w:val="clear" w:color="auto" w:fill="auto"/>
            <w:noWrap/>
            <w:vAlign w:val="center"/>
          </w:tcPr>
          <w:p w14:paraId="75498225">
            <w:pPr>
              <w:spacing w:line="240" w:lineRule="auto"/>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审查内容</w:t>
            </w:r>
          </w:p>
        </w:tc>
      </w:tr>
      <w:tr w14:paraId="0DDAC3C4">
        <w:tblPrEx>
          <w:tblCellMar>
            <w:top w:w="0" w:type="dxa"/>
            <w:left w:w="108" w:type="dxa"/>
            <w:bottom w:w="0" w:type="dxa"/>
            <w:right w:w="108" w:type="dxa"/>
          </w:tblCellMar>
        </w:tblPrEx>
        <w:tc>
          <w:tcPr>
            <w:tcW w:w="635" w:type="pct"/>
            <w:tcBorders>
              <w:top w:val="nil"/>
              <w:left w:val="single" w:color="auto" w:sz="4" w:space="0"/>
              <w:bottom w:val="single" w:color="auto" w:sz="4" w:space="0"/>
              <w:right w:val="single" w:color="auto" w:sz="4" w:space="0"/>
            </w:tcBorders>
            <w:shd w:val="clear" w:color="auto" w:fill="auto"/>
            <w:noWrap/>
            <w:vAlign w:val="center"/>
          </w:tcPr>
          <w:p w14:paraId="4917DB99">
            <w:pPr>
              <w:spacing w:line="24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符合性审查</w:t>
            </w:r>
          </w:p>
        </w:tc>
        <w:tc>
          <w:tcPr>
            <w:tcW w:w="4364" w:type="pct"/>
            <w:tcBorders>
              <w:top w:val="nil"/>
              <w:left w:val="nil"/>
              <w:bottom w:val="single" w:color="auto" w:sz="4" w:space="0"/>
              <w:right w:val="single" w:color="auto" w:sz="4" w:space="0"/>
            </w:tcBorders>
            <w:shd w:val="clear" w:color="auto" w:fill="auto"/>
            <w:noWrap/>
            <w:vAlign w:val="center"/>
          </w:tcPr>
          <w:p w14:paraId="6BF63D7B">
            <w:pPr>
              <w:numPr>
                <w:ilvl w:val="0"/>
                <w:numId w:val="13"/>
              </w:numPr>
              <w:tabs>
                <w:tab w:val="clear" w:pos="312"/>
              </w:tabs>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有盖章、签署要求的格式文件已按要求盖章、签署。</w:t>
            </w:r>
          </w:p>
          <w:p w14:paraId="2C303221">
            <w:pPr>
              <w:numPr>
                <w:ilvl w:val="0"/>
                <w:numId w:val="13"/>
              </w:numPr>
              <w:tabs>
                <w:tab w:val="clear" w:pos="312"/>
              </w:tabs>
              <w:jc w:val="both"/>
              <w:rPr>
                <w:rStyle w:val="42"/>
                <w:color w:val="000000" w:themeColor="text1"/>
                <w14:textFill>
                  <w14:solidFill>
                    <w14:schemeClr w14:val="tx1"/>
                  </w14:solidFill>
                </w14:textFill>
              </w:rPr>
            </w:pPr>
            <w:r>
              <w:rPr>
                <w:rFonts w:hint="eastAsia"/>
                <w:color w:val="000000" w:themeColor="text1"/>
                <w14:textFill>
                  <w14:solidFill>
                    <w14:schemeClr w14:val="tx1"/>
                  </w14:solidFill>
                </w14:textFill>
              </w:rPr>
              <w:t>完全满足用户需求书中的采购需求， 无重大偏离(审查《实质性响应条款一览表》)。</w:t>
            </w:r>
          </w:p>
          <w:p w14:paraId="4D75C66C">
            <w:pPr>
              <w:numPr>
                <w:ilvl w:val="0"/>
                <w:numId w:val="13"/>
              </w:numPr>
              <w:tabs>
                <w:tab w:val="clear" w:pos="312"/>
              </w:tabs>
              <w:jc w:val="both"/>
              <w:rPr>
                <w:rStyle w:val="42"/>
                <w:color w:val="000000" w:themeColor="text1"/>
                <w14:textFill>
                  <w14:solidFill>
                    <w14:schemeClr w14:val="tx1"/>
                  </w14:solidFill>
                </w14:textFill>
              </w:rPr>
            </w:pPr>
            <w:r>
              <w:rPr>
                <w:rFonts w:hint="eastAsia"/>
                <w:color w:val="000000" w:themeColor="text1"/>
                <w14:textFill>
                  <w14:solidFill>
                    <w14:schemeClr w14:val="tx1"/>
                  </w14:solidFill>
                </w14:textFill>
              </w:rPr>
              <w:t>未发现属无效响应的其他情形（见表末说明）。</w:t>
            </w:r>
          </w:p>
          <w:p w14:paraId="6614BDD5">
            <w:pPr>
              <w:numPr>
                <w:ilvl w:val="0"/>
                <w:numId w:val="13"/>
              </w:numPr>
              <w:tabs>
                <w:tab w:val="clear" w:pos="312"/>
              </w:tabs>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供应商有提供开标（报价）一览表。</w:t>
            </w:r>
          </w:p>
        </w:tc>
      </w:tr>
    </w:tbl>
    <w:p w14:paraId="41254B61">
      <w:pPr>
        <w:pStyle w:val="51"/>
        <w:numPr>
          <w:ilvl w:val="0"/>
          <w:numId w:val="14"/>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比选评审小组进行符合性审查时认定供应商不合格的，比选评审小组应当场电话或书面形式告知供应商，供应商可在限定时间内以书面形式方式进行澄清，比选评审小组不再接受其他外部资料。如遇无法联系供应商达3次，比选评审小组主任（组长）现场宣布不合格结果，视为已通知供应商。</w:t>
      </w:r>
    </w:p>
    <w:p w14:paraId="2DC450AD">
      <w:pPr>
        <w:pStyle w:val="51"/>
        <w:numPr>
          <w:ilvl w:val="0"/>
          <w:numId w:val="14"/>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不通过符合性审查或响应无效的，不作后续评审。</w:t>
      </w:r>
    </w:p>
    <w:p w14:paraId="5E841CE6">
      <w:pPr>
        <w:pStyle w:val="14"/>
        <w:tabs>
          <w:tab w:val="clear" w:pos="360"/>
        </w:tabs>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说明：以下为属于无效响应的其他情况。</w:t>
      </w:r>
    </w:p>
    <w:p w14:paraId="540A62F9">
      <w:pPr>
        <w:pStyle w:val="14"/>
        <w:tabs>
          <w:tab w:val="clear" w:pos="360"/>
        </w:tabs>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（1）评审期间，供应商没有按比选评审小组的要求提交法定代表人/负责人或其委托代理人签字的澄清、说明、补正或改变了响应文件的实质性内容的；</w:t>
      </w:r>
    </w:p>
    <w:p w14:paraId="70C1D733">
      <w:pPr>
        <w:pStyle w:val="14"/>
        <w:tabs>
          <w:tab w:val="clear" w:pos="360"/>
        </w:tabs>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（2）响应文件提供虚假材料的；</w:t>
      </w:r>
    </w:p>
    <w:p w14:paraId="5285A2BF">
      <w:pPr>
        <w:pStyle w:val="14"/>
        <w:tabs>
          <w:tab w:val="clear" w:pos="360"/>
        </w:tabs>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（3）供应商以他人的名义响应、串通响应、以行贿手段谋取成交或者以其他弄虚作假方式响应的；</w:t>
      </w:r>
    </w:p>
    <w:p w14:paraId="38FCAAFB">
      <w:pPr>
        <w:pStyle w:val="14"/>
        <w:tabs>
          <w:tab w:val="clear" w:pos="360"/>
        </w:tabs>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（4）供应商对采购人、比选评审小组及其工作人员施加影响，有碍采购公平、公正的；</w:t>
      </w:r>
    </w:p>
    <w:p w14:paraId="3DF3471B">
      <w:pPr>
        <w:pStyle w:val="14"/>
        <w:tabs>
          <w:tab w:val="clear" w:pos="360"/>
        </w:tabs>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（5）按有关法律、法规、规章规定属于无效响应的。</w:t>
      </w:r>
    </w:p>
    <w:p w14:paraId="785E3830">
      <w:pPr>
        <w:pStyle w:val="51"/>
        <w:numPr>
          <w:ilvl w:val="0"/>
          <w:numId w:val="11"/>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响应文件的澄清</w:t>
      </w:r>
    </w:p>
    <w:p w14:paraId="319F23B2">
      <w:pPr>
        <w:pStyle w:val="51"/>
        <w:numPr>
          <w:ilvl w:val="0"/>
          <w:numId w:val="15"/>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对响应文件中含义不明确、同类问题表述不一致或者有明显文字和计算错误的内容，比选评审小组可以书面形式要求供应商作出必要的澄清、说明或者纠正。</w:t>
      </w:r>
    </w:p>
    <w:p w14:paraId="3F8B6E9B">
      <w:pPr>
        <w:pStyle w:val="51"/>
        <w:numPr>
          <w:ilvl w:val="0"/>
          <w:numId w:val="15"/>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供应商的澄清、说明或者补正应当采用书面形式，由其授权的代表签字，并不得超出响应文件的范围或者改变响应文件的实质性内容。</w:t>
      </w:r>
    </w:p>
    <w:p w14:paraId="7CF7384A">
      <w:pPr>
        <w:pStyle w:val="51"/>
        <w:numPr>
          <w:ilvl w:val="0"/>
          <w:numId w:val="15"/>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除上述规定的情形之外，比选评审小组在评审过程中，不得接收来自评审现场以外的任何形式的文件资料。</w:t>
      </w:r>
    </w:p>
    <w:p w14:paraId="4A92CDAD">
      <w:pPr>
        <w:pStyle w:val="51"/>
        <w:numPr>
          <w:ilvl w:val="0"/>
          <w:numId w:val="15"/>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如果响应文件实质上不响应采购文件的各项要求，比选评审小组将按照采购文件要求予以拒绝，不接受供应商通过修改或撤销其不符合要求的差异或保留，使之成为具有响应性的响应。</w:t>
      </w:r>
    </w:p>
    <w:p w14:paraId="08FC1565">
      <w:pPr>
        <w:pStyle w:val="51"/>
        <w:numPr>
          <w:ilvl w:val="0"/>
          <w:numId w:val="11"/>
        </w:numPr>
        <w:tabs>
          <w:tab w:val="clear" w:pos="360"/>
        </w:tabs>
        <w:ind w:left="0" w:firstLine="420" w:firstLineChars="175"/>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技术评分（45分）</w:t>
      </w:r>
    </w:p>
    <w:p w14:paraId="324288B5">
      <w:pPr>
        <w:ind w:firstLine="420" w:firstLineChars="175"/>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由比选评审小组成员对所有有效响应文件的技术响应方案进行审核和分析，如下：</w:t>
      </w:r>
    </w:p>
    <w:tbl>
      <w:tblPr>
        <w:tblStyle w:val="29"/>
        <w:tblW w:w="5039"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600"/>
        <w:gridCol w:w="1106"/>
        <w:gridCol w:w="561"/>
        <w:gridCol w:w="7571"/>
      </w:tblGrid>
      <w:tr w14:paraId="1C1B26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Header/>
        </w:trPr>
        <w:tc>
          <w:tcPr>
            <w:tcW w:w="305" w:type="pct"/>
            <w:tcBorders>
              <w:top w:val="outset" w:color="auto" w:sz="6" w:space="0"/>
              <w:left w:val="outset" w:color="auto" w:sz="6" w:space="0"/>
              <w:bottom w:val="outset" w:color="auto" w:sz="6" w:space="0"/>
              <w:right w:val="outset" w:color="auto" w:sz="6" w:space="0"/>
            </w:tcBorders>
            <w:vAlign w:val="center"/>
          </w:tcPr>
          <w:p w14:paraId="71254D1F">
            <w:pPr>
              <w:spacing w:line="240" w:lineRule="auto"/>
              <w:jc w:val="both"/>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562" w:type="pct"/>
            <w:tcBorders>
              <w:top w:val="outset" w:color="auto" w:sz="6" w:space="0"/>
              <w:left w:val="outset" w:color="auto" w:sz="6" w:space="0"/>
              <w:bottom w:val="outset" w:color="auto" w:sz="6" w:space="0"/>
              <w:right w:val="outset" w:color="auto" w:sz="6" w:space="0"/>
            </w:tcBorders>
            <w:vAlign w:val="center"/>
          </w:tcPr>
          <w:p w14:paraId="4E04088A">
            <w:pPr>
              <w:spacing w:line="240" w:lineRule="auto"/>
              <w:jc w:val="both"/>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评审内容</w:t>
            </w:r>
          </w:p>
        </w:tc>
        <w:tc>
          <w:tcPr>
            <w:tcW w:w="285" w:type="pct"/>
            <w:tcBorders>
              <w:top w:val="outset" w:color="auto" w:sz="6" w:space="0"/>
              <w:left w:val="outset" w:color="auto" w:sz="6" w:space="0"/>
              <w:bottom w:val="outset" w:color="auto" w:sz="6" w:space="0"/>
              <w:right w:val="outset" w:color="auto" w:sz="6" w:space="0"/>
            </w:tcBorders>
            <w:vAlign w:val="center"/>
          </w:tcPr>
          <w:p w14:paraId="1914C899">
            <w:pPr>
              <w:spacing w:line="240" w:lineRule="auto"/>
              <w:jc w:val="both"/>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c>
          <w:tcPr>
            <w:tcW w:w="3846" w:type="pct"/>
            <w:tcBorders>
              <w:top w:val="outset" w:color="auto" w:sz="6" w:space="0"/>
              <w:left w:val="outset" w:color="auto" w:sz="6" w:space="0"/>
              <w:bottom w:val="outset" w:color="auto" w:sz="6" w:space="0"/>
              <w:right w:val="outset" w:color="auto" w:sz="6" w:space="0"/>
            </w:tcBorders>
            <w:vAlign w:val="center"/>
          </w:tcPr>
          <w:p w14:paraId="092C7476">
            <w:pPr>
              <w:spacing w:line="240" w:lineRule="auto"/>
              <w:ind w:firstLine="422"/>
              <w:jc w:val="both"/>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评分细则</w:t>
            </w:r>
          </w:p>
        </w:tc>
      </w:tr>
      <w:tr w14:paraId="128C654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05" w:type="pct"/>
            <w:tcBorders>
              <w:top w:val="outset" w:color="auto" w:sz="6" w:space="0"/>
              <w:left w:val="outset" w:color="auto" w:sz="6" w:space="0"/>
              <w:bottom w:val="outset" w:color="auto" w:sz="6" w:space="0"/>
              <w:right w:val="outset" w:color="auto" w:sz="6" w:space="0"/>
            </w:tcBorders>
            <w:vAlign w:val="center"/>
          </w:tcPr>
          <w:p w14:paraId="0355123E">
            <w:pPr>
              <w:spacing w:line="24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06" w:type="dxa"/>
            <w:tcBorders>
              <w:top w:val="outset" w:color="auto" w:sz="6" w:space="0"/>
              <w:left w:val="outset" w:color="auto" w:sz="6" w:space="0"/>
              <w:bottom w:val="outset" w:color="auto" w:sz="6" w:space="0"/>
              <w:right w:val="outset" w:color="auto" w:sz="6" w:space="0"/>
            </w:tcBorders>
            <w:vAlign w:val="center"/>
          </w:tcPr>
          <w:p w14:paraId="6D680055">
            <w:pPr>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本项目的需求调研方案</w:t>
            </w:r>
          </w:p>
        </w:tc>
        <w:tc>
          <w:tcPr>
            <w:tcW w:w="560" w:type="dxa"/>
            <w:tcBorders>
              <w:top w:val="outset" w:color="auto" w:sz="6" w:space="0"/>
              <w:left w:val="outset" w:color="auto" w:sz="6" w:space="0"/>
              <w:bottom w:val="outset" w:color="auto" w:sz="6" w:space="0"/>
              <w:right w:val="outset" w:color="auto" w:sz="6" w:space="0"/>
            </w:tcBorders>
            <w:vAlign w:val="center"/>
          </w:tcPr>
          <w:p w14:paraId="20FF25B5">
            <w:pPr>
              <w:spacing w:line="240" w:lineRule="auto"/>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7556" w:type="dxa"/>
            <w:tcBorders>
              <w:top w:val="outset" w:color="auto" w:sz="6" w:space="0"/>
              <w:left w:val="outset" w:color="auto" w:sz="6" w:space="0"/>
              <w:bottom w:val="outset" w:color="auto" w:sz="6" w:space="0"/>
              <w:right w:val="outset" w:color="auto" w:sz="6" w:space="0"/>
            </w:tcBorders>
            <w:vAlign w:val="center"/>
          </w:tcPr>
          <w:p w14:paraId="6D908F7D">
            <w:pPr>
              <w:numPr>
                <w:ilvl w:val="0"/>
                <w:numId w:val="16"/>
              </w:numPr>
              <w:jc w:val="both"/>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对需求调研的对象、提纲和方式全面完整，针对性强，需求调研的思路及实施办法可行</w:t>
            </w:r>
            <w:r>
              <w:rPr>
                <w:rFonts w:hint="eastAsia" w:ascii="宋体" w:hAnsi="宋体" w:cs="宋体"/>
                <w:color w:val="000000" w:themeColor="text1"/>
                <w:kern w:val="0"/>
                <w:szCs w:val="21"/>
                <w14:textFill>
                  <w14:solidFill>
                    <w14:schemeClr w14:val="tx1"/>
                  </w14:solidFill>
                </w14:textFill>
              </w:rPr>
              <w:t>，得10分；</w:t>
            </w:r>
          </w:p>
          <w:p w14:paraId="4603F3CE">
            <w:pPr>
              <w:numPr>
                <w:ilvl w:val="0"/>
                <w:numId w:val="16"/>
              </w:numPr>
              <w:jc w:val="both"/>
              <w:textAlignment w:val="center"/>
              <w:rPr>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对需求调研的对象、提纲和方式较为全面完整，针对性较强，需求调研的思路及实施办法较为可行，得7分；</w:t>
            </w:r>
          </w:p>
          <w:p w14:paraId="08FC387B">
            <w:pPr>
              <w:numPr>
                <w:ilvl w:val="0"/>
                <w:numId w:val="16"/>
              </w:numPr>
              <w:jc w:val="both"/>
              <w:textAlignment w:val="center"/>
              <w:rPr>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对需求调研的对象、提纲和方式基本全面完整，针对性比较强，需求调研的思路及实施办法基本可行，得4分；</w:t>
            </w:r>
          </w:p>
          <w:p w14:paraId="36FB1173">
            <w:pPr>
              <w:numPr>
                <w:ilvl w:val="0"/>
                <w:numId w:val="16"/>
              </w:numPr>
              <w:jc w:val="both"/>
              <w:textAlignment w:val="center"/>
              <w:rPr>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对需求调研的对象、提纲和方式不全面不完整，针对性差，需求调研的思路及实施办法不可行，得0分。</w:t>
            </w:r>
          </w:p>
        </w:tc>
      </w:tr>
      <w:tr w14:paraId="09AA9C1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05" w:type="pct"/>
            <w:tcBorders>
              <w:top w:val="outset" w:color="auto" w:sz="6" w:space="0"/>
              <w:left w:val="outset" w:color="auto" w:sz="6" w:space="0"/>
              <w:bottom w:val="outset" w:color="auto" w:sz="6" w:space="0"/>
              <w:right w:val="outset" w:color="auto" w:sz="6" w:space="0"/>
            </w:tcBorders>
            <w:vAlign w:val="center"/>
          </w:tcPr>
          <w:p w14:paraId="6E083BF3">
            <w:pPr>
              <w:spacing w:line="24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06" w:type="dxa"/>
            <w:tcBorders>
              <w:top w:val="outset" w:color="auto" w:sz="6" w:space="0"/>
              <w:left w:val="outset" w:color="auto" w:sz="6" w:space="0"/>
              <w:bottom w:val="outset" w:color="auto" w:sz="6" w:space="0"/>
              <w:right w:val="outset" w:color="auto" w:sz="6" w:space="0"/>
            </w:tcBorders>
            <w:vAlign w:val="center"/>
          </w:tcPr>
          <w:p w14:paraId="58E4478E">
            <w:pPr>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对项目重点、难点分析，认识及对策措施</w:t>
            </w:r>
          </w:p>
        </w:tc>
        <w:tc>
          <w:tcPr>
            <w:tcW w:w="560" w:type="dxa"/>
            <w:tcBorders>
              <w:top w:val="outset" w:color="auto" w:sz="6" w:space="0"/>
              <w:left w:val="outset" w:color="auto" w:sz="6" w:space="0"/>
              <w:bottom w:val="outset" w:color="auto" w:sz="6" w:space="0"/>
              <w:right w:val="outset" w:color="auto" w:sz="6" w:space="0"/>
            </w:tcBorders>
            <w:vAlign w:val="center"/>
          </w:tcPr>
          <w:p w14:paraId="3ED561D3">
            <w:pPr>
              <w:spacing w:line="240" w:lineRule="auto"/>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10</w:t>
            </w:r>
          </w:p>
        </w:tc>
        <w:tc>
          <w:tcPr>
            <w:tcW w:w="7556" w:type="dxa"/>
            <w:tcBorders>
              <w:top w:val="outset" w:color="auto" w:sz="6" w:space="0"/>
              <w:left w:val="outset" w:color="auto" w:sz="6" w:space="0"/>
              <w:bottom w:val="outset" w:color="auto" w:sz="6" w:space="0"/>
              <w:right w:val="outset" w:color="auto" w:sz="6" w:space="0"/>
            </w:tcBorders>
            <w:vAlign w:val="center"/>
          </w:tcPr>
          <w:p w14:paraId="415076A7">
            <w:pPr>
              <w:numPr>
                <w:ilvl w:val="0"/>
                <w:numId w:val="17"/>
              </w:numPr>
              <w:jc w:val="both"/>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对项目重点、难点分析准确合理，关键性技术难题理解分析准确、应对措施合理可行</w:t>
            </w:r>
            <w:r>
              <w:rPr>
                <w:rFonts w:hint="eastAsia" w:ascii="宋体" w:hAnsi="宋体" w:cs="宋体"/>
                <w:color w:val="000000" w:themeColor="text1"/>
                <w:kern w:val="0"/>
                <w:szCs w:val="21"/>
                <w14:textFill>
                  <w14:solidFill>
                    <w14:schemeClr w14:val="tx1"/>
                  </w14:solidFill>
                </w14:textFill>
              </w:rPr>
              <w:t>，得10分；</w:t>
            </w:r>
          </w:p>
          <w:p w14:paraId="75F2BA5F">
            <w:pPr>
              <w:numPr>
                <w:ilvl w:val="0"/>
                <w:numId w:val="17"/>
              </w:numPr>
              <w:jc w:val="both"/>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对项目重点、难点分析</w:t>
            </w:r>
            <w:r>
              <w:rPr>
                <w:rFonts w:hint="eastAsia" w:ascii="宋体" w:hAnsi="宋体" w:cs="宋体"/>
                <w:color w:val="000000" w:themeColor="text1"/>
                <w:kern w:val="0"/>
                <w:szCs w:val="21"/>
                <w14:textFill>
                  <w14:solidFill>
                    <w14:schemeClr w14:val="tx1"/>
                  </w14:solidFill>
                </w14:textFill>
              </w:rPr>
              <w:t>较为</w:t>
            </w:r>
            <w:r>
              <w:rPr>
                <w:rFonts w:ascii="宋体" w:hAnsi="宋体" w:cs="宋体"/>
                <w:color w:val="000000" w:themeColor="text1"/>
                <w:kern w:val="0"/>
                <w:szCs w:val="21"/>
                <w14:textFill>
                  <w14:solidFill>
                    <w14:schemeClr w14:val="tx1"/>
                  </w14:solidFill>
                </w14:textFill>
              </w:rPr>
              <w:t>准确合理，关键性技术难题理解分析</w:t>
            </w:r>
            <w:r>
              <w:rPr>
                <w:rFonts w:hint="eastAsia" w:ascii="宋体" w:hAnsi="宋体" w:cs="宋体"/>
                <w:color w:val="000000" w:themeColor="text1"/>
                <w:kern w:val="0"/>
                <w:szCs w:val="21"/>
                <w14:textFill>
                  <w14:solidFill>
                    <w14:schemeClr w14:val="tx1"/>
                  </w14:solidFill>
                </w14:textFill>
              </w:rPr>
              <w:t>较为</w:t>
            </w:r>
            <w:r>
              <w:rPr>
                <w:rFonts w:ascii="宋体" w:hAnsi="宋体" w:cs="宋体"/>
                <w:color w:val="000000" w:themeColor="text1"/>
                <w:kern w:val="0"/>
                <w:szCs w:val="21"/>
                <w14:textFill>
                  <w14:solidFill>
                    <w14:schemeClr w14:val="tx1"/>
                  </w14:solidFill>
                </w14:textFill>
              </w:rPr>
              <w:t>准确、应对措施</w:t>
            </w:r>
            <w:r>
              <w:rPr>
                <w:rFonts w:hint="eastAsia" w:ascii="宋体" w:hAnsi="宋体" w:cs="宋体"/>
                <w:color w:val="000000" w:themeColor="text1"/>
                <w:kern w:val="0"/>
                <w:szCs w:val="21"/>
                <w14:textFill>
                  <w14:solidFill>
                    <w14:schemeClr w14:val="tx1"/>
                  </w14:solidFill>
                </w14:textFill>
              </w:rPr>
              <w:t>较为</w:t>
            </w:r>
            <w:r>
              <w:rPr>
                <w:rFonts w:ascii="宋体" w:hAnsi="宋体" w:cs="宋体"/>
                <w:color w:val="000000" w:themeColor="text1"/>
                <w:kern w:val="0"/>
                <w:szCs w:val="21"/>
                <w14:textFill>
                  <w14:solidFill>
                    <w14:schemeClr w14:val="tx1"/>
                  </w14:solidFill>
                </w14:textFill>
              </w:rPr>
              <w:t>合理可行</w:t>
            </w:r>
            <w:r>
              <w:rPr>
                <w:rFonts w:hint="eastAsia" w:ascii="宋体" w:hAnsi="宋体" w:cs="宋体"/>
                <w:color w:val="000000" w:themeColor="text1"/>
                <w:kern w:val="0"/>
                <w:szCs w:val="21"/>
                <w14:textFill>
                  <w14:solidFill>
                    <w14:schemeClr w14:val="tx1"/>
                  </w14:solidFill>
                </w14:textFill>
              </w:rPr>
              <w:t>，得7分；</w:t>
            </w:r>
          </w:p>
          <w:p w14:paraId="3792FB4E">
            <w:pPr>
              <w:numPr>
                <w:ilvl w:val="0"/>
                <w:numId w:val="17"/>
              </w:numPr>
              <w:jc w:val="both"/>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对项目重点、难点分析</w:t>
            </w:r>
            <w:r>
              <w:rPr>
                <w:rFonts w:hint="eastAsia" w:ascii="宋体" w:hAnsi="宋体" w:cs="宋体"/>
                <w:color w:val="000000" w:themeColor="text1"/>
                <w:kern w:val="0"/>
                <w:szCs w:val="21"/>
                <w14:textFill>
                  <w14:solidFill>
                    <w14:schemeClr w14:val="tx1"/>
                  </w14:solidFill>
                </w14:textFill>
              </w:rPr>
              <w:t>基本</w:t>
            </w:r>
            <w:r>
              <w:rPr>
                <w:rFonts w:ascii="宋体" w:hAnsi="宋体" w:cs="宋体"/>
                <w:color w:val="000000" w:themeColor="text1"/>
                <w:kern w:val="0"/>
                <w:szCs w:val="21"/>
                <w14:textFill>
                  <w14:solidFill>
                    <w14:schemeClr w14:val="tx1"/>
                  </w14:solidFill>
                </w14:textFill>
              </w:rPr>
              <w:t>准确合理，关键性技术难题理解分析</w:t>
            </w:r>
            <w:r>
              <w:rPr>
                <w:rFonts w:hint="eastAsia" w:ascii="宋体" w:hAnsi="宋体" w:cs="宋体"/>
                <w:color w:val="000000" w:themeColor="text1"/>
                <w:kern w:val="0"/>
                <w:szCs w:val="21"/>
                <w14:textFill>
                  <w14:solidFill>
                    <w14:schemeClr w14:val="tx1"/>
                  </w14:solidFill>
                </w14:textFill>
              </w:rPr>
              <w:t>基本</w:t>
            </w:r>
            <w:r>
              <w:rPr>
                <w:rFonts w:ascii="宋体" w:hAnsi="宋体" w:cs="宋体"/>
                <w:color w:val="000000" w:themeColor="text1"/>
                <w:kern w:val="0"/>
                <w:szCs w:val="21"/>
                <w14:textFill>
                  <w14:solidFill>
                    <w14:schemeClr w14:val="tx1"/>
                  </w14:solidFill>
                </w14:textFill>
              </w:rPr>
              <w:t>准确、应对措施</w:t>
            </w:r>
            <w:r>
              <w:rPr>
                <w:rFonts w:hint="eastAsia" w:ascii="宋体" w:hAnsi="宋体" w:cs="宋体"/>
                <w:color w:val="000000" w:themeColor="text1"/>
                <w:kern w:val="0"/>
                <w:szCs w:val="21"/>
                <w14:textFill>
                  <w14:solidFill>
                    <w14:schemeClr w14:val="tx1"/>
                  </w14:solidFill>
                </w14:textFill>
              </w:rPr>
              <w:t>基本</w:t>
            </w:r>
            <w:r>
              <w:rPr>
                <w:rFonts w:ascii="宋体" w:hAnsi="宋体" w:cs="宋体"/>
                <w:color w:val="000000" w:themeColor="text1"/>
                <w:kern w:val="0"/>
                <w:szCs w:val="21"/>
                <w14:textFill>
                  <w14:solidFill>
                    <w14:schemeClr w14:val="tx1"/>
                  </w14:solidFill>
                </w14:textFill>
              </w:rPr>
              <w:t>合理可行</w:t>
            </w:r>
            <w:r>
              <w:rPr>
                <w:rFonts w:hint="eastAsia" w:ascii="宋体" w:hAnsi="宋体" w:cs="宋体"/>
                <w:color w:val="000000" w:themeColor="text1"/>
                <w:kern w:val="0"/>
                <w:szCs w:val="21"/>
                <w14:textFill>
                  <w14:solidFill>
                    <w14:schemeClr w14:val="tx1"/>
                  </w14:solidFill>
                </w14:textFill>
              </w:rPr>
              <w:t>，得4分；</w:t>
            </w:r>
          </w:p>
          <w:p w14:paraId="497DBB74">
            <w:pPr>
              <w:numPr>
                <w:ilvl w:val="0"/>
                <w:numId w:val="17"/>
              </w:numPr>
              <w:jc w:val="both"/>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对项目重点、难点分析</w:t>
            </w:r>
            <w:r>
              <w:rPr>
                <w:rFonts w:hint="eastAsia" w:ascii="宋体" w:hAnsi="宋体" w:cs="宋体"/>
                <w:color w:val="000000" w:themeColor="text1"/>
                <w:kern w:val="0"/>
                <w:szCs w:val="21"/>
                <w14:textFill>
                  <w14:solidFill>
                    <w14:schemeClr w14:val="tx1"/>
                  </w14:solidFill>
                </w14:textFill>
              </w:rPr>
              <w:t>不</w:t>
            </w:r>
            <w:r>
              <w:rPr>
                <w:rFonts w:ascii="宋体" w:hAnsi="宋体" w:cs="宋体"/>
                <w:color w:val="000000" w:themeColor="text1"/>
                <w:kern w:val="0"/>
                <w:szCs w:val="21"/>
                <w14:textFill>
                  <w14:solidFill>
                    <w14:schemeClr w14:val="tx1"/>
                  </w14:solidFill>
                </w14:textFill>
              </w:rPr>
              <w:t>准确</w:t>
            </w:r>
            <w:r>
              <w:rPr>
                <w:rFonts w:hint="eastAsia" w:ascii="宋体" w:hAnsi="宋体" w:cs="宋体"/>
                <w:color w:val="000000" w:themeColor="text1"/>
                <w:kern w:val="0"/>
                <w:szCs w:val="21"/>
                <w14:textFill>
                  <w14:solidFill>
                    <w14:schemeClr w14:val="tx1"/>
                  </w14:solidFill>
                </w14:textFill>
              </w:rPr>
              <w:t>不合理</w:t>
            </w:r>
            <w:r>
              <w:rPr>
                <w:rFonts w:ascii="宋体" w:hAnsi="宋体" w:cs="宋体"/>
                <w:color w:val="000000" w:themeColor="text1"/>
                <w:kern w:val="0"/>
                <w:szCs w:val="21"/>
                <w14:textFill>
                  <w14:solidFill>
                    <w14:schemeClr w14:val="tx1"/>
                  </w14:solidFill>
                </w14:textFill>
              </w:rPr>
              <w:t>，关键性技术难题理解分析</w:t>
            </w:r>
            <w:r>
              <w:rPr>
                <w:rFonts w:hint="eastAsia" w:ascii="宋体" w:hAnsi="宋体" w:cs="宋体"/>
                <w:color w:val="000000" w:themeColor="text1"/>
                <w:kern w:val="0"/>
                <w:szCs w:val="21"/>
                <w14:textFill>
                  <w14:solidFill>
                    <w14:schemeClr w14:val="tx1"/>
                  </w14:solidFill>
                </w14:textFill>
              </w:rPr>
              <w:t>不</w:t>
            </w:r>
            <w:r>
              <w:rPr>
                <w:rFonts w:ascii="宋体" w:hAnsi="宋体" w:cs="宋体"/>
                <w:color w:val="000000" w:themeColor="text1"/>
                <w:kern w:val="0"/>
                <w:szCs w:val="21"/>
                <w14:textFill>
                  <w14:solidFill>
                    <w14:schemeClr w14:val="tx1"/>
                  </w14:solidFill>
                </w14:textFill>
              </w:rPr>
              <w:t>准确、应对措施</w:t>
            </w:r>
            <w:r>
              <w:rPr>
                <w:rFonts w:hint="eastAsia" w:ascii="宋体" w:hAnsi="宋体" w:cs="宋体"/>
                <w:color w:val="000000" w:themeColor="text1"/>
                <w:kern w:val="0"/>
                <w:szCs w:val="21"/>
                <w14:textFill>
                  <w14:solidFill>
                    <w14:schemeClr w14:val="tx1"/>
                  </w14:solidFill>
                </w14:textFill>
              </w:rPr>
              <w:t>不</w:t>
            </w:r>
            <w:r>
              <w:rPr>
                <w:rFonts w:ascii="宋体" w:hAnsi="宋体" w:cs="宋体"/>
                <w:color w:val="000000" w:themeColor="text1"/>
                <w:kern w:val="0"/>
                <w:szCs w:val="21"/>
                <w14:textFill>
                  <w14:solidFill>
                    <w14:schemeClr w14:val="tx1"/>
                  </w14:solidFill>
                </w14:textFill>
              </w:rPr>
              <w:t>合理可行</w:t>
            </w:r>
            <w:r>
              <w:rPr>
                <w:rFonts w:hint="eastAsia" w:ascii="宋体" w:hAnsi="宋体" w:cs="宋体"/>
                <w:color w:val="000000" w:themeColor="text1"/>
                <w:kern w:val="0"/>
                <w:szCs w:val="21"/>
                <w14:textFill>
                  <w14:solidFill>
                    <w14:schemeClr w14:val="tx1"/>
                  </w14:solidFill>
                </w14:textFill>
              </w:rPr>
              <w:t>，得0分</w:t>
            </w:r>
            <w:r>
              <w:rPr>
                <w:rFonts w:ascii="宋体" w:hAnsi="宋体" w:cs="宋体"/>
                <w:color w:val="000000" w:themeColor="text1"/>
                <w:kern w:val="0"/>
                <w:szCs w:val="21"/>
                <w14:textFill>
                  <w14:solidFill>
                    <w14:schemeClr w14:val="tx1"/>
                  </w14:solidFill>
                </w14:textFill>
              </w:rPr>
              <w:t>。</w:t>
            </w:r>
          </w:p>
        </w:tc>
      </w:tr>
      <w:tr w14:paraId="7BC65B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05" w:type="pct"/>
            <w:tcBorders>
              <w:top w:val="outset" w:color="auto" w:sz="6" w:space="0"/>
              <w:left w:val="outset" w:color="auto" w:sz="6" w:space="0"/>
              <w:bottom w:val="outset" w:color="auto" w:sz="6" w:space="0"/>
              <w:right w:val="outset" w:color="auto" w:sz="6" w:space="0"/>
            </w:tcBorders>
            <w:vAlign w:val="center"/>
          </w:tcPr>
          <w:p w14:paraId="01E41899">
            <w:pPr>
              <w:spacing w:line="24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06" w:type="dxa"/>
            <w:tcBorders>
              <w:top w:val="outset" w:color="auto" w:sz="6" w:space="0"/>
              <w:left w:val="outset" w:color="auto" w:sz="6" w:space="0"/>
              <w:bottom w:val="outset" w:color="auto" w:sz="6" w:space="0"/>
              <w:right w:val="outset" w:color="auto" w:sz="6" w:space="0"/>
            </w:tcBorders>
            <w:vAlign w:val="center"/>
          </w:tcPr>
          <w:p w14:paraId="60A596AC">
            <w:pPr>
              <w:jc w:val="both"/>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本项目的服务实施方案</w:t>
            </w:r>
          </w:p>
        </w:tc>
        <w:tc>
          <w:tcPr>
            <w:tcW w:w="560" w:type="dxa"/>
            <w:tcBorders>
              <w:top w:val="outset" w:color="auto" w:sz="6" w:space="0"/>
              <w:left w:val="outset" w:color="auto" w:sz="6" w:space="0"/>
              <w:bottom w:val="outset" w:color="auto" w:sz="6" w:space="0"/>
              <w:right w:val="outset" w:color="auto" w:sz="6" w:space="0"/>
            </w:tcBorders>
            <w:vAlign w:val="center"/>
          </w:tcPr>
          <w:p w14:paraId="5E878572">
            <w:pPr>
              <w:spacing w:line="240" w:lineRule="auto"/>
              <w:jc w:val="both"/>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w:t>
            </w:r>
          </w:p>
        </w:tc>
        <w:tc>
          <w:tcPr>
            <w:tcW w:w="7556" w:type="dxa"/>
            <w:tcBorders>
              <w:top w:val="outset" w:color="auto" w:sz="6" w:space="0"/>
              <w:left w:val="outset" w:color="auto" w:sz="6" w:space="0"/>
              <w:bottom w:val="outset" w:color="auto" w:sz="6" w:space="0"/>
              <w:right w:val="outset" w:color="auto" w:sz="6" w:space="0"/>
            </w:tcBorders>
            <w:vAlign w:val="center"/>
          </w:tcPr>
          <w:p w14:paraId="5AB0E93F">
            <w:pPr>
              <w:jc w:val="both"/>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（1）实施方案科学、合理、完善，可操作性强，完全满足或优于采购需求，得15分。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（2）实施方案较科学、合理、完善，可操作性较强，满足采购需求，得10分。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（3）实施方案内容科学性和合理性一般、不够完善，可操作性不强，不能完全满足采购需求，得5分。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（4）实施方案内容科学性和合理性较差、不够完善，不具备可操作性，无法满足采购需求或未提供相关资料，得0分。</w:t>
            </w:r>
          </w:p>
        </w:tc>
      </w:tr>
      <w:tr w14:paraId="27ABE31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05" w:type="pct"/>
            <w:tcBorders>
              <w:top w:val="outset" w:color="auto" w:sz="6" w:space="0"/>
              <w:left w:val="outset" w:color="auto" w:sz="6" w:space="0"/>
              <w:bottom w:val="outset" w:color="auto" w:sz="6" w:space="0"/>
              <w:right w:val="outset" w:color="auto" w:sz="6" w:space="0"/>
            </w:tcBorders>
            <w:vAlign w:val="center"/>
          </w:tcPr>
          <w:p w14:paraId="16C5B5D5">
            <w:pPr>
              <w:spacing w:line="24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106" w:type="dxa"/>
            <w:tcBorders>
              <w:top w:val="outset" w:color="auto" w:sz="6" w:space="0"/>
              <w:left w:val="outset" w:color="auto" w:sz="6" w:space="0"/>
              <w:bottom w:val="outset" w:color="auto" w:sz="6" w:space="0"/>
              <w:right w:val="outset" w:color="auto" w:sz="6" w:space="0"/>
            </w:tcBorders>
            <w:vAlign w:val="center"/>
          </w:tcPr>
          <w:p w14:paraId="70177351">
            <w:pPr>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本项目质量保障措施</w:t>
            </w:r>
          </w:p>
        </w:tc>
        <w:tc>
          <w:tcPr>
            <w:tcW w:w="560" w:type="dxa"/>
            <w:tcBorders>
              <w:top w:val="outset" w:color="auto" w:sz="6" w:space="0"/>
              <w:left w:val="outset" w:color="auto" w:sz="6" w:space="0"/>
              <w:bottom w:val="outset" w:color="auto" w:sz="6" w:space="0"/>
              <w:right w:val="outset" w:color="auto" w:sz="6" w:space="0"/>
            </w:tcBorders>
            <w:vAlign w:val="center"/>
          </w:tcPr>
          <w:p w14:paraId="28A816A9">
            <w:pPr>
              <w:spacing w:line="240" w:lineRule="auto"/>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7556" w:type="dxa"/>
            <w:tcBorders>
              <w:top w:val="outset" w:color="auto" w:sz="6" w:space="0"/>
              <w:left w:val="outset" w:color="auto" w:sz="6" w:space="0"/>
              <w:bottom w:val="outset" w:color="auto" w:sz="6" w:space="0"/>
              <w:right w:val="outset" w:color="auto" w:sz="6" w:space="0"/>
            </w:tcBorders>
            <w:vAlign w:val="center"/>
          </w:tcPr>
          <w:p w14:paraId="720FDF72">
            <w:pPr>
              <w:jc w:val="both"/>
              <w:textAlignment w:val="center"/>
              <w:rPr>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（1）措施全面，科学合理，完全满足或优于采购需求，得10分；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（2）措施较全面，较科学合理，满足采购需求，得7分；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（3）措施不太全面，科学性和合理性一般，不能完全满足采购需求，得4分；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（4）措施不全面，科学性和合理性差，无法满足采购需求，或未提供相关资料，得0分。</w:t>
            </w:r>
          </w:p>
        </w:tc>
      </w:tr>
    </w:tbl>
    <w:p w14:paraId="4B794C37">
      <w:pPr>
        <w:pStyle w:val="51"/>
        <w:numPr>
          <w:ilvl w:val="0"/>
          <w:numId w:val="18"/>
        </w:numPr>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采购文件要求提交的与评价指标体系相关的各类有效资料，供应商如未按要求提交的，该项评分为零分。</w:t>
      </w:r>
    </w:p>
    <w:p w14:paraId="39314E45">
      <w:pPr>
        <w:pStyle w:val="51"/>
        <w:numPr>
          <w:ilvl w:val="0"/>
          <w:numId w:val="18"/>
        </w:numPr>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所有评审小组成员所评各项的得分进行算术平均（按四舍五入原则精确到小数点后两位），再汇总得出该供应商的技术评分（按四舍五入原则精确到小数点后两位）。</w:t>
      </w:r>
    </w:p>
    <w:p w14:paraId="416CB0AC">
      <w:pPr>
        <w:pStyle w:val="51"/>
        <w:numPr>
          <w:ilvl w:val="0"/>
          <w:numId w:val="18"/>
        </w:numPr>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在签署合同前，采购人有权对评分项中要求备查的证明文件原件进行核对。若供应商无法提供原件，采购人可追究其提供虚假材料谋取成交的责任。</w:t>
      </w:r>
    </w:p>
    <w:p w14:paraId="1BF5E1C7">
      <w:pPr>
        <w:pStyle w:val="51"/>
        <w:numPr>
          <w:ilvl w:val="0"/>
          <w:numId w:val="18"/>
        </w:numPr>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上表所列为供应商的技术条件。请供应商严格按照要求提交相关证明材料，否则有可能影响评审结果。</w:t>
      </w:r>
    </w:p>
    <w:p w14:paraId="319DF3D5">
      <w:pPr>
        <w:pStyle w:val="51"/>
        <w:numPr>
          <w:ilvl w:val="0"/>
          <w:numId w:val="11"/>
        </w:numPr>
        <w:tabs>
          <w:tab w:val="clear" w:pos="360"/>
        </w:tabs>
        <w:ind w:left="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商务评分（45分）</w:t>
      </w:r>
    </w:p>
    <w:p w14:paraId="244752CE">
      <w:pPr>
        <w:ind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由比选评审小组成员对所有有效响应文件的商务响应方案进行审核和分析，如下：</w:t>
      </w:r>
    </w:p>
    <w:tbl>
      <w:tblPr>
        <w:tblStyle w:val="29"/>
        <w:tblW w:w="5111"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71"/>
        <w:gridCol w:w="1112"/>
        <w:gridCol w:w="541"/>
        <w:gridCol w:w="7755"/>
      </w:tblGrid>
      <w:tr w14:paraId="263585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cantSplit/>
          <w:tblHeader/>
          <w:jc w:val="center"/>
        </w:trPr>
        <w:tc>
          <w:tcPr>
            <w:tcW w:w="286" w:type="pct"/>
            <w:tcBorders>
              <w:top w:val="outset" w:color="auto" w:sz="6" w:space="0"/>
              <w:left w:val="outset" w:color="auto" w:sz="6" w:space="0"/>
              <w:bottom w:val="outset" w:color="auto" w:sz="6" w:space="0"/>
              <w:right w:val="outset" w:color="auto" w:sz="6" w:space="0"/>
            </w:tcBorders>
            <w:vAlign w:val="center"/>
          </w:tcPr>
          <w:p w14:paraId="0E7C74BC">
            <w:pPr>
              <w:jc w:val="both"/>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57" w:type="pct"/>
            <w:tcBorders>
              <w:top w:val="outset" w:color="auto" w:sz="6" w:space="0"/>
              <w:left w:val="outset" w:color="auto" w:sz="6" w:space="0"/>
              <w:bottom w:val="outset" w:color="auto" w:sz="6" w:space="0"/>
              <w:right w:val="outset" w:color="auto" w:sz="6" w:space="0"/>
            </w:tcBorders>
            <w:vAlign w:val="center"/>
          </w:tcPr>
          <w:p w14:paraId="7794910E">
            <w:pPr>
              <w:jc w:val="both"/>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评分内容</w:t>
            </w:r>
          </w:p>
        </w:tc>
        <w:tc>
          <w:tcPr>
            <w:tcW w:w="271" w:type="pct"/>
            <w:tcBorders>
              <w:top w:val="outset" w:color="auto" w:sz="6" w:space="0"/>
              <w:left w:val="outset" w:color="auto" w:sz="6" w:space="0"/>
              <w:bottom w:val="outset" w:color="auto" w:sz="6" w:space="0"/>
              <w:right w:val="outset" w:color="auto" w:sz="6" w:space="0"/>
            </w:tcBorders>
            <w:vAlign w:val="center"/>
          </w:tcPr>
          <w:p w14:paraId="06E6B547">
            <w:pPr>
              <w:jc w:val="both"/>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3885" w:type="pct"/>
            <w:tcBorders>
              <w:top w:val="outset" w:color="auto" w:sz="6" w:space="0"/>
              <w:left w:val="outset" w:color="auto" w:sz="6" w:space="0"/>
              <w:bottom w:val="outset" w:color="auto" w:sz="6" w:space="0"/>
              <w:right w:val="outset" w:color="auto" w:sz="6" w:space="0"/>
            </w:tcBorders>
            <w:vAlign w:val="center"/>
          </w:tcPr>
          <w:p w14:paraId="5966B705">
            <w:pPr>
              <w:jc w:val="both"/>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评分标准</w:t>
            </w:r>
          </w:p>
        </w:tc>
      </w:tr>
      <w:tr w14:paraId="52C7DD8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cantSplit/>
          <w:jc w:val="center"/>
        </w:trPr>
        <w:tc>
          <w:tcPr>
            <w:tcW w:w="286" w:type="pct"/>
            <w:tcBorders>
              <w:top w:val="outset" w:color="auto" w:sz="6" w:space="0"/>
              <w:left w:val="outset" w:color="auto" w:sz="6" w:space="0"/>
              <w:bottom w:val="outset" w:color="auto" w:sz="6" w:space="0"/>
              <w:right w:val="outset" w:color="auto" w:sz="6" w:space="0"/>
            </w:tcBorders>
            <w:shd w:val="clear" w:color="auto" w:fill="auto"/>
            <w:vAlign w:val="center"/>
          </w:tcPr>
          <w:p w14:paraId="7D2982F9">
            <w:pPr>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557" w:type="pct"/>
            <w:tcBorders>
              <w:top w:val="outset" w:color="auto" w:sz="6" w:space="0"/>
              <w:left w:val="outset" w:color="auto" w:sz="6" w:space="0"/>
              <w:bottom w:val="outset" w:color="auto" w:sz="6" w:space="0"/>
              <w:right w:val="outset" w:color="auto" w:sz="6" w:space="0"/>
            </w:tcBorders>
            <w:shd w:val="clear" w:color="auto" w:fill="auto"/>
            <w:vAlign w:val="center"/>
          </w:tcPr>
          <w:p w14:paraId="6A33F7BA">
            <w:pPr>
              <w:spacing w:line="240" w:lineRule="auto"/>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供应商综合服务能力</w:t>
            </w:r>
          </w:p>
        </w:tc>
        <w:tc>
          <w:tcPr>
            <w:tcW w:w="271" w:type="pct"/>
            <w:tcBorders>
              <w:top w:val="outset" w:color="auto" w:sz="6" w:space="0"/>
              <w:left w:val="outset" w:color="auto" w:sz="6" w:space="0"/>
              <w:bottom w:val="outset" w:color="auto" w:sz="6" w:space="0"/>
              <w:right w:val="outset" w:color="auto" w:sz="6" w:space="0"/>
            </w:tcBorders>
            <w:shd w:val="clear" w:color="auto" w:fill="auto"/>
            <w:vAlign w:val="center"/>
          </w:tcPr>
          <w:p w14:paraId="5F757F63">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12</w:t>
            </w:r>
          </w:p>
        </w:tc>
        <w:tc>
          <w:tcPr>
            <w:tcW w:w="3885" w:type="pct"/>
            <w:tcBorders>
              <w:top w:val="outset" w:color="auto" w:sz="6" w:space="0"/>
              <w:left w:val="outset" w:color="auto" w:sz="6" w:space="0"/>
              <w:bottom w:val="outset" w:color="auto" w:sz="6" w:space="0"/>
              <w:right w:val="outset" w:color="auto" w:sz="6" w:space="0"/>
            </w:tcBorders>
            <w:vAlign w:val="center"/>
          </w:tcPr>
          <w:p w14:paraId="330C8520">
            <w:pPr>
              <w:jc w:val="both"/>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评审标准</w:t>
            </w:r>
          </w:p>
          <w:p w14:paraId="0E2B906E">
            <w:pPr>
              <w:jc w:val="both"/>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1"/>
                <w:lang w:val="zh-CN" w:bidi="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具有ITSS信息技术服务咨询设计标准符合性证书的得2分；</w:t>
            </w:r>
          </w:p>
          <w:p w14:paraId="10C20887">
            <w:pPr>
              <w:jc w:val="both"/>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1"/>
                <w:lang w:val="zh-CN" w:bidi="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具有信息技术服务管理体系认证证书（认证方位至少包含其中1项：信息系统咨询或信息技术咨询）得2分；</w:t>
            </w:r>
          </w:p>
          <w:p w14:paraId="42AFEEF3">
            <w:pPr>
              <w:pStyle w:val="2"/>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1"/>
                <w:lang w:val="zh-CN" w:bidi="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IS0 27001信息安全管理体系认证证书(认证范围至少包括其中1项:信息技术咨询服务或通信工程咨询设计)得2分；</w:t>
            </w:r>
          </w:p>
          <w:p w14:paraId="25F24BA5">
            <w:pPr>
              <w:pStyle w:val="2"/>
              <w:jc w:val="both"/>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具有CABR全过程工程咨询服务认证一级证书得2分；</w:t>
            </w:r>
          </w:p>
          <w:p w14:paraId="737CE07E">
            <w:pPr>
              <w:jc w:val="both"/>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）具有软件能力成熟度集成模型（CMMI）5级证书得2分。</w:t>
            </w:r>
          </w:p>
          <w:p w14:paraId="02ED66FC">
            <w:pPr>
              <w:jc w:val="both"/>
              <w:textAlignment w:val="center"/>
            </w:pP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具有信息安全服务资质一级认证证书(信息系统安全集成服务资质)得2分；</w:t>
            </w:r>
          </w:p>
          <w:p w14:paraId="61406498">
            <w:pPr>
              <w:jc w:val="both"/>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本项最高得12分。请提供上述证书/证明文件复印件，加盖供应商公章，不符合要求或不提供不得分。</w:t>
            </w:r>
          </w:p>
        </w:tc>
      </w:tr>
      <w:tr w14:paraId="69257CC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cantSplit/>
          <w:jc w:val="center"/>
        </w:trPr>
        <w:tc>
          <w:tcPr>
            <w:tcW w:w="286" w:type="pct"/>
            <w:tcBorders>
              <w:top w:val="outset" w:color="auto" w:sz="6" w:space="0"/>
              <w:left w:val="outset" w:color="auto" w:sz="6" w:space="0"/>
              <w:bottom w:val="outset" w:color="auto" w:sz="6" w:space="0"/>
              <w:right w:val="outset" w:color="auto" w:sz="6" w:space="0"/>
            </w:tcBorders>
            <w:vAlign w:val="center"/>
          </w:tcPr>
          <w:p w14:paraId="0D06C0A7">
            <w:pPr>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557" w:type="pct"/>
            <w:tcBorders>
              <w:top w:val="outset" w:color="auto" w:sz="6" w:space="0"/>
              <w:left w:val="outset" w:color="auto" w:sz="6" w:space="0"/>
              <w:bottom w:val="outset" w:color="auto" w:sz="6" w:space="0"/>
              <w:right w:val="outset" w:color="auto" w:sz="6" w:space="0"/>
            </w:tcBorders>
            <w:vAlign w:val="center"/>
          </w:tcPr>
          <w:p w14:paraId="60DB26F0">
            <w:pPr>
              <w:spacing w:line="240" w:lineRule="auto"/>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项目经理能力情况（仅限一人）</w:t>
            </w:r>
          </w:p>
        </w:tc>
        <w:tc>
          <w:tcPr>
            <w:tcW w:w="271" w:type="pct"/>
            <w:tcBorders>
              <w:top w:val="outset" w:color="auto" w:sz="6" w:space="0"/>
              <w:left w:val="outset" w:color="auto" w:sz="6" w:space="0"/>
              <w:bottom w:val="outset" w:color="auto" w:sz="6" w:space="0"/>
              <w:right w:val="outset" w:color="auto" w:sz="6" w:space="0"/>
            </w:tcBorders>
            <w:vAlign w:val="center"/>
          </w:tcPr>
          <w:p w14:paraId="4085C755">
            <w:pPr>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3885" w:type="pct"/>
            <w:tcBorders>
              <w:top w:val="outset" w:color="auto" w:sz="6" w:space="0"/>
              <w:left w:val="outset" w:color="auto" w:sz="6" w:space="0"/>
              <w:bottom w:val="outset" w:color="auto" w:sz="6" w:space="0"/>
              <w:right w:val="outset" w:color="auto" w:sz="6" w:space="0"/>
            </w:tcBorders>
            <w:vAlign w:val="center"/>
          </w:tcPr>
          <w:p w14:paraId="2E3DB5FE">
            <w:pPr>
              <w:widowControl w:val="0"/>
              <w:jc w:val="both"/>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供应商拟安排项目经理1人，须具有研究生以上学历证书（含研究生学历），不满足要求本项不得分： </w:t>
            </w:r>
          </w:p>
          <w:p w14:paraId="25D28998">
            <w:pPr>
              <w:widowControl w:val="0"/>
              <w:jc w:val="both"/>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（1）具有信息系统项目管理师（高级）证书，得2分；</w:t>
            </w:r>
          </w:p>
          <w:p w14:paraId="7D91544C">
            <w:pPr>
              <w:widowControl w:val="0"/>
              <w:jc w:val="both"/>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（2）具有</w:t>
            </w:r>
            <w:r>
              <w:rPr>
                <w:rFonts w:hint="eastAsia" w:ascii="宋体" w:hAnsi="宋体" w:cs="宋体"/>
                <w:color w:val="000000" w:themeColor="text1"/>
                <w:kern w:val="1"/>
                <w:lang w:bidi="zh-CN"/>
                <w14:textFill>
                  <w14:solidFill>
                    <w14:schemeClr w14:val="tx1"/>
                  </w14:solidFill>
                </w14:textFill>
              </w:rPr>
              <w:t>数据安全工程师（高级）</w:t>
            </w:r>
            <w:r>
              <w:rPr>
                <w:rFonts w:hint="eastAsia" w:ascii="宋体" w:hAnsi="宋体" w:cs="宋体"/>
                <w:color w:val="000000" w:themeColor="text1"/>
                <w:kern w:val="0"/>
                <w:szCs w:val="21"/>
                <w:lang w:bidi="ar"/>
                <w14:textFill>
                  <w14:solidFill>
                    <w14:schemeClr w14:val="tx1"/>
                  </w14:solidFill>
                </w14:textFill>
              </w:rPr>
              <w:t>证书，得2分；</w:t>
            </w:r>
          </w:p>
          <w:p w14:paraId="3FA8C23C">
            <w:pPr>
              <w:widowControl w:val="0"/>
              <w:jc w:val="both"/>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备注：提供项目经理在供应商响应截止日期前近六个月内任意一月缴纳社保的证明文件（如新成立不足六个月的公司则提供成立至今的社保证明）和相关毕业证书、资格证书复印件，加盖供应商公章，不符合要求或不提供不得分。</w:t>
            </w:r>
          </w:p>
        </w:tc>
      </w:tr>
      <w:tr w14:paraId="2AFC873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cantSplit/>
          <w:jc w:val="center"/>
        </w:trPr>
        <w:tc>
          <w:tcPr>
            <w:tcW w:w="286" w:type="pct"/>
            <w:tcBorders>
              <w:top w:val="outset" w:color="auto" w:sz="6" w:space="0"/>
              <w:left w:val="outset" w:color="auto" w:sz="6" w:space="0"/>
              <w:bottom w:val="outset" w:color="auto" w:sz="6" w:space="0"/>
              <w:right w:val="outset" w:color="auto" w:sz="6" w:space="0"/>
            </w:tcBorders>
            <w:vAlign w:val="center"/>
          </w:tcPr>
          <w:p w14:paraId="17D9F0D5">
            <w:pPr>
              <w:spacing w:line="240" w:lineRule="auto"/>
              <w:jc w:val="both"/>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557" w:type="pct"/>
            <w:tcBorders>
              <w:top w:val="outset" w:color="auto" w:sz="6" w:space="0"/>
              <w:left w:val="outset" w:color="auto" w:sz="6" w:space="0"/>
              <w:bottom w:val="outset" w:color="auto" w:sz="6" w:space="0"/>
              <w:right w:val="outset" w:color="auto" w:sz="6" w:space="0"/>
            </w:tcBorders>
            <w:vAlign w:val="center"/>
          </w:tcPr>
          <w:p w14:paraId="23598378">
            <w:pPr>
              <w:pStyle w:val="55"/>
              <w:spacing w:before="6" w:line="312" w:lineRule="exact"/>
              <w:ind w:left="108" w:right="64"/>
              <w:jc w:val="both"/>
              <w:rPr>
                <w:color w:val="000000" w:themeColor="text1"/>
                <w:kern w:val="0"/>
                <w:szCs w:val="21"/>
                <w:lang w:bidi="ar"/>
                <w14:textFill>
                  <w14:solidFill>
                    <w14:schemeClr w14:val="tx1"/>
                  </w14:solidFill>
                </w14:textFill>
              </w:rPr>
            </w:pPr>
            <w:r>
              <w:rPr>
                <w:rFonts w:hint="eastAsia"/>
                <w:color w:val="000000" w:themeColor="text1"/>
                <w:kern w:val="1"/>
                <w14:textFill>
                  <w14:solidFill>
                    <w14:schemeClr w14:val="tx1"/>
                  </w14:solidFill>
                </w14:textFill>
              </w:rPr>
              <w:t>咨询总监（仅限一人）</w:t>
            </w:r>
          </w:p>
        </w:tc>
        <w:tc>
          <w:tcPr>
            <w:tcW w:w="271" w:type="pct"/>
            <w:tcBorders>
              <w:top w:val="outset" w:color="auto" w:sz="6" w:space="0"/>
              <w:left w:val="outset" w:color="auto" w:sz="6" w:space="0"/>
              <w:bottom w:val="outset" w:color="auto" w:sz="6" w:space="0"/>
              <w:right w:val="outset" w:color="auto" w:sz="6" w:space="0"/>
            </w:tcBorders>
            <w:vAlign w:val="center"/>
          </w:tcPr>
          <w:p w14:paraId="46426E88">
            <w:pPr>
              <w:pStyle w:val="55"/>
              <w:spacing w:before="6" w:line="312" w:lineRule="exact"/>
              <w:ind w:right="64"/>
              <w:jc w:val="center"/>
              <w:rPr>
                <w:color w:val="000000" w:themeColor="text1"/>
                <w:kern w:val="0"/>
                <w:sz w:val="22"/>
                <w:szCs w:val="22"/>
                <w:lang w:bidi="ar"/>
                <w14:textFill>
                  <w14:solidFill>
                    <w14:schemeClr w14:val="tx1"/>
                  </w14:solidFill>
                </w14:textFill>
              </w:rPr>
            </w:pPr>
            <w:r>
              <w:rPr>
                <w:rFonts w:hint="eastAsia"/>
                <w:color w:val="000000" w:themeColor="text1"/>
                <w:kern w:val="1"/>
                <w14:textFill>
                  <w14:solidFill>
                    <w14:schemeClr w14:val="tx1"/>
                  </w14:solidFill>
                </w14:textFill>
              </w:rPr>
              <w:t>8</w:t>
            </w:r>
          </w:p>
        </w:tc>
        <w:tc>
          <w:tcPr>
            <w:tcW w:w="3885" w:type="pct"/>
            <w:tcBorders>
              <w:top w:val="outset" w:color="auto" w:sz="6" w:space="0"/>
              <w:left w:val="outset" w:color="auto" w:sz="6" w:space="0"/>
              <w:bottom w:val="outset" w:color="auto" w:sz="6" w:space="0"/>
              <w:right w:val="outset" w:color="auto" w:sz="6" w:space="0"/>
            </w:tcBorders>
            <w:vAlign w:val="center"/>
          </w:tcPr>
          <w:p w14:paraId="4CF3D2DD">
            <w:pPr>
              <w:jc w:val="both"/>
              <w:rPr>
                <w:rFonts w:ascii="宋体" w:hAnsi="宋体" w:cs="宋体"/>
                <w:color w:val="000000" w:themeColor="text1"/>
                <w:kern w:val="1"/>
                <w:lang w:val="zh-CN" w:bidi="zh-CN"/>
                <w14:textFill>
                  <w14:solidFill>
                    <w14:schemeClr w14:val="tx1"/>
                  </w14:solidFill>
                </w14:textFill>
              </w:rPr>
            </w:pPr>
            <w:r>
              <w:rPr>
                <w:rFonts w:hint="eastAsia" w:ascii="宋体" w:hAnsi="宋体" w:cs="宋体"/>
                <w:color w:val="000000" w:themeColor="text1"/>
                <w:kern w:val="1"/>
                <w:lang w:val="zh-CN" w:bidi="zh-CN"/>
                <w14:textFill>
                  <w14:solidFill>
                    <w14:schemeClr w14:val="tx1"/>
                  </w14:solidFill>
                </w14:textFill>
              </w:rPr>
              <w:t>供应商拟安排</w:t>
            </w:r>
            <w:r>
              <w:rPr>
                <w:rFonts w:hint="eastAsia" w:ascii="宋体" w:hAnsi="宋体" w:cs="宋体"/>
                <w:color w:val="000000" w:themeColor="text1"/>
                <w:kern w:val="1"/>
                <w:lang w:bidi="zh-CN"/>
                <w14:textFill>
                  <w14:solidFill>
                    <w14:schemeClr w14:val="tx1"/>
                  </w14:solidFill>
                </w14:textFill>
              </w:rPr>
              <w:t>咨询总监</w:t>
            </w:r>
            <w:r>
              <w:rPr>
                <w:rFonts w:hint="eastAsia" w:ascii="宋体" w:hAnsi="宋体" w:cs="宋体"/>
                <w:color w:val="000000" w:themeColor="text1"/>
                <w:kern w:val="1"/>
                <w:lang w:val="zh-CN" w:bidi="zh-CN"/>
                <w14:textFill>
                  <w14:solidFill>
                    <w14:schemeClr w14:val="tx1"/>
                  </w14:solidFill>
                </w14:textFill>
              </w:rPr>
              <w:t>1人，须具有</w:t>
            </w:r>
            <w:r>
              <w:rPr>
                <w:rFonts w:hint="eastAsia" w:ascii="宋体" w:hAnsi="宋体" w:cs="宋体"/>
                <w:color w:val="000000" w:themeColor="text1"/>
                <w:kern w:val="1"/>
                <w:lang w:bidi="zh-CN"/>
                <w14:textFill>
                  <w14:solidFill>
                    <w14:schemeClr w14:val="tx1"/>
                  </w14:solidFill>
                </w14:textFill>
              </w:rPr>
              <w:t>研究生</w:t>
            </w:r>
            <w:r>
              <w:rPr>
                <w:rFonts w:hint="eastAsia" w:ascii="宋体" w:hAnsi="宋体" w:cs="宋体"/>
                <w:color w:val="000000" w:themeColor="text1"/>
                <w:kern w:val="1"/>
                <w:lang w:val="zh-CN" w:bidi="zh-CN"/>
                <w14:textFill>
                  <w14:solidFill>
                    <w14:schemeClr w14:val="tx1"/>
                  </w14:solidFill>
                </w14:textFill>
              </w:rPr>
              <w:t>以上学历证书（</w:t>
            </w:r>
            <w:r>
              <w:rPr>
                <w:rFonts w:hint="eastAsia" w:ascii="宋体" w:hAnsi="宋体" w:cs="宋体"/>
                <w:color w:val="000000" w:themeColor="text1"/>
                <w:kern w:val="1"/>
                <w:lang w:bidi="zh-CN"/>
                <w14:textFill>
                  <w14:solidFill>
                    <w14:schemeClr w14:val="tx1"/>
                  </w14:solidFill>
                </w14:textFill>
              </w:rPr>
              <w:t>含研究生学历</w:t>
            </w:r>
            <w:r>
              <w:rPr>
                <w:rFonts w:hint="eastAsia" w:ascii="宋体" w:hAnsi="宋体" w:cs="宋体"/>
                <w:color w:val="000000" w:themeColor="text1"/>
                <w:kern w:val="1"/>
                <w:lang w:val="zh-CN" w:bidi="zh-CN"/>
                <w14:textFill>
                  <w14:solidFill>
                    <w14:schemeClr w14:val="tx1"/>
                  </w14:solidFill>
                </w14:textFill>
              </w:rPr>
              <w:t xml:space="preserve">），不满足要求本项不得分： </w:t>
            </w:r>
          </w:p>
          <w:p w14:paraId="39EFA44D">
            <w:pPr>
              <w:jc w:val="both"/>
              <w:rPr>
                <w:rFonts w:ascii="宋体" w:hAnsi="宋体" w:cs="宋体"/>
                <w:color w:val="000000" w:themeColor="text1"/>
                <w:kern w:val="1"/>
                <w:lang w:val="zh-CN" w:bidi="zh-CN"/>
                <w14:textFill>
                  <w14:solidFill>
                    <w14:schemeClr w14:val="tx1"/>
                  </w14:solidFill>
                </w14:textFill>
              </w:rPr>
            </w:pPr>
            <w:r>
              <w:rPr>
                <w:rFonts w:hint="eastAsia" w:ascii="宋体" w:hAnsi="宋体" w:cs="宋体"/>
                <w:color w:val="000000" w:themeColor="text1"/>
                <w:kern w:val="1"/>
                <w:lang w:val="zh-CN" w:bidi="zh-CN"/>
                <w14:textFill>
                  <w14:solidFill>
                    <w14:schemeClr w14:val="tx1"/>
                  </w14:solidFill>
                </w14:textFill>
              </w:rPr>
              <w:t>（1）具有</w:t>
            </w:r>
            <w:r>
              <w:rPr>
                <w:rFonts w:hint="eastAsia" w:ascii="宋体" w:hAnsi="宋体" w:cs="宋体"/>
                <w:color w:val="000000" w:themeColor="text1"/>
                <w:kern w:val="1"/>
                <w:lang w:bidi="zh-CN"/>
                <w14:textFill>
                  <w14:solidFill>
                    <w14:schemeClr w14:val="tx1"/>
                  </w14:solidFill>
                </w14:textFill>
              </w:rPr>
              <w:t>信息系统项目管理师</w:t>
            </w:r>
            <w:r>
              <w:rPr>
                <w:rFonts w:hint="eastAsia" w:ascii="宋体" w:hAnsi="宋体" w:cs="宋体"/>
                <w:color w:val="000000" w:themeColor="text1"/>
                <w:kern w:val="1"/>
                <w:lang w:val="zh-CN" w:bidi="zh-CN"/>
                <w14:textFill>
                  <w14:solidFill>
                    <w14:schemeClr w14:val="tx1"/>
                  </w14:solidFill>
                </w14:textFill>
              </w:rPr>
              <w:t>（</w:t>
            </w:r>
            <w:r>
              <w:rPr>
                <w:rFonts w:hint="eastAsia" w:ascii="宋体" w:hAnsi="宋体" w:cs="宋体"/>
                <w:color w:val="000000" w:themeColor="text1"/>
                <w:kern w:val="1"/>
                <w:lang w:bidi="zh-CN"/>
                <w14:textFill>
                  <w14:solidFill>
                    <w14:schemeClr w14:val="tx1"/>
                  </w14:solidFill>
                </w14:textFill>
              </w:rPr>
              <w:t>高级</w:t>
            </w:r>
            <w:r>
              <w:rPr>
                <w:rFonts w:hint="eastAsia" w:ascii="宋体" w:hAnsi="宋体" w:cs="宋体"/>
                <w:color w:val="000000" w:themeColor="text1"/>
                <w:kern w:val="1"/>
                <w:lang w:val="zh-CN" w:bidi="zh-CN"/>
                <w14:textFill>
                  <w14:solidFill>
                    <w14:schemeClr w14:val="tx1"/>
                  </w14:solidFill>
                </w14:textFill>
              </w:rPr>
              <w:t>）</w:t>
            </w:r>
            <w:r>
              <w:rPr>
                <w:rFonts w:hint="eastAsia" w:ascii="宋体" w:hAnsi="宋体" w:cs="宋体"/>
                <w:color w:val="000000" w:themeColor="text1"/>
                <w:kern w:val="1"/>
                <w:lang w:bidi="zh-CN"/>
                <w14:textFill>
                  <w14:solidFill>
                    <w14:schemeClr w14:val="tx1"/>
                  </w14:solidFill>
                </w14:textFill>
              </w:rPr>
              <w:t>证书</w:t>
            </w:r>
            <w:r>
              <w:rPr>
                <w:rFonts w:hint="eastAsia" w:ascii="宋体" w:hAnsi="宋体" w:cs="宋体"/>
                <w:color w:val="000000" w:themeColor="text1"/>
                <w:kern w:val="1"/>
                <w:lang w:val="zh-CN" w:bidi="zh-CN"/>
                <w14:textFill>
                  <w14:solidFill>
                    <w14:schemeClr w14:val="tx1"/>
                  </w14:solidFill>
                </w14:textFill>
              </w:rPr>
              <w:t>，得</w:t>
            </w:r>
            <w:r>
              <w:rPr>
                <w:rFonts w:ascii="宋体" w:hAnsi="宋体" w:cs="宋体"/>
                <w:color w:val="000000" w:themeColor="text1"/>
                <w:kern w:val="1"/>
                <w:lang w:val="zh-CN" w:bidi="zh-CN"/>
                <w14:textFill>
                  <w14:solidFill>
                    <w14:schemeClr w14:val="tx1"/>
                  </w14:solidFill>
                </w14:textFill>
              </w:rPr>
              <w:t>2</w:t>
            </w:r>
            <w:r>
              <w:rPr>
                <w:rFonts w:hint="eastAsia" w:ascii="宋体" w:hAnsi="宋体" w:cs="宋体"/>
                <w:color w:val="000000" w:themeColor="text1"/>
                <w:kern w:val="1"/>
                <w:lang w:val="zh-CN" w:bidi="zh-CN"/>
                <w14:textFill>
                  <w14:solidFill>
                    <w14:schemeClr w14:val="tx1"/>
                  </w14:solidFill>
                </w14:textFill>
              </w:rPr>
              <w:t>分；</w:t>
            </w:r>
          </w:p>
          <w:p w14:paraId="72F25A64">
            <w:pPr>
              <w:jc w:val="both"/>
              <w:rPr>
                <w:rFonts w:ascii="宋体" w:hAnsi="宋体" w:cs="宋体"/>
                <w:color w:val="000000" w:themeColor="text1"/>
                <w:kern w:val="1"/>
                <w:lang w:val="zh-CN" w:bidi="zh-CN"/>
                <w14:textFill>
                  <w14:solidFill>
                    <w14:schemeClr w14:val="tx1"/>
                  </w14:solidFill>
                </w14:textFill>
              </w:rPr>
            </w:pPr>
            <w:r>
              <w:rPr>
                <w:rFonts w:hint="eastAsia" w:ascii="宋体" w:hAnsi="宋体" w:cs="宋体"/>
                <w:color w:val="000000" w:themeColor="text1"/>
                <w:kern w:val="1"/>
                <w:lang w:val="zh-CN" w:bidi="zh-CN"/>
                <w14:textFill>
                  <w14:solidFill>
                    <w14:schemeClr w14:val="tx1"/>
                  </w14:solidFill>
                </w14:textFill>
              </w:rPr>
              <w:t>（2）具有</w:t>
            </w:r>
            <w:r>
              <w:rPr>
                <w:rFonts w:hint="eastAsia" w:ascii="宋体" w:hAnsi="宋体" w:cs="宋体"/>
                <w:color w:val="000000" w:themeColor="text1"/>
                <w:kern w:val="1"/>
                <w:lang w:bidi="zh-CN"/>
                <w14:textFill>
                  <w14:solidFill>
                    <w14:schemeClr w14:val="tx1"/>
                  </w14:solidFill>
                </w14:textFill>
              </w:rPr>
              <w:t>系统架构设计师（高级）证书</w:t>
            </w:r>
            <w:r>
              <w:rPr>
                <w:rFonts w:hint="eastAsia" w:ascii="宋体" w:hAnsi="宋体" w:cs="宋体"/>
                <w:color w:val="000000" w:themeColor="text1"/>
                <w:kern w:val="1"/>
                <w:lang w:val="zh-CN" w:bidi="zh-CN"/>
                <w14:textFill>
                  <w14:solidFill>
                    <w14:schemeClr w14:val="tx1"/>
                  </w14:solidFill>
                </w14:textFill>
              </w:rPr>
              <w:t>，得</w:t>
            </w:r>
            <w:r>
              <w:rPr>
                <w:rFonts w:ascii="宋体" w:hAnsi="宋体" w:cs="宋体"/>
                <w:color w:val="000000" w:themeColor="text1"/>
                <w:kern w:val="1"/>
                <w:lang w:val="zh-CN" w:bidi="zh-CN"/>
                <w14:textFill>
                  <w14:solidFill>
                    <w14:schemeClr w14:val="tx1"/>
                  </w14:solidFill>
                </w14:textFill>
              </w:rPr>
              <w:t>2</w:t>
            </w:r>
            <w:r>
              <w:rPr>
                <w:rFonts w:hint="eastAsia" w:ascii="宋体" w:hAnsi="宋体" w:cs="宋体"/>
                <w:color w:val="000000" w:themeColor="text1"/>
                <w:kern w:val="1"/>
                <w:lang w:val="zh-CN" w:bidi="zh-CN"/>
                <w14:textFill>
                  <w14:solidFill>
                    <w14:schemeClr w14:val="tx1"/>
                  </w14:solidFill>
                </w14:textFill>
              </w:rPr>
              <w:t>分；</w:t>
            </w:r>
          </w:p>
          <w:p w14:paraId="1065FEC9">
            <w:pPr>
              <w:jc w:val="both"/>
              <w:rPr>
                <w:rFonts w:ascii="宋体" w:hAnsi="宋体" w:cs="宋体"/>
                <w:color w:val="000000" w:themeColor="text1"/>
                <w:kern w:val="1"/>
                <w:lang w:val="zh-CN" w:bidi="zh-CN"/>
                <w14:textFill>
                  <w14:solidFill>
                    <w14:schemeClr w14:val="tx1"/>
                  </w14:solidFill>
                </w14:textFill>
              </w:rPr>
            </w:pPr>
            <w:r>
              <w:rPr>
                <w:rFonts w:hint="eastAsia" w:ascii="宋体" w:hAnsi="宋体" w:cs="宋体"/>
                <w:color w:val="000000" w:themeColor="text1"/>
                <w:kern w:val="1"/>
                <w:lang w:val="zh-CN" w:bidi="zh-CN"/>
                <w14:textFill>
                  <w14:solidFill>
                    <w14:schemeClr w14:val="tx1"/>
                  </w14:solidFill>
                </w14:textFill>
              </w:rPr>
              <w:t>（3）具有</w:t>
            </w:r>
            <w:r>
              <w:rPr>
                <w:rFonts w:hint="eastAsia" w:ascii="宋体" w:hAnsi="宋体" w:cs="宋体"/>
                <w:color w:val="000000" w:themeColor="text1"/>
                <w:kern w:val="1"/>
                <w:lang w:bidi="zh-CN"/>
                <w14:textFill>
                  <w14:solidFill>
                    <w14:schemeClr w14:val="tx1"/>
                  </w14:solidFill>
                </w14:textFill>
              </w:rPr>
              <w:t>高级工程师证书</w:t>
            </w:r>
            <w:r>
              <w:rPr>
                <w:rFonts w:hint="eastAsia" w:ascii="宋体" w:hAnsi="宋体" w:cs="宋体"/>
                <w:color w:val="000000" w:themeColor="text1"/>
                <w:kern w:val="1"/>
                <w:lang w:val="zh-CN" w:bidi="zh-CN"/>
                <w14:textFill>
                  <w14:solidFill>
                    <w14:schemeClr w14:val="tx1"/>
                  </w14:solidFill>
                </w14:textFill>
              </w:rPr>
              <w:t>，得</w:t>
            </w:r>
            <w:r>
              <w:rPr>
                <w:rFonts w:ascii="宋体" w:hAnsi="宋体" w:cs="宋体"/>
                <w:color w:val="000000" w:themeColor="text1"/>
                <w:kern w:val="1"/>
                <w:lang w:val="zh-CN" w:bidi="zh-CN"/>
                <w14:textFill>
                  <w14:solidFill>
                    <w14:schemeClr w14:val="tx1"/>
                  </w14:solidFill>
                </w14:textFill>
              </w:rPr>
              <w:t>2</w:t>
            </w:r>
            <w:r>
              <w:rPr>
                <w:rFonts w:hint="eastAsia" w:ascii="宋体" w:hAnsi="宋体" w:cs="宋体"/>
                <w:color w:val="000000" w:themeColor="text1"/>
                <w:kern w:val="1"/>
                <w:lang w:val="zh-CN" w:bidi="zh-CN"/>
                <w14:textFill>
                  <w14:solidFill>
                    <w14:schemeClr w14:val="tx1"/>
                  </w14:solidFill>
                </w14:textFill>
              </w:rPr>
              <w:t>分；</w:t>
            </w:r>
          </w:p>
          <w:p w14:paraId="503CE8E3">
            <w:pPr>
              <w:jc w:val="both"/>
              <w:rPr>
                <w:rFonts w:ascii="宋体" w:hAnsi="宋体" w:cs="宋体"/>
                <w:color w:val="000000" w:themeColor="text1"/>
                <w:kern w:val="1"/>
                <w:lang w:bidi="zh-CN"/>
                <w14:textFill>
                  <w14:solidFill>
                    <w14:schemeClr w14:val="tx1"/>
                  </w14:solidFill>
                </w14:textFill>
              </w:rPr>
            </w:pPr>
            <w:r>
              <w:rPr>
                <w:rFonts w:hint="eastAsia" w:ascii="宋体" w:hAnsi="宋体" w:cs="宋体"/>
                <w:color w:val="000000" w:themeColor="text1"/>
                <w:kern w:val="1"/>
                <w:lang w:val="zh-CN" w:bidi="zh-CN"/>
                <w14:textFill>
                  <w14:solidFill>
                    <w14:schemeClr w14:val="tx1"/>
                  </w14:solidFill>
                </w14:textFill>
              </w:rPr>
              <w:t>（4）具有</w:t>
            </w:r>
            <w:r>
              <w:rPr>
                <w:rFonts w:hint="eastAsia" w:ascii="宋体" w:hAnsi="宋体" w:cs="宋体"/>
                <w:color w:val="000000" w:themeColor="text1"/>
                <w:kern w:val="1"/>
                <w:lang w:bidi="zh-CN"/>
                <w14:textFill>
                  <w14:solidFill>
                    <w14:schemeClr w14:val="tx1"/>
                  </w14:solidFill>
                </w14:textFill>
              </w:rPr>
              <w:t>IT服务项目经理证书</w:t>
            </w:r>
            <w:r>
              <w:rPr>
                <w:rFonts w:hint="eastAsia" w:ascii="宋体" w:hAnsi="宋体" w:cs="宋体"/>
                <w:color w:val="000000" w:themeColor="text1"/>
                <w:kern w:val="1"/>
                <w:lang w:val="zh-CN" w:bidi="zh-CN"/>
                <w14:textFill>
                  <w14:solidFill>
                    <w14:schemeClr w14:val="tx1"/>
                  </w14:solidFill>
                </w14:textFill>
              </w:rPr>
              <w:t>，得</w:t>
            </w:r>
            <w:r>
              <w:rPr>
                <w:rFonts w:ascii="宋体" w:hAnsi="宋体" w:cs="宋体"/>
                <w:color w:val="000000" w:themeColor="text1"/>
                <w:kern w:val="1"/>
                <w:lang w:val="zh-CN" w:bidi="zh-CN"/>
                <w14:textFill>
                  <w14:solidFill>
                    <w14:schemeClr w14:val="tx1"/>
                  </w14:solidFill>
                </w14:textFill>
              </w:rPr>
              <w:t>2</w:t>
            </w:r>
            <w:r>
              <w:rPr>
                <w:rFonts w:hint="eastAsia" w:ascii="宋体" w:hAnsi="宋体" w:cs="宋体"/>
                <w:color w:val="000000" w:themeColor="text1"/>
                <w:kern w:val="1"/>
                <w:lang w:val="zh-CN" w:bidi="zh-CN"/>
                <w14:textFill>
                  <w14:solidFill>
                    <w14:schemeClr w14:val="tx1"/>
                  </w14:solidFill>
                </w14:textFill>
              </w:rPr>
              <w:t>分</w:t>
            </w:r>
            <w:r>
              <w:rPr>
                <w:rFonts w:hint="eastAsia" w:ascii="宋体" w:hAnsi="宋体" w:cs="宋体"/>
                <w:color w:val="000000" w:themeColor="text1"/>
                <w:kern w:val="1"/>
                <w:lang w:bidi="zh-CN"/>
                <w14:textFill>
                  <w14:solidFill>
                    <w14:schemeClr w14:val="tx1"/>
                  </w14:solidFill>
                </w14:textFill>
              </w:rPr>
              <w:t>。</w:t>
            </w:r>
          </w:p>
          <w:p w14:paraId="2DD93D6E">
            <w:pPr>
              <w:jc w:val="both"/>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1"/>
                <w:lang w:val="zh-CN" w:bidi="zh-CN"/>
                <w14:textFill>
                  <w14:solidFill>
                    <w14:schemeClr w14:val="tx1"/>
                  </w14:solidFill>
                </w14:textFill>
              </w:rPr>
              <w:t>备注：提供项目经理在供应商响应截止日期前近六个月内任意一月缴纳社保的证明文件（如新成立不足六个月的公司则提供成立至今的社保证明）和相关毕业证书、资格证书复印件，加盖供应商公章，不符合要求或不提供不得分。</w:t>
            </w:r>
          </w:p>
        </w:tc>
      </w:tr>
      <w:tr w14:paraId="06E689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cantSplit/>
          <w:jc w:val="center"/>
        </w:trPr>
        <w:tc>
          <w:tcPr>
            <w:tcW w:w="286" w:type="pct"/>
            <w:tcBorders>
              <w:top w:val="outset" w:color="auto" w:sz="6" w:space="0"/>
              <w:left w:val="outset" w:color="auto" w:sz="6" w:space="0"/>
              <w:bottom w:val="outset" w:color="auto" w:sz="6" w:space="0"/>
              <w:right w:val="outset" w:color="auto" w:sz="6" w:space="0"/>
            </w:tcBorders>
            <w:vAlign w:val="center"/>
          </w:tcPr>
          <w:p w14:paraId="096575D8">
            <w:pPr>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557" w:type="pct"/>
            <w:tcBorders>
              <w:top w:val="outset" w:color="auto" w:sz="6" w:space="0"/>
              <w:left w:val="outset" w:color="auto" w:sz="6" w:space="0"/>
              <w:bottom w:val="outset" w:color="auto" w:sz="6" w:space="0"/>
              <w:right w:val="outset" w:color="auto" w:sz="6" w:space="0"/>
            </w:tcBorders>
            <w:vAlign w:val="center"/>
          </w:tcPr>
          <w:p w14:paraId="06D5DCCD">
            <w:pPr>
              <w:spacing w:line="240" w:lineRule="auto"/>
              <w:jc w:val="both"/>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项目团队的能力情况（项目经理除外）</w:t>
            </w:r>
          </w:p>
        </w:tc>
        <w:tc>
          <w:tcPr>
            <w:tcW w:w="271" w:type="pct"/>
            <w:tcBorders>
              <w:top w:val="outset" w:color="auto" w:sz="6" w:space="0"/>
              <w:left w:val="outset" w:color="auto" w:sz="6" w:space="0"/>
              <w:bottom w:val="outset" w:color="auto" w:sz="6" w:space="0"/>
              <w:right w:val="outset" w:color="auto" w:sz="6" w:space="0"/>
            </w:tcBorders>
            <w:vAlign w:val="center"/>
          </w:tcPr>
          <w:p w14:paraId="60BB04DC">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3885" w:type="pct"/>
            <w:tcBorders>
              <w:top w:val="outset" w:color="auto" w:sz="6" w:space="0"/>
              <w:left w:val="outset" w:color="auto" w:sz="6" w:space="0"/>
              <w:bottom w:val="outset" w:color="auto" w:sz="6" w:space="0"/>
              <w:right w:val="outset" w:color="auto" w:sz="6" w:space="0"/>
            </w:tcBorders>
          </w:tcPr>
          <w:p w14:paraId="5AA75F9D">
            <w:pPr>
              <w:jc w:val="both"/>
              <w:textAlignment w:val="top"/>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根据供应商拟派的项目组成员资质证书情况进行打分：</w:t>
            </w:r>
          </w:p>
          <w:p w14:paraId="0CB9C6AE">
            <w:pPr>
              <w:jc w:val="both"/>
              <w:textAlignment w:val="top"/>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（1）项目组成员具有全国计算机技术与软件专业技术资格（水平）考试的网络工程师（中级）证书，每人得1分，最多3分；</w:t>
            </w:r>
          </w:p>
          <w:p w14:paraId="61B7D1C7">
            <w:pPr>
              <w:jc w:val="both"/>
              <w:textAlignment w:val="top"/>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（2）项目组成员具有全国计算机技术与软件专业技术资格（水平）考试的系统架构设计师（高级）证书，每人得1分，最多得2分；</w:t>
            </w:r>
          </w:p>
          <w:p w14:paraId="75EB7C5E">
            <w:pPr>
              <w:jc w:val="both"/>
              <w:textAlignment w:val="top"/>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（3）项目组成员具有全国计算机技术与软件专业技术资格（水平）考试或广东省人事厅颁发的系统分析师（高级）证书，每人得1分，最多得2分；</w:t>
            </w:r>
          </w:p>
          <w:p w14:paraId="27F97F03">
            <w:pPr>
              <w:jc w:val="both"/>
              <w:textAlignment w:val="top"/>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（4）项目组成员具有注册信息安全专业人员CISP证书，每人得1分，最多得1分；</w:t>
            </w:r>
          </w:p>
          <w:p w14:paraId="5947D0F0">
            <w:pPr>
              <w:jc w:val="both"/>
              <w:textAlignment w:val="top"/>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提供项目组成员在供应商响应截止日期前近六个月内任意一月缴纳社保的证明文件（如新成立不足六个月的公司则提供成立至今的社保证明）和相关毕业证书、资格证书复印件，加盖供应商公章，不符合要求或不提供不得分。</w:t>
            </w:r>
          </w:p>
        </w:tc>
      </w:tr>
      <w:tr w14:paraId="2BE2944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cantSplit/>
          <w:jc w:val="center"/>
        </w:trPr>
        <w:tc>
          <w:tcPr>
            <w:tcW w:w="286" w:type="pct"/>
            <w:tcBorders>
              <w:top w:val="outset" w:color="auto" w:sz="6" w:space="0"/>
              <w:left w:val="outset" w:color="auto" w:sz="6" w:space="0"/>
              <w:bottom w:val="outset" w:color="auto" w:sz="6" w:space="0"/>
              <w:right w:val="outset" w:color="auto" w:sz="6" w:space="0"/>
            </w:tcBorders>
            <w:vAlign w:val="center"/>
          </w:tcPr>
          <w:p w14:paraId="4AB0CA38">
            <w:pPr>
              <w:jc w:val="both"/>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557" w:type="pct"/>
            <w:tcBorders>
              <w:top w:val="outset" w:color="auto" w:sz="6" w:space="0"/>
              <w:left w:val="outset" w:color="auto" w:sz="6" w:space="0"/>
              <w:bottom w:val="outset" w:color="auto" w:sz="6" w:space="0"/>
              <w:right w:val="outset" w:color="auto" w:sz="6" w:space="0"/>
            </w:tcBorders>
            <w:vAlign w:val="center"/>
          </w:tcPr>
          <w:p w14:paraId="562F01C4">
            <w:pPr>
              <w:spacing w:line="240" w:lineRule="auto"/>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同类项目经验</w:t>
            </w:r>
          </w:p>
        </w:tc>
        <w:tc>
          <w:tcPr>
            <w:tcW w:w="271" w:type="pct"/>
            <w:tcBorders>
              <w:top w:val="outset" w:color="auto" w:sz="6" w:space="0"/>
              <w:left w:val="outset" w:color="auto" w:sz="6" w:space="0"/>
              <w:bottom w:val="outset" w:color="auto" w:sz="6" w:space="0"/>
              <w:right w:val="outset" w:color="auto" w:sz="6" w:space="0"/>
            </w:tcBorders>
            <w:vAlign w:val="center"/>
          </w:tcPr>
          <w:p w14:paraId="05BAE54E">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13</w:t>
            </w:r>
          </w:p>
        </w:tc>
        <w:tc>
          <w:tcPr>
            <w:tcW w:w="3885" w:type="pct"/>
            <w:tcBorders>
              <w:top w:val="outset" w:color="auto" w:sz="6" w:space="0"/>
              <w:left w:val="outset" w:color="auto" w:sz="6" w:space="0"/>
              <w:bottom w:val="outset" w:color="auto" w:sz="6" w:space="0"/>
              <w:right w:val="outset" w:color="auto" w:sz="6" w:space="0"/>
            </w:tcBorders>
            <w:vAlign w:val="center"/>
          </w:tcPr>
          <w:p w14:paraId="40DDA7D7">
            <w:pPr>
              <w:jc w:val="both"/>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供应商2022年1月1日起至今（以合同签订日期为准）承接的政府/事业单位/企业类（含规划</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咨询</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设计）项目业绩：</w:t>
            </w:r>
          </w:p>
          <w:p w14:paraId="5E7F29E4">
            <w:pPr>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（1）项目合同金额</w:t>
            </w:r>
            <w:r>
              <w:rPr>
                <w:rFonts w:hint="eastAsia" w:ascii="宋体" w:hAnsi="宋体" w:cs="宋体"/>
                <w:color w:val="000000" w:themeColor="text1"/>
                <w:szCs w:val="21"/>
                <w:highlight w:val="none"/>
                <w:lang w:eastAsia="zh-CN"/>
                <w14:textFill>
                  <w14:solidFill>
                    <w14:schemeClr w14:val="tx1"/>
                  </w14:solidFill>
                </w14:textFill>
              </w:rPr>
              <w:t>5</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万元以上(含</w:t>
            </w:r>
            <w:r>
              <w:rPr>
                <w:rFonts w:hint="eastAsia" w:ascii="宋体" w:hAnsi="宋体" w:cs="宋体"/>
                <w:color w:val="000000" w:themeColor="text1"/>
                <w:szCs w:val="21"/>
                <w:highlight w:val="none"/>
                <w:lang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0万)的，每提供1份业绩得3分；</w:t>
            </w:r>
          </w:p>
          <w:p w14:paraId="48C44CB7">
            <w:pPr>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（2）项目合同金额</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万元</w:t>
            </w:r>
            <w:r>
              <w:rPr>
                <w:rFonts w:hint="eastAsia" w:ascii="宋体" w:hAnsi="宋体" w:cs="宋体"/>
                <w:color w:val="000000" w:themeColor="text1"/>
                <w:szCs w:val="21"/>
                <w:lang w:val="en-US" w:eastAsia="zh-CN"/>
                <w14:textFill>
                  <w14:solidFill>
                    <w14:schemeClr w14:val="tx1"/>
                  </w14:solidFill>
                </w14:textFill>
              </w:rPr>
              <w:t>至50万元</w:t>
            </w:r>
            <w:r>
              <w:rPr>
                <w:rFonts w:hint="eastAsia" w:ascii="宋体" w:hAnsi="宋体" w:cs="宋体"/>
                <w:color w:val="000000" w:themeColor="text1"/>
                <w:szCs w:val="21"/>
                <w14:textFill>
                  <w14:solidFill>
                    <w14:schemeClr w14:val="tx1"/>
                  </w14:solidFill>
                </w14:textFill>
              </w:rPr>
              <w:t>(含10万)的，每提供1份业绩得2分；</w:t>
            </w:r>
          </w:p>
          <w:p w14:paraId="08CF6B62">
            <w:pPr>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（3）项目合同金额</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0万元以下的，每提供1份业绩得1分。</w:t>
            </w:r>
          </w:p>
          <w:p w14:paraId="73357421">
            <w:pPr>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本项最多得13分。</w:t>
            </w:r>
          </w:p>
          <w:p w14:paraId="4ED1EB86">
            <w:pPr>
              <w:jc w:val="both"/>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备注：提供合同关键页复印件，加盖供应商公章，不符合要求或不提供不得分。 </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注：提供合同关键页（含签订合同双方的单位名称、项目名称、主要内容、项目金额与双方盖章、签订日期）复印件并加盖供应商公章，以上合同不重复计分。</w:t>
            </w:r>
          </w:p>
        </w:tc>
      </w:tr>
    </w:tbl>
    <w:p w14:paraId="57B42410">
      <w:pPr>
        <w:pStyle w:val="51"/>
        <w:numPr>
          <w:ilvl w:val="0"/>
          <w:numId w:val="19"/>
        </w:numPr>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采购文件要求提交的与评价指标体系相关的各类有效资料，供应商如未按要求提交的，该项评分为零分。</w:t>
      </w:r>
    </w:p>
    <w:p w14:paraId="08FCC4FB">
      <w:pPr>
        <w:pStyle w:val="51"/>
        <w:numPr>
          <w:ilvl w:val="0"/>
          <w:numId w:val="19"/>
        </w:numPr>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所有评审小组成员所评各项的得分进行算术平均（按四舍五入原则精确到小数点后两位），再汇总得出该供应商的商务评分（按四舍五入原则精确到小数点后两位）。</w:t>
      </w:r>
    </w:p>
    <w:p w14:paraId="6B02A348">
      <w:pPr>
        <w:pStyle w:val="51"/>
        <w:numPr>
          <w:ilvl w:val="0"/>
          <w:numId w:val="19"/>
        </w:numPr>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在签署合同前，采购人有权对评分项中要求备查的证明文件原件进行核对。若供应商无法提供原件，采购人可追究其提供虚假材料谋取成交的责任。</w:t>
      </w:r>
    </w:p>
    <w:p w14:paraId="39537ACF">
      <w:pPr>
        <w:pStyle w:val="51"/>
        <w:numPr>
          <w:ilvl w:val="0"/>
          <w:numId w:val="19"/>
        </w:numPr>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上表所列为供应商的商务条件。请供应商严格按照要求提交相关证明材料，否则有可能影响评审结果。</w:t>
      </w:r>
    </w:p>
    <w:p w14:paraId="722E69D8">
      <w:pPr>
        <w:pStyle w:val="51"/>
        <w:numPr>
          <w:ilvl w:val="0"/>
          <w:numId w:val="11"/>
        </w:numPr>
        <w:tabs>
          <w:tab w:val="clear" w:pos="360"/>
        </w:tabs>
        <w:ind w:left="0" w:firstLine="480" w:firstLineChars="200"/>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价格评分（10分）</w:t>
      </w:r>
    </w:p>
    <w:p w14:paraId="6E344381">
      <w:pPr>
        <w:pStyle w:val="51"/>
        <w:tabs>
          <w:tab w:val="clear" w:pos="360"/>
        </w:tabs>
        <w:ind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基准价格分：以有效供应商报价中价格</w:t>
      </w:r>
      <w:r>
        <w:rPr>
          <w:rFonts w:hAnsi="宋体" w:cs="宋体"/>
          <w:color w:val="000000" w:themeColor="text1"/>
          <w:sz w:val="24"/>
          <w14:textFill>
            <w14:solidFill>
              <w14:schemeClr w14:val="tx1"/>
            </w14:solidFill>
          </w14:textFill>
        </w:rPr>
        <w:t>（不含税）</w:t>
      </w:r>
      <w:r>
        <w:rPr>
          <w:rFonts w:hint="eastAsia" w:hAnsi="宋体" w:cs="宋体"/>
          <w:color w:val="000000" w:themeColor="text1"/>
          <w:sz w:val="24"/>
          <w14:textFill>
            <w14:solidFill>
              <w14:schemeClr w14:val="tx1"/>
            </w14:solidFill>
          </w14:textFill>
        </w:rPr>
        <w:t>最低且不为0的投标报价为基准价，定其基准价格分为10分。</w:t>
      </w:r>
    </w:p>
    <w:p w14:paraId="6432FD98">
      <w:pPr>
        <w:pStyle w:val="51"/>
        <w:tabs>
          <w:tab w:val="clear" w:pos="360"/>
        </w:tabs>
        <w:ind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投标价格得分＝（评标基准价/投标报价）×价格分值【注：满足采购文件要求且投标价格最低的投标报价为评标基准价</w:t>
      </w:r>
      <w:r>
        <w:rPr>
          <w:rFonts w:hAnsi="宋体" w:cs="宋体"/>
          <w:color w:val="000000" w:themeColor="text1"/>
          <w:sz w:val="24"/>
          <w14:textFill>
            <w14:solidFill>
              <w14:schemeClr w14:val="tx1"/>
            </w14:solidFill>
          </w14:textFill>
        </w:rPr>
        <w:t>，价格均为不含税价格</w:t>
      </w:r>
      <w:r>
        <w:rPr>
          <w:rFonts w:hint="eastAsia" w:hAnsi="宋体" w:cs="宋体"/>
          <w:color w:val="000000" w:themeColor="text1"/>
          <w:sz w:val="24"/>
          <w14:textFill>
            <w14:solidFill>
              <w14:schemeClr w14:val="tx1"/>
            </w14:solidFill>
          </w14:textFill>
        </w:rPr>
        <w:t>】（最低得分为0，精确到小数点后两位）。由此算出每位供应商的“价格得分”</w:t>
      </w:r>
    </w:p>
    <w:p w14:paraId="01C80C77">
      <w:pPr>
        <w:pStyle w:val="51"/>
        <w:numPr>
          <w:ilvl w:val="0"/>
          <w:numId w:val="11"/>
        </w:numPr>
        <w:tabs>
          <w:tab w:val="clear" w:pos="360"/>
        </w:tabs>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综合评分的计算和成交单位推荐</w:t>
      </w:r>
    </w:p>
    <w:p w14:paraId="6D16ED42">
      <w:pPr>
        <w:ind w:firstLine="420" w:firstLineChars="175"/>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1.综合评分=技术评分+商务评分＋价格评分</w:t>
      </w:r>
    </w:p>
    <w:p w14:paraId="242F59E9">
      <w:pPr>
        <w:pStyle w:val="53"/>
        <w:tabs>
          <w:tab w:val="clear" w:pos="360"/>
        </w:tabs>
        <w:ind w:firstLine="420" w:firstLineChars="175"/>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按照供应商综合得分自高至低推荐候选人，综合得分相同的，按价格评分由高到低顺序排列。综合得分和价格评分均相同的，按技术评分得分由高到低顺序排列。综合评分相同，且价格评分、技术评分均相同的名次由评审小组抽签决定。</w:t>
      </w:r>
    </w:p>
    <w:p w14:paraId="2827E30A">
      <w:pPr>
        <w:pStyle w:val="51"/>
        <w:numPr>
          <w:ilvl w:val="0"/>
          <w:numId w:val="11"/>
        </w:numPr>
        <w:tabs>
          <w:tab w:val="clear" w:pos="360"/>
        </w:tabs>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成交候选人推荐</w:t>
      </w:r>
    </w:p>
    <w:p w14:paraId="5B1CC9AB">
      <w:pPr>
        <w:ind w:firstLine="420" w:firstLineChars="175"/>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按上述综合评分排序，向采购人推荐第一名为第一成交候选人，第二名为第二成交候选人。第一成交候选人不得随意放弃成交资格。第一候选人放弃资格的，由采购人决定第二成交候选人递补或重新采购。第二候选人放弃资格的，由采购人重新采购。</w:t>
      </w:r>
    </w:p>
    <w:p w14:paraId="41E5F9FD">
      <w:pPr>
        <w:numPr>
          <w:ilvl w:val="0"/>
          <w:numId w:val="20"/>
        </w:numPr>
        <w:ind w:firstLine="420" w:firstLineChars="175"/>
        <w:jc w:val="both"/>
        <w:rPr>
          <w:rFonts w:ascii="宋体"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到提交响应文件截止时间止，如提交响应文件的供应商数量不足3家或通过资格和符合性审查的供应商不足3家时，</w:t>
      </w:r>
      <w:bookmarkEnd w:id="24"/>
      <w:bookmarkEnd w:id="52"/>
      <w:bookmarkEnd w:id="53"/>
      <w:bookmarkStart w:id="63" w:name="_Hlk47596351"/>
      <w:bookmarkStart w:id="64" w:name="_Toc45532494"/>
      <w:r>
        <w:rPr>
          <w:rFonts w:hint="eastAsia" w:ascii="宋体" w:hAnsi="宋体" w:cs="宋体"/>
          <w:color w:val="000000" w:themeColor="text1"/>
          <w:kern w:val="0"/>
          <w:sz w:val="24"/>
          <w:shd w:val="clear" w:color="auto" w:fill="FFFFFF"/>
          <w14:textFill>
            <w14:solidFill>
              <w14:schemeClr w14:val="tx1"/>
            </w14:solidFill>
          </w14:textFill>
        </w:rPr>
        <w:t>则采购失败。</w:t>
      </w:r>
    </w:p>
    <w:p w14:paraId="453F852E">
      <w:pPr>
        <w:pStyle w:val="51"/>
        <w:numPr>
          <w:ilvl w:val="0"/>
          <w:numId w:val="8"/>
        </w:numPr>
        <w:tabs>
          <w:tab w:val="clear" w:pos="360"/>
        </w:tabs>
        <w:ind w:firstLine="482" w:firstLineChars="0"/>
        <w:jc w:val="both"/>
        <w:outlineLvl w:val="2"/>
        <w:rPr>
          <w:rFonts w:hint="eastAsia" w:hAnsi="Courier New" w:cs="Times New Roman"/>
          <w:color w:val="000000" w:themeColor="text1"/>
          <w:sz w:val="24"/>
          <w14:textFill>
            <w14:solidFill>
              <w14:schemeClr w14:val="tx1"/>
            </w14:solidFill>
          </w14:textFill>
        </w:rPr>
      </w:pPr>
      <w:r>
        <w:rPr>
          <w:rFonts w:hint="eastAsia" w:hAnsi="Courier New" w:cs="Times New Roman"/>
          <w:color w:val="000000" w:themeColor="text1"/>
          <w:sz w:val="24"/>
          <w14:textFill>
            <w14:solidFill>
              <w14:schemeClr w14:val="tx1"/>
            </w14:solidFill>
          </w14:textFill>
        </w:rPr>
        <w:t>凡发现成交供应商有下列行为之一的，将移交有关部门依法处理。</w:t>
      </w:r>
    </w:p>
    <w:p w14:paraId="7F256F2F">
      <w:pPr>
        <w:pStyle w:val="51"/>
        <w:numPr>
          <w:ilvl w:val="0"/>
          <w:numId w:val="21"/>
        </w:numPr>
        <w:tabs>
          <w:tab w:val="clear" w:pos="360"/>
        </w:tabs>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提供虚假材料谋取成交的；</w:t>
      </w:r>
    </w:p>
    <w:p w14:paraId="3E5A46D7">
      <w:pPr>
        <w:pStyle w:val="51"/>
        <w:numPr>
          <w:ilvl w:val="0"/>
          <w:numId w:val="21"/>
        </w:numPr>
        <w:tabs>
          <w:tab w:val="clear" w:pos="360"/>
        </w:tabs>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采取不正当手段诋毁、排挤其他供应商的；</w:t>
      </w:r>
    </w:p>
    <w:p w14:paraId="17044F79">
      <w:pPr>
        <w:pStyle w:val="51"/>
        <w:numPr>
          <w:ilvl w:val="0"/>
          <w:numId w:val="21"/>
        </w:numPr>
        <w:tabs>
          <w:tab w:val="clear" w:pos="360"/>
        </w:tabs>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与采购人、其他供应商工作人员恶意串通的；</w:t>
      </w:r>
    </w:p>
    <w:p w14:paraId="689087C2">
      <w:pPr>
        <w:pStyle w:val="51"/>
        <w:numPr>
          <w:ilvl w:val="0"/>
          <w:numId w:val="21"/>
        </w:numPr>
        <w:tabs>
          <w:tab w:val="clear" w:pos="360"/>
        </w:tabs>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向采购人工作人员行贿或者提供其他不正当利益的；</w:t>
      </w:r>
    </w:p>
    <w:p w14:paraId="44AAF646">
      <w:pPr>
        <w:pStyle w:val="51"/>
        <w:numPr>
          <w:ilvl w:val="0"/>
          <w:numId w:val="21"/>
        </w:numPr>
        <w:tabs>
          <w:tab w:val="clear" w:pos="360"/>
        </w:tabs>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在比选采购过程中与采购人进行协商谈判的；</w:t>
      </w:r>
    </w:p>
    <w:p w14:paraId="14604842">
      <w:pPr>
        <w:pStyle w:val="51"/>
        <w:numPr>
          <w:ilvl w:val="0"/>
          <w:numId w:val="21"/>
        </w:numPr>
        <w:tabs>
          <w:tab w:val="clear" w:pos="360"/>
        </w:tabs>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拒绝有关部门监督检查或者提供虚假情况的；</w:t>
      </w:r>
    </w:p>
    <w:p w14:paraId="58832E5D">
      <w:pPr>
        <w:pStyle w:val="51"/>
        <w:numPr>
          <w:ilvl w:val="0"/>
          <w:numId w:val="21"/>
        </w:numPr>
        <w:tabs>
          <w:tab w:val="clear" w:pos="360"/>
        </w:tabs>
        <w:ind w:left="0"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有法律、法规规定的其他损害采购人利益和社会公共利益情形的。</w:t>
      </w:r>
    </w:p>
    <w:p w14:paraId="6EF13D67">
      <w:pPr>
        <w:pStyle w:val="51"/>
        <w:numPr>
          <w:ilvl w:val="0"/>
          <w:numId w:val="8"/>
        </w:numPr>
        <w:tabs>
          <w:tab w:val="clear" w:pos="360"/>
        </w:tabs>
        <w:ind w:firstLine="482" w:firstLineChars="0"/>
        <w:jc w:val="both"/>
        <w:outlineLvl w:val="2"/>
        <w:rPr>
          <w:rFonts w:hint="eastAsia" w:hAnsi="Courier New" w:cs="Times New Roman"/>
          <w:color w:val="000000" w:themeColor="text1"/>
          <w:sz w:val="24"/>
          <w14:textFill>
            <w14:solidFill>
              <w14:schemeClr w14:val="tx1"/>
            </w14:solidFill>
          </w14:textFill>
        </w:rPr>
      </w:pPr>
      <w:r>
        <w:rPr>
          <w:rFonts w:hint="eastAsia" w:hAnsi="Courier New" w:cs="Times New Roman"/>
          <w:color w:val="000000" w:themeColor="text1"/>
          <w:sz w:val="24"/>
          <w14:textFill>
            <w14:solidFill>
              <w14:schemeClr w14:val="tx1"/>
            </w14:solidFill>
          </w14:textFill>
        </w:rPr>
        <w:t>结果公告、成交供应商确定</w:t>
      </w:r>
    </w:p>
    <w:p w14:paraId="45888582">
      <w:pPr>
        <w:pStyle w:val="51"/>
        <w:tabs>
          <w:tab w:val="clear" w:pos="360"/>
        </w:tabs>
        <w:ind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（一）采购结果确认后，将进行公告。不在成交名单之列者即为落选人，采购人不再以其它方式另行通知。</w:t>
      </w:r>
    </w:p>
    <w:p w14:paraId="43993B25">
      <w:pPr>
        <w:pStyle w:val="51"/>
        <w:tabs>
          <w:tab w:val="clear" w:pos="360"/>
        </w:tabs>
        <w:ind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（三）成交供应商放弃成交的，应当依法承担相应的法律责任。由采购人根据内部相关规定审议确定重新采购或按推荐成交候选人顺序递补成交。</w:t>
      </w:r>
    </w:p>
    <w:p w14:paraId="6D3647CA">
      <w:pPr>
        <w:pStyle w:val="51"/>
        <w:numPr>
          <w:ilvl w:val="0"/>
          <w:numId w:val="8"/>
        </w:numPr>
        <w:tabs>
          <w:tab w:val="clear" w:pos="360"/>
        </w:tabs>
        <w:ind w:firstLine="482" w:firstLineChars="0"/>
        <w:jc w:val="both"/>
        <w:outlineLvl w:val="2"/>
        <w:rPr>
          <w:rFonts w:hint="eastAsia" w:hAnsi="Courier New" w:cs="Times New Roman"/>
          <w:color w:val="000000" w:themeColor="text1"/>
          <w:sz w:val="24"/>
          <w14:textFill>
            <w14:solidFill>
              <w14:schemeClr w14:val="tx1"/>
            </w14:solidFill>
          </w14:textFill>
        </w:rPr>
      </w:pPr>
      <w:bookmarkStart w:id="65" w:name="_Toc45532493"/>
      <w:bookmarkStart w:id="66" w:name="_Toc24117392"/>
      <w:r>
        <w:rPr>
          <w:rFonts w:hint="eastAsia" w:hAnsi="Courier New" w:cs="Times New Roman"/>
          <w:color w:val="000000" w:themeColor="text1"/>
          <w:sz w:val="24"/>
          <w14:textFill>
            <w14:solidFill>
              <w14:schemeClr w14:val="tx1"/>
            </w14:solidFill>
          </w14:textFill>
        </w:rPr>
        <w:t>签约</w:t>
      </w:r>
      <w:bookmarkEnd w:id="65"/>
      <w:bookmarkEnd w:id="66"/>
    </w:p>
    <w:p w14:paraId="1B34B03F">
      <w:pPr>
        <w:pStyle w:val="51"/>
        <w:tabs>
          <w:tab w:val="clear" w:pos="360"/>
        </w:tabs>
        <w:ind w:firstLine="420" w:firstLineChars="175"/>
        <w:jc w:val="both"/>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采购人应当自《成交通知书》发出之日起三十日内，按照采购须知和成交供应商响应文件的约定，与成交供应商签订书面合同。所签订的合同不得对采购须知和成交供应商响应文件作实质性修改。合同生效日期按采购人需求为准。</w:t>
      </w:r>
    </w:p>
    <w:p w14:paraId="330EF755">
      <w:pPr>
        <w:pStyle w:val="51"/>
        <w:tabs>
          <w:tab w:val="clear" w:pos="360"/>
        </w:tabs>
        <w:ind w:firstLine="420" w:firstLineChars="175"/>
        <w:jc w:val="both"/>
        <w:rPr>
          <w:rFonts w:hAnsi="宋体" w:cs="宋体"/>
          <w:color w:val="000000" w:themeColor="text1"/>
          <w:sz w:val="24"/>
          <w14:textFill>
            <w14:solidFill>
              <w14:schemeClr w14:val="tx1"/>
            </w14:solidFill>
          </w14:textFill>
        </w:rPr>
        <w:sectPr>
          <w:headerReference r:id="rId13" w:type="default"/>
          <w:footerReference r:id="rId14" w:type="default"/>
          <w:pgSz w:w="11906" w:h="16838"/>
          <w:pgMar w:top="1440" w:right="1080" w:bottom="1440" w:left="1080" w:header="709" w:footer="709" w:gutter="0"/>
          <w:cols w:space="0" w:num="1"/>
          <w:docGrid w:type="lines" w:linePitch="312" w:charSpace="0"/>
        </w:sectPr>
      </w:pPr>
      <w:r>
        <w:rPr>
          <w:rFonts w:hint="eastAsia" w:hAnsi="宋体" w:cs="宋体"/>
          <w:color w:val="000000" w:themeColor="text1"/>
          <w:sz w:val="24"/>
          <w14:textFill>
            <w14:solidFill>
              <w14:schemeClr w14:val="tx1"/>
            </w14:solidFill>
          </w14:textFill>
        </w:rPr>
        <w:t>（二）采购人不得向成交供应商提出任何不合理的要求，作为签订合同的条件，不得与成交供应商私下订立背离合同实质性内容的协议。</w:t>
      </w:r>
    </w:p>
    <w:bookmarkEnd w:id="63"/>
    <w:bookmarkEnd w:id="64"/>
    <w:p w14:paraId="6830DB72">
      <w:pPr>
        <w:pStyle w:val="3"/>
        <w:spacing w:before="0" w:after="0" w:line="360" w:lineRule="auto"/>
        <w:ind w:firstLine="254"/>
        <w:jc w:val="center"/>
        <w:rPr>
          <w:color w:val="000000" w:themeColor="text1"/>
          <w:sz w:val="30"/>
          <w:szCs w:val="30"/>
          <w14:textFill>
            <w14:solidFill>
              <w14:schemeClr w14:val="tx1"/>
            </w14:solidFill>
          </w14:textFill>
        </w:rPr>
      </w:pPr>
      <w:bookmarkStart w:id="67" w:name="_Toc157590369"/>
      <w:bookmarkStart w:id="68" w:name="_Toc3086"/>
      <w:bookmarkStart w:id="69" w:name="_Toc15342"/>
      <w:bookmarkStart w:id="70" w:name="_Toc42394676"/>
      <w:bookmarkStart w:id="71" w:name="_Toc101951272"/>
      <w:bookmarkStart w:id="72" w:name="_Toc41723940"/>
      <w:bookmarkStart w:id="73" w:name="_Toc98579013"/>
      <w:bookmarkStart w:id="74" w:name="_Toc41884710"/>
      <w:bookmarkStart w:id="75" w:name="_Toc50276168"/>
      <w:bookmarkStart w:id="76" w:name="_Toc38947810"/>
      <w:bookmarkStart w:id="77" w:name="_Toc50276167"/>
      <w:bookmarkStart w:id="78" w:name="_Toc101775134"/>
      <w:bookmarkStart w:id="79" w:name="_Toc42313176"/>
      <w:bookmarkStart w:id="80" w:name="_Toc41884709"/>
      <w:bookmarkStart w:id="81" w:name="_Toc42394520"/>
      <w:bookmarkStart w:id="82" w:name="_Hlk61257185"/>
      <w:bookmarkStart w:id="83" w:name="_Toc8550"/>
      <w:bookmarkStart w:id="84" w:name="_Toc101843134"/>
      <w:bookmarkStart w:id="85" w:name="_Toc42313175"/>
      <w:bookmarkStart w:id="86" w:name="_Toc101771381"/>
      <w:bookmarkStart w:id="87" w:name="_Toc175106977"/>
      <w:bookmarkStart w:id="88" w:name="_Hlk126683217"/>
      <w:bookmarkStart w:id="89" w:name="_Toc41723939"/>
      <w:bookmarkStart w:id="90" w:name="_Toc40762377"/>
      <w:bookmarkStart w:id="91" w:name="_Toc42394675"/>
      <w:bookmarkStart w:id="92" w:name="_Toc98580295"/>
      <w:bookmarkStart w:id="93" w:name="_Toc38947809"/>
      <w:bookmarkStart w:id="94" w:name="_Toc98579612"/>
      <w:bookmarkStart w:id="95" w:name="_Toc42394519"/>
      <w:bookmarkStart w:id="96" w:name="_Toc98579071"/>
      <w:bookmarkStart w:id="97" w:name="_Toc175644396"/>
      <w:bookmarkStart w:id="98" w:name="_Toc7309"/>
      <w:bookmarkStart w:id="99" w:name="_Toc40762378"/>
      <w:r>
        <w:rPr>
          <w:rFonts w:hint="eastAsia"/>
          <w:color w:val="000000" w:themeColor="text1"/>
          <w:sz w:val="30"/>
          <w:szCs w:val="30"/>
          <w14:textFill>
            <w14:solidFill>
              <w14:schemeClr w14:val="tx1"/>
            </w14:solidFill>
          </w14:textFill>
        </w:rPr>
        <w:t>第五章</w:t>
      </w:r>
      <w:bookmarkStart w:id="100" w:name="_Toc41884708"/>
      <w:bookmarkStart w:id="101" w:name="_Toc38947808"/>
      <w:bookmarkStart w:id="102" w:name="_Toc41723938"/>
      <w:bookmarkStart w:id="103" w:name="_Toc40762376"/>
      <w:bookmarkStart w:id="104" w:name="_Toc42313174"/>
      <w:r>
        <w:rPr>
          <w:rFonts w:hint="eastAsia"/>
          <w:color w:val="000000" w:themeColor="text1"/>
          <w:sz w:val="30"/>
          <w:szCs w:val="30"/>
          <w14:textFill>
            <w14:solidFill>
              <w14:schemeClr w14:val="tx1"/>
            </w14:solidFill>
          </w14:textFill>
        </w:rPr>
        <w:t>响应文件格式</w:t>
      </w:r>
      <w:bookmarkEnd w:id="67"/>
      <w:bookmarkEnd w:id="68"/>
      <w:bookmarkEnd w:id="69"/>
      <w:bookmarkEnd w:id="100"/>
      <w:bookmarkEnd w:id="101"/>
      <w:bookmarkEnd w:id="102"/>
      <w:bookmarkEnd w:id="103"/>
      <w:bookmarkEnd w:id="104"/>
      <w:bookmarkStart w:id="105" w:name="_Toc24117394"/>
    </w:p>
    <w:p w14:paraId="355E5592">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响应文件包括但不限于以下组成内容，请按顺序制作，本章有提供格式文件的请按格式要求提交。</w:t>
      </w:r>
    </w:p>
    <w:bookmarkEnd w:id="105"/>
    <w:p w14:paraId="63C445BB">
      <w:pPr>
        <w:pStyle w:val="51"/>
        <w:ind w:firstLine="420"/>
        <w:jc w:val="center"/>
        <w:rPr>
          <w:color w:val="000000" w:themeColor="text1"/>
          <w14:textFill>
            <w14:solidFill>
              <w14:schemeClr w14:val="tx1"/>
            </w14:solidFill>
          </w14:textFill>
        </w:rPr>
      </w:pPr>
    </w:p>
    <w:p w14:paraId="3C09BBC3">
      <w:pPr>
        <w:pStyle w:val="51"/>
        <w:ind w:firstLine="420"/>
        <w:jc w:val="center"/>
        <w:rPr>
          <w:color w:val="000000" w:themeColor="text1"/>
          <w14:textFill>
            <w14:solidFill>
              <w14:schemeClr w14:val="tx1"/>
            </w14:solidFill>
          </w14:textFill>
        </w:rPr>
      </w:pPr>
    </w:p>
    <w:p w14:paraId="7CEF6ED9">
      <w:pPr>
        <w:ind w:firstLine="562"/>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封面</w:t>
      </w:r>
    </w:p>
    <w:p w14:paraId="316F370E">
      <w:pPr>
        <w:pStyle w:val="25"/>
        <w:spacing w:before="0" w:beforeAutospacing="0" w:after="0" w:afterAutospacing="0"/>
        <w:ind w:firstLine="4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57222599">
      <w:pPr>
        <w:pStyle w:val="25"/>
        <w:spacing w:before="0" w:beforeAutospacing="0" w:after="0" w:afterAutospacing="0"/>
        <w:ind w:firstLine="640"/>
        <w:jc w:val="center"/>
        <w:rPr>
          <w:color w:val="000000" w:themeColor="text1"/>
          <w:sz w:val="20"/>
          <w:szCs w:val="20"/>
          <w14:textFill>
            <w14:solidFill>
              <w14:schemeClr w14:val="tx1"/>
            </w14:solidFill>
          </w14:textFill>
        </w:rPr>
      </w:pPr>
      <w:r>
        <w:rPr>
          <w:rFonts w:hint="eastAsia"/>
          <w:color w:val="000000" w:themeColor="text1"/>
          <w:sz w:val="32"/>
          <w:szCs w:val="32"/>
          <w14:textFill>
            <w14:solidFill>
              <w14:schemeClr w14:val="tx1"/>
            </w14:solidFill>
          </w14:textFill>
        </w:rPr>
        <w:t>___________________________________________项目</w:t>
      </w:r>
    </w:p>
    <w:p w14:paraId="1AED044E">
      <w:pPr>
        <w:pStyle w:val="25"/>
        <w:spacing w:before="0" w:beforeAutospacing="0" w:after="0" w:afterAutospacing="0"/>
        <w:ind w:firstLine="4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4FB95AD3">
      <w:pPr>
        <w:pStyle w:val="25"/>
        <w:spacing w:before="0" w:beforeAutospacing="0" w:after="0" w:afterAutospacing="0"/>
        <w:ind w:firstLine="4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26B1536F">
      <w:pPr>
        <w:pStyle w:val="25"/>
        <w:spacing w:before="0" w:beforeAutospacing="0" w:after="0" w:afterAutospacing="0"/>
        <w:ind w:firstLine="883"/>
        <w:jc w:val="center"/>
        <w:rPr>
          <w:color w:val="000000" w:themeColor="text1"/>
          <w:sz w:val="20"/>
          <w:szCs w:val="20"/>
          <w14:textFill>
            <w14:solidFill>
              <w14:schemeClr w14:val="tx1"/>
            </w14:solidFill>
          </w14:textFill>
        </w:rPr>
      </w:pPr>
      <w:r>
        <w:rPr>
          <w:rFonts w:hint="eastAsia"/>
          <w:b/>
          <w:color w:val="000000" w:themeColor="text1"/>
          <w:sz w:val="44"/>
          <w:szCs w:val="44"/>
          <w14:textFill>
            <w14:solidFill>
              <w14:schemeClr w14:val="tx1"/>
            </w14:solidFill>
          </w14:textFill>
        </w:rPr>
        <w:t>响应文件</w:t>
      </w:r>
    </w:p>
    <w:p w14:paraId="5FD55165">
      <w:pPr>
        <w:pStyle w:val="25"/>
        <w:spacing w:before="0" w:beforeAutospacing="0" w:after="0" w:afterAutospacing="0"/>
        <w:ind w:firstLine="40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4110242B">
      <w:pPr>
        <w:pStyle w:val="25"/>
        <w:spacing w:before="0" w:beforeAutospacing="0" w:after="0" w:afterAutospacing="0"/>
        <w:ind w:firstLine="40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4B3CD507">
      <w:pPr>
        <w:pStyle w:val="25"/>
        <w:spacing w:before="0" w:beforeAutospacing="0" w:after="0" w:afterAutospacing="0"/>
        <w:ind w:firstLine="40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3CE2F294">
      <w:pPr>
        <w:pStyle w:val="25"/>
        <w:spacing w:before="0" w:beforeAutospacing="0" w:after="0" w:afterAutospacing="0"/>
        <w:ind w:firstLine="40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1E816D7A">
      <w:pPr>
        <w:pStyle w:val="25"/>
        <w:spacing w:before="0" w:beforeAutospacing="0" w:after="0" w:afterAutospacing="0"/>
        <w:ind w:firstLine="40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6EADB6CD">
      <w:pPr>
        <w:pStyle w:val="25"/>
        <w:spacing w:before="0" w:beforeAutospacing="0" w:after="0" w:afterAutospacing="0"/>
        <w:ind w:firstLine="40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33FE86F5">
      <w:pPr>
        <w:pStyle w:val="25"/>
        <w:spacing w:before="0" w:beforeAutospacing="0" w:after="0" w:afterAutospacing="0"/>
        <w:ind w:firstLine="40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0CCA85FA">
      <w:pPr>
        <w:pStyle w:val="25"/>
        <w:spacing w:before="0" w:beforeAutospacing="0" w:after="0" w:afterAutospacing="0"/>
        <w:ind w:firstLine="560"/>
        <w:jc w:val="center"/>
        <w:rPr>
          <w:color w:val="000000" w:themeColor="text1"/>
          <w:sz w:val="20"/>
          <w:szCs w:val="20"/>
          <w14:textFill>
            <w14:solidFill>
              <w14:schemeClr w14:val="tx1"/>
            </w14:solidFill>
          </w14:textFill>
        </w:rPr>
      </w:pPr>
      <w:r>
        <w:rPr>
          <w:rFonts w:hint="eastAsia"/>
          <w:color w:val="000000" w:themeColor="text1"/>
          <w:sz w:val="28"/>
          <w:szCs w:val="28"/>
          <w14:textFill>
            <w14:solidFill>
              <w14:schemeClr w14:val="tx1"/>
            </w14:solidFill>
          </w14:textFill>
        </w:rPr>
        <w:t>响应单位：___________________________</w:t>
      </w:r>
    </w:p>
    <w:p w14:paraId="1EE76FF8">
      <w:pPr>
        <w:pStyle w:val="25"/>
        <w:spacing w:before="0" w:beforeAutospacing="0" w:after="0" w:afterAutospacing="0"/>
        <w:ind w:firstLine="40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37A41219">
      <w:pPr>
        <w:pStyle w:val="25"/>
        <w:spacing w:before="0" w:beforeAutospacing="0" w:after="0" w:afterAutospacing="0"/>
        <w:ind w:firstLine="40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p w14:paraId="0EA683B8">
      <w:pPr>
        <w:pStyle w:val="25"/>
        <w:spacing w:before="0" w:beforeAutospacing="0" w:after="0" w:afterAutospacing="0"/>
        <w:ind w:firstLine="560"/>
        <w:jc w:val="center"/>
        <w:rPr>
          <w:color w:val="000000" w:themeColor="text1"/>
          <w:sz w:val="20"/>
          <w:szCs w:val="20"/>
          <w14:textFill>
            <w14:solidFill>
              <w14:schemeClr w14:val="tx1"/>
            </w14:solidFill>
          </w14:textFill>
        </w:rPr>
      </w:pPr>
      <w:r>
        <w:rPr>
          <w:rFonts w:hint="eastAsia"/>
          <w:color w:val="000000" w:themeColor="text1"/>
          <w:sz w:val="28"/>
          <w:szCs w:val="28"/>
          <w14:textFill>
            <w14:solidFill>
              <w14:schemeClr w14:val="tx1"/>
            </w14:solidFill>
          </w14:textFill>
        </w:rPr>
        <w:t>__________年________月________日</w:t>
      </w:r>
    </w:p>
    <w:p w14:paraId="53B834F1">
      <w:pPr>
        <w:pStyle w:val="27"/>
        <w:spacing w:after="0"/>
        <w:ind w:firstLine="245"/>
        <w:rPr>
          <w:rFonts w:ascii="宋体" w:hAnsi="宋体" w:cs="宋体"/>
          <w:b/>
          <w:color w:val="000000" w:themeColor="text1"/>
          <w:sz w:val="24"/>
          <w14:textFill>
            <w14:solidFill>
              <w14:schemeClr w14:val="tx1"/>
            </w14:solidFill>
          </w14:textFill>
        </w:rPr>
      </w:pPr>
    </w:p>
    <w:p w14:paraId="72251441">
      <w:pPr>
        <w:ind w:firstLine="643"/>
        <w:rPr>
          <w:rFonts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br w:type="page"/>
      </w:r>
    </w:p>
    <w:p w14:paraId="6AC4B14F">
      <w:pPr>
        <w:pStyle w:val="51"/>
        <w:tabs>
          <w:tab w:val="clear" w:pos="360"/>
        </w:tabs>
        <w:jc w:val="center"/>
        <w:rPr>
          <w:rFonts w:hAnsi="宋体" w:cs="宋体"/>
          <w:b/>
          <w:bCs/>
          <w:color w:val="000000" w:themeColor="text1"/>
          <w:sz w:val="32"/>
          <w:szCs w:val="32"/>
          <w:lang w:val="zh-CN"/>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企业经营情况声明</w:t>
      </w:r>
    </w:p>
    <w:p w14:paraId="49004CD5">
      <w:pPr>
        <w:pStyle w:val="51"/>
        <w:rPr>
          <w:rFonts w:hAnsi="宋体" w:cs="宋体"/>
          <w:color w:val="000000" w:themeColor="text1"/>
          <w:sz w:val="24"/>
          <w:shd w:val="clear" w:color="auto" w:fill="FFFFFF"/>
          <w14:textFill>
            <w14:solidFill>
              <w14:schemeClr w14:val="tx1"/>
            </w14:solidFill>
          </w14:textFill>
        </w:rPr>
      </w:pPr>
    </w:p>
    <w:p w14:paraId="47FB21BF">
      <w:pPr>
        <w:pStyle w:val="51"/>
        <w:rPr>
          <w:rFonts w:hAnsi="宋体" w:cs="宋体"/>
          <w:color w:val="000000" w:themeColor="text1"/>
          <w:sz w:val="24"/>
          <w:shd w:val="clear" w:color="auto" w:fill="FFFFFF"/>
          <w14:textFill>
            <w14:solidFill>
              <w14:schemeClr w14:val="tx1"/>
            </w14:solidFill>
          </w14:textFill>
        </w:rPr>
      </w:pPr>
      <w:r>
        <w:rPr>
          <w:rFonts w:hint="eastAsia" w:hAnsi="宋体" w:cs="宋体"/>
          <w:color w:val="000000" w:themeColor="text1"/>
          <w:sz w:val="24"/>
          <w:shd w:val="clear" w:color="auto" w:fill="FFFFFF"/>
          <w14:textFill>
            <w14:solidFill>
              <w14:schemeClr w14:val="tx1"/>
            </w14:solidFill>
          </w14:textFill>
        </w:rPr>
        <w:t>致：</w:t>
      </w:r>
      <w:r>
        <w:rPr>
          <w:rFonts w:hint="eastAsia" w:hAnsi="宋体" w:cs="宋体"/>
          <w:color w:val="000000" w:themeColor="text1"/>
          <w:sz w:val="24"/>
          <w14:textFill>
            <w14:solidFill>
              <w14:schemeClr w14:val="tx1"/>
            </w14:solidFill>
          </w14:textFill>
        </w:rPr>
        <w:t xml:space="preserve"> 全球数源中心(广州南沙)有限公司</w:t>
      </w:r>
    </w:p>
    <w:p w14:paraId="71432BC8">
      <w:pPr>
        <w:pStyle w:val="51"/>
        <w:tabs>
          <w:tab w:val="clear" w:pos="360"/>
        </w:tabs>
        <w:ind w:firstLine="420" w:firstLineChars="175"/>
        <w:rPr>
          <w:rFonts w:hAnsi="宋体" w:cs="宋体"/>
          <w:color w:val="000000" w:themeColor="text1"/>
          <w:sz w:val="24"/>
          <w:lang w:val="en-GB"/>
          <w14:textFill>
            <w14:solidFill>
              <w14:schemeClr w14:val="tx1"/>
            </w14:solidFill>
          </w14:textFill>
        </w:rPr>
      </w:pPr>
      <w:r>
        <w:rPr>
          <w:rFonts w:hint="eastAsia" w:hAnsi="宋体" w:cs="宋体"/>
          <w:color w:val="000000" w:themeColor="text1"/>
          <w:sz w:val="24"/>
          <w:lang w:val="en-GB"/>
          <w14:textFill>
            <w14:solidFill>
              <w14:schemeClr w14:val="tx1"/>
            </w14:solidFill>
          </w14:textFill>
        </w:rPr>
        <w:t>我方目前未被“</w:t>
      </w:r>
      <w:r>
        <w:rPr>
          <w:rFonts w:hint="eastAsia" w:hAnsi="宋体" w:cs="宋体"/>
          <w:color w:val="000000" w:themeColor="text1"/>
          <w:sz w:val="24"/>
          <w14:textFill>
            <w14:solidFill>
              <w14:schemeClr w14:val="tx1"/>
            </w14:solidFill>
          </w14:textFill>
        </w:rPr>
        <w:t>国家</w:t>
      </w:r>
      <w:r>
        <w:rPr>
          <w:rFonts w:hint="eastAsia" w:hAnsi="宋体" w:cs="宋体"/>
          <w:color w:val="000000" w:themeColor="text1"/>
          <w:sz w:val="24"/>
          <w:lang w:val="en-GB"/>
          <w14:textFill>
            <w14:solidFill>
              <w14:schemeClr w14:val="tx1"/>
            </w14:solidFill>
          </w14:textFill>
        </w:rPr>
        <w:t>企业信用信息公示系统”（网址：http://www.gsxt.gov.cn/index.html）列入经营异常名录和严重违法企业名单。</w:t>
      </w:r>
    </w:p>
    <w:p w14:paraId="3AF371B8">
      <w:pPr>
        <w:pStyle w:val="51"/>
        <w:tabs>
          <w:tab w:val="clear" w:pos="360"/>
        </w:tabs>
        <w:ind w:firstLine="420" w:firstLineChars="175"/>
        <w:rPr>
          <w:rFonts w:hAnsi="宋体" w:cs="宋体"/>
          <w:color w:val="000000" w:themeColor="text1"/>
          <w:sz w:val="24"/>
          <w:lang w:val="en-GB"/>
          <w14:textFill>
            <w14:solidFill>
              <w14:schemeClr w14:val="tx1"/>
            </w14:solidFill>
          </w14:textFill>
        </w:rPr>
      </w:pPr>
      <w:r>
        <w:rPr>
          <w:rFonts w:hint="eastAsia" w:hAnsi="宋体" w:cs="宋体"/>
          <w:color w:val="000000" w:themeColor="text1"/>
          <w:sz w:val="24"/>
          <w:lang w:val="en-GB"/>
          <w14:textFill>
            <w14:solidFill>
              <w14:schemeClr w14:val="tx1"/>
            </w14:solidFill>
          </w14:textFill>
        </w:rPr>
        <w:t>特此声明。</w:t>
      </w:r>
    </w:p>
    <w:p w14:paraId="741A2EBD">
      <w:pPr>
        <w:pStyle w:val="51"/>
        <w:tabs>
          <w:tab w:val="clear" w:pos="360"/>
        </w:tabs>
        <w:ind w:firstLine="420" w:firstLineChars="175"/>
        <w:rPr>
          <w:rFonts w:hAnsi="宋体" w:cs="宋体"/>
          <w:color w:val="000000" w:themeColor="text1"/>
          <w:sz w:val="24"/>
          <w:lang w:val="en-GB"/>
          <w14:textFill>
            <w14:solidFill>
              <w14:schemeClr w14:val="tx1"/>
            </w14:solidFill>
          </w14:textFill>
        </w:rPr>
      </w:pPr>
      <w:r>
        <w:rPr>
          <w:rFonts w:hint="eastAsia" w:hAnsi="宋体" w:cs="宋体"/>
          <w:color w:val="000000" w:themeColor="text1"/>
          <w:sz w:val="24"/>
          <w:lang w:val="en-GB"/>
          <w14:textFill>
            <w14:solidFill>
              <w14:schemeClr w14:val="tx1"/>
            </w14:solidFill>
          </w14:textFill>
        </w:rPr>
        <w:t>如果以上声明不真实，我方承担虚假响应的责任，</w:t>
      </w:r>
      <w:r>
        <w:rPr>
          <w:rFonts w:hint="eastAsia" w:hAnsi="宋体" w:cs="宋体"/>
          <w:color w:val="000000" w:themeColor="text1"/>
          <w:sz w:val="24"/>
          <w14:textFill>
            <w14:solidFill>
              <w14:schemeClr w14:val="tx1"/>
            </w14:solidFill>
          </w14:textFill>
        </w:rPr>
        <w:t>成交</w:t>
      </w:r>
      <w:r>
        <w:rPr>
          <w:rFonts w:hint="eastAsia" w:hAnsi="宋体" w:cs="宋体"/>
          <w:color w:val="000000" w:themeColor="text1"/>
          <w:sz w:val="24"/>
          <w:lang w:val="en-GB"/>
          <w14:textFill>
            <w14:solidFill>
              <w14:schemeClr w14:val="tx1"/>
            </w14:solidFill>
          </w14:textFill>
        </w:rPr>
        <w:t>无效，并按法律、法规的规定接受处罚。</w:t>
      </w:r>
    </w:p>
    <w:p w14:paraId="151DFEBF">
      <w:pPr>
        <w:pStyle w:val="51"/>
        <w:rPr>
          <w:rFonts w:hAnsi="宋体" w:cs="宋体"/>
          <w:color w:val="000000" w:themeColor="text1"/>
          <w:sz w:val="24"/>
          <w:lang w:val="en-GB"/>
          <w14:textFill>
            <w14:solidFill>
              <w14:schemeClr w14:val="tx1"/>
            </w14:solidFill>
          </w14:textFill>
        </w:rPr>
      </w:pPr>
    </w:p>
    <w:p w14:paraId="5C1F9B0E">
      <w:pPr>
        <w:pStyle w:val="51"/>
        <w:rPr>
          <w:rFonts w:hAnsi="宋体" w:cs="宋体"/>
          <w:color w:val="000000" w:themeColor="text1"/>
          <w:sz w:val="24"/>
          <w:lang w:val="en-GB"/>
          <w14:textFill>
            <w14:solidFill>
              <w14:schemeClr w14:val="tx1"/>
            </w14:solidFill>
          </w14:textFill>
        </w:rPr>
      </w:pPr>
      <w:r>
        <w:rPr>
          <w:rFonts w:hint="eastAsia" w:hAnsi="宋体" w:cs="宋体"/>
          <w:color w:val="000000" w:themeColor="text1"/>
          <w:sz w:val="24"/>
          <w:lang w:val="en-GB"/>
          <w14:textFill>
            <w14:solidFill>
              <w14:schemeClr w14:val="tx1"/>
            </w14:solidFill>
          </w14:textFill>
        </w:rPr>
        <w:t>附件：网页截图</w:t>
      </w:r>
    </w:p>
    <w:p w14:paraId="51D0E4AF">
      <w:pPr>
        <w:pStyle w:val="51"/>
        <w:rPr>
          <w:rFonts w:hAnsi="宋体" w:cs="宋体"/>
          <w:color w:val="000000" w:themeColor="text1"/>
          <w:sz w:val="24"/>
          <w:lang w:val="en-GB"/>
          <w14:textFill>
            <w14:solidFill>
              <w14:schemeClr w14:val="tx1"/>
            </w14:solidFill>
          </w14:textFill>
        </w:rPr>
      </w:pPr>
    </w:p>
    <w:p w14:paraId="282404C0">
      <w:pPr>
        <w:pStyle w:val="51"/>
        <w:rPr>
          <w:rFonts w:hAnsi="宋体" w:cs="宋体"/>
          <w:color w:val="000000" w:themeColor="text1"/>
          <w:sz w:val="24"/>
          <w:lang w:val="en-GB"/>
          <w14:textFill>
            <w14:solidFill>
              <w14:schemeClr w14:val="tx1"/>
            </w14:solidFill>
          </w14:textFill>
        </w:rPr>
      </w:pPr>
    </w:p>
    <w:p w14:paraId="56CB3F2F">
      <w:pPr>
        <w:pStyle w:val="51"/>
        <w:jc w:val="right"/>
        <w:rPr>
          <w:rFonts w:hAnsi="宋体" w:cs="宋体"/>
          <w:color w:val="000000" w:themeColor="text1"/>
          <w:sz w:val="24"/>
          <w:lang w:val="en-GB"/>
          <w14:textFill>
            <w14:solidFill>
              <w14:schemeClr w14:val="tx1"/>
            </w14:solidFill>
          </w14:textFill>
        </w:rPr>
      </w:pPr>
    </w:p>
    <w:p w14:paraId="76A9F7F5">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7570130F">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72FF676">
      <w:pPr>
        <w:rPr>
          <w:rFonts w:ascii="宋体" w:hAnsi="宋体" w:cs="宋体"/>
          <w:color w:val="000000" w:themeColor="text1"/>
          <w:sz w:val="24"/>
          <w14:textFill>
            <w14:solidFill>
              <w14:schemeClr w14:val="tx1"/>
            </w14:solidFill>
          </w14:textFill>
        </w:rPr>
      </w:pPr>
    </w:p>
    <w:p w14:paraId="298F963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2A0550C9">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信用记录承诺函</w:t>
      </w:r>
    </w:p>
    <w:p w14:paraId="1EBE5B82">
      <w:pPr>
        <w:rPr>
          <w:rFonts w:ascii="宋体" w:hAnsi="宋体"/>
          <w:color w:val="000000" w:themeColor="text1"/>
          <w:sz w:val="24"/>
          <w:lang w:val="en-GB"/>
          <w14:textFill>
            <w14:solidFill>
              <w14:schemeClr w14:val="tx1"/>
            </w14:solidFill>
          </w14:textFill>
        </w:rPr>
      </w:pPr>
    </w:p>
    <w:p w14:paraId="08A437BA">
      <w:pPr>
        <w:ind w:firstLine="482"/>
        <w:rPr>
          <w:rFonts w:ascii="宋体" w:hAnsi="宋体" w:cs="宋体"/>
          <w:b/>
          <w:bCs/>
          <w:color w:val="000000" w:themeColor="text1"/>
          <w:sz w:val="24"/>
          <w:lang w:val="en-GB"/>
          <w14:textFill>
            <w14:solidFill>
              <w14:schemeClr w14:val="tx1"/>
            </w14:solidFill>
          </w14:textFill>
        </w:rPr>
      </w:pPr>
      <w:r>
        <w:rPr>
          <w:rFonts w:hint="eastAsia" w:ascii="宋体" w:hAnsi="宋体" w:cs="宋体"/>
          <w:b/>
          <w:bCs/>
          <w:color w:val="000000" w:themeColor="text1"/>
          <w:sz w:val="24"/>
          <w:lang w:val="en-GB"/>
          <w14:textFill>
            <w14:solidFill>
              <w14:schemeClr w14:val="tx1"/>
            </w14:solidFill>
          </w14:textFill>
        </w:rPr>
        <w:t>致： 全球数源中心(广州南沙)有限公司</w:t>
      </w:r>
    </w:p>
    <w:p w14:paraId="46789DBC">
      <w:pPr>
        <w:wordWrap w:val="0"/>
        <w:ind w:firstLine="480" w:firstLineChars="200"/>
        <w:rPr>
          <w:rFonts w:ascii="宋体" w:hAnsi="宋体" w:cs="宋体"/>
          <w:color w:val="000000" w:themeColor="text1"/>
          <w:sz w:val="24"/>
          <w:lang w:val="en-GB"/>
          <w14:textFill>
            <w14:solidFill>
              <w14:schemeClr w14:val="tx1"/>
            </w14:solidFill>
          </w14:textFill>
        </w:rPr>
      </w:pPr>
      <w:r>
        <w:rPr>
          <w:rFonts w:hint="eastAsia" w:ascii="宋体" w:hAnsi="宋体" w:cs="宋体"/>
          <w:color w:val="000000" w:themeColor="text1"/>
          <w:sz w:val="24"/>
          <w:lang w:val="en-GB"/>
          <w14:textFill>
            <w14:solidFill>
              <w14:schemeClr w14:val="tx1"/>
            </w14:solidFill>
          </w14:textFill>
        </w:rPr>
        <w:t>我方郑重承诺在参与</w:t>
      </w:r>
      <w:r>
        <w:rPr>
          <w:rFonts w:hint="eastAsia" w:ascii="宋体" w:hAnsi="宋体" w:cs="宋体"/>
          <w:color w:val="000000" w:themeColor="text1"/>
          <w:sz w:val="24"/>
          <w:u w:val="single"/>
          <w:lang w:val="en-GB"/>
          <w14:textFill>
            <w14:solidFill>
              <w14:schemeClr w14:val="tx1"/>
            </w14:solidFill>
          </w14:textFill>
        </w:rPr>
        <w:t>全球数源中心数据流通利用基础设施先行先试项目方案设计服务项目</w:t>
      </w:r>
      <w:r>
        <w:rPr>
          <w:rFonts w:hint="eastAsia" w:ascii="宋体" w:hAnsi="宋体" w:cs="宋体"/>
          <w:color w:val="000000" w:themeColor="text1"/>
          <w:sz w:val="24"/>
          <w:lang w:val="en-GB"/>
          <w14:textFill>
            <w14:solidFill>
              <w14:schemeClr w14:val="tx1"/>
            </w14:solidFill>
          </w14:textFill>
        </w:rPr>
        <w:t>采购期间，</w:t>
      </w:r>
    </w:p>
    <w:p w14:paraId="4F5E64BE">
      <w:pPr>
        <w:wordWrap w:val="0"/>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GB"/>
          <w14:textFill>
            <w14:solidFill>
              <w14:schemeClr w14:val="tx1"/>
            </w14:solidFill>
          </w14:textFill>
        </w:rPr>
        <w:t>未被《信用中国》网站（</w:t>
      </w:r>
      <w:r>
        <w:fldChar w:fldCharType="begin"/>
      </w:r>
      <w:r>
        <w:instrText xml:space="preserve"> HYPERLINK "http://mail.163.com/js6/read/www.creditchina.gov.cn%EF%BC%89%E5%85%AC%E7%A4%BA%E5%AD%98%E5%9C%A8%E4%B8%8D%E8%89%AF%E4%BF%A1%E7%94%A8%E8%AE%B0%E5%BD%95%E3%80%82" </w:instrText>
      </w:r>
      <w:r>
        <w:fldChar w:fldCharType="separate"/>
      </w:r>
      <w:r>
        <w:rPr>
          <w:rFonts w:hint="eastAsia" w:ascii="宋体" w:hAnsi="宋体" w:cs="宋体"/>
          <w:color w:val="000000" w:themeColor="text1"/>
          <w:sz w:val="24"/>
          <w:lang w:val="en-GB"/>
          <w14:textFill>
            <w14:solidFill>
              <w14:schemeClr w14:val="tx1"/>
            </w14:solidFill>
          </w14:textFill>
        </w:rPr>
        <w:t>www.creditchina.gov.cn）公示存在不良信用记录。</w:t>
      </w:r>
      <w:r>
        <w:rPr>
          <w:rFonts w:hint="eastAsia" w:ascii="宋体" w:hAnsi="宋体" w:cs="宋体"/>
          <w:color w:val="000000" w:themeColor="text1"/>
          <w:sz w:val="24"/>
          <w:lang w:val="en-GB"/>
          <w14:textFill>
            <w14:solidFill>
              <w14:schemeClr w14:val="tx1"/>
            </w14:solidFill>
          </w14:textFill>
        </w:rPr>
        <w:fldChar w:fldCharType="end"/>
      </w:r>
    </w:p>
    <w:p w14:paraId="4DB2EFC8">
      <w:pPr>
        <w:wordWrap w:val="0"/>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GB"/>
          <w14:textFill>
            <w14:solidFill>
              <w14:schemeClr w14:val="tx1"/>
            </w14:solidFill>
          </w14:textFill>
        </w:rPr>
        <w:t>不处于“中国政府采购网”（www.ccgp.</w:t>
      </w:r>
      <w:r>
        <w:rPr>
          <w:rFonts w:hint="eastAsia" w:ascii="宋体" w:hAnsi="宋体" w:cs="宋体"/>
          <w:color w:val="000000" w:themeColor="text1"/>
          <w:sz w:val="24"/>
          <w14:textFill>
            <w14:solidFill>
              <w14:schemeClr w14:val="tx1"/>
            </w14:solidFill>
          </w14:textFill>
        </w:rPr>
        <w:t>gov.</w:t>
      </w:r>
      <w:r>
        <w:rPr>
          <w:rFonts w:hint="eastAsia" w:ascii="宋体" w:hAnsi="宋体" w:cs="宋体"/>
          <w:color w:val="000000" w:themeColor="text1"/>
          <w:sz w:val="24"/>
          <w:lang w:val="en-GB"/>
          <w14:textFill>
            <w14:solidFill>
              <w14:schemeClr w14:val="tx1"/>
            </w14:solidFill>
          </w14:textFill>
        </w:rPr>
        <w:t>cn/search/cr/)中“政府采购严重违法失信行为信息记录”的政府采购严重违法失信行为的记录名单。</w:t>
      </w:r>
    </w:p>
    <w:p w14:paraId="21CAB679">
      <w:pPr>
        <w:ind w:firstLine="420" w:firstLineChars="175"/>
        <w:rPr>
          <w:rFonts w:ascii="宋体" w:hAnsi="宋体" w:cs="宋体"/>
          <w:color w:val="000000" w:themeColor="text1"/>
          <w:sz w:val="24"/>
          <w:lang w:val="en-GB"/>
          <w14:textFill>
            <w14:solidFill>
              <w14:schemeClr w14:val="tx1"/>
            </w14:solidFill>
          </w14:textFill>
        </w:rPr>
      </w:pPr>
      <w:r>
        <w:rPr>
          <w:rFonts w:hint="eastAsia" w:ascii="宋体" w:hAnsi="宋体" w:cs="宋体"/>
          <w:color w:val="000000" w:themeColor="text1"/>
          <w:sz w:val="24"/>
          <w:lang w:val="en-GB"/>
          <w14:textFill>
            <w14:solidFill>
              <w14:schemeClr w14:val="tx1"/>
            </w14:solidFill>
          </w14:textFill>
        </w:rPr>
        <w:t>（附我方在上述网站查询结果截图）</w:t>
      </w:r>
    </w:p>
    <w:p w14:paraId="4EB88EB9">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460D265E">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02353DEB">
      <w:pPr>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w:t>
      </w:r>
    </w:p>
    <w:p w14:paraId="6C08A365">
      <w:pPr>
        <w:numPr>
          <w:ilvl w:val="0"/>
          <w:numId w:val="22"/>
        </w:numPr>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网站截图为“信用中国”网站（www.creditchina.gov.cn）首页“信用信息”搜索一栏输入企业全称后得出的查询结果页面。信用记录承诺必须附网站截图。</w:t>
      </w:r>
    </w:p>
    <w:p w14:paraId="7E5CDB36">
      <w:pPr>
        <w:numPr>
          <w:ilvl w:val="0"/>
          <w:numId w:val="22"/>
        </w:numPr>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网站截图为“中国政府采购网”（www.ccgp.gov.cn/search/cr/)“企业名称”搜索一栏输入企业全称后得出的查询结果页面。信用记录承诺必须附网站截图。</w:t>
      </w:r>
    </w:p>
    <w:p w14:paraId="1434A3B3">
      <w:pPr>
        <w:numPr>
          <w:ilvl w:val="0"/>
          <w:numId w:val="22"/>
        </w:numPr>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截图中可显示网站域名，页面信息必须明确显示参与本项目的企业全称 </w:t>
      </w:r>
    </w:p>
    <w:p w14:paraId="7FC06B3E">
      <w:pPr>
        <w:ind w:firstLine="482"/>
        <w:rPr>
          <w:rFonts w:ascii="宋体" w:hAnsi="宋体" w:cs="宋体"/>
          <w:b/>
          <w:color w:val="000000" w:themeColor="text1"/>
          <w:sz w:val="24"/>
          <w14:textFill>
            <w14:solidFill>
              <w14:schemeClr w14:val="tx1"/>
            </w14:solidFill>
          </w14:textFill>
        </w:rPr>
      </w:pPr>
    </w:p>
    <w:p w14:paraId="09B89D59">
      <w:pPr>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w:t>
      </w:r>
    </w:p>
    <w:p w14:paraId="0C40372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“信用中国”网页截图及“中国政府采购网”网页截图</w:t>
      </w:r>
    </w:p>
    <w:p w14:paraId="3FEA3A0A">
      <w:pPr>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14:paraId="4A8A3C8A">
      <w:pPr>
        <w:tabs>
          <w:tab w:val="clear" w:pos="360"/>
        </w:tabs>
        <w:jc w:val="center"/>
        <w:rPr>
          <w:rFonts w:ascii="宋体" w:hAnsi="宋体"/>
          <w:b/>
          <w:bCs/>
          <w:color w:val="000000" w:themeColor="text1"/>
          <w:sz w:val="32"/>
          <w:szCs w:val="32"/>
          <w14:textFill>
            <w14:solidFill>
              <w14:schemeClr w14:val="tx1"/>
            </w14:solidFill>
          </w14:textFill>
        </w:rPr>
      </w:pPr>
      <w:bookmarkStart w:id="106" w:name="_Toc26998"/>
      <w:bookmarkStart w:id="107" w:name="_Hlk68686876"/>
      <w:r>
        <w:rPr>
          <w:rFonts w:hint="eastAsia" w:ascii="宋体" w:hAnsi="宋体"/>
          <w:b/>
          <w:bCs/>
          <w:color w:val="000000" w:themeColor="text1"/>
          <w:sz w:val="32"/>
          <w:szCs w:val="32"/>
          <w14:textFill>
            <w14:solidFill>
              <w14:schemeClr w14:val="tx1"/>
            </w14:solidFill>
          </w14:textFill>
        </w:rPr>
        <w:t>非联合体响应承诺函</w:t>
      </w:r>
    </w:p>
    <w:p w14:paraId="5BE65E5D">
      <w:pPr>
        <w:pStyle w:val="2"/>
        <w:ind w:firstLine="420"/>
        <w:rPr>
          <w:color w:val="000000" w:themeColor="text1"/>
          <w14:textFill>
            <w14:solidFill>
              <w14:schemeClr w14:val="tx1"/>
            </w14:solidFill>
          </w14:textFill>
        </w:rPr>
      </w:pPr>
    </w:p>
    <w:p w14:paraId="18FB05E6">
      <w:pPr>
        <w:pStyle w:val="28"/>
        <w:spacing w:after="0"/>
        <w:textAlignment w:val="auto"/>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致： 全球数源中心(广州南沙)有限公司</w:t>
      </w:r>
    </w:p>
    <w:p w14:paraId="4843F2CE">
      <w:pPr>
        <w:pStyle w:val="28"/>
        <w:tabs>
          <w:tab w:val="clear" w:pos="360"/>
        </w:tabs>
        <w:spacing w:after="0"/>
        <w:ind w:firstLine="420" w:firstLineChars="175"/>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我公司(单位)参加本次项目</w:t>
      </w:r>
      <w:r>
        <w:rPr>
          <w:rFonts w:hint="eastAsia" w:ascii="宋体" w:hAnsi="宋体" w:eastAsia="宋体" w:cs="宋体"/>
          <w:color w:val="000000" w:themeColor="text1"/>
          <w:sz w:val="24"/>
          <w:u w:val="single"/>
          <w14:textFill>
            <w14:solidFill>
              <w14:schemeClr w14:val="tx1"/>
            </w14:solidFill>
          </w14:textFill>
        </w:rPr>
        <w:t>全球数源中心数据流通利用基础设施先行先试项目方案设计服务项目</w:t>
      </w:r>
      <w:r>
        <w:rPr>
          <w:rFonts w:hint="eastAsia" w:ascii="宋体" w:hAnsi="宋体" w:eastAsia="宋体" w:cs="宋体"/>
          <w:color w:val="000000" w:themeColor="text1"/>
          <w:sz w:val="24"/>
          <w14:textFill>
            <w14:solidFill>
              <w14:schemeClr w14:val="tx1"/>
            </w14:solidFill>
          </w14:textFill>
        </w:rPr>
        <w:t>的竞投，非联合体响应。</w:t>
      </w:r>
    </w:p>
    <w:p w14:paraId="33FF0598">
      <w:pPr>
        <w:pStyle w:val="28"/>
        <w:spacing w:after="0"/>
        <w:textAlignment w:val="auto"/>
        <w:rPr>
          <w:rFonts w:ascii="宋体" w:hAnsi="宋体" w:eastAsia="宋体" w:cs="宋体"/>
          <w:color w:val="000000" w:themeColor="text1"/>
          <w:sz w:val="24"/>
          <w14:textFill>
            <w14:solidFill>
              <w14:schemeClr w14:val="tx1"/>
            </w14:solidFill>
          </w14:textFill>
        </w:rPr>
      </w:pPr>
    </w:p>
    <w:p w14:paraId="03DA34FF">
      <w:pPr>
        <w:pStyle w:val="28"/>
        <w:tabs>
          <w:tab w:val="clear" w:pos="360"/>
        </w:tabs>
        <w:spacing w:after="0"/>
        <w:ind w:firstLine="420" w:firstLineChars="175"/>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特此承诺!</w:t>
      </w:r>
    </w:p>
    <w:p w14:paraId="0031F4C4">
      <w:pPr>
        <w:pStyle w:val="28"/>
        <w:spacing w:before="312"/>
        <w:ind w:firstLine="560"/>
        <w:rPr>
          <w:rFonts w:ascii="宋体" w:hAnsi="宋体" w:eastAsia="宋体"/>
          <w:color w:val="000000" w:themeColor="text1"/>
          <w:sz w:val="28"/>
          <w:szCs w:val="28"/>
          <w14:textFill>
            <w14:solidFill>
              <w14:schemeClr w14:val="tx1"/>
            </w14:solidFill>
          </w14:textFill>
        </w:rPr>
      </w:pPr>
    </w:p>
    <w:p w14:paraId="7CD5F03E">
      <w:pPr>
        <w:pStyle w:val="28"/>
        <w:spacing w:before="312"/>
        <w:rPr>
          <w:rFonts w:ascii="宋体" w:hAnsi="宋体" w:eastAsia="宋体"/>
          <w:color w:val="000000" w:themeColor="text1"/>
          <w:sz w:val="24"/>
          <w14:textFill>
            <w14:solidFill>
              <w14:schemeClr w14:val="tx1"/>
            </w14:solidFill>
          </w14:textFill>
        </w:rPr>
      </w:pPr>
    </w:p>
    <w:p w14:paraId="663E4347">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6E41E4CD">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8D66AB5">
      <w:pPr>
        <w:ind w:firstLine="643"/>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7377AFB3">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开标（报价）一览表</w:t>
      </w:r>
    </w:p>
    <w:p w14:paraId="23BB1443">
      <w:pPr>
        <w:rPr>
          <w:rFonts w:ascii="宋体" w:hAnsi="宋体" w:cs="宋体"/>
          <w:color w:val="000000" w:themeColor="text1"/>
          <w:sz w:val="24"/>
          <w14:textFill>
            <w14:solidFill>
              <w14:schemeClr w14:val="tx1"/>
            </w14:solidFill>
          </w14:textFill>
        </w:rPr>
      </w:pPr>
    </w:p>
    <w:p w14:paraId="2FD9585B">
      <w:pPr>
        <w:tabs>
          <w:tab w:val="clear" w:pos="360"/>
        </w:tabs>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项目名称：全球数源中心数据流通利用基础设施先行先试项目方案设计服务项目  </w:t>
      </w:r>
    </w:p>
    <w:p w14:paraId="79296EDF">
      <w:pPr>
        <w:spacing w:line="44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（货币单位：人民币  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371D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67A95660">
            <w:pPr>
              <w:spacing w:line="440" w:lineRule="exact"/>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报价项</w:t>
            </w:r>
          </w:p>
        </w:tc>
        <w:tc>
          <w:tcPr>
            <w:tcW w:w="4981" w:type="dxa"/>
            <w:vAlign w:val="center"/>
          </w:tcPr>
          <w:p w14:paraId="2F400FE5">
            <w:pPr>
              <w:spacing w:line="440" w:lineRule="exact"/>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报价</w:t>
            </w:r>
          </w:p>
        </w:tc>
      </w:tr>
      <w:tr w14:paraId="651F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7DA8CF1D">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供应商总报价（含税）</w:t>
            </w:r>
          </w:p>
        </w:tc>
        <w:tc>
          <w:tcPr>
            <w:tcW w:w="4981" w:type="dxa"/>
            <w:vAlign w:val="center"/>
          </w:tcPr>
          <w:p w14:paraId="343CAB64">
            <w:pPr>
              <w:spacing w:line="4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小写：</w:t>
            </w:r>
          </w:p>
          <w:p w14:paraId="421CC24F">
            <w:pPr>
              <w:spacing w:line="4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大写：</w:t>
            </w:r>
          </w:p>
        </w:tc>
      </w:tr>
      <w:tr w14:paraId="0EBA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0C6BA2AB">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供应商总报价（不含税）</w:t>
            </w:r>
          </w:p>
        </w:tc>
        <w:tc>
          <w:tcPr>
            <w:tcW w:w="4981" w:type="dxa"/>
            <w:vAlign w:val="center"/>
          </w:tcPr>
          <w:p w14:paraId="42076B3E">
            <w:pPr>
              <w:spacing w:line="4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小写：</w:t>
            </w:r>
          </w:p>
          <w:p w14:paraId="1B021188">
            <w:pPr>
              <w:spacing w:line="4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大写：</w:t>
            </w:r>
          </w:p>
        </w:tc>
      </w:tr>
      <w:tr w14:paraId="59C9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600F494C">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税率</w:t>
            </w:r>
          </w:p>
        </w:tc>
        <w:tc>
          <w:tcPr>
            <w:tcW w:w="4981" w:type="dxa"/>
            <w:vAlign w:val="center"/>
          </w:tcPr>
          <w:p w14:paraId="699D3A22">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5059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3790FC41">
            <w:pPr>
              <w:spacing w:line="4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是否开具增值税专用发票</w:t>
            </w:r>
          </w:p>
        </w:tc>
        <w:tc>
          <w:tcPr>
            <w:tcW w:w="4981" w:type="dxa"/>
            <w:vAlign w:val="center"/>
          </w:tcPr>
          <w:p w14:paraId="2D46E507">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bl>
    <w:p w14:paraId="29BEE295">
      <w:pPr>
        <w:spacing w:line="440" w:lineRule="exact"/>
        <w:jc w:val="center"/>
        <w:rPr>
          <w:rFonts w:ascii="宋体" w:hAnsi="宋体" w:cs="宋体"/>
          <w:color w:val="000000" w:themeColor="text1"/>
          <w:sz w:val="24"/>
          <w14:textFill>
            <w14:solidFill>
              <w14:schemeClr w14:val="tx1"/>
            </w14:solidFill>
          </w14:textFill>
        </w:rPr>
      </w:pPr>
    </w:p>
    <w:p w14:paraId="59BE53DA">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填报要求：</w:t>
      </w:r>
    </w:p>
    <w:p w14:paraId="22E5DABD">
      <w:pPr>
        <w:tabs>
          <w:tab w:val="clear" w:pos="360"/>
        </w:tabs>
        <w:spacing w:line="44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供应商总报价不得高于采购限价。</w:t>
      </w:r>
    </w:p>
    <w:p w14:paraId="600BA9EA">
      <w:pPr>
        <w:tabs>
          <w:tab w:val="clear" w:pos="360"/>
        </w:tabs>
        <w:spacing w:line="44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比选评审小组认为供应商不能证明其报价合理性的，或有可能影响服务质量或者不能诚信履约的，应当将其作为无效响应处理。</w:t>
      </w:r>
    </w:p>
    <w:p w14:paraId="259EBCF9">
      <w:pPr>
        <w:tabs>
          <w:tab w:val="clear" w:pos="360"/>
        </w:tabs>
        <w:spacing w:line="44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3.含税价格=不含税价格*（1+税率）</w:t>
      </w:r>
    </w:p>
    <w:p w14:paraId="03A83F29">
      <w:pPr>
        <w:tabs>
          <w:tab w:val="clear" w:pos="360"/>
        </w:tabs>
        <w:spacing w:line="440" w:lineRule="exact"/>
        <w:ind w:firstLine="420" w:firstLineChars="175"/>
        <w:rPr>
          <w:rFonts w:ascii="宋体" w:hAnsi="宋体" w:cs="宋体"/>
          <w:color w:val="000000" w:themeColor="text1"/>
          <w:sz w:val="24"/>
          <w14:textFill>
            <w14:solidFill>
              <w14:schemeClr w14:val="tx1"/>
            </w14:solidFill>
          </w14:textFill>
        </w:rPr>
      </w:pPr>
    </w:p>
    <w:p w14:paraId="74AF244B">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6D461909">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750FF4A">
      <w:pPr>
        <w:ind w:firstLine="643"/>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2F674387">
      <w:pPr>
        <w:jc w:val="right"/>
        <w:rPr>
          <w:rFonts w:ascii="宋体" w:hAnsi="宋体" w:cs="宋体"/>
          <w:b/>
          <w:bCs/>
          <w:color w:val="000000" w:themeColor="text1"/>
          <w:sz w:val="32"/>
          <w:szCs w:val="32"/>
          <w14:textFill>
            <w14:solidFill>
              <w14:schemeClr w14:val="tx1"/>
            </w14:solidFill>
          </w14:textFill>
        </w:rPr>
      </w:pPr>
      <w:bookmarkStart w:id="108" w:name="_Toc8869"/>
    </w:p>
    <w:p w14:paraId="00313F50">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实质性响应条款一览表</w:t>
      </w:r>
      <w:bookmarkEnd w:id="106"/>
      <w:bookmarkEnd w:id="108"/>
    </w:p>
    <w:p w14:paraId="64D0AC7A">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项目名称：全球数源中心数据流通利用基础设施先行先试项目方案设计服务项目  </w:t>
      </w:r>
    </w:p>
    <w:tbl>
      <w:tblPr>
        <w:tblStyle w:val="29"/>
        <w:tblW w:w="4997" w:type="pct"/>
        <w:tblInd w:w="0" w:type="dxa"/>
        <w:tblLayout w:type="autofit"/>
        <w:tblCellMar>
          <w:top w:w="0" w:type="dxa"/>
          <w:left w:w="108" w:type="dxa"/>
          <w:bottom w:w="0" w:type="dxa"/>
          <w:right w:w="108" w:type="dxa"/>
        </w:tblCellMar>
      </w:tblPr>
      <w:tblGrid>
        <w:gridCol w:w="1193"/>
        <w:gridCol w:w="5051"/>
        <w:gridCol w:w="2049"/>
        <w:gridCol w:w="1663"/>
      </w:tblGrid>
      <w:tr w14:paraId="5A7A609D">
        <w:tblPrEx>
          <w:tblCellMar>
            <w:top w:w="0" w:type="dxa"/>
            <w:left w:w="108" w:type="dxa"/>
            <w:bottom w:w="0" w:type="dxa"/>
            <w:right w:w="108" w:type="dxa"/>
          </w:tblCellMar>
        </w:tblPrEx>
        <w:trPr>
          <w:trHeight w:val="624" w:hRule="atLeast"/>
        </w:trPr>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14:paraId="04CD7145">
            <w:pPr>
              <w:tabs>
                <w:tab w:val="clear" w:pos="360"/>
              </w:tabs>
              <w:adjustRightInd/>
              <w:snapToGrid/>
              <w:spacing w:line="240" w:lineRule="auto"/>
              <w:ind w:firstLine="482"/>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536" w:type="pct"/>
            <w:tcBorders>
              <w:top w:val="single" w:color="auto" w:sz="4" w:space="0"/>
              <w:left w:val="nil"/>
              <w:bottom w:val="single" w:color="auto" w:sz="4" w:space="0"/>
              <w:right w:val="single" w:color="auto" w:sz="4" w:space="0"/>
            </w:tcBorders>
            <w:shd w:val="clear" w:color="auto" w:fill="auto"/>
            <w:vAlign w:val="center"/>
          </w:tcPr>
          <w:p w14:paraId="0D9B8CC0">
            <w:pPr>
              <w:tabs>
                <w:tab w:val="clear" w:pos="360"/>
              </w:tabs>
              <w:adjustRightInd/>
              <w:snapToGrid/>
              <w:spacing w:line="240" w:lineRule="auto"/>
              <w:ind w:firstLine="482"/>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实质性响应条款</w:t>
            </w:r>
          </w:p>
        </w:tc>
        <w:tc>
          <w:tcPr>
            <w:tcW w:w="1029" w:type="pct"/>
            <w:tcBorders>
              <w:top w:val="single" w:color="auto" w:sz="4" w:space="0"/>
              <w:left w:val="nil"/>
              <w:bottom w:val="single" w:color="auto" w:sz="4" w:space="0"/>
              <w:right w:val="single" w:color="auto" w:sz="4" w:space="0"/>
            </w:tcBorders>
            <w:shd w:val="clear" w:color="auto" w:fill="auto"/>
            <w:vAlign w:val="center"/>
          </w:tcPr>
          <w:p w14:paraId="78CF73CF">
            <w:pPr>
              <w:tabs>
                <w:tab w:val="clear" w:pos="360"/>
              </w:tabs>
              <w:adjustRightInd/>
              <w:snapToGrid/>
              <w:spacing w:line="240" w:lineRule="auto"/>
              <w:ind w:firstLine="482"/>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供应商响应情况</w:t>
            </w:r>
          </w:p>
        </w:tc>
        <w:tc>
          <w:tcPr>
            <w:tcW w:w="835" w:type="pct"/>
            <w:tcBorders>
              <w:top w:val="single" w:color="auto" w:sz="4" w:space="0"/>
              <w:left w:val="nil"/>
              <w:bottom w:val="single" w:color="auto" w:sz="4" w:space="0"/>
              <w:right w:val="single" w:color="auto" w:sz="4" w:space="0"/>
            </w:tcBorders>
            <w:shd w:val="clear" w:color="auto" w:fill="auto"/>
            <w:vAlign w:val="center"/>
          </w:tcPr>
          <w:p w14:paraId="7BDBA2CE">
            <w:pPr>
              <w:tabs>
                <w:tab w:val="clear" w:pos="360"/>
              </w:tabs>
              <w:adjustRightInd/>
              <w:snapToGrid/>
              <w:spacing w:line="240" w:lineRule="auto"/>
              <w:ind w:firstLine="482"/>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差异</w:t>
            </w:r>
          </w:p>
        </w:tc>
      </w:tr>
      <w:tr w14:paraId="4A850A21">
        <w:tblPrEx>
          <w:tblCellMar>
            <w:top w:w="0" w:type="dxa"/>
            <w:left w:w="108" w:type="dxa"/>
            <w:bottom w:w="0" w:type="dxa"/>
            <w:right w:w="108" w:type="dxa"/>
          </w:tblCellMar>
        </w:tblPrEx>
        <w:trPr>
          <w:trHeight w:val="828"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450F5701">
            <w:pPr>
              <w:tabs>
                <w:tab w:val="clear" w:pos="360"/>
              </w:tabs>
              <w:adjustRightInd/>
              <w:snapToGrid/>
              <w:spacing w:line="24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536" w:type="pct"/>
            <w:tcBorders>
              <w:top w:val="nil"/>
              <w:left w:val="nil"/>
              <w:bottom w:val="single" w:color="auto" w:sz="4" w:space="0"/>
              <w:right w:val="single" w:color="auto" w:sz="4" w:space="0"/>
            </w:tcBorders>
            <w:shd w:val="clear" w:color="auto" w:fill="auto"/>
            <w:vAlign w:val="center"/>
          </w:tcPr>
          <w:p w14:paraId="6CDBD286">
            <w:pPr>
              <w:tabs>
                <w:tab w:val="clear" w:pos="360"/>
              </w:tabs>
              <w:adjustRightInd/>
              <w:snapToGrid/>
              <w:spacing w:line="240" w:lineRule="auto"/>
              <w:rPr>
                <w:rFonts w:ascii="宋体" w:hAnsi="宋体" w:cs="宋体"/>
                <w:color w:val="000000" w:themeColor="text1"/>
                <w:kern w:val="0"/>
                <w:sz w:val="22"/>
                <w:szCs w:val="22"/>
                <w14:textFill>
                  <w14:solidFill>
                    <w14:schemeClr w14:val="tx1"/>
                  </w14:solidFill>
                </w14:textFill>
              </w:rPr>
            </w:pPr>
          </w:p>
        </w:tc>
        <w:tc>
          <w:tcPr>
            <w:tcW w:w="1029" w:type="pct"/>
            <w:tcBorders>
              <w:top w:val="nil"/>
              <w:left w:val="nil"/>
              <w:bottom w:val="single" w:color="auto" w:sz="4" w:space="0"/>
              <w:right w:val="single" w:color="auto" w:sz="4" w:space="0"/>
            </w:tcBorders>
            <w:shd w:val="clear" w:color="auto" w:fill="auto"/>
            <w:vAlign w:val="center"/>
          </w:tcPr>
          <w:p w14:paraId="5BCA78F1">
            <w:pPr>
              <w:tabs>
                <w:tab w:val="clear" w:pos="360"/>
              </w:tabs>
              <w:adjustRightInd/>
              <w:snapToGrid/>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35" w:type="pct"/>
            <w:tcBorders>
              <w:top w:val="nil"/>
              <w:left w:val="nil"/>
              <w:bottom w:val="single" w:color="auto" w:sz="4" w:space="0"/>
              <w:right w:val="single" w:color="auto" w:sz="4" w:space="0"/>
            </w:tcBorders>
            <w:shd w:val="clear" w:color="auto" w:fill="auto"/>
            <w:vAlign w:val="center"/>
          </w:tcPr>
          <w:p w14:paraId="01B103BB">
            <w:pPr>
              <w:tabs>
                <w:tab w:val="clear" w:pos="360"/>
              </w:tabs>
              <w:adjustRightInd/>
              <w:snapToGrid/>
              <w:spacing w:line="240" w:lineRule="auto"/>
              <w:ind w:firstLine="44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171CF416">
        <w:tblPrEx>
          <w:tblCellMar>
            <w:top w:w="0" w:type="dxa"/>
            <w:left w:w="108" w:type="dxa"/>
            <w:bottom w:w="0" w:type="dxa"/>
            <w:right w:w="108" w:type="dxa"/>
          </w:tblCellMar>
        </w:tblPrEx>
        <w:trPr>
          <w:trHeight w:val="828"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3AAB8817">
            <w:pPr>
              <w:tabs>
                <w:tab w:val="clear" w:pos="360"/>
              </w:tabs>
              <w:adjustRightInd/>
              <w:snapToGrid/>
              <w:spacing w:line="24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536" w:type="pct"/>
            <w:tcBorders>
              <w:top w:val="nil"/>
              <w:left w:val="nil"/>
              <w:bottom w:val="single" w:color="auto" w:sz="4" w:space="0"/>
              <w:right w:val="single" w:color="auto" w:sz="4" w:space="0"/>
            </w:tcBorders>
            <w:shd w:val="clear" w:color="auto" w:fill="auto"/>
            <w:vAlign w:val="center"/>
          </w:tcPr>
          <w:p w14:paraId="4B63775F">
            <w:pPr>
              <w:tabs>
                <w:tab w:val="clear" w:pos="360"/>
              </w:tabs>
              <w:adjustRightInd/>
              <w:snapToGrid/>
              <w:spacing w:line="240" w:lineRule="auto"/>
              <w:ind w:firstLine="44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029" w:type="pct"/>
            <w:tcBorders>
              <w:top w:val="nil"/>
              <w:left w:val="nil"/>
              <w:bottom w:val="single" w:color="auto" w:sz="4" w:space="0"/>
              <w:right w:val="single" w:color="auto" w:sz="4" w:space="0"/>
            </w:tcBorders>
            <w:shd w:val="clear" w:color="auto" w:fill="auto"/>
            <w:vAlign w:val="center"/>
          </w:tcPr>
          <w:p w14:paraId="04F53461">
            <w:pPr>
              <w:tabs>
                <w:tab w:val="clear" w:pos="360"/>
              </w:tabs>
              <w:adjustRightInd/>
              <w:snapToGrid/>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35" w:type="pct"/>
            <w:tcBorders>
              <w:top w:val="nil"/>
              <w:left w:val="nil"/>
              <w:bottom w:val="single" w:color="auto" w:sz="4" w:space="0"/>
              <w:right w:val="single" w:color="auto" w:sz="4" w:space="0"/>
            </w:tcBorders>
            <w:shd w:val="clear" w:color="auto" w:fill="auto"/>
            <w:vAlign w:val="center"/>
          </w:tcPr>
          <w:p w14:paraId="51934A71">
            <w:pPr>
              <w:tabs>
                <w:tab w:val="clear" w:pos="360"/>
              </w:tabs>
              <w:adjustRightInd/>
              <w:snapToGrid/>
              <w:spacing w:line="240" w:lineRule="auto"/>
              <w:ind w:firstLine="44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bl>
    <w:p w14:paraId="6F4F8708">
      <w:pPr>
        <w:rPr>
          <w:rFonts w:ascii="宋体" w:hAnsi="宋体" w:cs="宋体"/>
          <w:color w:val="000000" w:themeColor="text1"/>
          <w:sz w:val="24"/>
          <w14:textFill>
            <w14:solidFill>
              <w14:schemeClr w14:val="tx1"/>
            </w14:solidFill>
          </w14:textFill>
        </w:rPr>
      </w:pPr>
    </w:p>
    <w:p w14:paraId="0FA7FEC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p w14:paraId="26CF2005">
      <w:pPr>
        <w:pStyle w:val="53"/>
        <w:widowControl w:val="0"/>
        <w:numPr>
          <w:ilvl w:val="0"/>
          <w:numId w:val="23"/>
        </w:numPr>
        <w:tabs>
          <w:tab w:val="clear" w:pos="360"/>
        </w:tabs>
        <w:adjustRightInd/>
        <w:snapToGrid/>
        <w:ind w:left="0" w:firstLine="431"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本表所列条款必须一一予以响应，“实质性响应条款”一栏应填写具体的响应内容。</w:t>
      </w:r>
    </w:p>
    <w:p w14:paraId="7CF72BDF">
      <w:pPr>
        <w:pStyle w:val="53"/>
        <w:widowControl w:val="0"/>
        <w:numPr>
          <w:ilvl w:val="0"/>
          <w:numId w:val="23"/>
        </w:numPr>
        <w:tabs>
          <w:tab w:val="clear" w:pos="360"/>
        </w:tabs>
        <w:adjustRightInd/>
        <w:snapToGrid/>
        <w:ind w:left="0" w:firstLine="431"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“供应商响应情况”中有差异的要具体说明；填写响应、完全响应或留空均视同响应。</w:t>
      </w:r>
    </w:p>
    <w:p w14:paraId="33FFE2AC">
      <w:pPr>
        <w:pStyle w:val="53"/>
        <w:widowControl w:val="0"/>
        <w:numPr>
          <w:ilvl w:val="0"/>
          <w:numId w:val="23"/>
        </w:numPr>
        <w:tabs>
          <w:tab w:val="clear" w:pos="360"/>
        </w:tabs>
        <w:adjustRightInd/>
        <w:snapToGrid/>
        <w:ind w:left="0" w:firstLine="431"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“差异”有差异的要具体说明，如无差异可填写“无差异”或留空。</w:t>
      </w:r>
    </w:p>
    <w:p w14:paraId="14BC42B2">
      <w:pPr>
        <w:pStyle w:val="53"/>
        <w:widowControl w:val="0"/>
        <w:numPr>
          <w:ilvl w:val="0"/>
          <w:numId w:val="23"/>
        </w:numPr>
        <w:tabs>
          <w:tab w:val="clear" w:pos="360"/>
        </w:tabs>
        <w:adjustRightInd/>
        <w:snapToGrid/>
        <w:ind w:left="0" w:firstLine="431"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请供应商认真填写本表内容，如填写错误将可能导致响应无效。</w:t>
      </w:r>
    </w:p>
    <w:p w14:paraId="2F2821CE">
      <w:pPr>
        <w:pStyle w:val="53"/>
        <w:widowControl w:val="0"/>
        <w:numPr>
          <w:ilvl w:val="0"/>
          <w:numId w:val="23"/>
        </w:numPr>
        <w:tabs>
          <w:tab w:val="clear" w:pos="360"/>
        </w:tabs>
        <w:adjustRightInd/>
        <w:snapToGrid/>
        <w:ind w:left="0" w:firstLine="431"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供应商认真填写本表内容，如本表实质性响应条款有遗漏的，供应商应按照采购文件为准进行补充，如填写错误或漏填将可能导致响应无效。</w:t>
      </w:r>
    </w:p>
    <w:p w14:paraId="1EEC7F0A">
      <w:pPr>
        <w:pStyle w:val="53"/>
        <w:widowControl w:val="0"/>
        <w:tabs>
          <w:tab w:val="clear" w:pos="360"/>
        </w:tabs>
        <w:adjustRightInd/>
        <w:snapToGrid/>
        <w:ind w:left="431" w:firstLine="0" w:firstLineChars="0"/>
        <w:jc w:val="both"/>
        <w:rPr>
          <w:rFonts w:ascii="宋体" w:hAnsi="宋体" w:cs="宋体"/>
          <w:color w:val="000000" w:themeColor="text1"/>
          <w:sz w:val="24"/>
          <w14:textFill>
            <w14:solidFill>
              <w14:schemeClr w14:val="tx1"/>
            </w14:solidFill>
          </w14:textFill>
        </w:rPr>
      </w:pPr>
    </w:p>
    <w:bookmarkEnd w:id="107"/>
    <w:p w14:paraId="086DC2EE">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704AA18E">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71C8B1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259CA2F7">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响应承诺函</w:t>
      </w:r>
    </w:p>
    <w:p w14:paraId="5CE9F2F6">
      <w:pPr>
        <w:ind w:firstLine="643"/>
        <w:jc w:val="center"/>
        <w:rPr>
          <w:rFonts w:ascii="宋体" w:hAnsi="宋体" w:cs="宋体"/>
          <w:b/>
          <w:bCs/>
          <w:color w:val="000000" w:themeColor="text1"/>
          <w:sz w:val="32"/>
          <w:szCs w:val="32"/>
          <w14:textFill>
            <w14:solidFill>
              <w14:schemeClr w14:val="tx1"/>
            </w14:solidFill>
          </w14:textFill>
        </w:rPr>
      </w:pPr>
    </w:p>
    <w:p w14:paraId="7A4C6EFD">
      <w:pPr>
        <w:pStyle w:val="101"/>
        <w:widowControl w:val="0"/>
        <w:tabs>
          <w:tab w:val="clear" w:pos="360"/>
        </w:tabs>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致： 全球数源中心</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14:textFill>
            <w14:solidFill>
              <w14:schemeClr w14:val="tx1"/>
            </w14:solidFill>
          </w14:textFill>
        </w:rPr>
        <w:t>广州南沙</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14:textFill>
            <w14:solidFill>
              <w14:schemeClr w14:val="tx1"/>
            </w14:solidFill>
          </w14:textFill>
        </w:rPr>
        <w:t>有限公司</w:t>
      </w:r>
    </w:p>
    <w:p w14:paraId="19940F46">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我方确认收到贵方提供的本项目的采购文件的全部内容，我方愿参与竞投。</w:t>
      </w:r>
    </w:p>
    <w:p w14:paraId="01AEEE16">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我方在参与响应前已详细研究了采购文件的所有内容，包括澄清、修改文件（如果有）和所有已提供的参考资料以及有关附件，我方完全明白并认为此采购文件没有倾向性，也不存在排斥潜在供应商的内容，我方同意采购文件的相关条款，放弃对采购文件提出误解和质疑的一切权力。</w:t>
      </w:r>
    </w:p>
    <w:p w14:paraId="4E243549">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(供应商名称)</w:t>
      </w:r>
      <w:r>
        <w:rPr>
          <w:rFonts w:hint="eastAsia"/>
          <w:color w:val="000000" w:themeColor="text1"/>
          <w:sz w:val="24"/>
          <w14:textFill>
            <w14:solidFill>
              <w14:schemeClr w14:val="tx1"/>
            </w14:solidFill>
          </w14:textFill>
        </w:rPr>
        <w:t>作为供应商正式授权</w:t>
      </w:r>
      <w:r>
        <w:rPr>
          <w:rFonts w:hint="eastAsia"/>
          <w:color w:val="000000" w:themeColor="text1"/>
          <w:sz w:val="24"/>
          <w:u w:val="single"/>
          <w14:textFill>
            <w14:solidFill>
              <w14:schemeClr w14:val="tx1"/>
            </w14:solidFill>
          </w14:textFill>
        </w:rPr>
        <w:t>(授权代表全名,职务)</w:t>
      </w:r>
      <w:r>
        <w:rPr>
          <w:rFonts w:hint="eastAsia"/>
          <w:color w:val="000000" w:themeColor="text1"/>
          <w:sz w:val="24"/>
          <w14:textFill>
            <w14:solidFill>
              <w14:schemeClr w14:val="tx1"/>
            </w14:solidFill>
          </w14:textFill>
        </w:rPr>
        <w:t>代表我方全权处理有关本响应的一切事宜。</w:t>
      </w:r>
    </w:p>
    <w:p w14:paraId="0D2E37EF">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我方已完全明白采购文件的所有条款要求，并申明如下：</w:t>
      </w:r>
    </w:p>
    <w:p w14:paraId="593F4811">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（一）按采购文件提供的全部货物与相关服务的报价总价详见《开标（报价）一览表》。</w:t>
      </w:r>
    </w:p>
    <w:p w14:paraId="34EC9669">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本响应文件的有效期为从提交响应文件的截止之日起90日历天。如获得成交资格，有效期将延至合同终止日为止。在此提交的资格证明文件均至文件递交截止日有效，如有在响应有效期内失效的，我方承诺在获得成交资格后补齐一切手续，保证所有资格证明文件能在签订采购合同时直至采购合同终止日有效。</w:t>
      </w:r>
    </w:p>
    <w:p w14:paraId="32E6C0A5">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（三）我方愿意向贵方提供任何与本项报价有关的数据、情况和技术资料。若贵方需要，我方愿意提供我方作出的一切承诺的证明材料。</w:t>
      </w:r>
    </w:p>
    <w:p w14:paraId="08CD6AB5">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（四）我方理解贵方不一定接受最低报价或任何贵方可能收到的响应。</w:t>
      </w:r>
    </w:p>
    <w:p w14:paraId="43100AD2">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（五）我方如果获得成交资格，将保证履行采购文件及其澄清、修改文件（如果有）中的全部责任和义务，按质、按量、按期完成《采购需求》及《合同书》中的全部任务。</w:t>
      </w:r>
    </w:p>
    <w:p w14:paraId="6981B59E">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（六）我方作为法律、财务和运作上独立于采购人、采购代理机构的供应商，在此保证所提交的所有文件和全部说明是真实的和正确的。</w:t>
      </w:r>
    </w:p>
    <w:p w14:paraId="2D59893B">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（七）我方响应报价已包含应向知识产权所有权人支付的所有相关税费，并保证采购人在中国使用我方提供的货物或服务时，如有第三方提出侵犯其知识产权主张的，责任由我方承担。</w:t>
      </w:r>
    </w:p>
    <w:p w14:paraId="65DE57EF">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（八）我方与其他供应商不存在法定代表人或单位负责人为同一人或者存在直接控股、管理关系</w:t>
      </w:r>
      <w:r>
        <w:rPr>
          <w:rFonts w:hint="eastAsia"/>
          <w:color w:val="000000" w:themeColor="text1"/>
          <w:sz w:val="24"/>
          <w:lang w:val="en-US" w:eastAsia="zh-CN"/>
          <w14:textFill>
            <w14:solidFill>
              <w14:schemeClr w14:val="tx1"/>
            </w14:solidFill>
          </w14:textFill>
        </w:rPr>
        <w:t>等任何影响招标公平性、公正性的关联关系。否则我方愿承担一切法律责任</w:t>
      </w:r>
      <w:r>
        <w:rPr>
          <w:rFonts w:hint="eastAsia"/>
          <w:color w:val="000000" w:themeColor="text1"/>
          <w:sz w:val="24"/>
          <w14:textFill>
            <w14:solidFill>
              <w14:schemeClr w14:val="tx1"/>
            </w14:solidFill>
          </w14:textFill>
        </w:rPr>
        <w:t>。</w:t>
      </w:r>
    </w:p>
    <w:p w14:paraId="14555E2D">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（九）我方承诺未为本项目提供整体设计、规范编制或者项目管理、监理、检测等服务。</w:t>
      </w:r>
    </w:p>
    <w:p w14:paraId="23DA3152">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（十）我方未被列入法院失信被执行人名单中。</w:t>
      </w:r>
    </w:p>
    <w:p w14:paraId="40D7F994">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（十一）我方承诺遵守《中华人民共和国劳动合同法》有关规定和《中华人民共和国妇女权益保障法》中关于“劳动和社会保障权益”的有关要求。</w:t>
      </w:r>
    </w:p>
    <w:p w14:paraId="61BA7A2B">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（十二）我方承诺具备以下条件：</w:t>
      </w:r>
    </w:p>
    <w:p w14:paraId="0244611B">
      <w:pPr>
        <w:widowControl w:val="0"/>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参加本项目采购活动前3年内在经营活动中没有以下违法记录，或因违法经营被禁止参加采购活动的期限已届满：因违法经营受到刑事处罚或者责令停产停业、吊销许可证或者执照、较大数额罚款等行政处罚。</w:t>
      </w:r>
    </w:p>
    <w:p w14:paraId="16211152">
      <w:pPr>
        <w:pStyle w:val="51"/>
        <w:widowControl w:val="0"/>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（2）具有良好的商业信誉和健全的财务会计制度；</w:t>
      </w:r>
    </w:p>
    <w:p w14:paraId="0CBCA417">
      <w:pPr>
        <w:pStyle w:val="51"/>
        <w:widowControl w:val="0"/>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（3）具有履行合同所必需的设备和专业技术能力；</w:t>
      </w:r>
    </w:p>
    <w:p w14:paraId="4A0387A1">
      <w:pPr>
        <w:pStyle w:val="51"/>
        <w:widowControl w:val="0"/>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（4）有依法缴纳税收和社会保障资金的良好记录；</w:t>
      </w:r>
    </w:p>
    <w:p w14:paraId="506D08B0">
      <w:pPr>
        <w:pStyle w:val="51"/>
        <w:widowControl w:val="0"/>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（5）参加采购活动前三年内，在经营活动中没有重大违法记录；</w:t>
      </w:r>
    </w:p>
    <w:p w14:paraId="54251D57">
      <w:pPr>
        <w:widowControl w:val="0"/>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（6）我方符合法律、行政法规规定的其他条件。</w:t>
      </w:r>
    </w:p>
    <w:p w14:paraId="5D1DAD39">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（十三）我方对在本函及响应文件中所作的所有承诺承担法律责任。</w:t>
      </w:r>
    </w:p>
    <w:p w14:paraId="5BEB1ED7">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（十四）我方声明响应文件及所提供的一切资料均真实无误及有效。由于我方提供资料不实而造成的责任和后果由我方承担。我方同意按照贵方提出的要求，提供与响应有关的任何其它数据或信息。</w:t>
      </w:r>
    </w:p>
    <w:p w14:paraId="360A4995">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（十五）我方同意如在本项目报价后、响应有效期之内撤回响应，或成交后未在规定期限内签订合同并送贵方备案的，贵方将不退还响应保证金（如有）。</w:t>
      </w:r>
    </w:p>
    <w:p w14:paraId="62F2F703">
      <w:pPr>
        <w:pStyle w:val="101"/>
        <w:widowControl w:val="0"/>
        <w:tabs>
          <w:tab w:val="clear" w:pos="360"/>
        </w:tabs>
        <w:ind w:firstLine="420" w:firstLineChars="1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所有与本采购项目有关的函件请发往下列地址：</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2873"/>
        <w:gridCol w:w="1656"/>
        <w:gridCol w:w="3054"/>
      </w:tblGrid>
      <w:tr w14:paraId="04D7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14:paraId="1BC6A79D">
            <w:pPr>
              <w:pStyle w:val="10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地址（邮编）</w:t>
            </w:r>
          </w:p>
        </w:tc>
        <w:tc>
          <w:tcPr>
            <w:tcW w:w="1442" w:type="pct"/>
            <w:vAlign w:val="center"/>
          </w:tcPr>
          <w:p w14:paraId="07FA0522">
            <w:pPr>
              <w:pStyle w:val="10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w:t>
            </w:r>
          </w:p>
        </w:tc>
        <w:tc>
          <w:tcPr>
            <w:tcW w:w="831" w:type="pct"/>
            <w:vAlign w:val="center"/>
          </w:tcPr>
          <w:p w14:paraId="32FEAF54">
            <w:pPr>
              <w:pStyle w:val="10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传真</w:t>
            </w:r>
          </w:p>
        </w:tc>
        <w:tc>
          <w:tcPr>
            <w:tcW w:w="1533" w:type="pct"/>
            <w:vAlign w:val="center"/>
          </w:tcPr>
          <w:p w14:paraId="44F8A393">
            <w:pPr>
              <w:pStyle w:val="101"/>
              <w:rPr>
                <w:color w:val="000000" w:themeColor="text1"/>
                <w:sz w:val="24"/>
                <w14:textFill>
                  <w14:solidFill>
                    <w14:schemeClr w14:val="tx1"/>
                  </w14:solidFill>
                </w14:textFill>
              </w:rPr>
            </w:pPr>
          </w:p>
        </w:tc>
      </w:tr>
      <w:tr w14:paraId="4D4B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14:paraId="2E658A5E">
            <w:pPr>
              <w:pStyle w:val="10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联系人（职务）</w:t>
            </w:r>
          </w:p>
        </w:tc>
        <w:tc>
          <w:tcPr>
            <w:tcW w:w="1442" w:type="pct"/>
            <w:vAlign w:val="center"/>
          </w:tcPr>
          <w:p w14:paraId="228EFEDA">
            <w:pPr>
              <w:pStyle w:val="101"/>
              <w:rPr>
                <w:color w:val="000000" w:themeColor="text1"/>
                <w:sz w:val="24"/>
                <w14:textFill>
                  <w14:solidFill>
                    <w14:schemeClr w14:val="tx1"/>
                  </w14:solidFill>
                </w14:textFill>
              </w:rPr>
            </w:pPr>
          </w:p>
        </w:tc>
        <w:tc>
          <w:tcPr>
            <w:tcW w:w="831" w:type="pct"/>
            <w:vAlign w:val="center"/>
          </w:tcPr>
          <w:p w14:paraId="3379041C">
            <w:pPr>
              <w:pStyle w:val="10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p>
        </w:tc>
        <w:tc>
          <w:tcPr>
            <w:tcW w:w="1533" w:type="pct"/>
            <w:vAlign w:val="center"/>
          </w:tcPr>
          <w:p w14:paraId="03C6C2ED">
            <w:pPr>
              <w:pStyle w:val="101"/>
              <w:rPr>
                <w:color w:val="000000" w:themeColor="text1"/>
                <w:sz w:val="24"/>
                <w14:textFill>
                  <w14:solidFill>
                    <w14:schemeClr w14:val="tx1"/>
                  </w14:solidFill>
                </w14:textFill>
              </w:rPr>
            </w:pPr>
          </w:p>
        </w:tc>
      </w:tr>
    </w:tbl>
    <w:p w14:paraId="4FAB0CFB">
      <w:pPr>
        <w:pStyle w:val="101"/>
        <w:rPr>
          <w:color w:val="000000" w:themeColor="text1"/>
          <w:sz w:val="24"/>
          <w14:textFill>
            <w14:solidFill>
              <w14:schemeClr w14:val="tx1"/>
            </w14:solidFill>
          </w14:textFill>
        </w:rPr>
      </w:pPr>
    </w:p>
    <w:p w14:paraId="5B225733">
      <w:pPr>
        <w:pStyle w:val="101"/>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法定代表人/负责人/委托代理人（签字或盖章）：</w:t>
      </w:r>
    </w:p>
    <w:p w14:paraId="7ECFD7B2">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5B9C93EE">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01B0BAD">
      <w:pPr>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说明：本格式文件内容不得擅自删改</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lang w:val="en-GB"/>
          <w14:textFill>
            <w14:solidFill>
              <w14:schemeClr w14:val="tx1"/>
            </w14:solidFill>
          </w14:textFill>
        </w:rPr>
        <w:br w:type="page"/>
      </w:r>
    </w:p>
    <w:p w14:paraId="7C170107">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资格声明</w:t>
      </w:r>
    </w:p>
    <w:p w14:paraId="505E4943">
      <w:pPr>
        <w:rPr>
          <w:rFonts w:ascii="宋体" w:hAnsi="宋体" w:cs="宋体"/>
          <w:color w:val="000000" w:themeColor="text1"/>
          <w:sz w:val="24"/>
          <w14:textFill>
            <w14:solidFill>
              <w14:schemeClr w14:val="tx1"/>
            </w14:solidFill>
          </w14:textFill>
        </w:rPr>
      </w:pPr>
    </w:p>
    <w:p w14:paraId="74D0191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全球数源中心</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广州南沙</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有限公司：</w:t>
      </w:r>
    </w:p>
    <w:p w14:paraId="0F0B5B47">
      <w:pPr>
        <w:pStyle w:val="51"/>
        <w:tabs>
          <w:tab w:val="clear" w:pos="360"/>
        </w:tabs>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下述供应商自愿响应贵方全球数源中心数据流通利用基础设施先行先试项目方案设计服务项目采购公告，参与本采购项目的响应事宜，并按采购文件的要求提交所附资格文件且声明和保证如下：</w:t>
      </w:r>
    </w:p>
    <w:p w14:paraId="19E991D2">
      <w:pPr>
        <w:pStyle w:val="53"/>
        <w:widowControl w:val="0"/>
        <w:numPr>
          <w:ilvl w:val="0"/>
          <w:numId w:val="24"/>
        </w:numPr>
        <w:tabs>
          <w:tab w:val="clear" w:pos="360"/>
        </w:tabs>
        <w:adjustRightInd/>
        <w:snapToGrid/>
        <w:ind w:left="0" w:firstLine="431"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我方为本次采购所提交的所有证明其合格和资格的文件是真实的和正确的，并愿为其真实性和正确性承担法律责任；</w:t>
      </w:r>
    </w:p>
    <w:p w14:paraId="1A14B717">
      <w:pPr>
        <w:pStyle w:val="53"/>
        <w:widowControl w:val="0"/>
        <w:numPr>
          <w:ilvl w:val="0"/>
          <w:numId w:val="24"/>
        </w:numPr>
        <w:tabs>
          <w:tab w:val="clear" w:pos="360"/>
        </w:tabs>
        <w:adjustRightInd/>
        <w:snapToGrid/>
        <w:ind w:left="0" w:firstLine="431"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我方是依法注册的法人或非法人组织，具有独立承担民事责任的能力，提供以下相关证照的原件扫描件（见附件）之一：企业法人营业执照；事业法人登记证。在法律上、财务上和运作上完全独立于 某单位；</w:t>
      </w:r>
    </w:p>
    <w:p w14:paraId="4AE91F2E">
      <w:pPr>
        <w:pStyle w:val="53"/>
        <w:widowControl w:val="0"/>
        <w:numPr>
          <w:ilvl w:val="0"/>
          <w:numId w:val="24"/>
        </w:numPr>
        <w:tabs>
          <w:tab w:val="clear" w:pos="360"/>
        </w:tabs>
        <w:adjustRightInd/>
        <w:snapToGrid/>
        <w:ind w:left="0" w:firstLine="431"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我方在响应活动中三年内没有重大违法活动及涉嫌违规行为，并没有因此而被有关部门警告或处分的记录。</w:t>
      </w:r>
    </w:p>
    <w:p w14:paraId="2460888E">
      <w:pPr>
        <w:pStyle w:val="53"/>
        <w:widowControl w:val="0"/>
        <w:numPr>
          <w:ilvl w:val="0"/>
          <w:numId w:val="24"/>
        </w:numPr>
        <w:tabs>
          <w:tab w:val="clear" w:pos="360"/>
        </w:tabs>
        <w:adjustRightInd/>
        <w:snapToGrid/>
        <w:ind w:left="0" w:firstLine="431"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我方没有处于被责令停业或破产状态，且资产未被重组、接管和冻结。</w:t>
      </w:r>
    </w:p>
    <w:p w14:paraId="3C86C43F">
      <w:pPr>
        <w:rPr>
          <w:rFonts w:ascii="宋体" w:hAnsi="宋体" w:cs="宋体"/>
          <w:color w:val="000000" w:themeColor="text1"/>
          <w:sz w:val="24"/>
          <w14:textFill>
            <w14:solidFill>
              <w14:schemeClr w14:val="tx1"/>
            </w14:solidFill>
          </w14:textFill>
        </w:rPr>
      </w:pPr>
    </w:p>
    <w:p w14:paraId="483B55F5">
      <w:pPr>
        <w:tabs>
          <w:tab w:val="clear" w:pos="360"/>
        </w:tabs>
        <w:ind w:firstLine="422" w:firstLineChars="175"/>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附件：法人营业执照、事业法人登记证或其他组织的营业执照或执业许可证等相关证照的扫描件</w:t>
      </w:r>
    </w:p>
    <w:p w14:paraId="13305E95">
      <w:pPr>
        <w:rPr>
          <w:rFonts w:ascii="宋体" w:hAnsi="宋体" w:cs="宋体"/>
          <w:color w:val="000000" w:themeColor="text1"/>
          <w:sz w:val="24"/>
          <w14:textFill>
            <w14:solidFill>
              <w14:schemeClr w14:val="tx1"/>
            </w14:solidFill>
          </w14:textFill>
        </w:rPr>
      </w:pPr>
    </w:p>
    <w:p w14:paraId="751F5E12">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22216A7B">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2D1E55C">
      <w:pPr>
        <w:rPr>
          <w:rFonts w:ascii="宋体" w:hAnsi="宋体" w:cs="宋体"/>
          <w:color w:val="000000" w:themeColor="text1"/>
          <w:sz w:val="24"/>
          <w14:textFill>
            <w14:solidFill>
              <w14:schemeClr w14:val="tx1"/>
            </w14:solidFill>
          </w14:textFill>
        </w:rPr>
      </w:pPr>
    </w:p>
    <w:p w14:paraId="3157AC7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4970BFEE">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法定代表人（负责人）证明书</w:t>
      </w:r>
    </w:p>
    <w:p w14:paraId="6AF1BCBB">
      <w:pPr>
        <w:rPr>
          <w:rFonts w:ascii="宋体" w:hAnsi="宋体" w:cs="宋体"/>
          <w:color w:val="000000" w:themeColor="text1"/>
          <w:sz w:val="24"/>
          <w14:textFill>
            <w14:solidFill>
              <w14:schemeClr w14:val="tx1"/>
            </w14:solidFill>
          </w14:textFill>
        </w:rPr>
      </w:pPr>
    </w:p>
    <w:p w14:paraId="5F2A962C">
      <w:pPr>
        <w:tabs>
          <w:tab w:val="clear" w:pos="360"/>
        </w:tabs>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姓名：_____身份证号码：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在我方（或者企业、单位）任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职务，是我公司（或者企业、单位）的法定代表人/负责人。</w:t>
      </w:r>
    </w:p>
    <w:p w14:paraId="3878BA3A">
      <w:pPr>
        <w:tabs>
          <w:tab w:val="clear" w:pos="360"/>
        </w:tabs>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13791050">
      <w:pPr>
        <w:rPr>
          <w:rFonts w:ascii="宋体" w:hAnsi="宋体" w:cs="宋体"/>
          <w:color w:val="000000" w:themeColor="text1"/>
          <w:sz w:val="24"/>
          <w14:textFill>
            <w14:solidFill>
              <w14:schemeClr w14:val="tx1"/>
            </w14:solidFill>
          </w14:textFill>
        </w:rPr>
      </w:pPr>
    </w:p>
    <w:p w14:paraId="0A13B1AF">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2511DC60">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90F3A3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p w14:paraId="08CBE80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可使用上述格式，也可使用工商部门统一印制的法定代表人证明书格式。</w:t>
      </w:r>
    </w:p>
    <w:p w14:paraId="07BBD02A">
      <w:pPr>
        <w:rPr>
          <w:rFonts w:ascii="宋体" w:hAnsi="宋体" w:cs="宋体"/>
          <w:color w:val="000000" w:themeColor="text1"/>
          <w:sz w:val="24"/>
          <w14:textFill>
            <w14:solidFill>
              <w14:schemeClr w14:val="tx1"/>
            </w14:solidFill>
          </w14:textFill>
        </w:rPr>
      </w:pPr>
    </w:p>
    <w:p w14:paraId="2D2BACD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法人身份证复印件：</w:t>
      </w:r>
    </w:p>
    <w:tbl>
      <w:tblPr>
        <w:tblStyle w:val="2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7350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Pr>
          <w:p w14:paraId="27F8522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人像面：</w:t>
            </w:r>
          </w:p>
          <w:p w14:paraId="6FFE181D">
            <w:pPr>
              <w:rPr>
                <w:rFonts w:ascii="宋体" w:hAnsi="宋体" w:cs="宋体"/>
                <w:color w:val="000000" w:themeColor="text1"/>
                <w:sz w:val="24"/>
                <w14:textFill>
                  <w14:solidFill>
                    <w14:schemeClr w14:val="tx1"/>
                  </w14:solidFill>
                </w14:textFill>
              </w:rPr>
            </w:pPr>
          </w:p>
          <w:p w14:paraId="636699AE">
            <w:pPr>
              <w:rPr>
                <w:rFonts w:ascii="宋体" w:hAnsi="宋体" w:cs="宋体"/>
                <w:color w:val="000000" w:themeColor="text1"/>
                <w:sz w:val="24"/>
                <w14:textFill>
                  <w14:solidFill>
                    <w14:schemeClr w14:val="tx1"/>
                  </w14:solidFill>
                </w14:textFill>
              </w:rPr>
            </w:pPr>
          </w:p>
          <w:p w14:paraId="26DC45EE">
            <w:pPr>
              <w:rPr>
                <w:rFonts w:ascii="宋体" w:hAnsi="宋体" w:cs="宋体"/>
                <w:color w:val="000000" w:themeColor="text1"/>
                <w:sz w:val="24"/>
                <w14:textFill>
                  <w14:solidFill>
                    <w14:schemeClr w14:val="tx1"/>
                  </w14:solidFill>
                </w14:textFill>
              </w:rPr>
            </w:pPr>
          </w:p>
          <w:p w14:paraId="069FE1EA">
            <w:pPr>
              <w:rPr>
                <w:rFonts w:ascii="宋体" w:hAnsi="宋体" w:cs="宋体"/>
                <w:color w:val="000000" w:themeColor="text1"/>
                <w:sz w:val="24"/>
                <w14:textFill>
                  <w14:solidFill>
                    <w14:schemeClr w14:val="tx1"/>
                  </w14:solidFill>
                </w14:textFill>
              </w:rPr>
            </w:pPr>
          </w:p>
          <w:p w14:paraId="7007D5B1">
            <w:pPr>
              <w:rPr>
                <w:rFonts w:ascii="宋体" w:hAnsi="宋体" w:cs="宋体"/>
                <w:color w:val="000000" w:themeColor="text1"/>
                <w:sz w:val="24"/>
                <w14:textFill>
                  <w14:solidFill>
                    <w14:schemeClr w14:val="tx1"/>
                  </w14:solidFill>
                </w14:textFill>
              </w:rPr>
            </w:pPr>
          </w:p>
        </w:tc>
      </w:tr>
      <w:tr w14:paraId="30A4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5943AFE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国徽面：</w:t>
            </w:r>
          </w:p>
          <w:p w14:paraId="5FC9AD40">
            <w:pPr>
              <w:rPr>
                <w:rFonts w:ascii="宋体" w:hAnsi="宋体" w:cs="宋体"/>
                <w:color w:val="000000" w:themeColor="text1"/>
                <w:sz w:val="24"/>
                <w14:textFill>
                  <w14:solidFill>
                    <w14:schemeClr w14:val="tx1"/>
                  </w14:solidFill>
                </w14:textFill>
              </w:rPr>
            </w:pPr>
          </w:p>
          <w:p w14:paraId="25B7025E">
            <w:pPr>
              <w:rPr>
                <w:rFonts w:ascii="宋体" w:hAnsi="宋体" w:cs="宋体"/>
                <w:color w:val="000000" w:themeColor="text1"/>
                <w:sz w:val="24"/>
                <w14:textFill>
                  <w14:solidFill>
                    <w14:schemeClr w14:val="tx1"/>
                  </w14:solidFill>
                </w14:textFill>
              </w:rPr>
            </w:pPr>
          </w:p>
          <w:p w14:paraId="01F82469">
            <w:pPr>
              <w:rPr>
                <w:rFonts w:ascii="宋体" w:hAnsi="宋体" w:cs="宋体"/>
                <w:color w:val="000000" w:themeColor="text1"/>
                <w:sz w:val="24"/>
                <w14:textFill>
                  <w14:solidFill>
                    <w14:schemeClr w14:val="tx1"/>
                  </w14:solidFill>
                </w14:textFill>
              </w:rPr>
            </w:pPr>
          </w:p>
          <w:p w14:paraId="4289D845">
            <w:pPr>
              <w:rPr>
                <w:rFonts w:ascii="宋体" w:hAnsi="宋体" w:cs="宋体"/>
                <w:color w:val="000000" w:themeColor="text1"/>
                <w:sz w:val="24"/>
                <w14:textFill>
                  <w14:solidFill>
                    <w14:schemeClr w14:val="tx1"/>
                  </w14:solidFill>
                </w14:textFill>
              </w:rPr>
            </w:pPr>
          </w:p>
          <w:p w14:paraId="5F9FD763">
            <w:pPr>
              <w:rPr>
                <w:rFonts w:ascii="宋体" w:hAnsi="宋体" w:cs="宋体"/>
                <w:color w:val="000000" w:themeColor="text1"/>
                <w:sz w:val="24"/>
                <w14:textFill>
                  <w14:solidFill>
                    <w14:schemeClr w14:val="tx1"/>
                  </w14:solidFill>
                </w14:textFill>
              </w:rPr>
            </w:pPr>
          </w:p>
        </w:tc>
      </w:tr>
    </w:tbl>
    <w:p w14:paraId="4A4E5C85">
      <w:pPr>
        <w:rPr>
          <w:rFonts w:ascii="宋体" w:hAnsi="宋体" w:cs="宋体"/>
          <w:color w:val="000000" w:themeColor="text1"/>
          <w:sz w:val="24"/>
          <w14:textFill>
            <w14:solidFill>
              <w14:schemeClr w14:val="tx1"/>
            </w14:solidFill>
          </w14:textFill>
        </w:rPr>
      </w:pPr>
    </w:p>
    <w:p w14:paraId="4DE4995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43EFBBE5">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授权委托证明书</w:t>
      </w:r>
    </w:p>
    <w:p w14:paraId="5832CED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p w14:paraId="539F3B7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全球数源中心</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广州南沙</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有限公司：</w:t>
      </w:r>
    </w:p>
    <w:p w14:paraId="6B80C729">
      <w:pPr>
        <w:pStyle w:val="51"/>
        <w:tabs>
          <w:tab w:val="clear" w:pos="360"/>
        </w:tabs>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人（姓名）系（供应商名称）法定代表人，现授权（委托代理人姓名）为我方合法委托代理人，参加全球数源中心数据流通利用基础设施先行先试项目方案设计服务项目响应活动及相关事宜。该授权代表在本响应活动过程中所签署的一切文件和处理与之有关的一切事务，均代表我方的行为，与本人的行为具有同等的法律效力。我方将承担授权代表行为的一切法律责任后果。本授权书有效期与本公司响应文件成交注的响应有效期相同。</w:t>
      </w:r>
    </w:p>
    <w:p w14:paraId="32951C9C">
      <w:pPr>
        <w:rPr>
          <w:rFonts w:ascii="宋体" w:hAnsi="宋体" w:cs="宋体"/>
          <w:color w:val="000000" w:themeColor="text1"/>
          <w:sz w:val="24"/>
          <w14:textFill>
            <w14:solidFill>
              <w14:schemeClr w14:val="tx1"/>
            </w14:solidFill>
          </w14:textFill>
        </w:rPr>
      </w:pPr>
    </w:p>
    <w:p w14:paraId="749BE01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附：代理人性别：       年龄：        职务：               </w:t>
      </w:r>
    </w:p>
    <w:p w14:paraId="070377B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身份证号码：                     </w:t>
      </w:r>
    </w:p>
    <w:p w14:paraId="536D7A3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（营业执照等）注册号码：                    </w:t>
      </w:r>
    </w:p>
    <w:p w14:paraId="2DD1367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经营范围：                                      </w:t>
      </w:r>
    </w:p>
    <w:p w14:paraId="0ABBF0DC">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授权单位（单位公章）：</w:t>
      </w:r>
    </w:p>
    <w:p w14:paraId="2886B096">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2EE51B6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受托人复印件：</w:t>
      </w:r>
    </w:p>
    <w:tbl>
      <w:tblPr>
        <w:tblStyle w:val="2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3D95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4C82B4A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人像面：</w:t>
            </w:r>
          </w:p>
          <w:p w14:paraId="311E2C24">
            <w:pPr>
              <w:rPr>
                <w:rFonts w:ascii="宋体" w:hAnsi="宋体" w:cs="宋体"/>
                <w:color w:val="000000" w:themeColor="text1"/>
                <w:sz w:val="24"/>
                <w14:textFill>
                  <w14:solidFill>
                    <w14:schemeClr w14:val="tx1"/>
                  </w14:solidFill>
                </w14:textFill>
              </w:rPr>
            </w:pPr>
          </w:p>
          <w:p w14:paraId="5DB45E0D">
            <w:pPr>
              <w:rPr>
                <w:rFonts w:ascii="宋体" w:hAnsi="宋体" w:cs="宋体"/>
                <w:color w:val="000000" w:themeColor="text1"/>
                <w:sz w:val="24"/>
                <w14:textFill>
                  <w14:solidFill>
                    <w14:schemeClr w14:val="tx1"/>
                  </w14:solidFill>
                </w14:textFill>
              </w:rPr>
            </w:pPr>
          </w:p>
          <w:p w14:paraId="7364DA22">
            <w:pPr>
              <w:rPr>
                <w:rFonts w:ascii="宋体" w:hAnsi="宋体" w:cs="宋体"/>
                <w:color w:val="000000" w:themeColor="text1"/>
                <w:sz w:val="24"/>
                <w14:textFill>
                  <w14:solidFill>
                    <w14:schemeClr w14:val="tx1"/>
                  </w14:solidFill>
                </w14:textFill>
              </w:rPr>
            </w:pPr>
          </w:p>
          <w:p w14:paraId="56A08364">
            <w:pPr>
              <w:rPr>
                <w:rFonts w:ascii="宋体" w:hAnsi="宋体" w:cs="宋体"/>
                <w:color w:val="000000" w:themeColor="text1"/>
                <w:sz w:val="24"/>
                <w14:textFill>
                  <w14:solidFill>
                    <w14:schemeClr w14:val="tx1"/>
                  </w14:solidFill>
                </w14:textFill>
              </w:rPr>
            </w:pPr>
          </w:p>
        </w:tc>
      </w:tr>
      <w:tr w14:paraId="0D6B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56BCABE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国徽面：</w:t>
            </w:r>
          </w:p>
          <w:p w14:paraId="5F66EDBF">
            <w:pPr>
              <w:rPr>
                <w:rFonts w:ascii="宋体" w:hAnsi="宋体" w:cs="宋体"/>
                <w:color w:val="000000" w:themeColor="text1"/>
                <w:sz w:val="24"/>
                <w14:textFill>
                  <w14:solidFill>
                    <w14:schemeClr w14:val="tx1"/>
                  </w14:solidFill>
                </w14:textFill>
              </w:rPr>
            </w:pPr>
          </w:p>
          <w:p w14:paraId="580FDA0A">
            <w:pPr>
              <w:rPr>
                <w:rFonts w:ascii="宋体" w:hAnsi="宋体" w:cs="宋体"/>
                <w:color w:val="000000" w:themeColor="text1"/>
                <w:sz w:val="24"/>
                <w14:textFill>
                  <w14:solidFill>
                    <w14:schemeClr w14:val="tx1"/>
                  </w14:solidFill>
                </w14:textFill>
              </w:rPr>
            </w:pPr>
          </w:p>
          <w:p w14:paraId="0E6ED25B">
            <w:pPr>
              <w:rPr>
                <w:rFonts w:ascii="宋体" w:hAnsi="宋体" w:cs="宋体"/>
                <w:color w:val="000000" w:themeColor="text1"/>
                <w:sz w:val="24"/>
                <w14:textFill>
                  <w14:solidFill>
                    <w14:schemeClr w14:val="tx1"/>
                  </w14:solidFill>
                </w14:textFill>
              </w:rPr>
            </w:pPr>
          </w:p>
          <w:p w14:paraId="52DA1785">
            <w:pPr>
              <w:rPr>
                <w:rFonts w:ascii="宋体" w:hAnsi="宋体" w:cs="宋体"/>
                <w:color w:val="000000" w:themeColor="text1"/>
                <w:sz w:val="24"/>
                <w14:textFill>
                  <w14:solidFill>
                    <w14:schemeClr w14:val="tx1"/>
                  </w14:solidFill>
                </w14:textFill>
              </w:rPr>
            </w:pPr>
          </w:p>
        </w:tc>
      </w:tr>
    </w:tbl>
    <w:p w14:paraId="608321B9">
      <w:pPr>
        <w:ind w:firstLine="643"/>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784DA309">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总公司响应授权书（分支机构适用）</w:t>
      </w:r>
    </w:p>
    <w:p w14:paraId="4CDFDE32">
      <w:pPr>
        <w:rPr>
          <w:rFonts w:ascii="宋体" w:hAnsi="宋体" w:cs="宋体"/>
          <w:color w:val="000000" w:themeColor="text1"/>
          <w:sz w:val="24"/>
          <w14:textFill>
            <w14:solidFill>
              <w14:schemeClr w14:val="tx1"/>
            </w14:solidFill>
          </w14:textFill>
        </w:rPr>
      </w:pPr>
    </w:p>
    <w:p w14:paraId="3457F27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全球数源中心</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广州南沙</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有限公司：</w:t>
      </w:r>
    </w:p>
    <w:p w14:paraId="0BF42DDD">
      <w:pPr>
        <w:pStyle w:val="51"/>
        <w:tabs>
          <w:tab w:val="clear" w:pos="360"/>
        </w:tabs>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法定代表人姓名）系（总公司名称）的法定代表人/负责人，现授权（分公司名称）为我方合法委托代理人参加“全球数源中心数据流通利用基础设施先行先试项目方案设计服务项目”的响应活动。该分公司的授权代表在本响应活动过程中所签署的一切文件和处理与之有关的一切事务，均代表我方的行为，与本人的行为具有同等的法律效力。我方将承担授权代表行为的一切法律责任后果。</w:t>
      </w:r>
    </w:p>
    <w:p w14:paraId="2B855E4B">
      <w:pPr>
        <w:rPr>
          <w:rFonts w:ascii="宋体" w:hAnsi="宋体" w:cs="宋体"/>
          <w:color w:val="000000" w:themeColor="text1"/>
          <w:sz w:val="24"/>
          <w14:textFill>
            <w14:solidFill>
              <w14:schemeClr w14:val="tx1"/>
            </w14:solidFill>
          </w14:textFill>
        </w:rPr>
      </w:pPr>
    </w:p>
    <w:p w14:paraId="65B173BD">
      <w:pPr>
        <w:rPr>
          <w:rFonts w:ascii="宋体" w:hAnsi="宋体" w:cs="宋体"/>
          <w:color w:val="000000" w:themeColor="text1"/>
          <w:sz w:val="24"/>
          <w14:textFill>
            <w14:solidFill>
              <w14:schemeClr w14:val="tx1"/>
            </w14:solidFill>
          </w14:textFill>
        </w:rPr>
      </w:pPr>
    </w:p>
    <w:p w14:paraId="52DBEA1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  年  月  日签字生效，代理人无转委托权。</w:t>
      </w:r>
    </w:p>
    <w:p w14:paraId="21776E70">
      <w:pPr>
        <w:rPr>
          <w:rFonts w:ascii="宋体" w:hAnsi="宋体" w:cs="宋体"/>
          <w:color w:val="000000" w:themeColor="text1"/>
          <w:sz w:val="24"/>
          <w14:textFill>
            <w14:solidFill>
              <w14:schemeClr w14:val="tx1"/>
            </w14:solidFill>
          </w14:textFill>
        </w:rPr>
      </w:pPr>
    </w:p>
    <w:p w14:paraId="5A8A412D">
      <w:pPr>
        <w:jc w:val="right"/>
        <w:rPr>
          <w:rFonts w:ascii="宋体" w:hAnsi="宋体" w:cs="宋体"/>
          <w:color w:val="000000" w:themeColor="text1"/>
          <w:sz w:val="24"/>
          <w14:textFill>
            <w14:solidFill>
              <w14:schemeClr w14:val="tx1"/>
            </w14:solidFill>
          </w14:textFill>
        </w:rPr>
      </w:pPr>
    </w:p>
    <w:p w14:paraId="1988ADA5">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授权人：（总公司名称）（盖章）</w:t>
      </w:r>
    </w:p>
    <w:p w14:paraId="49F1DA28">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法定代表人（签字或盖章）：</w:t>
      </w:r>
    </w:p>
    <w:p w14:paraId="13876C60">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8413EC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3A1FBE01">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技术商务响应文件格式（包括但不限于）</w:t>
      </w:r>
    </w:p>
    <w:p w14:paraId="2327B9C1">
      <w:pPr>
        <w:ind w:firstLine="420"/>
        <w:rPr>
          <w:color w:val="000000" w:themeColor="text1"/>
          <w14:textFill>
            <w14:solidFill>
              <w14:schemeClr w14:val="tx1"/>
            </w14:solidFill>
          </w14:textFill>
        </w:rPr>
      </w:pPr>
    </w:p>
    <w:p w14:paraId="55A37B77">
      <w:pPr>
        <w:tabs>
          <w:tab w:val="clear" w:pos="360"/>
        </w:tabs>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供应商应对第一章《供应商须知》和第二章《用户需求书》及评分要求的内容、方式和时间作出一个详细的工作方案，方案内容应包含但不限于上述两章的内容。</w:t>
      </w:r>
    </w:p>
    <w:p w14:paraId="7D5939B7">
      <w:pPr>
        <w:pStyle w:val="53"/>
        <w:widowControl w:val="0"/>
        <w:numPr>
          <w:ilvl w:val="0"/>
          <w:numId w:val="25"/>
        </w:numPr>
        <w:tabs>
          <w:tab w:val="clear" w:pos="360"/>
        </w:tabs>
        <w:adjustRightInd/>
        <w:snapToGrid/>
        <w:ind w:left="0" w:firstLine="1260"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供应商简介。（参考供应商简介格式进行填写）</w:t>
      </w:r>
    </w:p>
    <w:p w14:paraId="2AF10011">
      <w:pPr>
        <w:pStyle w:val="53"/>
        <w:widowControl w:val="0"/>
        <w:numPr>
          <w:ilvl w:val="0"/>
          <w:numId w:val="25"/>
        </w:numPr>
        <w:tabs>
          <w:tab w:val="clear" w:pos="360"/>
        </w:tabs>
        <w:adjustRightInd/>
        <w:snapToGrid/>
        <w:ind w:left="0" w:firstLine="1260"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项目的需求调研分析方案</w:t>
      </w:r>
    </w:p>
    <w:p w14:paraId="26F48080">
      <w:pPr>
        <w:pStyle w:val="53"/>
        <w:widowControl w:val="0"/>
        <w:numPr>
          <w:ilvl w:val="0"/>
          <w:numId w:val="25"/>
        </w:numPr>
        <w:tabs>
          <w:tab w:val="clear" w:pos="360"/>
        </w:tabs>
        <w:adjustRightInd/>
        <w:snapToGrid/>
        <w:ind w:left="0" w:firstLine="1260"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对项目重点、难点分析，认识及对策措施</w:t>
      </w:r>
    </w:p>
    <w:p w14:paraId="7AE9FEDB">
      <w:pPr>
        <w:pStyle w:val="53"/>
        <w:widowControl w:val="0"/>
        <w:numPr>
          <w:ilvl w:val="0"/>
          <w:numId w:val="25"/>
        </w:numPr>
        <w:tabs>
          <w:tab w:val="clear" w:pos="360"/>
        </w:tabs>
        <w:adjustRightInd/>
        <w:snapToGrid/>
        <w:ind w:left="0" w:firstLine="1260"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本项目的服务实施方案</w:t>
      </w:r>
    </w:p>
    <w:p w14:paraId="790AD96B">
      <w:pPr>
        <w:pStyle w:val="53"/>
        <w:widowControl w:val="0"/>
        <w:numPr>
          <w:ilvl w:val="0"/>
          <w:numId w:val="25"/>
        </w:numPr>
        <w:tabs>
          <w:tab w:val="clear" w:pos="360"/>
        </w:tabs>
        <w:adjustRightInd/>
        <w:snapToGrid/>
        <w:ind w:left="0" w:firstLine="1260"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质量保障措施</w:t>
      </w:r>
    </w:p>
    <w:p w14:paraId="19A67032">
      <w:pPr>
        <w:pStyle w:val="53"/>
        <w:widowControl w:val="0"/>
        <w:numPr>
          <w:ilvl w:val="0"/>
          <w:numId w:val="25"/>
        </w:numPr>
        <w:tabs>
          <w:tab w:val="clear" w:pos="360"/>
        </w:tabs>
        <w:adjustRightInd/>
        <w:snapToGrid/>
        <w:ind w:left="0" w:firstLine="1260"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供应商综合服务能力</w:t>
      </w:r>
    </w:p>
    <w:p w14:paraId="50E35048">
      <w:pPr>
        <w:pStyle w:val="53"/>
        <w:widowControl w:val="0"/>
        <w:numPr>
          <w:ilvl w:val="0"/>
          <w:numId w:val="25"/>
        </w:numPr>
        <w:tabs>
          <w:tab w:val="clear" w:pos="360"/>
        </w:tabs>
        <w:adjustRightInd/>
        <w:snapToGrid/>
        <w:ind w:left="0" w:firstLine="1260"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项目经理能力情况</w:t>
      </w:r>
    </w:p>
    <w:p w14:paraId="3D767956">
      <w:pPr>
        <w:pStyle w:val="53"/>
        <w:widowControl w:val="0"/>
        <w:numPr>
          <w:ilvl w:val="0"/>
          <w:numId w:val="25"/>
        </w:numPr>
        <w:tabs>
          <w:tab w:val="clear" w:pos="360"/>
        </w:tabs>
        <w:adjustRightInd/>
        <w:snapToGrid/>
        <w:ind w:left="0" w:firstLine="1260"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项目团队的能力情况（项目经理除外）</w:t>
      </w:r>
    </w:p>
    <w:p w14:paraId="0E5D42C5">
      <w:pPr>
        <w:pStyle w:val="53"/>
        <w:widowControl w:val="0"/>
        <w:numPr>
          <w:ilvl w:val="0"/>
          <w:numId w:val="25"/>
        </w:numPr>
        <w:tabs>
          <w:tab w:val="clear" w:pos="360"/>
        </w:tabs>
        <w:adjustRightInd/>
        <w:snapToGrid/>
        <w:ind w:left="0" w:firstLine="1260"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同类项目经验</w:t>
      </w:r>
    </w:p>
    <w:p w14:paraId="25189F1E">
      <w:pPr>
        <w:pStyle w:val="53"/>
        <w:widowControl w:val="0"/>
        <w:numPr>
          <w:ilvl w:val="0"/>
          <w:numId w:val="25"/>
        </w:numPr>
        <w:tabs>
          <w:tab w:val="clear" w:pos="360"/>
        </w:tabs>
        <w:adjustRightInd/>
        <w:snapToGrid/>
        <w:ind w:left="0" w:firstLine="1260" w:firstLineChars="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供应商认为有需要提供的文件（如有）</w:t>
      </w:r>
    </w:p>
    <w:p w14:paraId="27291C43">
      <w:pPr>
        <w:ind w:firstLine="643"/>
        <w:jc w:val="center"/>
        <w:rPr>
          <w:rFonts w:ascii="宋体" w:hAnsi="宋体" w:cs="宋体"/>
          <w:b/>
          <w:bCs/>
          <w:color w:val="000000" w:themeColor="text1"/>
          <w:sz w:val="32"/>
          <w:szCs w:val="32"/>
          <w14:textFill>
            <w14:solidFill>
              <w14:schemeClr w14:val="tx1"/>
            </w14:solidFill>
          </w14:textFill>
        </w:rPr>
      </w:pPr>
    </w:p>
    <w:p w14:paraId="624E8019">
      <w:pPr>
        <w:ind w:firstLine="643"/>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2382BE17">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供应商简介</w:t>
      </w:r>
    </w:p>
    <w:p w14:paraId="3780E6BE">
      <w:pPr>
        <w:tabs>
          <w:tab w:val="clear" w:pos="360"/>
        </w:tabs>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（格式自定义）</w:t>
      </w:r>
    </w:p>
    <w:p w14:paraId="5DCE127E">
      <w:pPr>
        <w:rPr>
          <w:rFonts w:ascii="宋体" w:hAnsi="宋体" w:cs="宋体"/>
          <w:color w:val="000000" w:themeColor="text1"/>
          <w:sz w:val="24"/>
          <w14:textFill>
            <w14:solidFill>
              <w14:schemeClr w14:val="tx1"/>
            </w14:solidFill>
          </w14:textFill>
        </w:rPr>
      </w:pPr>
    </w:p>
    <w:p w14:paraId="48693AD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供应商应以文字形式简要介绍企业概况。</w:t>
      </w:r>
    </w:p>
    <w:p w14:paraId="2A3CCD04">
      <w:pPr>
        <w:rPr>
          <w:rFonts w:ascii="宋体" w:hAnsi="宋体" w:cs="宋体"/>
          <w:color w:val="000000" w:themeColor="text1"/>
          <w:sz w:val="24"/>
          <w14:textFill>
            <w14:solidFill>
              <w14:schemeClr w14:val="tx1"/>
            </w14:solidFill>
          </w14:textFill>
        </w:rPr>
      </w:pPr>
    </w:p>
    <w:p w14:paraId="6427A1CD">
      <w:pPr>
        <w:rPr>
          <w:rFonts w:ascii="宋体" w:hAnsi="宋体" w:cs="宋体"/>
          <w:color w:val="000000" w:themeColor="text1"/>
          <w:sz w:val="24"/>
          <w14:textFill>
            <w14:solidFill>
              <w14:schemeClr w14:val="tx1"/>
            </w14:solidFill>
          </w14:textFill>
        </w:rPr>
      </w:pPr>
    </w:p>
    <w:p w14:paraId="385A4D1F">
      <w:pPr>
        <w:rPr>
          <w:rFonts w:ascii="宋体" w:hAnsi="宋体" w:cs="宋体"/>
          <w:color w:val="000000" w:themeColor="text1"/>
          <w:sz w:val="24"/>
          <w14:textFill>
            <w14:solidFill>
              <w14:schemeClr w14:val="tx1"/>
            </w14:solidFill>
          </w14:textFill>
        </w:rPr>
      </w:pPr>
    </w:p>
    <w:p w14:paraId="690B64C3">
      <w:pPr>
        <w:rPr>
          <w:rFonts w:ascii="宋体" w:hAnsi="宋体" w:cs="宋体"/>
          <w:color w:val="000000" w:themeColor="text1"/>
          <w:sz w:val="24"/>
          <w14:textFill>
            <w14:solidFill>
              <w14:schemeClr w14:val="tx1"/>
            </w14:solidFill>
          </w14:textFill>
        </w:rPr>
      </w:pPr>
    </w:p>
    <w:p w14:paraId="2880749D">
      <w:pPr>
        <w:rPr>
          <w:rFonts w:ascii="宋体" w:hAnsi="宋体" w:cs="宋体"/>
          <w:color w:val="000000" w:themeColor="text1"/>
          <w:sz w:val="24"/>
          <w14:textFill>
            <w14:solidFill>
              <w14:schemeClr w14:val="tx1"/>
            </w14:solidFill>
          </w14:textFill>
        </w:rPr>
      </w:pPr>
    </w:p>
    <w:p w14:paraId="077E646B">
      <w:pPr>
        <w:rPr>
          <w:rFonts w:ascii="宋体" w:hAnsi="宋体" w:cs="宋体"/>
          <w:color w:val="000000" w:themeColor="text1"/>
          <w:sz w:val="24"/>
          <w14:textFill>
            <w14:solidFill>
              <w14:schemeClr w14:val="tx1"/>
            </w14:solidFill>
          </w14:textFill>
        </w:rPr>
      </w:pPr>
    </w:p>
    <w:p w14:paraId="0ACBC278">
      <w:pPr>
        <w:rPr>
          <w:rFonts w:ascii="宋体" w:hAnsi="宋体" w:cs="宋体"/>
          <w:color w:val="000000" w:themeColor="text1"/>
          <w:sz w:val="24"/>
          <w14:textFill>
            <w14:solidFill>
              <w14:schemeClr w14:val="tx1"/>
            </w14:solidFill>
          </w14:textFill>
        </w:rPr>
      </w:pPr>
    </w:p>
    <w:p w14:paraId="36018561">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18700AC0">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16DE24A">
      <w:pPr>
        <w:rPr>
          <w:rFonts w:ascii="宋体" w:hAnsi="宋体" w:cs="宋体"/>
          <w:color w:val="000000" w:themeColor="text1"/>
          <w:sz w:val="24"/>
          <w14:textFill>
            <w14:solidFill>
              <w14:schemeClr w14:val="tx1"/>
            </w14:solidFill>
          </w14:textFill>
        </w:rPr>
      </w:pPr>
    </w:p>
    <w:p w14:paraId="3B52F5BA">
      <w:pPr>
        <w:rPr>
          <w:rFonts w:ascii="宋体" w:hAnsi="宋体" w:cs="宋体"/>
          <w:color w:val="000000" w:themeColor="text1"/>
          <w:sz w:val="24"/>
          <w14:textFill>
            <w14:solidFill>
              <w14:schemeClr w14:val="tx1"/>
            </w14:solidFill>
          </w14:textFill>
        </w:rPr>
      </w:pPr>
    </w:p>
    <w:p w14:paraId="620DD916">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09" w:name="_Hlk68686917"/>
    </w:p>
    <w:p w14:paraId="69D66CC5">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业绩一览表</w:t>
      </w:r>
    </w:p>
    <w:p w14:paraId="0CDED8A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tbl>
      <w:tblPr>
        <w:tblStyle w:val="29"/>
        <w:tblW w:w="4998" w:type="pct"/>
        <w:jc w:val="center"/>
        <w:tblLayout w:type="autofit"/>
        <w:tblCellMar>
          <w:top w:w="0" w:type="dxa"/>
          <w:left w:w="108" w:type="dxa"/>
          <w:bottom w:w="0" w:type="dxa"/>
          <w:right w:w="108" w:type="dxa"/>
        </w:tblCellMar>
      </w:tblPr>
      <w:tblGrid>
        <w:gridCol w:w="1060"/>
        <w:gridCol w:w="1998"/>
        <w:gridCol w:w="1870"/>
        <w:gridCol w:w="2042"/>
        <w:gridCol w:w="2988"/>
      </w:tblGrid>
      <w:tr w14:paraId="0D8F9FEB">
        <w:tblPrEx>
          <w:tblCellMar>
            <w:top w:w="0" w:type="dxa"/>
            <w:left w:w="108" w:type="dxa"/>
            <w:bottom w:w="0" w:type="dxa"/>
            <w:right w:w="108" w:type="dxa"/>
          </w:tblCellMar>
        </w:tblPrEx>
        <w:trPr>
          <w:trHeight w:val="882" w:hRule="atLeast"/>
          <w:jc w:val="center"/>
        </w:trPr>
        <w:tc>
          <w:tcPr>
            <w:tcW w:w="532" w:type="pct"/>
            <w:tcBorders>
              <w:top w:val="single" w:color="auto" w:sz="4" w:space="0"/>
              <w:left w:val="single" w:color="auto" w:sz="4" w:space="0"/>
              <w:bottom w:val="single" w:color="auto" w:sz="4" w:space="0"/>
              <w:right w:val="single" w:color="auto" w:sz="4" w:space="0"/>
            </w:tcBorders>
            <w:vAlign w:val="center"/>
          </w:tcPr>
          <w:p w14:paraId="733A328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003" w:type="pct"/>
            <w:tcBorders>
              <w:top w:val="single" w:color="auto" w:sz="4" w:space="0"/>
              <w:left w:val="nil"/>
              <w:bottom w:val="single" w:color="auto" w:sz="4" w:space="0"/>
              <w:right w:val="single" w:color="auto" w:sz="4" w:space="0"/>
            </w:tcBorders>
            <w:vAlign w:val="center"/>
          </w:tcPr>
          <w:p w14:paraId="0367336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甲方名称</w:t>
            </w:r>
          </w:p>
        </w:tc>
        <w:tc>
          <w:tcPr>
            <w:tcW w:w="939" w:type="pct"/>
            <w:tcBorders>
              <w:top w:val="single" w:color="auto" w:sz="4" w:space="0"/>
              <w:left w:val="nil"/>
              <w:bottom w:val="single" w:color="auto" w:sz="4" w:space="0"/>
              <w:right w:val="single" w:color="auto" w:sz="4" w:space="0"/>
            </w:tcBorders>
            <w:vAlign w:val="center"/>
          </w:tcPr>
          <w:p w14:paraId="14DF515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服务内容</w:t>
            </w:r>
          </w:p>
        </w:tc>
        <w:tc>
          <w:tcPr>
            <w:tcW w:w="1025" w:type="pct"/>
            <w:tcBorders>
              <w:top w:val="single" w:color="auto" w:sz="4" w:space="0"/>
              <w:left w:val="nil"/>
              <w:bottom w:val="single" w:color="auto" w:sz="4" w:space="0"/>
              <w:right w:val="single" w:color="auto" w:sz="4" w:space="0"/>
            </w:tcBorders>
            <w:vAlign w:val="center"/>
          </w:tcPr>
          <w:p w14:paraId="4428965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w:t>
            </w:r>
            <w:r>
              <w:rPr>
                <w:rFonts w:ascii="宋体" w:hAnsi="宋体" w:cs="宋体"/>
                <w:color w:val="000000" w:themeColor="text1"/>
                <w:sz w:val="24"/>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时间</w:t>
            </w:r>
          </w:p>
        </w:tc>
        <w:tc>
          <w:tcPr>
            <w:tcW w:w="1500" w:type="pct"/>
            <w:tcBorders>
              <w:top w:val="single" w:color="auto" w:sz="4" w:space="0"/>
              <w:left w:val="nil"/>
              <w:bottom w:val="single" w:color="auto" w:sz="4" w:space="0"/>
              <w:right w:val="single" w:color="auto" w:sz="4" w:space="0"/>
            </w:tcBorders>
            <w:vAlign w:val="center"/>
          </w:tcPr>
          <w:p w14:paraId="55015E3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合同金额（万元）</w:t>
            </w:r>
          </w:p>
        </w:tc>
      </w:tr>
      <w:tr w14:paraId="7F43953F">
        <w:tblPrEx>
          <w:tblCellMar>
            <w:top w:w="0" w:type="dxa"/>
            <w:left w:w="108" w:type="dxa"/>
            <w:bottom w:w="0" w:type="dxa"/>
            <w:right w:w="108" w:type="dxa"/>
          </w:tblCellMar>
        </w:tblPrEx>
        <w:trPr>
          <w:trHeight w:val="535" w:hRule="atLeast"/>
          <w:jc w:val="center"/>
        </w:trPr>
        <w:tc>
          <w:tcPr>
            <w:tcW w:w="532" w:type="pct"/>
            <w:tcBorders>
              <w:top w:val="nil"/>
              <w:left w:val="single" w:color="auto" w:sz="4" w:space="0"/>
              <w:bottom w:val="single" w:color="auto" w:sz="4" w:space="0"/>
              <w:right w:val="single" w:color="auto" w:sz="4" w:space="0"/>
            </w:tcBorders>
            <w:vAlign w:val="center"/>
          </w:tcPr>
          <w:p w14:paraId="6189B4B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003" w:type="pct"/>
            <w:tcBorders>
              <w:top w:val="nil"/>
              <w:left w:val="nil"/>
              <w:bottom w:val="single" w:color="auto" w:sz="4" w:space="0"/>
              <w:right w:val="single" w:color="auto" w:sz="4" w:space="0"/>
            </w:tcBorders>
            <w:vAlign w:val="center"/>
          </w:tcPr>
          <w:p w14:paraId="688E0DE9">
            <w:pPr>
              <w:jc w:val="center"/>
              <w:rPr>
                <w:rFonts w:ascii="宋体" w:hAnsi="宋体" w:cs="宋体"/>
                <w:color w:val="000000" w:themeColor="text1"/>
                <w:sz w:val="24"/>
                <w14:textFill>
                  <w14:solidFill>
                    <w14:schemeClr w14:val="tx1"/>
                  </w14:solidFill>
                </w14:textFill>
              </w:rPr>
            </w:pPr>
          </w:p>
        </w:tc>
        <w:tc>
          <w:tcPr>
            <w:tcW w:w="939" w:type="pct"/>
            <w:tcBorders>
              <w:top w:val="nil"/>
              <w:left w:val="nil"/>
              <w:bottom w:val="single" w:color="auto" w:sz="4" w:space="0"/>
              <w:right w:val="single" w:color="auto" w:sz="4" w:space="0"/>
            </w:tcBorders>
            <w:vAlign w:val="center"/>
          </w:tcPr>
          <w:p w14:paraId="2A2C5F50">
            <w:pPr>
              <w:jc w:val="center"/>
              <w:rPr>
                <w:rFonts w:ascii="宋体" w:hAnsi="宋体" w:cs="宋体"/>
                <w:color w:val="000000" w:themeColor="text1"/>
                <w:sz w:val="24"/>
                <w14:textFill>
                  <w14:solidFill>
                    <w14:schemeClr w14:val="tx1"/>
                  </w14:solidFill>
                </w14:textFill>
              </w:rPr>
            </w:pPr>
          </w:p>
        </w:tc>
        <w:tc>
          <w:tcPr>
            <w:tcW w:w="1025" w:type="pct"/>
            <w:tcBorders>
              <w:top w:val="nil"/>
              <w:left w:val="nil"/>
              <w:bottom w:val="single" w:color="auto" w:sz="4" w:space="0"/>
              <w:right w:val="single" w:color="auto" w:sz="4" w:space="0"/>
            </w:tcBorders>
            <w:vAlign w:val="center"/>
          </w:tcPr>
          <w:p w14:paraId="4F97AA5E">
            <w:pPr>
              <w:jc w:val="center"/>
              <w:rPr>
                <w:rFonts w:ascii="宋体" w:hAnsi="宋体" w:cs="宋体"/>
                <w:color w:val="000000" w:themeColor="text1"/>
                <w:sz w:val="24"/>
                <w14:textFill>
                  <w14:solidFill>
                    <w14:schemeClr w14:val="tx1"/>
                  </w14:solidFill>
                </w14:textFill>
              </w:rPr>
            </w:pPr>
          </w:p>
        </w:tc>
        <w:tc>
          <w:tcPr>
            <w:tcW w:w="1500" w:type="pct"/>
            <w:tcBorders>
              <w:top w:val="nil"/>
              <w:left w:val="nil"/>
              <w:bottom w:val="single" w:color="auto" w:sz="4" w:space="0"/>
              <w:right w:val="single" w:color="auto" w:sz="4" w:space="0"/>
            </w:tcBorders>
            <w:vAlign w:val="center"/>
          </w:tcPr>
          <w:p w14:paraId="34FEE081">
            <w:pPr>
              <w:jc w:val="center"/>
              <w:rPr>
                <w:rFonts w:ascii="宋体" w:hAnsi="宋体" w:cs="宋体"/>
                <w:color w:val="000000" w:themeColor="text1"/>
                <w:sz w:val="24"/>
                <w14:textFill>
                  <w14:solidFill>
                    <w14:schemeClr w14:val="tx1"/>
                  </w14:solidFill>
                </w14:textFill>
              </w:rPr>
            </w:pPr>
          </w:p>
        </w:tc>
      </w:tr>
      <w:tr w14:paraId="1FFCB519">
        <w:tblPrEx>
          <w:tblCellMar>
            <w:top w:w="0" w:type="dxa"/>
            <w:left w:w="108" w:type="dxa"/>
            <w:bottom w:w="0" w:type="dxa"/>
            <w:right w:w="108" w:type="dxa"/>
          </w:tblCellMar>
        </w:tblPrEx>
        <w:trPr>
          <w:trHeight w:val="560" w:hRule="atLeast"/>
          <w:jc w:val="center"/>
        </w:trPr>
        <w:tc>
          <w:tcPr>
            <w:tcW w:w="532" w:type="pct"/>
            <w:tcBorders>
              <w:top w:val="nil"/>
              <w:left w:val="single" w:color="auto" w:sz="4" w:space="0"/>
              <w:bottom w:val="single" w:color="auto" w:sz="4" w:space="0"/>
              <w:right w:val="single" w:color="auto" w:sz="4" w:space="0"/>
            </w:tcBorders>
            <w:vAlign w:val="center"/>
          </w:tcPr>
          <w:p w14:paraId="29FC545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003" w:type="pct"/>
            <w:tcBorders>
              <w:top w:val="nil"/>
              <w:left w:val="nil"/>
              <w:bottom w:val="single" w:color="auto" w:sz="4" w:space="0"/>
              <w:right w:val="single" w:color="auto" w:sz="4" w:space="0"/>
            </w:tcBorders>
            <w:vAlign w:val="center"/>
          </w:tcPr>
          <w:p w14:paraId="3DC775F3">
            <w:pPr>
              <w:jc w:val="center"/>
              <w:rPr>
                <w:rFonts w:ascii="宋体" w:hAnsi="宋体" w:cs="宋体"/>
                <w:color w:val="000000" w:themeColor="text1"/>
                <w:sz w:val="24"/>
                <w14:textFill>
                  <w14:solidFill>
                    <w14:schemeClr w14:val="tx1"/>
                  </w14:solidFill>
                </w14:textFill>
              </w:rPr>
            </w:pPr>
          </w:p>
        </w:tc>
        <w:tc>
          <w:tcPr>
            <w:tcW w:w="939" w:type="pct"/>
            <w:tcBorders>
              <w:top w:val="nil"/>
              <w:left w:val="nil"/>
              <w:bottom w:val="single" w:color="auto" w:sz="4" w:space="0"/>
              <w:right w:val="single" w:color="auto" w:sz="4" w:space="0"/>
            </w:tcBorders>
            <w:vAlign w:val="center"/>
          </w:tcPr>
          <w:p w14:paraId="30A30B87">
            <w:pPr>
              <w:jc w:val="center"/>
              <w:rPr>
                <w:rFonts w:ascii="宋体" w:hAnsi="宋体" w:cs="宋体"/>
                <w:color w:val="000000" w:themeColor="text1"/>
                <w:sz w:val="24"/>
                <w14:textFill>
                  <w14:solidFill>
                    <w14:schemeClr w14:val="tx1"/>
                  </w14:solidFill>
                </w14:textFill>
              </w:rPr>
            </w:pPr>
          </w:p>
        </w:tc>
        <w:tc>
          <w:tcPr>
            <w:tcW w:w="1025" w:type="pct"/>
            <w:tcBorders>
              <w:top w:val="nil"/>
              <w:left w:val="nil"/>
              <w:bottom w:val="single" w:color="auto" w:sz="4" w:space="0"/>
              <w:right w:val="single" w:color="auto" w:sz="4" w:space="0"/>
            </w:tcBorders>
            <w:vAlign w:val="center"/>
          </w:tcPr>
          <w:p w14:paraId="017DFE1E">
            <w:pPr>
              <w:jc w:val="center"/>
              <w:rPr>
                <w:rFonts w:ascii="宋体" w:hAnsi="宋体" w:cs="宋体"/>
                <w:color w:val="000000" w:themeColor="text1"/>
                <w:sz w:val="24"/>
                <w14:textFill>
                  <w14:solidFill>
                    <w14:schemeClr w14:val="tx1"/>
                  </w14:solidFill>
                </w14:textFill>
              </w:rPr>
            </w:pPr>
          </w:p>
        </w:tc>
        <w:tc>
          <w:tcPr>
            <w:tcW w:w="1500" w:type="pct"/>
            <w:tcBorders>
              <w:top w:val="nil"/>
              <w:left w:val="nil"/>
              <w:bottom w:val="single" w:color="auto" w:sz="4" w:space="0"/>
              <w:right w:val="single" w:color="auto" w:sz="4" w:space="0"/>
            </w:tcBorders>
            <w:vAlign w:val="center"/>
          </w:tcPr>
          <w:p w14:paraId="46ED915F">
            <w:pPr>
              <w:jc w:val="center"/>
              <w:rPr>
                <w:rFonts w:ascii="宋体" w:hAnsi="宋体" w:cs="宋体"/>
                <w:color w:val="000000" w:themeColor="text1"/>
                <w:sz w:val="24"/>
                <w14:textFill>
                  <w14:solidFill>
                    <w14:schemeClr w14:val="tx1"/>
                  </w14:solidFill>
                </w14:textFill>
              </w:rPr>
            </w:pPr>
          </w:p>
        </w:tc>
      </w:tr>
      <w:tr w14:paraId="7EB47314">
        <w:tblPrEx>
          <w:tblCellMar>
            <w:top w:w="0" w:type="dxa"/>
            <w:left w:w="108" w:type="dxa"/>
            <w:bottom w:w="0" w:type="dxa"/>
            <w:right w:w="108" w:type="dxa"/>
          </w:tblCellMar>
        </w:tblPrEx>
        <w:trPr>
          <w:trHeight w:val="507" w:hRule="atLeast"/>
          <w:jc w:val="center"/>
        </w:trPr>
        <w:tc>
          <w:tcPr>
            <w:tcW w:w="532" w:type="pct"/>
            <w:tcBorders>
              <w:top w:val="nil"/>
              <w:left w:val="single" w:color="auto" w:sz="4" w:space="0"/>
              <w:bottom w:val="single" w:color="auto" w:sz="4" w:space="0"/>
              <w:right w:val="single" w:color="auto" w:sz="4" w:space="0"/>
            </w:tcBorders>
            <w:vAlign w:val="center"/>
          </w:tcPr>
          <w:p w14:paraId="0588AC7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003" w:type="pct"/>
            <w:tcBorders>
              <w:top w:val="nil"/>
              <w:left w:val="nil"/>
              <w:bottom w:val="single" w:color="auto" w:sz="4" w:space="0"/>
              <w:right w:val="single" w:color="auto" w:sz="4" w:space="0"/>
            </w:tcBorders>
            <w:vAlign w:val="center"/>
          </w:tcPr>
          <w:p w14:paraId="12DEDBAC">
            <w:pPr>
              <w:jc w:val="center"/>
              <w:rPr>
                <w:rFonts w:ascii="宋体" w:hAnsi="宋体" w:cs="宋体"/>
                <w:color w:val="000000" w:themeColor="text1"/>
                <w:sz w:val="24"/>
                <w14:textFill>
                  <w14:solidFill>
                    <w14:schemeClr w14:val="tx1"/>
                  </w14:solidFill>
                </w14:textFill>
              </w:rPr>
            </w:pPr>
          </w:p>
        </w:tc>
        <w:tc>
          <w:tcPr>
            <w:tcW w:w="939" w:type="pct"/>
            <w:tcBorders>
              <w:top w:val="nil"/>
              <w:left w:val="nil"/>
              <w:bottom w:val="single" w:color="auto" w:sz="4" w:space="0"/>
              <w:right w:val="single" w:color="auto" w:sz="4" w:space="0"/>
            </w:tcBorders>
            <w:vAlign w:val="center"/>
          </w:tcPr>
          <w:p w14:paraId="101550A9">
            <w:pPr>
              <w:jc w:val="center"/>
              <w:rPr>
                <w:rFonts w:ascii="宋体" w:hAnsi="宋体" w:cs="宋体"/>
                <w:color w:val="000000" w:themeColor="text1"/>
                <w:sz w:val="24"/>
                <w14:textFill>
                  <w14:solidFill>
                    <w14:schemeClr w14:val="tx1"/>
                  </w14:solidFill>
                </w14:textFill>
              </w:rPr>
            </w:pPr>
          </w:p>
        </w:tc>
        <w:tc>
          <w:tcPr>
            <w:tcW w:w="1025" w:type="pct"/>
            <w:tcBorders>
              <w:top w:val="nil"/>
              <w:left w:val="nil"/>
              <w:bottom w:val="single" w:color="auto" w:sz="4" w:space="0"/>
              <w:right w:val="single" w:color="auto" w:sz="4" w:space="0"/>
            </w:tcBorders>
            <w:vAlign w:val="center"/>
          </w:tcPr>
          <w:p w14:paraId="380D0F14">
            <w:pPr>
              <w:jc w:val="center"/>
              <w:rPr>
                <w:rFonts w:ascii="宋体" w:hAnsi="宋体" w:cs="宋体"/>
                <w:color w:val="000000" w:themeColor="text1"/>
                <w:sz w:val="24"/>
                <w14:textFill>
                  <w14:solidFill>
                    <w14:schemeClr w14:val="tx1"/>
                  </w14:solidFill>
                </w14:textFill>
              </w:rPr>
            </w:pPr>
          </w:p>
        </w:tc>
        <w:tc>
          <w:tcPr>
            <w:tcW w:w="1500" w:type="pct"/>
            <w:tcBorders>
              <w:top w:val="nil"/>
              <w:left w:val="nil"/>
              <w:bottom w:val="single" w:color="auto" w:sz="4" w:space="0"/>
              <w:right w:val="single" w:color="auto" w:sz="4" w:space="0"/>
            </w:tcBorders>
            <w:vAlign w:val="center"/>
          </w:tcPr>
          <w:p w14:paraId="77DE1954">
            <w:pPr>
              <w:jc w:val="center"/>
              <w:rPr>
                <w:rFonts w:ascii="宋体" w:hAnsi="宋体" w:cs="宋体"/>
                <w:color w:val="000000" w:themeColor="text1"/>
                <w:sz w:val="24"/>
                <w14:textFill>
                  <w14:solidFill>
                    <w14:schemeClr w14:val="tx1"/>
                  </w14:solidFill>
                </w14:textFill>
              </w:rPr>
            </w:pPr>
          </w:p>
        </w:tc>
      </w:tr>
      <w:tr w14:paraId="528AE781">
        <w:tblPrEx>
          <w:tblCellMar>
            <w:top w:w="0" w:type="dxa"/>
            <w:left w:w="108" w:type="dxa"/>
            <w:bottom w:w="0" w:type="dxa"/>
            <w:right w:w="108" w:type="dxa"/>
          </w:tblCellMar>
        </w:tblPrEx>
        <w:trPr>
          <w:trHeight w:val="457" w:hRule="atLeast"/>
          <w:jc w:val="center"/>
        </w:trPr>
        <w:tc>
          <w:tcPr>
            <w:tcW w:w="532" w:type="pct"/>
            <w:tcBorders>
              <w:top w:val="nil"/>
              <w:left w:val="single" w:color="auto" w:sz="4" w:space="0"/>
              <w:bottom w:val="single" w:color="auto" w:sz="4" w:space="0"/>
              <w:right w:val="single" w:color="auto" w:sz="4" w:space="0"/>
            </w:tcBorders>
            <w:vAlign w:val="center"/>
          </w:tcPr>
          <w:p w14:paraId="250BCC4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003" w:type="pct"/>
            <w:tcBorders>
              <w:top w:val="nil"/>
              <w:left w:val="nil"/>
              <w:bottom w:val="single" w:color="auto" w:sz="4" w:space="0"/>
              <w:right w:val="single" w:color="auto" w:sz="4" w:space="0"/>
            </w:tcBorders>
            <w:vAlign w:val="center"/>
          </w:tcPr>
          <w:p w14:paraId="52A0C7C9">
            <w:pPr>
              <w:jc w:val="center"/>
              <w:rPr>
                <w:rFonts w:ascii="宋体" w:hAnsi="宋体" w:cs="宋体"/>
                <w:color w:val="000000" w:themeColor="text1"/>
                <w:sz w:val="24"/>
                <w14:textFill>
                  <w14:solidFill>
                    <w14:schemeClr w14:val="tx1"/>
                  </w14:solidFill>
                </w14:textFill>
              </w:rPr>
            </w:pPr>
          </w:p>
        </w:tc>
        <w:tc>
          <w:tcPr>
            <w:tcW w:w="939" w:type="pct"/>
            <w:tcBorders>
              <w:top w:val="nil"/>
              <w:left w:val="nil"/>
              <w:bottom w:val="single" w:color="auto" w:sz="4" w:space="0"/>
              <w:right w:val="single" w:color="auto" w:sz="4" w:space="0"/>
            </w:tcBorders>
            <w:vAlign w:val="center"/>
          </w:tcPr>
          <w:p w14:paraId="7E1B2B3C">
            <w:pPr>
              <w:jc w:val="center"/>
              <w:rPr>
                <w:rFonts w:ascii="宋体" w:hAnsi="宋体" w:cs="宋体"/>
                <w:color w:val="000000" w:themeColor="text1"/>
                <w:sz w:val="24"/>
                <w14:textFill>
                  <w14:solidFill>
                    <w14:schemeClr w14:val="tx1"/>
                  </w14:solidFill>
                </w14:textFill>
              </w:rPr>
            </w:pPr>
          </w:p>
        </w:tc>
        <w:tc>
          <w:tcPr>
            <w:tcW w:w="1025" w:type="pct"/>
            <w:tcBorders>
              <w:top w:val="nil"/>
              <w:left w:val="nil"/>
              <w:bottom w:val="single" w:color="auto" w:sz="4" w:space="0"/>
              <w:right w:val="single" w:color="auto" w:sz="4" w:space="0"/>
            </w:tcBorders>
            <w:vAlign w:val="center"/>
          </w:tcPr>
          <w:p w14:paraId="22BB0E17">
            <w:pPr>
              <w:jc w:val="center"/>
              <w:rPr>
                <w:rFonts w:ascii="宋体" w:hAnsi="宋体" w:cs="宋体"/>
                <w:color w:val="000000" w:themeColor="text1"/>
                <w:sz w:val="24"/>
                <w14:textFill>
                  <w14:solidFill>
                    <w14:schemeClr w14:val="tx1"/>
                  </w14:solidFill>
                </w14:textFill>
              </w:rPr>
            </w:pPr>
          </w:p>
        </w:tc>
        <w:tc>
          <w:tcPr>
            <w:tcW w:w="1500" w:type="pct"/>
            <w:tcBorders>
              <w:top w:val="nil"/>
              <w:left w:val="nil"/>
              <w:bottom w:val="single" w:color="auto" w:sz="4" w:space="0"/>
              <w:right w:val="single" w:color="auto" w:sz="4" w:space="0"/>
            </w:tcBorders>
            <w:vAlign w:val="center"/>
          </w:tcPr>
          <w:p w14:paraId="7FB72CE7">
            <w:pPr>
              <w:jc w:val="center"/>
              <w:rPr>
                <w:rFonts w:ascii="宋体" w:hAnsi="宋体" w:cs="宋体"/>
                <w:color w:val="000000" w:themeColor="text1"/>
                <w:sz w:val="24"/>
                <w14:textFill>
                  <w14:solidFill>
                    <w14:schemeClr w14:val="tx1"/>
                  </w14:solidFill>
                </w14:textFill>
              </w:rPr>
            </w:pPr>
          </w:p>
        </w:tc>
      </w:tr>
      <w:tr w14:paraId="61D0F97D">
        <w:tblPrEx>
          <w:tblCellMar>
            <w:top w:w="0" w:type="dxa"/>
            <w:left w:w="108" w:type="dxa"/>
            <w:bottom w:w="0" w:type="dxa"/>
            <w:right w:w="108" w:type="dxa"/>
          </w:tblCellMar>
        </w:tblPrEx>
        <w:trPr>
          <w:trHeight w:val="601" w:hRule="atLeast"/>
          <w:jc w:val="center"/>
        </w:trPr>
        <w:tc>
          <w:tcPr>
            <w:tcW w:w="532" w:type="pct"/>
            <w:tcBorders>
              <w:top w:val="nil"/>
              <w:left w:val="single" w:color="auto" w:sz="4" w:space="0"/>
              <w:bottom w:val="single" w:color="auto" w:sz="4" w:space="0"/>
              <w:right w:val="single" w:color="auto" w:sz="4" w:space="0"/>
            </w:tcBorders>
            <w:vAlign w:val="center"/>
          </w:tcPr>
          <w:p w14:paraId="0638A4E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003" w:type="pct"/>
            <w:tcBorders>
              <w:top w:val="nil"/>
              <w:left w:val="nil"/>
              <w:bottom w:val="single" w:color="auto" w:sz="4" w:space="0"/>
              <w:right w:val="single" w:color="auto" w:sz="4" w:space="0"/>
            </w:tcBorders>
            <w:vAlign w:val="center"/>
          </w:tcPr>
          <w:p w14:paraId="7173A39E">
            <w:pPr>
              <w:jc w:val="center"/>
              <w:rPr>
                <w:rFonts w:ascii="宋体" w:hAnsi="宋体" w:cs="宋体"/>
                <w:color w:val="000000" w:themeColor="text1"/>
                <w:sz w:val="24"/>
                <w14:textFill>
                  <w14:solidFill>
                    <w14:schemeClr w14:val="tx1"/>
                  </w14:solidFill>
                </w14:textFill>
              </w:rPr>
            </w:pPr>
          </w:p>
        </w:tc>
        <w:tc>
          <w:tcPr>
            <w:tcW w:w="939" w:type="pct"/>
            <w:tcBorders>
              <w:top w:val="nil"/>
              <w:left w:val="nil"/>
              <w:bottom w:val="single" w:color="auto" w:sz="4" w:space="0"/>
              <w:right w:val="single" w:color="auto" w:sz="4" w:space="0"/>
            </w:tcBorders>
            <w:vAlign w:val="center"/>
          </w:tcPr>
          <w:p w14:paraId="38135C44">
            <w:pPr>
              <w:jc w:val="center"/>
              <w:rPr>
                <w:rFonts w:ascii="宋体" w:hAnsi="宋体" w:cs="宋体"/>
                <w:color w:val="000000" w:themeColor="text1"/>
                <w:sz w:val="24"/>
                <w14:textFill>
                  <w14:solidFill>
                    <w14:schemeClr w14:val="tx1"/>
                  </w14:solidFill>
                </w14:textFill>
              </w:rPr>
            </w:pPr>
          </w:p>
        </w:tc>
        <w:tc>
          <w:tcPr>
            <w:tcW w:w="1025" w:type="pct"/>
            <w:tcBorders>
              <w:top w:val="nil"/>
              <w:left w:val="nil"/>
              <w:bottom w:val="single" w:color="auto" w:sz="4" w:space="0"/>
              <w:right w:val="single" w:color="auto" w:sz="4" w:space="0"/>
            </w:tcBorders>
            <w:vAlign w:val="center"/>
          </w:tcPr>
          <w:p w14:paraId="2C6C30CF">
            <w:pPr>
              <w:jc w:val="center"/>
              <w:rPr>
                <w:rFonts w:ascii="宋体" w:hAnsi="宋体" w:cs="宋体"/>
                <w:color w:val="000000" w:themeColor="text1"/>
                <w:sz w:val="24"/>
                <w14:textFill>
                  <w14:solidFill>
                    <w14:schemeClr w14:val="tx1"/>
                  </w14:solidFill>
                </w14:textFill>
              </w:rPr>
            </w:pPr>
          </w:p>
        </w:tc>
        <w:tc>
          <w:tcPr>
            <w:tcW w:w="1500" w:type="pct"/>
            <w:tcBorders>
              <w:top w:val="nil"/>
              <w:left w:val="nil"/>
              <w:bottom w:val="single" w:color="auto" w:sz="4" w:space="0"/>
              <w:right w:val="single" w:color="auto" w:sz="4" w:space="0"/>
            </w:tcBorders>
            <w:vAlign w:val="center"/>
          </w:tcPr>
          <w:p w14:paraId="30F8291F">
            <w:pPr>
              <w:jc w:val="center"/>
              <w:rPr>
                <w:rFonts w:ascii="宋体" w:hAnsi="宋体" w:cs="宋体"/>
                <w:color w:val="000000" w:themeColor="text1"/>
                <w:sz w:val="24"/>
                <w14:textFill>
                  <w14:solidFill>
                    <w14:schemeClr w14:val="tx1"/>
                  </w14:solidFill>
                </w14:textFill>
              </w:rPr>
            </w:pPr>
          </w:p>
        </w:tc>
      </w:tr>
    </w:tbl>
    <w:p w14:paraId="5BBE7CCF">
      <w:pPr>
        <w:tabs>
          <w:tab w:val="clear" w:pos="360"/>
        </w:tabs>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填报要求：</w:t>
      </w:r>
    </w:p>
    <w:p w14:paraId="72254D78">
      <w:pPr>
        <w:tabs>
          <w:tab w:val="clear" w:pos="360"/>
        </w:tabs>
        <w:ind w:firstLine="480" w:firstLineChars="200"/>
        <w:rPr>
          <w:rFonts w:ascii="宋体" w:hAnsi="宋体" w:cs="宋体"/>
          <w:color w:val="000000" w:themeColor="text1"/>
          <w:sz w:val="24"/>
          <w14:textFill>
            <w14:solidFill>
              <w14:schemeClr w14:val="tx1"/>
            </w14:solidFill>
          </w14:textFill>
        </w:rPr>
      </w:pPr>
      <w:bookmarkStart w:id="110" w:name="_Hlk73432941"/>
      <w:r>
        <w:rPr>
          <w:rFonts w:hint="eastAsia" w:ascii="宋体" w:hAnsi="宋体" w:cs="宋体"/>
          <w:color w:val="000000" w:themeColor="text1"/>
          <w:sz w:val="24"/>
          <w14:textFill>
            <w14:solidFill>
              <w14:schemeClr w14:val="tx1"/>
            </w14:solidFill>
          </w14:textFill>
        </w:rPr>
        <w:t>根据采购文件要求提供</w:t>
      </w:r>
      <w:bookmarkEnd w:id="110"/>
      <w:r>
        <w:rPr>
          <w:rFonts w:hint="eastAsia" w:ascii="宋体" w:hAnsi="宋体" w:cs="宋体"/>
          <w:color w:val="000000" w:themeColor="text1"/>
          <w:sz w:val="24"/>
          <w14:textFill>
            <w14:solidFill>
              <w14:schemeClr w14:val="tx1"/>
            </w14:solidFill>
          </w14:textFill>
        </w:rPr>
        <w:t>证明文件</w:t>
      </w:r>
    </w:p>
    <w:p w14:paraId="28046927">
      <w:pPr>
        <w:jc w:val="right"/>
        <w:rPr>
          <w:rFonts w:ascii="宋体" w:hAnsi="宋体" w:cs="宋体"/>
          <w:color w:val="000000" w:themeColor="text1"/>
          <w:sz w:val="24"/>
          <w14:textFill>
            <w14:solidFill>
              <w14:schemeClr w14:val="tx1"/>
            </w14:solidFill>
          </w14:textFill>
        </w:rPr>
      </w:pPr>
    </w:p>
    <w:bookmarkEnd w:id="109"/>
    <w:p w14:paraId="63DA65C8">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19CFD98C">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2BD8EF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2AAE3539">
      <w:pPr>
        <w:tabs>
          <w:tab w:val="clear" w:pos="360"/>
        </w:tabs>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证书一览表</w:t>
      </w:r>
    </w:p>
    <w:p w14:paraId="369115AA">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985"/>
        <w:gridCol w:w="1915"/>
        <w:gridCol w:w="2137"/>
        <w:gridCol w:w="1936"/>
      </w:tblGrid>
      <w:tr w14:paraId="0491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6" w:type="pct"/>
            <w:vAlign w:val="center"/>
          </w:tcPr>
          <w:p w14:paraId="6F75898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996" w:type="pct"/>
          </w:tcPr>
          <w:p w14:paraId="587FAFD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证书/组织名称</w:t>
            </w:r>
          </w:p>
        </w:tc>
        <w:tc>
          <w:tcPr>
            <w:tcW w:w="961" w:type="pct"/>
          </w:tcPr>
          <w:p w14:paraId="1D599DB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发证单位</w:t>
            </w:r>
          </w:p>
        </w:tc>
        <w:tc>
          <w:tcPr>
            <w:tcW w:w="1072" w:type="pct"/>
          </w:tcPr>
          <w:p w14:paraId="565B4DA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证书、组织等级</w:t>
            </w:r>
          </w:p>
        </w:tc>
        <w:tc>
          <w:tcPr>
            <w:tcW w:w="971" w:type="pct"/>
          </w:tcPr>
          <w:p w14:paraId="490D2C8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有效期</w:t>
            </w:r>
          </w:p>
        </w:tc>
      </w:tr>
      <w:tr w14:paraId="1DC5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pct"/>
            <w:vAlign w:val="center"/>
          </w:tcPr>
          <w:p w14:paraId="4BDA50D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6" w:type="pct"/>
          </w:tcPr>
          <w:p w14:paraId="67BD120E">
            <w:pPr>
              <w:rPr>
                <w:rFonts w:ascii="宋体" w:hAnsi="宋体" w:cs="宋体"/>
                <w:color w:val="000000" w:themeColor="text1"/>
                <w:sz w:val="24"/>
                <w14:textFill>
                  <w14:solidFill>
                    <w14:schemeClr w14:val="tx1"/>
                  </w14:solidFill>
                </w14:textFill>
              </w:rPr>
            </w:pPr>
          </w:p>
        </w:tc>
        <w:tc>
          <w:tcPr>
            <w:tcW w:w="961" w:type="pct"/>
          </w:tcPr>
          <w:p w14:paraId="1533C517">
            <w:pPr>
              <w:rPr>
                <w:rFonts w:ascii="宋体" w:hAnsi="宋体" w:cs="宋体"/>
                <w:color w:val="000000" w:themeColor="text1"/>
                <w:sz w:val="24"/>
                <w14:textFill>
                  <w14:solidFill>
                    <w14:schemeClr w14:val="tx1"/>
                  </w14:solidFill>
                </w14:textFill>
              </w:rPr>
            </w:pPr>
          </w:p>
        </w:tc>
        <w:tc>
          <w:tcPr>
            <w:tcW w:w="1072" w:type="pct"/>
          </w:tcPr>
          <w:p w14:paraId="6AC91FAC">
            <w:pPr>
              <w:rPr>
                <w:rFonts w:ascii="宋体" w:hAnsi="宋体" w:cs="宋体"/>
                <w:color w:val="000000" w:themeColor="text1"/>
                <w:sz w:val="24"/>
                <w14:textFill>
                  <w14:solidFill>
                    <w14:schemeClr w14:val="tx1"/>
                  </w14:solidFill>
                </w14:textFill>
              </w:rPr>
            </w:pPr>
          </w:p>
        </w:tc>
        <w:tc>
          <w:tcPr>
            <w:tcW w:w="971" w:type="pct"/>
          </w:tcPr>
          <w:p w14:paraId="349EC1D6">
            <w:pPr>
              <w:rPr>
                <w:rFonts w:ascii="宋体" w:hAnsi="宋体" w:cs="宋体"/>
                <w:color w:val="000000" w:themeColor="text1"/>
                <w:sz w:val="24"/>
                <w14:textFill>
                  <w14:solidFill>
                    <w14:schemeClr w14:val="tx1"/>
                  </w14:solidFill>
                </w14:textFill>
              </w:rPr>
            </w:pPr>
          </w:p>
        </w:tc>
      </w:tr>
      <w:tr w14:paraId="1B0C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pct"/>
            <w:vAlign w:val="center"/>
          </w:tcPr>
          <w:p w14:paraId="3A69F55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6" w:type="pct"/>
          </w:tcPr>
          <w:p w14:paraId="47848673">
            <w:pPr>
              <w:rPr>
                <w:rFonts w:ascii="宋体" w:hAnsi="宋体" w:cs="宋体"/>
                <w:color w:val="000000" w:themeColor="text1"/>
                <w:sz w:val="24"/>
                <w14:textFill>
                  <w14:solidFill>
                    <w14:schemeClr w14:val="tx1"/>
                  </w14:solidFill>
                </w14:textFill>
              </w:rPr>
            </w:pPr>
          </w:p>
        </w:tc>
        <w:tc>
          <w:tcPr>
            <w:tcW w:w="961" w:type="pct"/>
          </w:tcPr>
          <w:p w14:paraId="4327D52E">
            <w:pPr>
              <w:rPr>
                <w:rFonts w:ascii="宋体" w:hAnsi="宋体" w:cs="宋体"/>
                <w:color w:val="000000" w:themeColor="text1"/>
                <w:sz w:val="24"/>
                <w14:textFill>
                  <w14:solidFill>
                    <w14:schemeClr w14:val="tx1"/>
                  </w14:solidFill>
                </w14:textFill>
              </w:rPr>
            </w:pPr>
          </w:p>
        </w:tc>
        <w:tc>
          <w:tcPr>
            <w:tcW w:w="1072" w:type="pct"/>
          </w:tcPr>
          <w:p w14:paraId="52EF058C">
            <w:pPr>
              <w:rPr>
                <w:rFonts w:ascii="宋体" w:hAnsi="宋体" w:cs="宋体"/>
                <w:color w:val="000000" w:themeColor="text1"/>
                <w:sz w:val="24"/>
                <w14:textFill>
                  <w14:solidFill>
                    <w14:schemeClr w14:val="tx1"/>
                  </w14:solidFill>
                </w14:textFill>
              </w:rPr>
            </w:pPr>
          </w:p>
        </w:tc>
        <w:tc>
          <w:tcPr>
            <w:tcW w:w="971" w:type="pct"/>
          </w:tcPr>
          <w:p w14:paraId="32DA697C">
            <w:pPr>
              <w:rPr>
                <w:rFonts w:ascii="宋体" w:hAnsi="宋体" w:cs="宋体"/>
                <w:color w:val="000000" w:themeColor="text1"/>
                <w:sz w:val="24"/>
                <w14:textFill>
                  <w14:solidFill>
                    <w14:schemeClr w14:val="tx1"/>
                  </w14:solidFill>
                </w14:textFill>
              </w:rPr>
            </w:pPr>
          </w:p>
        </w:tc>
      </w:tr>
      <w:tr w14:paraId="2AF1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pct"/>
            <w:vAlign w:val="center"/>
          </w:tcPr>
          <w:p w14:paraId="4E9FA9E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996" w:type="pct"/>
          </w:tcPr>
          <w:p w14:paraId="0810E85B">
            <w:pPr>
              <w:rPr>
                <w:rFonts w:ascii="宋体" w:hAnsi="宋体" w:cs="宋体"/>
                <w:color w:val="000000" w:themeColor="text1"/>
                <w:sz w:val="24"/>
                <w14:textFill>
                  <w14:solidFill>
                    <w14:schemeClr w14:val="tx1"/>
                  </w14:solidFill>
                </w14:textFill>
              </w:rPr>
            </w:pPr>
          </w:p>
        </w:tc>
        <w:tc>
          <w:tcPr>
            <w:tcW w:w="961" w:type="pct"/>
          </w:tcPr>
          <w:p w14:paraId="33DE0BDB">
            <w:pPr>
              <w:rPr>
                <w:rFonts w:ascii="宋体" w:hAnsi="宋体" w:cs="宋体"/>
                <w:color w:val="000000" w:themeColor="text1"/>
                <w:sz w:val="24"/>
                <w14:textFill>
                  <w14:solidFill>
                    <w14:schemeClr w14:val="tx1"/>
                  </w14:solidFill>
                </w14:textFill>
              </w:rPr>
            </w:pPr>
          </w:p>
        </w:tc>
        <w:tc>
          <w:tcPr>
            <w:tcW w:w="1072" w:type="pct"/>
          </w:tcPr>
          <w:p w14:paraId="35866129">
            <w:pPr>
              <w:rPr>
                <w:rFonts w:ascii="宋体" w:hAnsi="宋体" w:cs="宋体"/>
                <w:color w:val="000000" w:themeColor="text1"/>
                <w:sz w:val="24"/>
                <w14:textFill>
                  <w14:solidFill>
                    <w14:schemeClr w14:val="tx1"/>
                  </w14:solidFill>
                </w14:textFill>
              </w:rPr>
            </w:pPr>
          </w:p>
        </w:tc>
        <w:tc>
          <w:tcPr>
            <w:tcW w:w="971" w:type="pct"/>
          </w:tcPr>
          <w:p w14:paraId="0342858B">
            <w:pPr>
              <w:rPr>
                <w:rFonts w:ascii="宋体" w:hAnsi="宋体" w:cs="宋体"/>
                <w:color w:val="000000" w:themeColor="text1"/>
                <w:sz w:val="24"/>
                <w14:textFill>
                  <w14:solidFill>
                    <w14:schemeClr w14:val="tx1"/>
                  </w14:solidFill>
                </w14:textFill>
              </w:rPr>
            </w:pPr>
          </w:p>
        </w:tc>
      </w:tr>
      <w:tr w14:paraId="1E44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pct"/>
            <w:vAlign w:val="center"/>
          </w:tcPr>
          <w:p w14:paraId="5B390AD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996" w:type="pct"/>
          </w:tcPr>
          <w:p w14:paraId="12316549">
            <w:pPr>
              <w:rPr>
                <w:rFonts w:ascii="宋体" w:hAnsi="宋体" w:cs="宋体"/>
                <w:color w:val="000000" w:themeColor="text1"/>
                <w:sz w:val="24"/>
                <w14:textFill>
                  <w14:solidFill>
                    <w14:schemeClr w14:val="tx1"/>
                  </w14:solidFill>
                </w14:textFill>
              </w:rPr>
            </w:pPr>
          </w:p>
        </w:tc>
        <w:tc>
          <w:tcPr>
            <w:tcW w:w="961" w:type="pct"/>
          </w:tcPr>
          <w:p w14:paraId="0A65CE00">
            <w:pPr>
              <w:rPr>
                <w:rFonts w:ascii="宋体" w:hAnsi="宋体" w:cs="宋体"/>
                <w:color w:val="000000" w:themeColor="text1"/>
                <w:sz w:val="24"/>
                <w14:textFill>
                  <w14:solidFill>
                    <w14:schemeClr w14:val="tx1"/>
                  </w14:solidFill>
                </w14:textFill>
              </w:rPr>
            </w:pPr>
          </w:p>
        </w:tc>
        <w:tc>
          <w:tcPr>
            <w:tcW w:w="1072" w:type="pct"/>
          </w:tcPr>
          <w:p w14:paraId="7D91775E">
            <w:pPr>
              <w:rPr>
                <w:rFonts w:ascii="宋体" w:hAnsi="宋体" w:cs="宋体"/>
                <w:color w:val="000000" w:themeColor="text1"/>
                <w:sz w:val="24"/>
                <w14:textFill>
                  <w14:solidFill>
                    <w14:schemeClr w14:val="tx1"/>
                  </w14:solidFill>
                </w14:textFill>
              </w:rPr>
            </w:pPr>
          </w:p>
        </w:tc>
        <w:tc>
          <w:tcPr>
            <w:tcW w:w="971" w:type="pct"/>
          </w:tcPr>
          <w:p w14:paraId="43771C97">
            <w:pPr>
              <w:rPr>
                <w:rFonts w:ascii="宋体" w:hAnsi="宋体" w:cs="宋体"/>
                <w:color w:val="000000" w:themeColor="text1"/>
                <w:sz w:val="24"/>
                <w14:textFill>
                  <w14:solidFill>
                    <w14:schemeClr w14:val="tx1"/>
                  </w14:solidFill>
                </w14:textFill>
              </w:rPr>
            </w:pPr>
          </w:p>
        </w:tc>
      </w:tr>
      <w:tr w14:paraId="602B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pct"/>
            <w:vAlign w:val="center"/>
          </w:tcPr>
          <w:p w14:paraId="7D5D3A4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6" w:type="pct"/>
          </w:tcPr>
          <w:p w14:paraId="4B0773ED">
            <w:pPr>
              <w:rPr>
                <w:rFonts w:ascii="宋体" w:hAnsi="宋体" w:cs="宋体"/>
                <w:color w:val="000000" w:themeColor="text1"/>
                <w:sz w:val="24"/>
                <w14:textFill>
                  <w14:solidFill>
                    <w14:schemeClr w14:val="tx1"/>
                  </w14:solidFill>
                </w14:textFill>
              </w:rPr>
            </w:pPr>
          </w:p>
        </w:tc>
        <w:tc>
          <w:tcPr>
            <w:tcW w:w="961" w:type="pct"/>
          </w:tcPr>
          <w:p w14:paraId="63897FCB">
            <w:pPr>
              <w:rPr>
                <w:rFonts w:ascii="宋体" w:hAnsi="宋体" w:cs="宋体"/>
                <w:color w:val="000000" w:themeColor="text1"/>
                <w:sz w:val="24"/>
                <w14:textFill>
                  <w14:solidFill>
                    <w14:schemeClr w14:val="tx1"/>
                  </w14:solidFill>
                </w14:textFill>
              </w:rPr>
            </w:pPr>
          </w:p>
        </w:tc>
        <w:tc>
          <w:tcPr>
            <w:tcW w:w="1072" w:type="pct"/>
          </w:tcPr>
          <w:p w14:paraId="1235EB39">
            <w:pPr>
              <w:rPr>
                <w:rFonts w:ascii="宋体" w:hAnsi="宋体" w:cs="宋体"/>
                <w:color w:val="000000" w:themeColor="text1"/>
                <w:sz w:val="24"/>
                <w14:textFill>
                  <w14:solidFill>
                    <w14:schemeClr w14:val="tx1"/>
                  </w14:solidFill>
                </w14:textFill>
              </w:rPr>
            </w:pPr>
          </w:p>
        </w:tc>
        <w:tc>
          <w:tcPr>
            <w:tcW w:w="971" w:type="pct"/>
          </w:tcPr>
          <w:p w14:paraId="7417129F">
            <w:pPr>
              <w:rPr>
                <w:rFonts w:ascii="宋体" w:hAnsi="宋体" w:cs="宋体"/>
                <w:color w:val="000000" w:themeColor="text1"/>
                <w:sz w:val="24"/>
                <w14:textFill>
                  <w14:solidFill>
                    <w14:schemeClr w14:val="tx1"/>
                  </w14:solidFill>
                </w14:textFill>
              </w:rPr>
            </w:pPr>
          </w:p>
        </w:tc>
      </w:tr>
    </w:tbl>
    <w:p w14:paraId="50A5EF19">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填报要求：</w:t>
      </w:r>
    </w:p>
    <w:p w14:paraId="35A4A53C">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根据采购文件要求提供证明文件。</w:t>
      </w:r>
    </w:p>
    <w:p w14:paraId="1C3BECE5">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54CBE1A5">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2EF8709F">
      <w:pPr>
        <w:pStyle w:val="11"/>
        <w:rPr>
          <w:rFonts w:ascii="宋体" w:hAnsi="宋体" w:cs="宋体"/>
          <w:color w:val="000000" w:themeColor="text1"/>
          <w:sz w:val="24"/>
          <w14:textFill>
            <w14:solidFill>
              <w14:schemeClr w14:val="tx1"/>
            </w14:solidFill>
          </w14:textFill>
        </w:rPr>
      </w:pPr>
    </w:p>
    <w:p w14:paraId="75AE2DBC">
      <w:pPr>
        <w:rPr>
          <w:rFonts w:ascii="宋体" w:hAnsi="宋体" w:cs="宋体"/>
          <w:color w:val="000000" w:themeColor="text1"/>
          <w:sz w:val="24"/>
          <w14:textFill>
            <w14:solidFill>
              <w14:schemeClr w14:val="tx1"/>
            </w14:solidFill>
          </w14:textFill>
        </w:rPr>
      </w:pPr>
    </w:p>
    <w:p w14:paraId="4CB7157E">
      <w:pPr>
        <w:pStyle w:val="11"/>
        <w:ind w:firstLine="420"/>
        <w:rPr>
          <w:rFonts w:ascii="宋体" w:hAnsi="宋体" w:cs="宋体"/>
          <w:color w:val="000000" w:themeColor="text1"/>
          <w14:textFill>
            <w14:solidFill>
              <w14:schemeClr w14:val="tx1"/>
            </w14:solidFill>
          </w14:textFill>
        </w:rPr>
        <w:sectPr>
          <w:headerReference r:id="rId15" w:type="default"/>
          <w:footerReference r:id="rId16" w:type="default"/>
          <w:pgSz w:w="11906" w:h="16838"/>
          <w:pgMar w:top="1440" w:right="1080" w:bottom="1440" w:left="1080" w:header="709" w:footer="709" w:gutter="0"/>
          <w:cols w:space="720" w:num="1"/>
          <w:docGrid w:type="lines" w:linePitch="312" w:charSpace="0"/>
        </w:sectPr>
      </w:pPr>
    </w:p>
    <w:p w14:paraId="694C199A">
      <w:pPr>
        <w:tabs>
          <w:tab w:val="clear" w:pos="360"/>
        </w:tabs>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项目</w:t>
      </w:r>
      <w:r>
        <w:rPr>
          <w:rFonts w:hint="eastAsia" w:ascii="宋体" w:hAnsi="宋体" w:cs="宋体"/>
          <w:b/>
          <w:bCs/>
          <w:color w:val="000000" w:themeColor="text1"/>
          <w:sz w:val="32"/>
          <w:szCs w:val="32"/>
          <w14:textFill>
            <w14:solidFill>
              <w14:schemeClr w14:val="tx1"/>
            </w14:solidFill>
          </w14:textFill>
        </w:rPr>
        <w:t>经理情况表及本项目投入人员配置表</w:t>
      </w:r>
    </w:p>
    <w:p w14:paraId="16400562">
      <w:pPr>
        <w:tabs>
          <w:tab w:val="clear" w:pos="360"/>
        </w:tabs>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经理</w:t>
      </w:r>
      <w:r>
        <w:rPr>
          <w:rFonts w:hint="eastAsia" w:ascii="宋体" w:hAnsi="宋体"/>
          <w:color w:val="000000" w:themeColor="text1"/>
          <w:sz w:val="24"/>
          <w14:textFill>
            <w14:solidFill>
              <w14:schemeClr w14:val="tx1"/>
            </w14:solidFill>
          </w14:textFill>
        </w:rPr>
        <w:t>简历表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426"/>
        <w:gridCol w:w="518"/>
        <w:gridCol w:w="948"/>
        <w:gridCol w:w="661"/>
        <w:gridCol w:w="1117"/>
        <w:gridCol w:w="592"/>
        <w:gridCol w:w="669"/>
        <w:gridCol w:w="1338"/>
        <w:gridCol w:w="1044"/>
        <w:gridCol w:w="1404"/>
      </w:tblGrid>
      <w:tr w14:paraId="69FF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623" w:type="pct"/>
            <w:tcBorders>
              <w:top w:val="single" w:color="auto" w:sz="4" w:space="0"/>
              <w:left w:val="single" w:color="auto" w:sz="4" w:space="0"/>
              <w:bottom w:val="single" w:color="auto" w:sz="4" w:space="0"/>
              <w:right w:val="single" w:color="auto" w:sz="4" w:space="0"/>
            </w:tcBorders>
          </w:tcPr>
          <w:p w14:paraId="5E8B15D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950" w:type="pct"/>
            <w:gridSpan w:val="3"/>
            <w:tcBorders>
              <w:top w:val="single" w:color="auto" w:sz="4" w:space="0"/>
              <w:left w:val="single" w:color="auto" w:sz="4" w:space="0"/>
              <w:bottom w:val="single" w:color="auto" w:sz="4" w:space="0"/>
              <w:right w:val="single" w:color="auto" w:sz="4" w:space="0"/>
            </w:tcBorders>
          </w:tcPr>
          <w:p w14:paraId="4DBE8A24">
            <w:pPr>
              <w:rPr>
                <w:rFonts w:ascii="宋体" w:hAnsi="宋体" w:cs="宋体"/>
                <w:color w:val="000000" w:themeColor="text1"/>
                <w:sz w:val="24"/>
                <w14:textFill>
                  <w14:solidFill>
                    <w14:schemeClr w14:val="tx1"/>
                  </w14:solidFill>
                </w14:textFill>
              </w:rPr>
            </w:pPr>
          </w:p>
        </w:tc>
        <w:tc>
          <w:tcPr>
            <w:tcW w:w="893" w:type="pct"/>
            <w:gridSpan w:val="2"/>
            <w:tcBorders>
              <w:top w:val="single" w:color="auto" w:sz="4" w:space="0"/>
              <w:left w:val="single" w:color="auto" w:sz="4" w:space="0"/>
              <w:bottom w:val="single" w:color="auto" w:sz="4" w:space="0"/>
              <w:right w:val="single" w:color="auto" w:sz="4" w:space="0"/>
            </w:tcBorders>
          </w:tcPr>
          <w:p w14:paraId="2181B41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33" w:type="pct"/>
            <w:gridSpan w:val="2"/>
            <w:tcBorders>
              <w:top w:val="single" w:color="auto" w:sz="4" w:space="0"/>
              <w:left w:val="single" w:color="auto" w:sz="4" w:space="0"/>
              <w:bottom w:val="single" w:color="auto" w:sz="4" w:space="0"/>
              <w:right w:val="single" w:color="auto" w:sz="4" w:space="0"/>
            </w:tcBorders>
          </w:tcPr>
          <w:p w14:paraId="61A39BAB">
            <w:pPr>
              <w:rPr>
                <w:rFonts w:ascii="宋体" w:hAnsi="宋体" w:cs="宋体"/>
                <w:color w:val="000000" w:themeColor="text1"/>
                <w:sz w:val="24"/>
                <w14:textFill>
                  <w14:solidFill>
                    <w14:schemeClr w14:val="tx1"/>
                  </w14:solidFill>
                </w14:textFill>
              </w:rPr>
            </w:pPr>
          </w:p>
        </w:tc>
        <w:tc>
          <w:tcPr>
            <w:tcW w:w="670" w:type="pct"/>
            <w:tcBorders>
              <w:top w:val="single" w:color="auto" w:sz="4" w:space="0"/>
              <w:left w:val="single" w:color="auto" w:sz="4" w:space="0"/>
              <w:bottom w:val="single" w:color="auto" w:sz="4" w:space="0"/>
              <w:right w:val="single" w:color="auto" w:sz="4" w:space="0"/>
            </w:tcBorders>
          </w:tcPr>
          <w:p w14:paraId="59D7E7D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1231" w:type="pct"/>
            <w:gridSpan w:val="2"/>
            <w:tcBorders>
              <w:top w:val="single" w:color="auto" w:sz="4" w:space="0"/>
              <w:left w:val="single" w:color="auto" w:sz="4" w:space="0"/>
              <w:bottom w:val="single" w:color="auto" w:sz="4" w:space="0"/>
              <w:right w:val="single" w:color="auto" w:sz="4" w:space="0"/>
            </w:tcBorders>
          </w:tcPr>
          <w:p w14:paraId="0A3480CC">
            <w:pPr>
              <w:rPr>
                <w:rFonts w:ascii="宋体" w:hAnsi="宋体" w:cs="宋体"/>
                <w:color w:val="000000" w:themeColor="text1"/>
                <w:sz w:val="24"/>
                <w14:textFill>
                  <w14:solidFill>
                    <w14:schemeClr w14:val="tx1"/>
                  </w14:solidFill>
                </w14:textFill>
              </w:rPr>
            </w:pPr>
          </w:p>
        </w:tc>
      </w:tr>
      <w:tr w14:paraId="116D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623" w:type="pct"/>
            <w:tcBorders>
              <w:top w:val="single" w:color="auto" w:sz="4" w:space="0"/>
              <w:left w:val="single" w:color="auto" w:sz="4" w:space="0"/>
              <w:bottom w:val="single" w:color="auto" w:sz="4" w:space="0"/>
              <w:right w:val="single" w:color="auto" w:sz="4" w:space="0"/>
            </w:tcBorders>
          </w:tcPr>
          <w:p w14:paraId="2FAA9B4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p>
        </w:tc>
        <w:tc>
          <w:tcPr>
            <w:tcW w:w="950" w:type="pct"/>
            <w:gridSpan w:val="3"/>
            <w:tcBorders>
              <w:top w:val="single" w:color="auto" w:sz="4" w:space="0"/>
              <w:left w:val="single" w:color="auto" w:sz="4" w:space="0"/>
              <w:bottom w:val="single" w:color="auto" w:sz="4" w:space="0"/>
              <w:right w:val="single" w:color="auto" w:sz="4" w:space="0"/>
            </w:tcBorders>
          </w:tcPr>
          <w:p w14:paraId="0D83F0B8">
            <w:pPr>
              <w:rPr>
                <w:rFonts w:ascii="宋体" w:hAnsi="宋体" w:cs="宋体"/>
                <w:color w:val="000000" w:themeColor="text1"/>
                <w:sz w:val="24"/>
                <w14:textFill>
                  <w14:solidFill>
                    <w14:schemeClr w14:val="tx1"/>
                  </w14:solidFill>
                </w14:textFill>
              </w:rPr>
            </w:pPr>
          </w:p>
        </w:tc>
        <w:tc>
          <w:tcPr>
            <w:tcW w:w="893" w:type="pct"/>
            <w:gridSpan w:val="2"/>
            <w:tcBorders>
              <w:top w:val="single" w:color="auto" w:sz="4" w:space="0"/>
              <w:left w:val="single" w:color="auto" w:sz="4" w:space="0"/>
              <w:bottom w:val="single" w:color="auto" w:sz="4" w:space="0"/>
              <w:right w:val="single" w:color="auto" w:sz="4" w:space="0"/>
            </w:tcBorders>
          </w:tcPr>
          <w:p w14:paraId="4EDDD72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633" w:type="pct"/>
            <w:gridSpan w:val="2"/>
            <w:tcBorders>
              <w:top w:val="single" w:color="auto" w:sz="4" w:space="0"/>
              <w:left w:val="single" w:color="auto" w:sz="4" w:space="0"/>
              <w:bottom w:val="single" w:color="auto" w:sz="4" w:space="0"/>
              <w:right w:val="single" w:color="auto" w:sz="4" w:space="0"/>
            </w:tcBorders>
          </w:tcPr>
          <w:p w14:paraId="3BA04D27">
            <w:pPr>
              <w:rPr>
                <w:rFonts w:ascii="宋体" w:hAnsi="宋体" w:cs="宋体"/>
                <w:color w:val="000000" w:themeColor="text1"/>
                <w:sz w:val="24"/>
                <w14:textFill>
                  <w14:solidFill>
                    <w14:schemeClr w14:val="tx1"/>
                  </w14:solidFill>
                </w14:textFill>
              </w:rPr>
            </w:pPr>
          </w:p>
        </w:tc>
        <w:tc>
          <w:tcPr>
            <w:tcW w:w="670" w:type="pct"/>
            <w:tcBorders>
              <w:top w:val="single" w:color="auto" w:sz="4" w:space="0"/>
              <w:left w:val="single" w:color="auto" w:sz="4" w:space="0"/>
              <w:bottom w:val="single" w:color="auto" w:sz="4" w:space="0"/>
              <w:right w:val="single" w:color="auto" w:sz="4" w:space="0"/>
            </w:tcBorders>
          </w:tcPr>
          <w:p w14:paraId="0F5A9F1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231" w:type="pct"/>
            <w:gridSpan w:val="2"/>
            <w:tcBorders>
              <w:top w:val="single" w:color="auto" w:sz="4" w:space="0"/>
              <w:left w:val="single" w:color="auto" w:sz="4" w:space="0"/>
              <w:bottom w:val="single" w:color="auto" w:sz="4" w:space="0"/>
              <w:right w:val="single" w:color="auto" w:sz="4" w:space="0"/>
            </w:tcBorders>
          </w:tcPr>
          <w:p w14:paraId="7C37EAB8">
            <w:pPr>
              <w:rPr>
                <w:rFonts w:ascii="宋体" w:hAnsi="宋体" w:cs="宋体"/>
                <w:color w:val="000000" w:themeColor="text1"/>
                <w:sz w:val="24"/>
                <w14:textFill>
                  <w14:solidFill>
                    <w14:schemeClr w14:val="tx1"/>
                  </w14:solidFill>
                </w14:textFill>
              </w:rPr>
            </w:pPr>
          </w:p>
        </w:tc>
      </w:tr>
      <w:tr w14:paraId="2F17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466" w:type="pct"/>
            <w:gridSpan w:val="6"/>
            <w:tcBorders>
              <w:top w:val="single" w:color="auto" w:sz="4" w:space="0"/>
              <w:left w:val="single" w:color="auto" w:sz="4" w:space="0"/>
              <w:bottom w:val="single" w:color="auto" w:sz="4" w:space="0"/>
              <w:right w:val="single" w:color="auto" w:sz="4" w:space="0"/>
            </w:tcBorders>
          </w:tcPr>
          <w:p w14:paraId="11997BF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资格证书</w:t>
            </w:r>
          </w:p>
        </w:tc>
        <w:tc>
          <w:tcPr>
            <w:tcW w:w="2534" w:type="pct"/>
            <w:gridSpan w:val="5"/>
            <w:tcBorders>
              <w:top w:val="single" w:color="auto" w:sz="4" w:space="0"/>
              <w:left w:val="single" w:color="auto" w:sz="4" w:space="0"/>
              <w:bottom w:val="single" w:color="auto" w:sz="4" w:space="0"/>
              <w:right w:val="single" w:color="auto" w:sz="4" w:space="0"/>
            </w:tcBorders>
          </w:tcPr>
          <w:p w14:paraId="24EECE7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    页</w:t>
            </w:r>
          </w:p>
        </w:tc>
      </w:tr>
      <w:tr w14:paraId="7A5D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1097" w:type="pct"/>
            <w:gridSpan w:val="3"/>
            <w:tcBorders>
              <w:top w:val="single" w:color="auto" w:sz="4" w:space="0"/>
              <w:left w:val="single" w:color="auto" w:sz="4" w:space="0"/>
              <w:bottom w:val="single" w:color="auto" w:sz="4" w:space="0"/>
              <w:right w:val="single" w:color="auto" w:sz="4" w:space="0"/>
            </w:tcBorders>
          </w:tcPr>
          <w:p w14:paraId="758502F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参加工作时间</w:t>
            </w:r>
          </w:p>
        </w:tc>
        <w:tc>
          <w:tcPr>
            <w:tcW w:w="1369" w:type="pct"/>
            <w:gridSpan w:val="3"/>
            <w:tcBorders>
              <w:top w:val="single" w:color="auto" w:sz="4" w:space="0"/>
              <w:left w:val="single" w:color="auto" w:sz="4" w:space="0"/>
              <w:bottom w:val="single" w:color="auto" w:sz="4" w:space="0"/>
              <w:right w:val="single" w:color="auto" w:sz="4" w:space="0"/>
            </w:tcBorders>
          </w:tcPr>
          <w:p w14:paraId="6821DA0C">
            <w:pPr>
              <w:rPr>
                <w:rFonts w:ascii="宋体" w:hAnsi="宋体" w:cs="宋体"/>
                <w:color w:val="000000" w:themeColor="text1"/>
                <w:sz w:val="24"/>
                <w14:textFill>
                  <w14:solidFill>
                    <w14:schemeClr w14:val="tx1"/>
                  </w14:solidFill>
                </w14:textFill>
              </w:rPr>
            </w:pPr>
          </w:p>
        </w:tc>
        <w:tc>
          <w:tcPr>
            <w:tcW w:w="1827" w:type="pct"/>
            <w:gridSpan w:val="4"/>
            <w:tcBorders>
              <w:top w:val="single" w:color="auto" w:sz="4" w:space="0"/>
              <w:left w:val="single" w:color="auto" w:sz="4" w:space="0"/>
              <w:bottom w:val="single" w:color="auto" w:sz="4" w:space="0"/>
              <w:right w:val="single" w:color="auto" w:sz="4" w:space="0"/>
            </w:tcBorders>
          </w:tcPr>
          <w:p w14:paraId="3AC57ED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担任项目负责人年限</w:t>
            </w:r>
          </w:p>
        </w:tc>
        <w:tc>
          <w:tcPr>
            <w:tcW w:w="707" w:type="pct"/>
            <w:tcBorders>
              <w:top w:val="single" w:color="auto" w:sz="4" w:space="0"/>
              <w:left w:val="single" w:color="auto" w:sz="4" w:space="0"/>
              <w:bottom w:val="single" w:color="auto" w:sz="4" w:space="0"/>
              <w:right w:val="single" w:color="auto" w:sz="4" w:space="0"/>
            </w:tcBorders>
          </w:tcPr>
          <w:p w14:paraId="336B2C24">
            <w:pPr>
              <w:rPr>
                <w:rFonts w:ascii="宋体" w:hAnsi="宋体" w:cs="宋体"/>
                <w:color w:val="000000" w:themeColor="text1"/>
                <w:sz w:val="24"/>
                <w14:textFill>
                  <w14:solidFill>
                    <w14:schemeClr w14:val="tx1"/>
                  </w14:solidFill>
                </w14:textFill>
              </w:rPr>
            </w:pPr>
          </w:p>
        </w:tc>
      </w:tr>
      <w:tr w14:paraId="2599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000" w:type="pct"/>
            <w:gridSpan w:val="11"/>
            <w:tcBorders>
              <w:top w:val="single" w:color="auto" w:sz="4" w:space="0"/>
              <w:left w:val="single" w:color="auto" w:sz="4" w:space="0"/>
              <w:bottom w:val="single" w:color="auto" w:sz="4" w:space="0"/>
              <w:right w:val="single" w:color="auto" w:sz="4" w:space="0"/>
            </w:tcBorders>
          </w:tcPr>
          <w:p w14:paraId="653371F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负责项目情况如下</w:t>
            </w:r>
          </w:p>
        </w:tc>
      </w:tr>
      <w:tr w14:paraId="0AD3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36" w:type="pct"/>
            <w:gridSpan w:val="2"/>
            <w:tcBorders>
              <w:top w:val="single" w:color="auto" w:sz="4" w:space="0"/>
              <w:left w:val="single" w:color="auto" w:sz="4" w:space="0"/>
              <w:bottom w:val="single" w:color="auto" w:sz="4" w:space="0"/>
              <w:right w:val="single" w:color="auto" w:sz="4" w:space="0"/>
            </w:tcBorders>
          </w:tcPr>
          <w:p w14:paraId="3F7F653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甲方名称</w:t>
            </w:r>
          </w:p>
        </w:tc>
        <w:tc>
          <w:tcPr>
            <w:tcW w:w="1068" w:type="pct"/>
            <w:gridSpan w:val="3"/>
            <w:tcBorders>
              <w:top w:val="single" w:color="auto" w:sz="4" w:space="0"/>
              <w:left w:val="single" w:color="auto" w:sz="4" w:space="0"/>
              <w:bottom w:val="single" w:color="auto" w:sz="4" w:space="0"/>
              <w:right w:val="single" w:color="auto" w:sz="4" w:space="0"/>
            </w:tcBorders>
          </w:tcPr>
          <w:p w14:paraId="7C56A80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项目内容</w:t>
            </w:r>
          </w:p>
          <w:p w14:paraId="0DED82A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项目面积</w:t>
            </w:r>
          </w:p>
        </w:tc>
        <w:tc>
          <w:tcPr>
            <w:tcW w:w="858" w:type="pct"/>
            <w:gridSpan w:val="2"/>
            <w:tcBorders>
              <w:top w:val="single" w:color="auto" w:sz="4" w:space="0"/>
              <w:left w:val="single" w:color="auto" w:sz="4" w:space="0"/>
              <w:bottom w:val="single" w:color="auto" w:sz="4" w:space="0"/>
              <w:right w:val="single" w:color="auto" w:sz="4" w:space="0"/>
            </w:tcBorders>
          </w:tcPr>
          <w:p w14:paraId="1BB011F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合同签订时间</w:t>
            </w:r>
          </w:p>
        </w:tc>
        <w:tc>
          <w:tcPr>
            <w:tcW w:w="1008" w:type="pct"/>
            <w:gridSpan w:val="2"/>
            <w:tcBorders>
              <w:top w:val="single" w:color="auto" w:sz="4" w:space="0"/>
              <w:left w:val="single" w:color="auto" w:sz="4" w:space="0"/>
              <w:bottom w:val="single" w:color="auto" w:sz="4" w:space="0"/>
              <w:right w:val="single" w:color="auto" w:sz="4" w:space="0"/>
            </w:tcBorders>
          </w:tcPr>
          <w:p w14:paraId="15458D7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合同金额（万元）</w:t>
            </w:r>
          </w:p>
        </w:tc>
        <w:tc>
          <w:tcPr>
            <w:tcW w:w="1231" w:type="pct"/>
            <w:gridSpan w:val="2"/>
            <w:tcBorders>
              <w:top w:val="single" w:color="auto" w:sz="4" w:space="0"/>
              <w:left w:val="single" w:color="auto" w:sz="4" w:space="0"/>
              <w:bottom w:val="single" w:color="auto" w:sz="4" w:space="0"/>
              <w:right w:val="single" w:color="auto" w:sz="4" w:space="0"/>
            </w:tcBorders>
          </w:tcPr>
          <w:p w14:paraId="2D7A335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业主联系人及电话</w:t>
            </w:r>
          </w:p>
        </w:tc>
      </w:tr>
      <w:tr w14:paraId="2438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37" w:type="pct"/>
            <w:gridSpan w:val="2"/>
            <w:tcBorders>
              <w:top w:val="single" w:color="auto" w:sz="4" w:space="0"/>
              <w:left w:val="single" w:color="auto" w:sz="4" w:space="0"/>
              <w:bottom w:val="single" w:color="auto" w:sz="4" w:space="0"/>
              <w:right w:val="single" w:color="auto" w:sz="4" w:space="0"/>
            </w:tcBorders>
          </w:tcPr>
          <w:p w14:paraId="455AECA2">
            <w:pPr>
              <w:rPr>
                <w:rFonts w:ascii="宋体" w:hAnsi="宋体" w:cs="宋体"/>
                <w:color w:val="000000" w:themeColor="text1"/>
                <w:sz w:val="24"/>
                <w14:textFill>
                  <w14:solidFill>
                    <w14:schemeClr w14:val="tx1"/>
                  </w14:solidFill>
                </w14:textFill>
              </w:rPr>
            </w:pPr>
          </w:p>
        </w:tc>
        <w:tc>
          <w:tcPr>
            <w:tcW w:w="1067" w:type="pct"/>
            <w:gridSpan w:val="3"/>
            <w:tcBorders>
              <w:top w:val="single" w:color="auto" w:sz="4" w:space="0"/>
              <w:left w:val="single" w:color="auto" w:sz="4" w:space="0"/>
              <w:bottom w:val="single" w:color="auto" w:sz="4" w:space="0"/>
              <w:right w:val="single" w:color="auto" w:sz="4" w:space="0"/>
            </w:tcBorders>
          </w:tcPr>
          <w:p w14:paraId="2D82934C">
            <w:pPr>
              <w:rPr>
                <w:rFonts w:ascii="宋体" w:hAnsi="宋体" w:cs="宋体"/>
                <w:color w:val="000000" w:themeColor="text1"/>
                <w:sz w:val="24"/>
                <w14:textFill>
                  <w14:solidFill>
                    <w14:schemeClr w14:val="tx1"/>
                  </w14:solidFill>
                </w14:textFill>
              </w:rPr>
            </w:pPr>
          </w:p>
        </w:tc>
        <w:tc>
          <w:tcPr>
            <w:tcW w:w="858" w:type="pct"/>
            <w:gridSpan w:val="2"/>
            <w:tcBorders>
              <w:top w:val="single" w:color="auto" w:sz="4" w:space="0"/>
              <w:left w:val="single" w:color="auto" w:sz="4" w:space="0"/>
              <w:bottom w:val="single" w:color="auto" w:sz="4" w:space="0"/>
              <w:right w:val="single" w:color="auto" w:sz="4" w:space="0"/>
            </w:tcBorders>
          </w:tcPr>
          <w:p w14:paraId="385EE3C2">
            <w:pPr>
              <w:rPr>
                <w:rFonts w:ascii="宋体" w:hAnsi="宋体" w:cs="宋体"/>
                <w:color w:val="000000" w:themeColor="text1"/>
                <w:sz w:val="24"/>
                <w14:textFill>
                  <w14:solidFill>
                    <w14:schemeClr w14:val="tx1"/>
                  </w14:solidFill>
                </w14:textFill>
              </w:rPr>
            </w:pPr>
          </w:p>
        </w:tc>
        <w:tc>
          <w:tcPr>
            <w:tcW w:w="1008" w:type="pct"/>
            <w:gridSpan w:val="2"/>
            <w:tcBorders>
              <w:top w:val="single" w:color="auto" w:sz="4" w:space="0"/>
              <w:left w:val="single" w:color="auto" w:sz="4" w:space="0"/>
              <w:bottom w:val="single" w:color="auto" w:sz="4" w:space="0"/>
              <w:right w:val="single" w:color="auto" w:sz="4" w:space="0"/>
            </w:tcBorders>
          </w:tcPr>
          <w:p w14:paraId="2B2CD6F2">
            <w:pPr>
              <w:rPr>
                <w:rFonts w:ascii="宋体" w:hAnsi="宋体" w:cs="宋体"/>
                <w:color w:val="000000" w:themeColor="text1"/>
                <w:sz w:val="24"/>
                <w14:textFill>
                  <w14:solidFill>
                    <w14:schemeClr w14:val="tx1"/>
                  </w14:solidFill>
                </w14:textFill>
              </w:rPr>
            </w:pPr>
          </w:p>
        </w:tc>
        <w:tc>
          <w:tcPr>
            <w:tcW w:w="1231" w:type="pct"/>
            <w:gridSpan w:val="2"/>
            <w:tcBorders>
              <w:top w:val="single" w:color="auto" w:sz="4" w:space="0"/>
              <w:left w:val="single" w:color="auto" w:sz="4" w:space="0"/>
              <w:bottom w:val="single" w:color="auto" w:sz="4" w:space="0"/>
              <w:right w:val="single" w:color="auto" w:sz="4" w:space="0"/>
            </w:tcBorders>
          </w:tcPr>
          <w:p w14:paraId="4DA65C4C">
            <w:pPr>
              <w:rPr>
                <w:rFonts w:ascii="宋体" w:hAnsi="宋体" w:cs="宋体"/>
                <w:color w:val="000000" w:themeColor="text1"/>
                <w:sz w:val="24"/>
                <w14:textFill>
                  <w14:solidFill>
                    <w14:schemeClr w14:val="tx1"/>
                  </w14:solidFill>
                </w14:textFill>
              </w:rPr>
            </w:pPr>
          </w:p>
        </w:tc>
      </w:tr>
      <w:tr w14:paraId="1A0E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37" w:type="pct"/>
            <w:gridSpan w:val="2"/>
            <w:tcBorders>
              <w:top w:val="single" w:color="auto" w:sz="4" w:space="0"/>
              <w:left w:val="single" w:color="auto" w:sz="4" w:space="0"/>
              <w:bottom w:val="single" w:color="auto" w:sz="4" w:space="0"/>
              <w:right w:val="single" w:color="auto" w:sz="4" w:space="0"/>
            </w:tcBorders>
          </w:tcPr>
          <w:p w14:paraId="2C5EB6D9">
            <w:pPr>
              <w:rPr>
                <w:rFonts w:ascii="宋体" w:hAnsi="宋体" w:cs="宋体"/>
                <w:color w:val="000000" w:themeColor="text1"/>
                <w:sz w:val="24"/>
                <w14:textFill>
                  <w14:solidFill>
                    <w14:schemeClr w14:val="tx1"/>
                  </w14:solidFill>
                </w14:textFill>
              </w:rPr>
            </w:pPr>
          </w:p>
        </w:tc>
        <w:tc>
          <w:tcPr>
            <w:tcW w:w="1067" w:type="pct"/>
            <w:gridSpan w:val="3"/>
            <w:tcBorders>
              <w:top w:val="single" w:color="auto" w:sz="4" w:space="0"/>
              <w:left w:val="single" w:color="auto" w:sz="4" w:space="0"/>
              <w:bottom w:val="single" w:color="auto" w:sz="4" w:space="0"/>
              <w:right w:val="single" w:color="auto" w:sz="4" w:space="0"/>
            </w:tcBorders>
          </w:tcPr>
          <w:p w14:paraId="373A35F4">
            <w:pPr>
              <w:rPr>
                <w:rFonts w:ascii="宋体" w:hAnsi="宋体" w:cs="宋体"/>
                <w:color w:val="000000" w:themeColor="text1"/>
                <w:sz w:val="24"/>
                <w14:textFill>
                  <w14:solidFill>
                    <w14:schemeClr w14:val="tx1"/>
                  </w14:solidFill>
                </w14:textFill>
              </w:rPr>
            </w:pPr>
          </w:p>
        </w:tc>
        <w:tc>
          <w:tcPr>
            <w:tcW w:w="858" w:type="pct"/>
            <w:gridSpan w:val="2"/>
            <w:tcBorders>
              <w:top w:val="single" w:color="auto" w:sz="4" w:space="0"/>
              <w:left w:val="single" w:color="auto" w:sz="4" w:space="0"/>
              <w:bottom w:val="single" w:color="auto" w:sz="4" w:space="0"/>
              <w:right w:val="single" w:color="auto" w:sz="4" w:space="0"/>
            </w:tcBorders>
          </w:tcPr>
          <w:p w14:paraId="5AE45B28">
            <w:pPr>
              <w:rPr>
                <w:rFonts w:ascii="宋体" w:hAnsi="宋体" w:cs="宋体"/>
                <w:color w:val="000000" w:themeColor="text1"/>
                <w:sz w:val="24"/>
                <w14:textFill>
                  <w14:solidFill>
                    <w14:schemeClr w14:val="tx1"/>
                  </w14:solidFill>
                </w14:textFill>
              </w:rPr>
            </w:pPr>
          </w:p>
        </w:tc>
        <w:tc>
          <w:tcPr>
            <w:tcW w:w="1008" w:type="pct"/>
            <w:gridSpan w:val="2"/>
            <w:tcBorders>
              <w:top w:val="single" w:color="auto" w:sz="4" w:space="0"/>
              <w:left w:val="single" w:color="auto" w:sz="4" w:space="0"/>
              <w:bottom w:val="single" w:color="auto" w:sz="4" w:space="0"/>
              <w:right w:val="single" w:color="auto" w:sz="4" w:space="0"/>
            </w:tcBorders>
          </w:tcPr>
          <w:p w14:paraId="1A3538F6">
            <w:pPr>
              <w:rPr>
                <w:rFonts w:ascii="宋体" w:hAnsi="宋体" w:cs="宋体"/>
                <w:color w:val="000000" w:themeColor="text1"/>
                <w:sz w:val="24"/>
                <w14:textFill>
                  <w14:solidFill>
                    <w14:schemeClr w14:val="tx1"/>
                  </w14:solidFill>
                </w14:textFill>
              </w:rPr>
            </w:pPr>
          </w:p>
        </w:tc>
        <w:tc>
          <w:tcPr>
            <w:tcW w:w="1231" w:type="pct"/>
            <w:gridSpan w:val="2"/>
            <w:tcBorders>
              <w:top w:val="single" w:color="auto" w:sz="4" w:space="0"/>
              <w:left w:val="single" w:color="auto" w:sz="4" w:space="0"/>
              <w:bottom w:val="single" w:color="auto" w:sz="4" w:space="0"/>
              <w:right w:val="single" w:color="auto" w:sz="4" w:space="0"/>
            </w:tcBorders>
          </w:tcPr>
          <w:p w14:paraId="566AEB61">
            <w:pPr>
              <w:rPr>
                <w:rFonts w:ascii="宋体" w:hAnsi="宋体" w:cs="宋体"/>
                <w:color w:val="000000" w:themeColor="text1"/>
                <w:sz w:val="24"/>
                <w14:textFill>
                  <w14:solidFill>
                    <w14:schemeClr w14:val="tx1"/>
                  </w14:solidFill>
                </w14:textFill>
              </w:rPr>
            </w:pPr>
          </w:p>
        </w:tc>
      </w:tr>
      <w:tr w14:paraId="2E10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37" w:type="pct"/>
            <w:gridSpan w:val="2"/>
            <w:tcBorders>
              <w:top w:val="single" w:color="auto" w:sz="4" w:space="0"/>
              <w:left w:val="single" w:color="auto" w:sz="4" w:space="0"/>
              <w:bottom w:val="single" w:color="auto" w:sz="4" w:space="0"/>
              <w:right w:val="single" w:color="auto" w:sz="4" w:space="0"/>
            </w:tcBorders>
          </w:tcPr>
          <w:p w14:paraId="3AEF1857">
            <w:pPr>
              <w:rPr>
                <w:rFonts w:ascii="宋体" w:hAnsi="宋体" w:cs="宋体"/>
                <w:color w:val="000000" w:themeColor="text1"/>
                <w:sz w:val="24"/>
                <w14:textFill>
                  <w14:solidFill>
                    <w14:schemeClr w14:val="tx1"/>
                  </w14:solidFill>
                </w14:textFill>
              </w:rPr>
            </w:pPr>
          </w:p>
        </w:tc>
        <w:tc>
          <w:tcPr>
            <w:tcW w:w="1067" w:type="pct"/>
            <w:gridSpan w:val="3"/>
            <w:tcBorders>
              <w:top w:val="single" w:color="auto" w:sz="4" w:space="0"/>
              <w:left w:val="single" w:color="auto" w:sz="4" w:space="0"/>
              <w:bottom w:val="single" w:color="auto" w:sz="4" w:space="0"/>
              <w:right w:val="single" w:color="auto" w:sz="4" w:space="0"/>
            </w:tcBorders>
          </w:tcPr>
          <w:p w14:paraId="504AAC73">
            <w:pPr>
              <w:rPr>
                <w:rFonts w:ascii="宋体" w:hAnsi="宋体" w:cs="宋体"/>
                <w:color w:val="000000" w:themeColor="text1"/>
                <w:sz w:val="24"/>
                <w14:textFill>
                  <w14:solidFill>
                    <w14:schemeClr w14:val="tx1"/>
                  </w14:solidFill>
                </w14:textFill>
              </w:rPr>
            </w:pPr>
          </w:p>
        </w:tc>
        <w:tc>
          <w:tcPr>
            <w:tcW w:w="858" w:type="pct"/>
            <w:gridSpan w:val="2"/>
            <w:tcBorders>
              <w:top w:val="single" w:color="auto" w:sz="4" w:space="0"/>
              <w:left w:val="single" w:color="auto" w:sz="4" w:space="0"/>
              <w:bottom w:val="single" w:color="auto" w:sz="4" w:space="0"/>
              <w:right w:val="single" w:color="auto" w:sz="4" w:space="0"/>
            </w:tcBorders>
          </w:tcPr>
          <w:p w14:paraId="70E11DAE">
            <w:pPr>
              <w:rPr>
                <w:rFonts w:ascii="宋体" w:hAnsi="宋体" w:cs="宋体"/>
                <w:color w:val="000000" w:themeColor="text1"/>
                <w:sz w:val="24"/>
                <w14:textFill>
                  <w14:solidFill>
                    <w14:schemeClr w14:val="tx1"/>
                  </w14:solidFill>
                </w14:textFill>
              </w:rPr>
            </w:pPr>
          </w:p>
        </w:tc>
        <w:tc>
          <w:tcPr>
            <w:tcW w:w="1008" w:type="pct"/>
            <w:gridSpan w:val="2"/>
            <w:tcBorders>
              <w:top w:val="single" w:color="auto" w:sz="4" w:space="0"/>
              <w:left w:val="single" w:color="auto" w:sz="4" w:space="0"/>
              <w:bottom w:val="single" w:color="auto" w:sz="4" w:space="0"/>
              <w:right w:val="single" w:color="auto" w:sz="4" w:space="0"/>
            </w:tcBorders>
          </w:tcPr>
          <w:p w14:paraId="68896DA5">
            <w:pPr>
              <w:rPr>
                <w:rFonts w:ascii="宋体" w:hAnsi="宋体" w:cs="宋体"/>
                <w:color w:val="000000" w:themeColor="text1"/>
                <w:sz w:val="24"/>
                <w14:textFill>
                  <w14:solidFill>
                    <w14:schemeClr w14:val="tx1"/>
                  </w14:solidFill>
                </w14:textFill>
              </w:rPr>
            </w:pPr>
          </w:p>
        </w:tc>
        <w:tc>
          <w:tcPr>
            <w:tcW w:w="1231" w:type="pct"/>
            <w:gridSpan w:val="2"/>
            <w:tcBorders>
              <w:top w:val="single" w:color="auto" w:sz="4" w:space="0"/>
              <w:left w:val="single" w:color="auto" w:sz="4" w:space="0"/>
              <w:bottom w:val="single" w:color="auto" w:sz="4" w:space="0"/>
              <w:right w:val="single" w:color="auto" w:sz="4" w:space="0"/>
            </w:tcBorders>
          </w:tcPr>
          <w:p w14:paraId="67700EE5">
            <w:pPr>
              <w:rPr>
                <w:rFonts w:ascii="宋体" w:hAnsi="宋体" w:cs="宋体"/>
                <w:color w:val="000000" w:themeColor="text1"/>
                <w:sz w:val="24"/>
                <w14:textFill>
                  <w14:solidFill>
                    <w14:schemeClr w14:val="tx1"/>
                  </w14:solidFill>
                </w14:textFill>
              </w:rPr>
            </w:pPr>
          </w:p>
        </w:tc>
      </w:tr>
      <w:tr w14:paraId="440F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37" w:type="pct"/>
            <w:gridSpan w:val="2"/>
            <w:tcBorders>
              <w:top w:val="single" w:color="auto" w:sz="4" w:space="0"/>
              <w:left w:val="single" w:color="auto" w:sz="4" w:space="0"/>
              <w:bottom w:val="single" w:color="auto" w:sz="4" w:space="0"/>
              <w:right w:val="single" w:color="auto" w:sz="4" w:space="0"/>
            </w:tcBorders>
          </w:tcPr>
          <w:p w14:paraId="5D782447">
            <w:pPr>
              <w:rPr>
                <w:rFonts w:ascii="宋体" w:hAnsi="宋体" w:cs="宋体"/>
                <w:color w:val="000000" w:themeColor="text1"/>
                <w:sz w:val="24"/>
                <w14:textFill>
                  <w14:solidFill>
                    <w14:schemeClr w14:val="tx1"/>
                  </w14:solidFill>
                </w14:textFill>
              </w:rPr>
            </w:pPr>
          </w:p>
        </w:tc>
        <w:tc>
          <w:tcPr>
            <w:tcW w:w="1067" w:type="pct"/>
            <w:gridSpan w:val="3"/>
            <w:tcBorders>
              <w:top w:val="single" w:color="auto" w:sz="4" w:space="0"/>
              <w:left w:val="single" w:color="auto" w:sz="4" w:space="0"/>
              <w:bottom w:val="single" w:color="auto" w:sz="4" w:space="0"/>
              <w:right w:val="single" w:color="auto" w:sz="4" w:space="0"/>
            </w:tcBorders>
          </w:tcPr>
          <w:p w14:paraId="362A4D49">
            <w:pPr>
              <w:rPr>
                <w:rFonts w:ascii="宋体" w:hAnsi="宋体" w:cs="宋体"/>
                <w:color w:val="000000" w:themeColor="text1"/>
                <w:sz w:val="24"/>
                <w14:textFill>
                  <w14:solidFill>
                    <w14:schemeClr w14:val="tx1"/>
                  </w14:solidFill>
                </w14:textFill>
              </w:rPr>
            </w:pPr>
          </w:p>
        </w:tc>
        <w:tc>
          <w:tcPr>
            <w:tcW w:w="858" w:type="pct"/>
            <w:gridSpan w:val="2"/>
            <w:tcBorders>
              <w:top w:val="single" w:color="auto" w:sz="4" w:space="0"/>
              <w:left w:val="single" w:color="auto" w:sz="4" w:space="0"/>
              <w:bottom w:val="single" w:color="auto" w:sz="4" w:space="0"/>
              <w:right w:val="single" w:color="auto" w:sz="4" w:space="0"/>
            </w:tcBorders>
          </w:tcPr>
          <w:p w14:paraId="054A2488">
            <w:pPr>
              <w:rPr>
                <w:rFonts w:ascii="宋体" w:hAnsi="宋体" w:cs="宋体"/>
                <w:color w:val="000000" w:themeColor="text1"/>
                <w:sz w:val="24"/>
                <w14:textFill>
                  <w14:solidFill>
                    <w14:schemeClr w14:val="tx1"/>
                  </w14:solidFill>
                </w14:textFill>
              </w:rPr>
            </w:pPr>
          </w:p>
        </w:tc>
        <w:tc>
          <w:tcPr>
            <w:tcW w:w="1008" w:type="pct"/>
            <w:gridSpan w:val="2"/>
            <w:tcBorders>
              <w:top w:val="single" w:color="auto" w:sz="4" w:space="0"/>
              <w:left w:val="single" w:color="auto" w:sz="4" w:space="0"/>
              <w:bottom w:val="single" w:color="auto" w:sz="4" w:space="0"/>
              <w:right w:val="single" w:color="auto" w:sz="4" w:space="0"/>
            </w:tcBorders>
          </w:tcPr>
          <w:p w14:paraId="1C3738BB">
            <w:pPr>
              <w:rPr>
                <w:rFonts w:ascii="宋体" w:hAnsi="宋体" w:cs="宋体"/>
                <w:color w:val="000000" w:themeColor="text1"/>
                <w:sz w:val="24"/>
                <w14:textFill>
                  <w14:solidFill>
                    <w14:schemeClr w14:val="tx1"/>
                  </w14:solidFill>
                </w14:textFill>
              </w:rPr>
            </w:pPr>
          </w:p>
        </w:tc>
        <w:tc>
          <w:tcPr>
            <w:tcW w:w="1231" w:type="pct"/>
            <w:gridSpan w:val="2"/>
            <w:tcBorders>
              <w:top w:val="single" w:color="auto" w:sz="4" w:space="0"/>
              <w:left w:val="single" w:color="auto" w:sz="4" w:space="0"/>
              <w:bottom w:val="single" w:color="auto" w:sz="4" w:space="0"/>
              <w:right w:val="single" w:color="auto" w:sz="4" w:space="0"/>
            </w:tcBorders>
          </w:tcPr>
          <w:p w14:paraId="4DA7F020">
            <w:pPr>
              <w:rPr>
                <w:rFonts w:ascii="宋体" w:hAnsi="宋体" w:cs="宋体"/>
                <w:color w:val="000000" w:themeColor="text1"/>
                <w:sz w:val="24"/>
                <w14:textFill>
                  <w14:solidFill>
                    <w14:schemeClr w14:val="tx1"/>
                  </w14:solidFill>
                </w14:textFill>
              </w:rPr>
            </w:pPr>
          </w:p>
        </w:tc>
      </w:tr>
    </w:tbl>
    <w:p w14:paraId="288BC081">
      <w:pPr>
        <w:rPr>
          <w:rFonts w:ascii="宋体" w:hAnsi="宋体" w:cs="宋体"/>
          <w:color w:val="000000" w:themeColor="text1"/>
          <w:sz w:val="24"/>
          <w14:textFill>
            <w14:solidFill>
              <w14:schemeClr w14:val="tx1"/>
            </w14:solidFill>
          </w14:textFill>
        </w:rPr>
      </w:pPr>
    </w:p>
    <w:p w14:paraId="368C805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承担本项目主要服务人员配置表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986"/>
        <w:gridCol w:w="946"/>
        <w:gridCol w:w="1046"/>
        <w:gridCol w:w="4918"/>
      </w:tblGrid>
      <w:tr w14:paraId="2471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Borders>
              <w:top w:val="single" w:color="auto" w:sz="4" w:space="0"/>
              <w:left w:val="single" w:color="auto" w:sz="4" w:space="0"/>
              <w:bottom w:val="single" w:color="auto" w:sz="4" w:space="0"/>
              <w:right w:val="single" w:color="auto" w:sz="4" w:space="0"/>
            </w:tcBorders>
            <w:vAlign w:val="center"/>
          </w:tcPr>
          <w:p w14:paraId="27BC4B2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997" w:type="pct"/>
            <w:tcBorders>
              <w:top w:val="single" w:color="auto" w:sz="4" w:space="0"/>
              <w:left w:val="single" w:color="auto" w:sz="4" w:space="0"/>
              <w:bottom w:val="single" w:color="auto" w:sz="4" w:space="0"/>
              <w:right w:val="single" w:color="auto" w:sz="4" w:space="0"/>
            </w:tcBorders>
            <w:vAlign w:val="center"/>
          </w:tcPr>
          <w:p w14:paraId="381A54E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p>
        </w:tc>
        <w:tc>
          <w:tcPr>
            <w:tcW w:w="475" w:type="pct"/>
            <w:tcBorders>
              <w:top w:val="single" w:color="auto" w:sz="4" w:space="0"/>
              <w:left w:val="single" w:color="auto" w:sz="4" w:space="0"/>
              <w:bottom w:val="single" w:color="auto" w:sz="4" w:space="0"/>
              <w:right w:val="single" w:color="auto" w:sz="4" w:space="0"/>
            </w:tcBorders>
            <w:vAlign w:val="center"/>
          </w:tcPr>
          <w:p w14:paraId="3DB7EB73">
            <w:pP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职责</w:t>
            </w:r>
          </w:p>
        </w:tc>
        <w:tc>
          <w:tcPr>
            <w:tcW w:w="525" w:type="pct"/>
            <w:tcBorders>
              <w:top w:val="single" w:color="auto" w:sz="4" w:space="0"/>
              <w:left w:val="single" w:color="auto" w:sz="4" w:space="0"/>
              <w:bottom w:val="single" w:color="auto" w:sz="4" w:space="0"/>
              <w:right w:val="single" w:color="auto" w:sz="4" w:space="0"/>
            </w:tcBorders>
            <w:vAlign w:val="center"/>
          </w:tcPr>
          <w:p w14:paraId="20F937E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2468" w:type="pct"/>
            <w:tcBorders>
              <w:top w:val="single" w:color="auto" w:sz="4" w:space="0"/>
              <w:left w:val="single" w:color="auto" w:sz="4" w:space="0"/>
              <w:bottom w:val="single" w:color="auto" w:sz="4" w:space="0"/>
              <w:right w:val="single" w:color="auto" w:sz="4" w:space="0"/>
            </w:tcBorders>
            <w:vAlign w:val="center"/>
          </w:tcPr>
          <w:p w14:paraId="020619D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资格证书</w:t>
            </w:r>
          </w:p>
        </w:tc>
      </w:tr>
      <w:tr w14:paraId="6B03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Borders>
              <w:top w:val="single" w:color="auto" w:sz="4" w:space="0"/>
              <w:left w:val="single" w:color="auto" w:sz="4" w:space="0"/>
              <w:bottom w:val="single" w:color="auto" w:sz="4" w:space="0"/>
              <w:right w:val="single" w:color="auto" w:sz="4" w:space="0"/>
            </w:tcBorders>
          </w:tcPr>
          <w:p w14:paraId="77EA5847">
            <w:pPr>
              <w:rPr>
                <w:rFonts w:ascii="宋体" w:hAnsi="宋体" w:cs="宋体"/>
                <w:color w:val="000000" w:themeColor="text1"/>
                <w:sz w:val="24"/>
                <w14:textFill>
                  <w14:solidFill>
                    <w14:schemeClr w14:val="tx1"/>
                  </w14:solidFill>
                </w14:textFill>
              </w:rPr>
            </w:pPr>
          </w:p>
        </w:tc>
        <w:tc>
          <w:tcPr>
            <w:tcW w:w="997" w:type="pct"/>
            <w:tcBorders>
              <w:top w:val="single" w:color="auto" w:sz="4" w:space="0"/>
              <w:left w:val="single" w:color="auto" w:sz="4" w:space="0"/>
              <w:bottom w:val="single" w:color="auto" w:sz="4" w:space="0"/>
              <w:right w:val="single" w:color="auto" w:sz="4" w:space="0"/>
            </w:tcBorders>
          </w:tcPr>
          <w:p w14:paraId="16DE3354">
            <w:pPr>
              <w:rPr>
                <w:rFonts w:ascii="宋体" w:hAnsi="宋体" w:cs="宋体"/>
                <w:color w:val="000000" w:themeColor="text1"/>
                <w:sz w:val="24"/>
                <w14:textFill>
                  <w14:solidFill>
                    <w14:schemeClr w14:val="tx1"/>
                  </w14:solidFill>
                </w14:textFill>
              </w:rPr>
            </w:pPr>
          </w:p>
        </w:tc>
        <w:tc>
          <w:tcPr>
            <w:tcW w:w="475" w:type="pct"/>
            <w:tcBorders>
              <w:top w:val="single" w:color="auto" w:sz="4" w:space="0"/>
              <w:left w:val="single" w:color="auto" w:sz="4" w:space="0"/>
              <w:bottom w:val="single" w:color="auto" w:sz="4" w:space="0"/>
              <w:right w:val="single" w:color="auto" w:sz="4" w:space="0"/>
            </w:tcBorders>
          </w:tcPr>
          <w:p w14:paraId="7598EA70">
            <w:pPr>
              <w:rPr>
                <w:rFonts w:ascii="宋体" w:hAnsi="宋体" w:cs="宋体"/>
                <w:color w:val="000000" w:themeColor="text1"/>
                <w:sz w:val="24"/>
                <w14:textFill>
                  <w14:solidFill>
                    <w14:schemeClr w14:val="tx1"/>
                  </w14:solidFill>
                </w14:textFill>
              </w:rPr>
            </w:pPr>
          </w:p>
        </w:tc>
        <w:tc>
          <w:tcPr>
            <w:tcW w:w="525" w:type="pct"/>
            <w:tcBorders>
              <w:top w:val="single" w:color="auto" w:sz="4" w:space="0"/>
              <w:left w:val="single" w:color="auto" w:sz="4" w:space="0"/>
              <w:bottom w:val="single" w:color="auto" w:sz="4" w:space="0"/>
              <w:right w:val="single" w:color="auto" w:sz="4" w:space="0"/>
            </w:tcBorders>
          </w:tcPr>
          <w:p w14:paraId="2BE134F7">
            <w:pPr>
              <w:rPr>
                <w:rFonts w:ascii="宋体" w:hAnsi="宋体" w:cs="宋体"/>
                <w:color w:val="000000" w:themeColor="text1"/>
                <w:sz w:val="24"/>
                <w14:textFill>
                  <w14:solidFill>
                    <w14:schemeClr w14:val="tx1"/>
                  </w14:solidFill>
                </w14:textFill>
              </w:rPr>
            </w:pPr>
          </w:p>
        </w:tc>
        <w:tc>
          <w:tcPr>
            <w:tcW w:w="2468" w:type="pct"/>
            <w:tcBorders>
              <w:top w:val="single" w:color="auto" w:sz="4" w:space="0"/>
              <w:left w:val="single" w:color="auto" w:sz="4" w:space="0"/>
              <w:bottom w:val="single" w:color="auto" w:sz="4" w:space="0"/>
              <w:right w:val="single" w:color="auto" w:sz="4" w:space="0"/>
            </w:tcBorders>
          </w:tcPr>
          <w:p w14:paraId="514486B1">
            <w:pPr>
              <w:rPr>
                <w:rFonts w:ascii="宋体" w:hAnsi="宋体" w:cs="宋体"/>
                <w:color w:val="000000" w:themeColor="text1"/>
                <w:sz w:val="24"/>
                <w14:textFill>
                  <w14:solidFill>
                    <w14:schemeClr w14:val="tx1"/>
                  </w14:solidFill>
                </w14:textFill>
              </w:rPr>
            </w:pPr>
          </w:p>
        </w:tc>
      </w:tr>
      <w:tr w14:paraId="07E1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Borders>
              <w:top w:val="single" w:color="auto" w:sz="4" w:space="0"/>
              <w:left w:val="single" w:color="auto" w:sz="4" w:space="0"/>
              <w:bottom w:val="single" w:color="auto" w:sz="4" w:space="0"/>
              <w:right w:val="single" w:color="auto" w:sz="4" w:space="0"/>
            </w:tcBorders>
          </w:tcPr>
          <w:p w14:paraId="565D2B3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7" w:type="pct"/>
            <w:tcBorders>
              <w:top w:val="single" w:color="auto" w:sz="4" w:space="0"/>
              <w:left w:val="single" w:color="auto" w:sz="4" w:space="0"/>
              <w:bottom w:val="single" w:color="auto" w:sz="4" w:space="0"/>
              <w:right w:val="single" w:color="auto" w:sz="4" w:space="0"/>
            </w:tcBorders>
          </w:tcPr>
          <w:p w14:paraId="59DC1D8C">
            <w:pPr>
              <w:rPr>
                <w:rFonts w:ascii="宋体" w:hAnsi="宋体" w:cs="宋体"/>
                <w:color w:val="000000" w:themeColor="text1"/>
                <w:sz w:val="24"/>
                <w14:textFill>
                  <w14:solidFill>
                    <w14:schemeClr w14:val="tx1"/>
                  </w14:solidFill>
                </w14:textFill>
              </w:rPr>
            </w:pPr>
          </w:p>
        </w:tc>
        <w:tc>
          <w:tcPr>
            <w:tcW w:w="475" w:type="pct"/>
            <w:tcBorders>
              <w:top w:val="single" w:color="auto" w:sz="4" w:space="0"/>
              <w:left w:val="single" w:color="auto" w:sz="4" w:space="0"/>
              <w:bottom w:val="single" w:color="auto" w:sz="4" w:space="0"/>
              <w:right w:val="single" w:color="auto" w:sz="4" w:space="0"/>
            </w:tcBorders>
          </w:tcPr>
          <w:p w14:paraId="57015959">
            <w:pPr>
              <w:rPr>
                <w:rFonts w:ascii="宋体" w:hAnsi="宋体" w:cs="宋体"/>
                <w:color w:val="000000" w:themeColor="text1"/>
                <w:sz w:val="24"/>
                <w14:textFill>
                  <w14:solidFill>
                    <w14:schemeClr w14:val="tx1"/>
                  </w14:solidFill>
                </w14:textFill>
              </w:rPr>
            </w:pPr>
          </w:p>
        </w:tc>
        <w:tc>
          <w:tcPr>
            <w:tcW w:w="525" w:type="pct"/>
            <w:tcBorders>
              <w:top w:val="single" w:color="auto" w:sz="4" w:space="0"/>
              <w:left w:val="single" w:color="auto" w:sz="4" w:space="0"/>
              <w:bottom w:val="single" w:color="auto" w:sz="4" w:space="0"/>
              <w:right w:val="single" w:color="auto" w:sz="4" w:space="0"/>
            </w:tcBorders>
          </w:tcPr>
          <w:p w14:paraId="754FB53E">
            <w:pPr>
              <w:rPr>
                <w:rFonts w:ascii="宋体" w:hAnsi="宋体" w:cs="宋体"/>
                <w:color w:val="000000" w:themeColor="text1"/>
                <w:sz w:val="24"/>
                <w14:textFill>
                  <w14:solidFill>
                    <w14:schemeClr w14:val="tx1"/>
                  </w14:solidFill>
                </w14:textFill>
              </w:rPr>
            </w:pPr>
          </w:p>
        </w:tc>
        <w:tc>
          <w:tcPr>
            <w:tcW w:w="2468" w:type="pct"/>
            <w:tcBorders>
              <w:top w:val="single" w:color="auto" w:sz="4" w:space="0"/>
              <w:left w:val="single" w:color="auto" w:sz="4" w:space="0"/>
              <w:bottom w:val="single" w:color="auto" w:sz="4" w:space="0"/>
              <w:right w:val="single" w:color="auto" w:sz="4" w:space="0"/>
            </w:tcBorders>
          </w:tcPr>
          <w:p w14:paraId="05AE0FD2">
            <w:pPr>
              <w:rPr>
                <w:rFonts w:ascii="宋体" w:hAnsi="宋体" w:cs="宋体"/>
                <w:color w:val="000000" w:themeColor="text1"/>
                <w:sz w:val="24"/>
                <w14:textFill>
                  <w14:solidFill>
                    <w14:schemeClr w14:val="tx1"/>
                  </w14:solidFill>
                </w14:textFill>
              </w:rPr>
            </w:pPr>
          </w:p>
        </w:tc>
      </w:tr>
    </w:tbl>
    <w:p w14:paraId="55871BAC">
      <w:pPr>
        <w:tabs>
          <w:tab w:val="clear" w:pos="36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填报要求：</w:t>
      </w:r>
    </w:p>
    <w:p w14:paraId="05D719FF">
      <w:pPr>
        <w:tabs>
          <w:tab w:val="clear" w:pos="36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1.上表列出的人员，需附其资格证书的扫描件。</w:t>
      </w:r>
    </w:p>
    <w:p w14:paraId="5A7AB16C">
      <w:pPr>
        <w:tabs>
          <w:tab w:val="clear" w:pos="36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2.按照供应商情况自行提供上述人员在本单位服务的外部证明材料。</w:t>
      </w:r>
    </w:p>
    <w:p w14:paraId="39964584">
      <w:pPr>
        <w:rPr>
          <w:rFonts w:ascii="宋体" w:hAnsi="宋体" w:cs="宋体"/>
          <w:color w:val="000000" w:themeColor="text1"/>
          <w:sz w:val="24"/>
          <w14:textFill>
            <w14:solidFill>
              <w14:schemeClr w14:val="tx1"/>
            </w14:solidFill>
          </w14:textFill>
        </w:rPr>
      </w:pPr>
    </w:p>
    <w:p w14:paraId="03A786C4">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6124532F">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E0CD076">
      <w:pPr>
        <w:rPr>
          <w:rFonts w:hAnsi="宋体"/>
          <w:color w:val="000000" w:themeColor="text1"/>
          <w:sz w:val="24"/>
          <w:lang w:val="en-GB"/>
          <w14:textFill>
            <w14:solidFill>
              <w14:schemeClr w14:val="tx1"/>
            </w14:solidFill>
          </w14:textFill>
        </w:rPr>
      </w:pPr>
      <w:r>
        <w:rPr>
          <w:rFonts w:hint="eastAsia" w:hAnsi="宋体"/>
          <w:color w:val="000000" w:themeColor="text1"/>
          <w:sz w:val="24"/>
          <w:lang w:val="en-GB"/>
          <w14:textFill>
            <w14:solidFill>
              <w14:schemeClr w14:val="tx1"/>
            </w14:solidFill>
          </w14:textFill>
        </w:rPr>
        <w:br w:type="page"/>
      </w:r>
    </w:p>
    <w:p w14:paraId="60EE940C">
      <w:pPr>
        <w:ind w:firstLine="640"/>
        <w:rPr>
          <w:rFonts w:ascii="宋体" w:hAnsi="宋体" w:cs="宋体"/>
          <w:color w:val="000000" w:themeColor="text1"/>
          <w:sz w:val="32"/>
          <w:szCs w:val="32"/>
          <w14:textFill>
            <w14:solidFill>
              <w14:schemeClr w14:val="tx1"/>
            </w14:solidFill>
          </w14:textFill>
        </w:rPr>
        <w:sectPr>
          <w:pgSz w:w="11906" w:h="16838"/>
          <w:pgMar w:top="1440" w:right="1080" w:bottom="1440" w:left="1080" w:header="709" w:footer="709" w:gutter="0"/>
          <w:cols w:space="720" w:num="1"/>
          <w:docGrid w:type="lines" w:linePitch="312" w:charSpace="0"/>
        </w:sectPr>
      </w:pPr>
    </w:p>
    <w:p w14:paraId="2F3238B0">
      <w:pPr>
        <w:tabs>
          <w:tab w:val="clear" w:pos="360"/>
        </w:tabs>
        <w:jc w:val="center"/>
        <w:textAlignment w:val="baseline"/>
        <w:rPr>
          <w:rFonts w:ascii="宋体" w:hAnsi="宋体" w:cs="宋体"/>
          <w:b/>
          <w:bCs/>
          <w:color w:val="000000" w:themeColor="text1"/>
          <w:sz w:val="38"/>
          <w:szCs w:val="38"/>
          <w14:textFill>
            <w14:solidFill>
              <w14:schemeClr w14:val="tx1"/>
            </w14:solidFill>
          </w14:textFill>
        </w:rPr>
      </w:pPr>
      <w:r>
        <w:rPr>
          <w:rFonts w:hint="eastAsia" w:ascii="宋体" w:hAnsi="宋体" w:cs="宋体"/>
          <w:b/>
          <w:bCs/>
          <w:color w:val="000000" w:themeColor="text1"/>
          <w:sz w:val="38"/>
          <w:szCs w:val="38"/>
          <w14:textFill>
            <w14:solidFill>
              <w14:schemeClr w14:val="tx1"/>
            </w14:solidFill>
          </w14:textFill>
        </w:rPr>
        <w:t>供应商认为有必要说明的其他材料</w:t>
      </w:r>
    </w:p>
    <w:p w14:paraId="0850EBCE">
      <w:pPr>
        <w:tabs>
          <w:tab w:val="clear" w:pos="360"/>
        </w:tabs>
        <w:jc w:val="center"/>
        <w:textAlignment w:val="baseline"/>
        <w:rPr>
          <w:rFonts w:ascii="宋体" w:hAnsi="宋体" w:cs="宋体"/>
          <w:color w:val="000000" w:themeColor="text1"/>
          <w:sz w:val="32"/>
          <w:szCs w:val="32"/>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cs="宋体"/>
          <w:b/>
          <w:bCs/>
          <w:color w:val="000000" w:themeColor="text1"/>
          <w:sz w:val="38"/>
          <w:szCs w:val="38"/>
          <w14:textFill>
            <w14:solidFill>
              <w14:schemeClr w14:val="tx1"/>
            </w14:solidFill>
          </w14:textFill>
        </w:rPr>
        <w:t>（格式自拟）</w:t>
      </w:r>
    </w:p>
    <w:p w14:paraId="4797E5A5">
      <w:pPr>
        <w:tabs>
          <w:tab w:val="clear" w:pos="360"/>
        </w:tabs>
        <w:jc w:val="center"/>
        <w:rPr>
          <w:rFonts w:ascii="宋体" w:hAnsi="宋体" w:cs="宋体"/>
          <w:b/>
          <w:color w:val="000000" w:themeColor="text1"/>
          <w:sz w:val="28"/>
          <w:szCs w:val="28"/>
          <w:lang w:val="en-GB"/>
          <w14:textFill>
            <w14:solidFill>
              <w14:schemeClr w14:val="tx1"/>
            </w14:solidFill>
          </w14:textFill>
        </w:rPr>
      </w:pPr>
      <w:r>
        <w:rPr>
          <w:rFonts w:hint="eastAsia" w:ascii="宋体" w:hAnsi="宋体" w:cs="宋体"/>
          <w:b/>
          <w:color w:val="000000" w:themeColor="text1"/>
          <w:sz w:val="28"/>
          <w:szCs w:val="28"/>
          <w:lang w:val="en-GB"/>
          <w14:textFill>
            <w14:solidFill>
              <w14:schemeClr w14:val="tx1"/>
            </w14:solidFill>
          </w14:textFill>
        </w:rPr>
        <w:t>二次报价表</w:t>
      </w:r>
    </w:p>
    <w:p w14:paraId="55A49A91">
      <w:pPr>
        <w:pStyle w:val="11"/>
        <w:tabs>
          <w:tab w:val="clear" w:pos="360"/>
        </w:tabs>
        <w:spacing w:after="0"/>
        <w:ind w:left="0" w:firstLine="422" w:firstLineChars="175"/>
        <w:rPr>
          <w:rFonts w:ascii="宋体" w:hAnsi="宋体" w:cs="宋体"/>
          <w:b/>
          <w:color w:val="000000" w:themeColor="text1"/>
          <w:sz w:val="24"/>
          <w:lang w:val="en-GB"/>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w:t>
      </w:r>
      <w:r>
        <w:rPr>
          <w:rFonts w:hint="eastAsia" w:ascii="宋体" w:hAnsi="宋体" w:cs="宋体"/>
          <w:b/>
          <w:color w:val="000000" w:themeColor="text1"/>
          <w:sz w:val="24"/>
          <w:lang w:val="en-GB"/>
          <w14:textFill>
            <w14:solidFill>
              <w14:schemeClr w14:val="tx1"/>
            </w14:solidFill>
          </w14:textFill>
        </w:rPr>
        <w:t>本表仅在</w:t>
      </w:r>
      <w:r>
        <w:rPr>
          <w:rFonts w:hint="eastAsia" w:ascii="宋体" w:hAnsi="宋体" w:cs="宋体"/>
          <w:b/>
          <w:color w:val="000000" w:themeColor="text1"/>
          <w:sz w:val="24"/>
          <w14:textFill>
            <w14:solidFill>
              <w14:schemeClr w14:val="tx1"/>
            </w14:solidFill>
          </w14:textFill>
        </w:rPr>
        <w:t>磋商</w:t>
      </w:r>
      <w:r>
        <w:rPr>
          <w:rFonts w:hint="eastAsia" w:ascii="宋体" w:hAnsi="宋体" w:cs="宋体"/>
          <w:b/>
          <w:color w:val="000000" w:themeColor="text1"/>
          <w:sz w:val="24"/>
          <w:lang w:val="en-GB"/>
          <w14:textFill>
            <w14:solidFill>
              <w14:schemeClr w14:val="tx1"/>
            </w14:solidFill>
          </w14:textFill>
        </w:rPr>
        <w:t>/二次报价环节由供应商</w:t>
      </w:r>
      <w:r>
        <w:rPr>
          <w:rFonts w:hint="eastAsia" w:ascii="宋体" w:hAnsi="宋体" w:cs="宋体"/>
          <w:b/>
          <w:color w:val="000000" w:themeColor="text1"/>
          <w:sz w:val="24"/>
          <w14:textFill>
            <w14:solidFill>
              <w14:schemeClr w14:val="tx1"/>
            </w14:solidFill>
          </w14:textFill>
        </w:rPr>
        <w:t>提供（须加盖公章）</w:t>
      </w:r>
      <w:r>
        <w:rPr>
          <w:rFonts w:hint="eastAsia" w:ascii="宋体" w:hAnsi="宋体" w:cs="宋体"/>
          <w:b/>
          <w:color w:val="000000" w:themeColor="text1"/>
          <w:sz w:val="24"/>
          <w:lang w:val="en-GB"/>
          <w14:textFill>
            <w14:solidFill>
              <w14:schemeClr w14:val="tx1"/>
            </w14:solidFill>
          </w14:textFill>
        </w:rPr>
        <w:t>。</w:t>
      </w:r>
    </w:p>
    <w:p w14:paraId="2F508A41">
      <w:pPr>
        <w:pStyle w:val="11"/>
        <w:tabs>
          <w:tab w:val="clear" w:pos="360"/>
        </w:tabs>
        <w:spacing w:after="0"/>
        <w:ind w:left="0" w:firstLine="422" w:firstLineChars="17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2.供应商的最终报价须不高于本项目的初次报价。</w:t>
      </w:r>
    </w:p>
    <w:p w14:paraId="29CC8D37">
      <w:pPr>
        <w:pStyle w:val="11"/>
        <w:tabs>
          <w:tab w:val="clear" w:pos="360"/>
        </w:tabs>
        <w:spacing w:after="0"/>
        <w:ind w:left="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项目名称：全球数源中心数据流通利用基础设施先行先试项目方案设计服务项目</w:t>
      </w:r>
    </w:p>
    <w:p w14:paraId="2F54CD64">
      <w:pPr>
        <w:spacing w:line="44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（货币单位：人民币  元）</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25B9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62A7BCA9">
            <w:pPr>
              <w:tabs>
                <w:tab w:val="clear" w:pos="360"/>
              </w:tabs>
              <w:spacing w:line="440" w:lineRule="exact"/>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报价项</w:t>
            </w:r>
          </w:p>
        </w:tc>
        <w:tc>
          <w:tcPr>
            <w:tcW w:w="2500" w:type="pct"/>
            <w:vAlign w:val="center"/>
          </w:tcPr>
          <w:p w14:paraId="427E6A0E">
            <w:pPr>
              <w:tabs>
                <w:tab w:val="clear" w:pos="360"/>
              </w:tabs>
              <w:spacing w:line="440" w:lineRule="exact"/>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报价</w:t>
            </w:r>
          </w:p>
        </w:tc>
      </w:tr>
      <w:tr w14:paraId="4988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361AFF23">
            <w:pPr>
              <w:tabs>
                <w:tab w:val="clear" w:pos="360"/>
              </w:tabs>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供应商总报价（含税）</w:t>
            </w:r>
          </w:p>
        </w:tc>
        <w:tc>
          <w:tcPr>
            <w:tcW w:w="2500" w:type="pct"/>
            <w:vAlign w:val="center"/>
          </w:tcPr>
          <w:p w14:paraId="20865B85">
            <w:pPr>
              <w:tabs>
                <w:tab w:val="clear" w:pos="360"/>
              </w:tabs>
              <w:spacing w:line="4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小写：</w:t>
            </w:r>
          </w:p>
          <w:p w14:paraId="2468BC35">
            <w:pPr>
              <w:tabs>
                <w:tab w:val="clear" w:pos="360"/>
              </w:tabs>
              <w:spacing w:line="4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大写：</w:t>
            </w:r>
          </w:p>
        </w:tc>
      </w:tr>
      <w:tr w14:paraId="3F2D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07A12E21">
            <w:pPr>
              <w:tabs>
                <w:tab w:val="clear" w:pos="360"/>
              </w:tabs>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供应商总报价（不含税）</w:t>
            </w:r>
          </w:p>
        </w:tc>
        <w:tc>
          <w:tcPr>
            <w:tcW w:w="2500" w:type="pct"/>
            <w:vAlign w:val="center"/>
          </w:tcPr>
          <w:p w14:paraId="149B69A1">
            <w:pPr>
              <w:tabs>
                <w:tab w:val="clear" w:pos="360"/>
              </w:tabs>
              <w:spacing w:line="4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小写：</w:t>
            </w:r>
          </w:p>
          <w:p w14:paraId="74CE22A9">
            <w:pPr>
              <w:tabs>
                <w:tab w:val="clear" w:pos="360"/>
              </w:tabs>
              <w:spacing w:line="4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大写：</w:t>
            </w:r>
          </w:p>
        </w:tc>
      </w:tr>
      <w:tr w14:paraId="3A9B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5ED22C39">
            <w:pPr>
              <w:tabs>
                <w:tab w:val="clear" w:pos="360"/>
              </w:tabs>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税率</w:t>
            </w:r>
          </w:p>
        </w:tc>
        <w:tc>
          <w:tcPr>
            <w:tcW w:w="2500" w:type="pct"/>
            <w:vAlign w:val="center"/>
          </w:tcPr>
          <w:p w14:paraId="729F372B">
            <w:pPr>
              <w:tabs>
                <w:tab w:val="clear" w:pos="360"/>
              </w:tabs>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741E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4F40A4C4">
            <w:pPr>
              <w:tabs>
                <w:tab w:val="clear" w:pos="360"/>
              </w:tabs>
              <w:spacing w:line="4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是否开具增值税专用发票</w:t>
            </w:r>
          </w:p>
        </w:tc>
        <w:tc>
          <w:tcPr>
            <w:tcW w:w="2500" w:type="pct"/>
            <w:vAlign w:val="center"/>
          </w:tcPr>
          <w:p w14:paraId="44EF3C77">
            <w:pPr>
              <w:tabs>
                <w:tab w:val="clear" w:pos="360"/>
              </w:tabs>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bl>
    <w:p w14:paraId="2A0C2752">
      <w:pPr>
        <w:pStyle w:val="11"/>
        <w:spacing w:after="0"/>
        <w:ind w:left="0"/>
        <w:rPr>
          <w:rFonts w:ascii="宋体" w:hAnsi="宋体" w:cs="宋体"/>
          <w:color w:val="000000" w:themeColor="text1"/>
          <w:sz w:val="24"/>
          <w14:textFill>
            <w14:solidFill>
              <w14:schemeClr w14:val="tx1"/>
            </w14:solidFill>
          </w14:textFill>
        </w:rPr>
      </w:pPr>
    </w:p>
    <w:p w14:paraId="791A9204">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填报要求：</w:t>
      </w:r>
    </w:p>
    <w:p w14:paraId="179ED3AF">
      <w:pPr>
        <w:tabs>
          <w:tab w:val="clear" w:pos="360"/>
        </w:tabs>
        <w:spacing w:line="44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供应商总报价不得高于采购限价。</w:t>
      </w:r>
    </w:p>
    <w:p w14:paraId="56435E4A">
      <w:pPr>
        <w:tabs>
          <w:tab w:val="clear" w:pos="360"/>
        </w:tabs>
        <w:spacing w:line="44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比选评审小组认为供应商不能证明其报价合理性的，或有可能影响服务质量或者不能诚信履约的，应当将其作为无效响应处理。</w:t>
      </w:r>
    </w:p>
    <w:p w14:paraId="789C3726">
      <w:pPr>
        <w:tabs>
          <w:tab w:val="clear" w:pos="360"/>
        </w:tabs>
        <w:spacing w:line="44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3.含税价格=不含税价格*（1+税率）</w:t>
      </w:r>
    </w:p>
    <w:p w14:paraId="0BE36680">
      <w:pPr>
        <w:pStyle w:val="11"/>
        <w:spacing w:after="0"/>
        <w:ind w:left="0"/>
        <w:rPr>
          <w:rFonts w:ascii="宋体" w:hAnsi="宋体" w:cs="宋体"/>
          <w:color w:val="000000" w:themeColor="text1"/>
          <w:sz w:val="24"/>
          <w14:textFill>
            <w14:solidFill>
              <w14:schemeClr w14:val="tx1"/>
            </w14:solidFill>
          </w14:textFill>
        </w:rPr>
      </w:pPr>
    </w:p>
    <w:p w14:paraId="38615EF3">
      <w:pPr>
        <w:pStyle w:val="11"/>
        <w:spacing w:after="0"/>
        <w:ind w:left="0"/>
        <w:rPr>
          <w:rFonts w:ascii="宋体" w:hAnsi="宋体" w:cs="宋体"/>
          <w:color w:val="000000" w:themeColor="text1"/>
          <w:sz w:val="24"/>
          <w14:textFill>
            <w14:solidFill>
              <w14:schemeClr w14:val="tx1"/>
            </w14:solidFill>
          </w14:textFill>
        </w:rPr>
      </w:pPr>
    </w:p>
    <w:p w14:paraId="6FF26F2E">
      <w:pPr>
        <w:pStyle w:val="11"/>
        <w:spacing w:after="0"/>
        <w:ind w:left="0"/>
        <w:rPr>
          <w:rFonts w:ascii="宋体" w:hAnsi="宋体" w:cs="宋体"/>
          <w:color w:val="000000" w:themeColor="text1"/>
          <w:sz w:val="24"/>
          <w14:textFill>
            <w14:solidFill>
              <w14:schemeClr w14:val="tx1"/>
            </w14:solidFill>
          </w14:textFill>
        </w:rPr>
      </w:pP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14:paraId="3F985D2E">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供应商名称（单位公章）：</w:t>
      </w:r>
    </w:p>
    <w:p w14:paraId="4BCA2BAB">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5F1A65D">
      <w:pPr>
        <w:jc w:val="right"/>
        <w:rPr>
          <w:rFonts w:ascii="宋体" w:hAnsi="宋体" w:cs="宋体"/>
          <w:color w:val="000000" w:themeColor="text1"/>
          <w:sz w:val="24"/>
          <w14:textFill>
            <w14:solidFill>
              <w14:schemeClr w14:val="tx1"/>
            </w14:solidFill>
          </w14:textFill>
        </w:rPr>
      </w:pPr>
    </w:p>
    <w:p w14:paraId="7AD6E0DF"/>
    <w:sectPr>
      <w:headerReference r:id="rId17" w:type="default"/>
      <w:footerReference r:id="rId18" w:type="default"/>
      <w:pgSz w:w="11906" w:h="16838"/>
      <w:pgMar w:top="1440" w:right="1080" w:bottom="1440" w:left="1080" w:header="709" w:footer="709"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ans-serif">
    <w:altName w:val="Times New Roman"/>
    <w:panose1 w:val="020B0604020202020204"/>
    <w:charset w:val="00"/>
    <w:family w:val="auto"/>
    <w:pitch w:val="default"/>
    <w:sig w:usb0="00000000" w:usb1="00000000" w:usb2="00000000" w:usb3="00000000" w:csb0="00000000" w:csb1="00000000"/>
  </w:font>
  <w:font w:name="monospace">
    <w:altName w:val="Times New Roman"/>
    <w:panose1 w:val="020B0604020202020204"/>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长城仿宋">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KaiTi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90DC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9D0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00C68">
    <w:pPr>
      <w:pStyle w:val="1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D7420">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ED7420">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A29F6">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A5C5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D9A5C51">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1C1C">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2467B">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B22467B">
                    <w:pPr>
                      <w:pStyle w:val="18"/>
                    </w:pPr>
                    <w:r>
                      <w:fldChar w:fldCharType="begin"/>
                    </w:r>
                    <w:r>
                      <w:instrText xml:space="preserve"> PAGE  \* MERGEFORMAT </w:instrText>
                    </w:r>
                    <w:r>
                      <w:fldChar w:fldCharType="separate"/>
                    </w:r>
                    <w:r>
                      <w:t>2</w:t>
                    </w:r>
                    <w:r>
                      <w:fldChar w:fldCharType="end"/>
                    </w:r>
                  </w:p>
                </w:txbxContent>
              </v:textbox>
            </v:shape>
          </w:pict>
        </mc:Fallback>
      </mc:AlternateContent>
    </w:r>
  </w:p>
  <w:p w14:paraId="29485CF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206C">
    <w:pPr>
      <w:pStyle w:val="18"/>
      <w:ind w:firstLine="3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4A40D">
                          <w:pPr>
                            <w:pStyle w:val="1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224A40D">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902C">
    <w:pPr>
      <w:pStyle w:val="18"/>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7357E">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D57357E">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29840">
    <w:pPr>
      <w:pStyle w:val="19"/>
      <w:jc w:val="left"/>
    </w:pPr>
    <w:r>
      <w:rPr>
        <w:rFonts w:hint="eastAsia"/>
      </w:rPr>
      <w:t>全球数源中心数据流通利用基础设施先行先试项目方案设计服务项目招标文件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B472">
    <w:pPr>
      <w:pStyle w:val="19"/>
      <w:spacing w:line="240" w:lineRule="auto"/>
      <w:jc w:val="left"/>
    </w:pPr>
    <w:r>
      <w:rPr>
        <w:rFonts w:hint="eastAsia"/>
      </w:rPr>
      <w:t>全球数源中心数据流通利用基础设施先行先试项目初步设计服务项目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B409">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60293">
    <w:r>
      <w:rPr>
        <w:rFonts w:hint="eastAsia"/>
      </w:rPr>
      <w:t>全球数源中心数据流通利用基础设施先行先试项目方案设计服务项目招标文件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B8F0">
    <w:pPr>
      <w:pStyle w:val="19"/>
      <w:spacing w:line="240" w:lineRule="auto"/>
      <w:jc w:val="left"/>
    </w:pPr>
    <w:r>
      <w:rPr>
        <w:rFonts w:hint="eastAsia"/>
      </w:rPr>
      <w:t>全球数源中心数据流通利用基础设施先行先试项目方案设计服务项目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26A8">
    <w:pPr>
      <w:pStyle w:val="19"/>
      <w:tabs>
        <w:tab w:val="clear" w:pos="360"/>
        <w:tab w:val="clear" w:pos="4153"/>
        <w:tab w:val="clear" w:pos="8306"/>
      </w:tabs>
      <w:spacing w:line="240" w:lineRule="auto"/>
      <w:jc w:val="left"/>
    </w:pPr>
    <w:r>
      <w:rPr>
        <w:rFonts w:hint="eastAsia"/>
      </w:rPr>
      <w:t>全球数源中心数据流通利用基础设施先行先试项目方案设计服务项目</w:t>
    </w:r>
  </w:p>
  <w:p w14:paraId="728E81B1">
    <w:pPr>
      <w:ind w:firstLine="36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BE8F0">
    <w:pPr>
      <w:pStyle w:val="19"/>
      <w:spacing w:line="240" w:lineRule="auto"/>
      <w:jc w:val="left"/>
    </w:pPr>
    <w:r>
      <w:rPr>
        <w:rFonts w:hint="eastAsia"/>
      </w:rPr>
      <w:t>全球数源中心数据流通利用基础设施先行先试项目方案设计服务项目</w:t>
    </w:r>
  </w:p>
  <w:p w14:paraId="13CE0DF0">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0B8B4"/>
    <w:multiLevelType w:val="singleLevel"/>
    <w:tmpl w:val="A8A0B8B4"/>
    <w:lvl w:ilvl="0" w:tentative="0">
      <w:start w:val="1"/>
      <w:numFmt w:val="chineseCounting"/>
      <w:suff w:val="nothing"/>
      <w:lvlText w:val="（%1）"/>
      <w:lvlJc w:val="left"/>
      <w:rPr>
        <w:rFonts w:hint="eastAsia"/>
      </w:rPr>
    </w:lvl>
  </w:abstractNum>
  <w:abstractNum w:abstractNumId="1">
    <w:nsid w:val="C9AA8C08"/>
    <w:multiLevelType w:val="singleLevel"/>
    <w:tmpl w:val="C9AA8C08"/>
    <w:lvl w:ilvl="0" w:tentative="0">
      <w:start w:val="1"/>
      <w:numFmt w:val="chineseCounting"/>
      <w:suff w:val="nothing"/>
      <w:lvlText w:val="（%1）"/>
      <w:lvlJc w:val="left"/>
      <w:pPr>
        <w:ind w:left="0" w:firstLine="420"/>
      </w:pPr>
      <w:rPr>
        <w:rFonts w:hint="eastAsia"/>
      </w:rPr>
    </w:lvl>
  </w:abstractNum>
  <w:abstractNum w:abstractNumId="2">
    <w:nsid w:val="ECC43D75"/>
    <w:multiLevelType w:val="singleLevel"/>
    <w:tmpl w:val="ECC43D75"/>
    <w:lvl w:ilvl="0" w:tentative="0">
      <w:start w:val="1"/>
      <w:numFmt w:val="decimal"/>
      <w:lvlText w:val="%1."/>
      <w:lvlJc w:val="left"/>
      <w:pPr>
        <w:tabs>
          <w:tab w:val="left" w:pos="312"/>
        </w:tabs>
      </w:pPr>
    </w:lvl>
  </w:abstractNum>
  <w:abstractNum w:abstractNumId="3">
    <w:nsid w:val="F72EB8C5"/>
    <w:multiLevelType w:val="multilevel"/>
    <w:tmpl w:val="F72EB8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5356F7"/>
    <w:multiLevelType w:val="multilevel"/>
    <w:tmpl w:val="095356F7"/>
    <w:lvl w:ilvl="0" w:tentative="0">
      <w:start w:val="1"/>
      <w:numFmt w:val="chineseCountingThousand"/>
      <w:lvlText w:val="%1、"/>
      <w:lvlJc w:val="left"/>
      <w:pPr>
        <w:ind w:left="409" w:hanging="420"/>
      </w:pPr>
    </w:lvl>
    <w:lvl w:ilvl="1" w:tentative="0">
      <w:start w:val="1"/>
      <w:numFmt w:val="lowerLetter"/>
      <w:lvlText w:val="%2)"/>
      <w:lvlJc w:val="left"/>
      <w:pPr>
        <w:ind w:left="829" w:hanging="420"/>
      </w:pPr>
    </w:lvl>
    <w:lvl w:ilvl="2" w:tentative="0">
      <w:start w:val="1"/>
      <w:numFmt w:val="lowerRoman"/>
      <w:lvlText w:val="%3."/>
      <w:lvlJc w:val="right"/>
      <w:pPr>
        <w:ind w:left="1249" w:hanging="420"/>
      </w:pPr>
    </w:lvl>
    <w:lvl w:ilvl="3" w:tentative="0">
      <w:start w:val="1"/>
      <w:numFmt w:val="decimal"/>
      <w:lvlText w:val="%4."/>
      <w:lvlJc w:val="left"/>
      <w:pPr>
        <w:ind w:left="1669" w:hanging="420"/>
      </w:pPr>
    </w:lvl>
    <w:lvl w:ilvl="4" w:tentative="0">
      <w:start w:val="1"/>
      <w:numFmt w:val="lowerLetter"/>
      <w:lvlText w:val="%5)"/>
      <w:lvlJc w:val="left"/>
      <w:pPr>
        <w:ind w:left="2089" w:hanging="420"/>
      </w:pPr>
    </w:lvl>
    <w:lvl w:ilvl="5" w:tentative="0">
      <w:start w:val="1"/>
      <w:numFmt w:val="lowerRoman"/>
      <w:lvlText w:val="%6."/>
      <w:lvlJc w:val="right"/>
      <w:pPr>
        <w:ind w:left="2509" w:hanging="420"/>
      </w:pPr>
    </w:lvl>
    <w:lvl w:ilvl="6" w:tentative="0">
      <w:start w:val="1"/>
      <w:numFmt w:val="decimal"/>
      <w:lvlText w:val="%7."/>
      <w:lvlJc w:val="left"/>
      <w:pPr>
        <w:ind w:left="2929" w:hanging="420"/>
      </w:pPr>
    </w:lvl>
    <w:lvl w:ilvl="7" w:tentative="0">
      <w:start w:val="1"/>
      <w:numFmt w:val="lowerLetter"/>
      <w:lvlText w:val="%8)"/>
      <w:lvlJc w:val="left"/>
      <w:pPr>
        <w:ind w:left="3349" w:hanging="420"/>
      </w:pPr>
    </w:lvl>
    <w:lvl w:ilvl="8" w:tentative="0">
      <w:start w:val="1"/>
      <w:numFmt w:val="lowerRoman"/>
      <w:lvlText w:val="%9."/>
      <w:lvlJc w:val="right"/>
      <w:pPr>
        <w:ind w:left="3769" w:hanging="420"/>
      </w:pPr>
    </w:lvl>
  </w:abstractNum>
  <w:abstractNum w:abstractNumId="5">
    <w:nsid w:val="09DA2B04"/>
    <w:multiLevelType w:val="multilevel"/>
    <w:tmpl w:val="09DA2B0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DCF3B7"/>
    <w:multiLevelType w:val="singleLevel"/>
    <w:tmpl w:val="15DCF3B7"/>
    <w:lvl w:ilvl="0" w:tentative="0">
      <w:start w:val="1"/>
      <w:numFmt w:val="decimal"/>
      <w:lvlText w:val="%1."/>
      <w:lvlJc w:val="left"/>
      <w:pPr>
        <w:tabs>
          <w:tab w:val="left" w:pos="312"/>
        </w:tabs>
      </w:pPr>
    </w:lvl>
  </w:abstractNum>
  <w:abstractNum w:abstractNumId="7">
    <w:nsid w:val="2BFEACD4"/>
    <w:multiLevelType w:val="singleLevel"/>
    <w:tmpl w:val="2BFEACD4"/>
    <w:lvl w:ilvl="0" w:tentative="0">
      <w:start w:val="1"/>
      <w:numFmt w:val="decimal"/>
      <w:suff w:val="nothing"/>
      <w:lvlText w:val="%1、"/>
      <w:lvlJc w:val="left"/>
    </w:lvl>
  </w:abstractNum>
  <w:abstractNum w:abstractNumId="8">
    <w:nsid w:val="2E065046"/>
    <w:multiLevelType w:val="multilevel"/>
    <w:tmpl w:val="2E06504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2119F11"/>
    <w:multiLevelType w:val="singleLevel"/>
    <w:tmpl w:val="32119F11"/>
    <w:lvl w:ilvl="0" w:tentative="0">
      <w:start w:val="1"/>
      <w:numFmt w:val="chineseCounting"/>
      <w:suff w:val="nothing"/>
      <w:lvlText w:val="%1、"/>
      <w:lvlJc w:val="left"/>
      <w:pPr>
        <w:ind w:left="0" w:firstLine="420"/>
      </w:pPr>
      <w:rPr>
        <w:rFonts w:hint="eastAsia"/>
      </w:rPr>
    </w:lvl>
  </w:abstractNum>
  <w:abstractNum w:abstractNumId="10">
    <w:nsid w:val="33CC522F"/>
    <w:multiLevelType w:val="multilevel"/>
    <w:tmpl w:val="33CC522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87468DC"/>
    <w:multiLevelType w:val="multilevel"/>
    <w:tmpl w:val="387468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B76D526"/>
    <w:multiLevelType w:val="singleLevel"/>
    <w:tmpl w:val="3B76D526"/>
    <w:lvl w:ilvl="0" w:tentative="0">
      <w:start w:val="5"/>
      <w:numFmt w:val="chineseCounting"/>
      <w:suff w:val="nothing"/>
      <w:lvlText w:val="（%1）"/>
      <w:lvlJc w:val="left"/>
      <w:rPr>
        <w:rFonts w:hint="eastAsia"/>
      </w:rPr>
    </w:lvl>
  </w:abstractNum>
  <w:abstractNum w:abstractNumId="13">
    <w:nsid w:val="3CD206D6"/>
    <w:multiLevelType w:val="multilevel"/>
    <w:tmpl w:val="3CD206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CD62F3C"/>
    <w:multiLevelType w:val="multilevel"/>
    <w:tmpl w:val="3CD62F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4643639"/>
    <w:multiLevelType w:val="multilevel"/>
    <w:tmpl w:val="546436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CF208B5"/>
    <w:multiLevelType w:val="multilevel"/>
    <w:tmpl w:val="5CF208B5"/>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1E79B01"/>
    <w:multiLevelType w:val="singleLevel"/>
    <w:tmpl w:val="61E79B01"/>
    <w:lvl w:ilvl="0" w:tentative="0">
      <w:start w:val="1"/>
      <w:numFmt w:val="decimal"/>
      <w:suff w:val="nothing"/>
      <w:lvlText w:val="（%1）"/>
      <w:lvlJc w:val="left"/>
    </w:lvl>
  </w:abstractNum>
  <w:abstractNum w:abstractNumId="18">
    <w:nsid w:val="65594FB3"/>
    <w:multiLevelType w:val="multilevel"/>
    <w:tmpl w:val="65594F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6"/>
      <w:isLgl/>
      <w:suff w:val="nothing"/>
      <w:lvlText w:val="%1.%2.%3.%4、"/>
      <w:lvlJc w:val="left"/>
      <w:pPr>
        <w:ind w:left="851" w:hanging="851"/>
      </w:pPr>
      <w:rPr>
        <w:rFonts w:hint="default" w:ascii="Arial" w:hAnsi="Arial" w:cs="Arial"/>
        <w:sz w:val="24"/>
        <w:szCs w:val="24"/>
      </w:rPr>
    </w:lvl>
    <w:lvl w:ilvl="4" w:tentative="0">
      <w:start w:val="1"/>
      <w:numFmt w:val="decimal"/>
      <w:pStyle w:val="7"/>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20">
    <w:nsid w:val="6E37CD23"/>
    <w:multiLevelType w:val="singleLevel"/>
    <w:tmpl w:val="6E37CD23"/>
    <w:lvl w:ilvl="0" w:tentative="0">
      <w:start w:val="3"/>
      <w:numFmt w:val="chineseCounting"/>
      <w:suff w:val="space"/>
      <w:lvlText w:val="第%1章"/>
      <w:lvlJc w:val="left"/>
      <w:rPr>
        <w:rFonts w:hint="eastAsia"/>
      </w:rPr>
    </w:lvl>
  </w:abstractNum>
  <w:abstractNum w:abstractNumId="21">
    <w:nsid w:val="6E6F60E5"/>
    <w:multiLevelType w:val="multilevel"/>
    <w:tmpl w:val="6E6F60E5"/>
    <w:lvl w:ilvl="0" w:tentative="0">
      <w:start w:val="1"/>
      <w:numFmt w:val="decimal"/>
      <w:lvlText w:val="%1."/>
      <w:lvlJc w:val="left"/>
      <w:pPr>
        <w:ind w:left="420" w:hanging="420"/>
      </w:pPr>
      <w:rPr>
        <w:rFonts w:hint="default"/>
        <w:sz w:val="24"/>
        <w:szCs w:val="24"/>
      </w:rPr>
    </w:lvl>
    <w:lvl w:ilvl="1" w:tentative="0">
      <w:start w:val="1"/>
      <w:numFmt w:val="decimal"/>
      <w:pStyle w:val="102"/>
      <w:suff w:val="space"/>
      <w:lvlText w:val="%1.%2"/>
      <w:lvlJc w:val="left"/>
      <w:pPr>
        <w:ind w:left="567" w:hanging="567"/>
      </w:pPr>
      <w:rPr>
        <w:rFonts w:hint="eastAsia"/>
      </w:rPr>
    </w:lvl>
    <w:lvl w:ilvl="2" w:tentative="0">
      <w:start w:val="1"/>
      <w:numFmt w:val="decimal"/>
      <w:pStyle w:val="103"/>
      <w:suff w:val="space"/>
      <w:lvlText w:val="%1.%2.%3"/>
      <w:lvlJc w:val="left"/>
      <w:pPr>
        <w:ind w:left="6238" w:hanging="425"/>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1418" w:hanging="425"/>
      </w:pPr>
      <w:rPr>
        <w:rFonts w:hint="default" w:ascii="Times New Roman" w:hAnsi="Times New Roman"/>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4557"/>
        </w:tabs>
        <w:ind w:left="4557"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2">
    <w:nsid w:val="6F223969"/>
    <w:multiLevelType w:val="multilevel"/>
    <w:tmpl w:val="6F22396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3E3045"/>
    <w:multiLevelType w:val="multilevel"/>
    <w:tmpl w:val="713E30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8B262AA"/>
    <w:multiLevelType w:val="singleLevel"/>
    <w:tmpl w:val="78B262AA"/>
    <w:lvl w:ilvl="0" w:tentative="0">
      <w:start w:val="1"/>
      <w:numFmt w:val="decimal"/>
      <w:suff w:val="nothing"/>
      <w:lvlText w:val="（%1）"/>
      <w:lvlJc w:val="left"/>
    </w:lvl>
  </w:abstractNum>
  <w:num w:numId="1">
    <w:abstractNumId w:val="19"/>
  </w:num>
  <w:num w:numId="2">
    <w:abstractNumId w:val="21"/>
  </w:num>
  <w:num w:numId="3">
    <w:abstractNumId w:val="1"/>
  </w:num>
  <w:num w:numId="4">
    <w:abstractNumId w:val="9"/>
  </w:num>
  <w:num w:numId="5">
    <w:abstractNumId w:val="0"/>
  </w:num>
  <w:num w:numId="6">
    <w:abstractNumId w:val="20"/>
  </w:num>
  <w:num w:numId="7">
    <w:abstractNumId w:val="12"/>
  </w:num>
  <w:num w:numId="8">
    <w:abstractNumId w:val="4"/>
  </w:num>
  <w:num w:numId="9">
    <w:abstractNumId w:val="5"/>
  </w:num>
  <w:num w:numId="10">
    <w:abstractNumId w:val="16"/>
  </w:num>
  <w:num w:numId="11">
    <w:abstractNumId w:val="8"/>
  </w:num>
  <w:num w:numId="12">
    <w:abstractNumId w:val="18"/>
  </w:num>
  <w:num w:numId="13">
    <w:abstractNumId w:val="2"/>
  </w:num>
  <w:num w:numId="14">
    <w:abstractNumId w:val="14"/>
  </w:num>
  <w:num w:numId="15">
    <w:abstractNumId w:val="13"/>
  </w:num>
  <w:num w:numId="16">
    <w:abstractNumId w:val="24"/>
  </w:num>
  <w:num w:numId="17">
    <w:abstractNumId w:val="17"/>
  </w:num>
  <w:num w:numId="18">
    <w:abstractNumId w:val="11"/>
  </w:num>
  <w:num w:numId="19">
    <w:abstractNumId w:val="3"/>
  </w:num>
  <w:num w:numId="20">
    <w:abstractNumId w:val="6"/>
  </w:num>
  <w:num w:numId="21">
    <w:abstractNumId w:val="23"/>
  </w:num>
  <w:num w:numId="22">
    <w:abstractNumId w:val="7"/>
  </w:num>
  <w:num w:numId="23">
    <w:abstractNumId w:val="15"/>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trackRevisions w:val="1"/>
  <w:documentProtection w:enforcement="0"/>
  <w:defaultTabStop w:val="422"/>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FmMjAyNDkwNDhlZmZjMjE5NGQwMGFjMzMwYzYifQ=="/>
    <w:docVar w:name="KGWebUrl" w:val="http://10.197.38.19/weaver/weaver.file.FileDownload?fileid=171936&amp;type=document"/>
    <w:docVar w:name="KSO_WPS_MARK_KEY" w:val="86e8ec26-c971-4e43-af7b-c265affbfff8"/>
  </w:docVars>
  <w:rsids>
    <w:rsidRoot w:val="00172A27"/>
    <w:rsid w:val="00001694"/>
    <w:rsid w:val="00005FF2"/>
    <w:rsid w:val="00006918"/>
    <w:rsid w:val="00007250"/>
    <w:rsid w:val="0002654E"/>
    <w:rsid w:val="00043144"/>
    <w:rsid w:val="00044C11"/>
    <w:rsid w:val="000476EE"/>
    <w:rsid w:val="00065C9F"/>
    <w:rsid w:val="000711C3"/>
    <w:rsid w:val="0008066A"/>
    <w:rsid w:val="0008178D"/>
    <w:rsid w:val="00085E0B"/>
    <w:rsid w:val="000947B4"/>
    <w:rsid w:val="000979AB"/>
    <w:rsid w:val="000A1BE2"/>
    <w:rsid w:val="000A5837"/>
    <w:rsid w:val="000A7D39"/>
    <w:rsid w:val="000B7EBA"/>
    <w:rsid w:val="000D516D"/>
    <w:rsid w:val="000D769B"/>
    <w:rsid w:val="00102CA4"/>
    <w:rsid w:val="001038C9"/>
    <w:rsid w:val="00110381"/>
    <w:rsid w:val="0011090D"/>
    <w:rsid w:val="00112885"/>
    <w:rsid w:val="001131D7"/>
    <w:rsid w:val="00120566"/>
    <w:rsid w:val="00130BE1"/>
    <w:rsid w:val="00137F3B"/>
    <w:rsid w:val="0014593F"/>
    <w:rsid w:val="00151EFA"/>
    <w:rsid w:val="00164102"/>
    <w:rsid w:val="0016607C"/>
    <w:rsid w:val="00167F97"/>
    <w:rsid w:val="00172A27"/>
    <w:rsid w:val="001866DA"/>
    <w:rsid w:val="00186861"/>
    <w:rsid w:val="00190048"/>
    <w:rsid w:val="001916AB"/>
    <w:rsid w:val="00195D92"/>
    <w:rsid w:val="001A10CF"/>
    <w:rsid w:val="001A1660"/>
    <w:rsid w:val="001A1A8E"/>
    <w:rsid w:val="001A4A1C"/>
    <w:rsid w:val="001C5E73"/>
    <w:rsid w:val="001D2958"/>
    <w:rsid w:val="001D41C8"/>
    <w:rsid w:val="001D48A2"/>
    <w:rsid w:val="001E2C2B"/>
    <w:rsid w:val="001E53D2"/>
    <w:rsid w:val="001F5646"/>
    <w:rsid w:val="00206A23"/>
    <w:rsid w:val="002107E9"/>
    <w:rsid w:val="00217E59"/>
    <w:rsid w:val="00220B5D"/>
    <w:rsid w:val="00225826"/>
    <w:rsid w:val="00233568"/>
    <w:rsid w:val="0024159F"/>
    <w:rsid w:val="00252F9A"/>
    <w:rsid w:val="00254912"/>
    <w:rsid w:val="00254F98"/>
    <w:rsid w:val="0025584C"/>
    <w:rsid w:val="00266418"/>
    <w:rsid w:val="00277D54"/>
    <w:rsid w:val="00285A68"/>
    <w:rsid w:val="0029071F"/>
    <w:rsid w:val="00291115"/>
    <w:rsid w:val="002A4509"/>
    <w:rsid w:val="002A5811"/>
    <w:rsid w:val="002A7E6C"/>
    <w:rsid w:val="002B6235"/>
    <w:rsid w:val="002C1EF6"/>
    <w:rsid w:val="002C49AF"/>
    <w:rsid w:val="002C4CD5"/>
    <w:rsid w:val="002D12CA"/>
    <w:rsid w:val="002E0229"/>
    <w:rsid w:val="002E5BFC"/>
    <w:rsid w:val="002E718D"/>
    <w:rsid w:val="002F39F6"/>
    <w:rsid w:val="00301D91"/>
    <w:rsid w:val="0030303D"/>
    <w:rsid w:val="00306B12"/>
    <w:rsid w:val="00322F32"/>
    <w:rsid w:val="00330A8D"/>
    <w:rsid w:val="003320F1"/>
    <w:rsid w:val="003337F3"/>
    <w:rsid w:val="003467CE"/>
    <w:rsid w:val="003474C0"/>
    <w:rsid w:val="00351FBE"/>
    <w:rsid w:val="003700C6"/>
    <w:rsid w:val="00377794"/>
    <w:rsid w:val="00391A1A"/>
    <w:rsid w:val="00391CD1"/>
    <w:rsid w:val="00393A2C"/>
    <w:rsid w:val="00395518"/>
    <w:rsid w:val="003A0203"/>
    <w:rsid w:val="003A06A3"/>
    <w:rsid w:val="003A5A81"/>
    <w:rsid w:val="003C44E5"/>
    <w:rsid w:val="003D0818"/>
    <w:rsid w:val="003D28F8"/>
    <w:rsid w:val="003E7309"/>
    <w:rsid w:val="003E7E63"/>
    <w:rsid w:val="003F34CA"/>
    <w:rsid w:val="003F4D03"/>
    <w:rsid w:val="003F50F9"/>
    <w:rsid w:val="003F776C"/>
    <w:rsid w:val="0040176F"/>
    <w:rsid w:val="00407F7B"/>
    <w:rsid w:val="00411739"/>
    <w:rsid w:val="00413413"/>
    <w:rsid w:val="00420BA6"/>
    <w:rsid w:val="00424C92"/>
    <w:rsid w:val="00431465"/>
    <w:rsid w:val="004474B2"/>
    <w:rsid w:val="004523B5"/>
    <w:rsid w:val="00453C00"/>
    <w:rsid w:val="004563C8"/>
    <w:rsid w:val="00463DE3"/>
    <w:rsid w:val="0047263E"/>
    <w:rsid w:val="00477166"/>
    <w:rsid w:val="00487A57"/>
    <w:rsid w:val="00496113"/>
    <w:rsid w:val="004A2650"/>
    <w:rsid w:val="004A2B98"/>
    <w:rsid w:val="004A6EBF"/>
    <w:rsid w:val="004B3873"/>
    <w:rsid w:val="004C016B"/>
    <w:rsid w:val="004D5BA9"/>
    <w:rsid w:val="004E097E"/>
    <w:rsid w:val="004E1490"/>
    <w:rsid w:val="004E19A5"/>
    <w:rsid w:val="004E2611"/>
    <w:rsid w:val="004E2C85"/>
    <w:rsid w:val="004F22FB"/>
    <w:rsid w:val="004F4740"/>
    <w:rsid w:val="004F65F6"/>
    <w:rsid w:val="005033CF"/>
    <w:rsid w:val="00505682"/>
    <w:rsid w:val="00517715"/>
    <w:rsid w:val="00521D7E"/>
    <w:rsid w:val="00526252"/>
    <w:rsid w:val="00531EB2"/>
    <w:rsid w:val="00533974"/>
    <w:rsid w:val="00534146"/>
    <w:rsid w:val="00535636"/>
    <w:rsid w:val="00536A00"/>
    <w:rsid w:val="0054284B"/>
    <w:rsid w:val="00542878"/>
    <w:rsid w:val="00544F28"/>
    <w:rsid w:val="005626DC"/>
    <w:rsid w:val="00566021"/>
    <w:rsid w:val="00571A13"/>
    <w:rsid w:val="0057427C"/>
    <w:rsid w:val="00574908"/>
    <w:rsid w:val="00596718"/>
    <w:rsid w:val="005A486C"/>
    <w:rsid w:val="005B43E1"/>
    <w:rsid w:val="005B5ABD"/>
    <w:rsid w:val="005B5CB0"/>
    <w:rsid w:val="005B7785"/>
    <w:rsid w:val="005C012B"/>
    <w:rsid w:val="005C1D99"/>
    <w:rsid w:val="005F06E7"/>
    <w:rsid w:val="005F10D7"/>
    <w:rsid w:val="005F630D"/>
    <w:rsid w:val="005F65CD"/>
    <w:rsid w:val="00615C28"/>
    <w:rsid w:val="00617222"/>
    <w:rsid w:val="00655C11"/>
    <w:rsid w:val="00684184"/>
    <w:rsid w:val="00685932"/>
    <w:rsid w:val="00685967"/>
    <w:rsid w:val="00686963"/>
    <w:rsid w:val="0068796B"/>
    <w:rsid w:val="00694D15"/>
    <w:rsid w:val="006976A6"/>
    <w:rsid w:val="006A4CFA"/>
    <w:rsid w:val="006B1E78"/>
    <w:rsid w:val="006C280B"/>
    <w:rsid w:val="006D620F"/>
    <w:rsid w:val="006D7443"/>
    <w:rsid w:val="006E357C"/>
    <w:rsid w:val="006E40A5"/>
    <w:rsid w:val="00700012"/>
    <w:rsid w:val="007001B4"/>
    <w:rsid w:val="00711B98"/>
    <w:rsid w:val="0071313A"/>
    <w:rsid w:val="00717322"/>
    <w:rsid w:val="007279E5"/>
    <w:rsid w:val="0073058C"/>
    <w:rsid w:val="00734AB8"/>
    <w:rsid w:val="007408F9"/>
    <w:rsid w:val="00741287"/>
    <w:rsid w:val="007431FE"/>
    <w:rsid w:val="00744373"/>
    <w:rsid w:val="00752143"/>
    <w:rsid w:val="00753667"/>
    <w:rsid w:val="00762F33"/>
    <w:rsid w:val="007648F3"/>
    <w:rsid w:val="00770829"/>
    <w:rsid w:val="007742ED"/>
    <w:rsid w:val="00780271"/>
    <w:rsid w:val="007844D1"/>
    <w:rsid w:val="00797217"/>
    <w:rsid w:val="007A3DB6"/>
    <w:rsid w:val="007A3FB7"/>
    <w:rsid w:val="007A5C58"/>
    <w:rsid w:val="007D6369"/>
    <w:rsid w:val="007D7285"/>
    <w:rsid w:val="007D7EA4"/>
    <w:rsid w:val="007E4FCB"/>
    <w:rsid w:val="007E5883"/>
    <w:rsid w:val="007F5F81"/>
    <w:rsid w:val="00805926"/>
    <w:rsid w:val="008110D9"/>
    <w:rsid w:val="00814C37"/>
    <w:rsid w:val="00821864"/>
    <w:rsid w:val="00822A58"/>
    <w:rsid w:val="00823756"/>
    <w:rsid w:val="00825B60"/>
    <w:rsid w:val="008265C4"/>
    <w:rsid w:val="00826A48"/>
    <w:rsid w:val="00830C92"/>
    <w:rsid w:val="00833BB2"/>
    <w:rsid w:val="008475A9"/>
    <w:rsid w:val="0084786D"/>
    <w:rsid w:val="00855109"/>
    <w:rsid w:val="00857C93"/>
    <w:rsid w:val="00861915"/>
    <w:rsid w:val="00871C5B"/>
    <w:rsid w:val="008816B5"/>
    <w:rsid w:val="00885522"/>
    <w:rsid w:val="008969EB"/>
    <w:rsid w:val="008A14B4"/>
    <w:rsid w:val="008B48E7"/>
    <w:rsid w:val="008C23B2"/>
    <w:rsid w:val="008C7BB4"/>
    <w:rsid w:val="008E45B3"/>
    <w:rsid w:val="008E6A7C"/>
    <w:rsid w:val="008F11AD"/>
    <w:rsid w:val="008F3540"/>
    <w:rsid w:val="00901886"/>
    <w:rsid w:val="00903F35"/>
    <w:rsid w:val="00905241"/>
    <w:rsid w:val="00912F89"/>
    <w:rsid w:val="009132A6"/>
    <w:rsid w:val="00925CB0"/>
    <w:rsid w:val="009269A2"/>
    <w:rsid w:val="00934D23"/>
    <w:rsid w:val="00935D11"/>
    <w:rsid w:val="00936E78"/>
    <w:rsid w:val="009460BA"/>
    <w:rsid w:val="0097089F"/>
    <w:rsid w:val="009722B3"/>
    <w:rsid w:val="00974FE5"/>
    <w:rsid w:val="0098075C"/>
    <w:rsid w:val="009B6B58"/>
    <w:rsid w:val="009B7700"/>
    <w:rsid w:val="009C11D4"/>
    <w:rsid w:val="009C20E0"/>
    <w:rsid w:val="009C4072"/>
    <w:rsid w:val="009C587A"/>
    <w:rsid w:val="009C7EFE"/>
    <w:rsid w:val="009D047F"/>
    <w:rsid w:val="009D101C"/>
    <w:rsid w:val="009D7271"/>
    <w:rsid w:val="009E32D9"/>
    <w:rsid w:val="009E6153"/>
    <w:rsid w:val="009E685E"/>
    <w:rsid w:val="00A00B3D"/>
    <w:rsid w:val="00A148B1"/>
    <w:rsid w:val="00A1563B"/>
    <w:rsid w:val="00A238D6"/>
    <w:rsid w:val="00A3404E"/>
    <w:rsid w:val="00A47C82"/>
    <w:rsid w:val="00A5061F"/>
    <w:rsid w:val="00A603AD"/>
    <w:rsid w:val="00A65040"/>
    <w:rsid w:val="00A72C08"/>
    <w:rsid w:val="00A85943"/>
    <w:rsid w:val="00A95251"/>
    <w:rsid w:val="00AB10FE"/>
    <w:rsid w:val="00AB2141"/>
    <w:rsid w:val="00AC2098"/>
    <w:rsid w:val="00AC2B03"/>
    <w:rsid w:val="00AF2ECF"/>
    <w:rsid w:val="00AF4545"/>
    <w:rsid w:val="00AF60B6"/>
    <w:rsid w:val="00B00A9C"/>
    <w:rsid w:val="00B01BB8"/>
    <w:rsid w:val="00B11A5B"/>
    <w:rsid w:val="00B12A62"/>
    <w:rsid w:val="00B27525"/>
    <w:rsid w:val="00B318CB"/>
    <w:rsid w:val="00B338EF"/>
    <w:rsid w:val="00B53B51"/>
    <w:rsid w:val="00B56AD3"/>
    <w:rsid w:val="00B61876"/>
    <w:rsid w:val="00B81196"/>
    <w:rsid w:val="00B84FA1"/>
    <w:rsid w:val="00B86D14"/>
    <w:rsid w:val="00B96DA9"/>
    <w:rsid w:val="00BA704B"/>
    <w:rsid w:val="00BA7214"/>
    <w:rsid w:val="00BA77AE"/>
    <w:rsid w:val="00BB1EBB"/>
    <w:rsid w:val="00BB28A5"/>
    <w:rsid w:val="00BB5B51"/>
    <w:rsid w:val="00BB7EA6"/>
    <w:rsid w:val="00BD218C"/>
    <w:rsid w:val="00BE2345"/>
    <w:rsid w:val="00BE4623"/>
    <w:rsid w:val="00BE5170"/>
    <w:rsid w:val="00BF1D3B"/>
    <w:rsid w:val="00BF3964"/>
    <w:rsid w:val="00C00CC4"/>
    <w:rsid w:val="00C00FEA"/>
    <w:rsid w:val="00C05974"/>
    <w:rsid w:val="00C062C1"/>
    <w:rsid w:val="00C10153"/>
    <w:rsid w:val="00C14206"/>
    <w:rsid w:val="00C16C7F"/>
    <w:rsid w:val="00C17F40"/>
    <w:rsid w:val="00C20412"/>
    <w:rsid w:val="00C20542"/>
    <w:rsid w:val="00C233E6"/>
    <w:rsid w:val="00C27986"/>
    <w:rsid w:val="00C45D7C"/>
    <w:rsid w:val="00C63FB9"/>
    <w:rsid w:val="00C66C42"/>
    <w:rsid w:val="00C70794"/>
    <w:rsid w:val="00C73DE9"/>
    <w:rsid w:val="00C74B84"/>
    <w:rsid w:val="00C8213A"/>
    <w:rsid w:val="00C8522E"/>
    <w:rsid w:val="00C86EF2"/>
    <w:rsid w:val="00CA4EAB"/>
    <w:rsid w:val="00CB11FF"/>
    <w:rsid w:val="00CC28A0"/>
    <w:rsid w:val="00CC2F96"/>
    <w:rsid w:val="00CC4279"/>
    <w:rsid w:val="00CC468F"/>
    <w:rsid w:val="00CC531E"/>
    <w:rsid w:val="00CD09A3"/>
    <w:rsid w:val="00CD1300"/>
    <w:rsid w:val="00CE33CD"/>
    <w:rsid w:val="00CF44E7"/>
    <w:rsid w:val="00D11EEC"/>
    <w:rsid w:val="00D21206"/>
    <w:rsid w:val="00D22D98"/>
    <w:rsid w:val="00D254F6"/>
    <w:rsid w:val="00D25628"/>
    <w:rsid w:val="00D425B1"/>
    <w:rsid w:val="00D45302"/>
    <w:rsid w:val="00D470BB"/>
    <w:rsid w:val="00D50C35"/>
    <w:rsid w:val="00D53687"/>
    <w:rsid w:val="00D56428"/>
    <w:rsid w:val="00D60DAA"/>
    <w:rsid w:val="00D61F23"/>
    <w:rsid w:val="00D64F77"/>
    <w:rsid w:val="00D7651D"/>
    <w:rsid w:val="00D922EF"/>
    <w:rsid w:val="00D92911"/>
    <w:rsid w:val="00D945D8"/>
    <w:rsid w:val="00D967B6"/>
    <w:rsid w:val="00DB4C6E"/>
    <w:rsid w:val="00DB7A6C"/>
    <w:rsid w:val="00DC62C6"/>
    <w:rsid w:val="00DD2AAA"/>
    <w:rsid w:val="00DE19CD"/>
    <w:rsid w:val="00DE6DC2"/>
    <w:rsid w:val="00E0033C"/>
    <w:rsid w:val="00E014AE"/>
    <w:rsid w:val="00E0150B"/>
    <w:rsid w:val="00E01FEA"/>
    <w:rsid w:val="00E021EB"/>
    <w:rsid w:val="00E0252F"/>
    <w:rsid w:val="00E062E6"/>
    <w:rsid w:val="00E0643D"/>
    <w:rsid w:val="00E103F3"/>
    <w:rsid w:val="00E1311A"/>
    <w:rsid w:val="00E137CC"/>
    <w:rsid w:val="00E270E1"/>
    <w:rsid w:val="00E27A44"/>
    <w:rsid w:val="00E337C7"/>
    <w:rsid w:val="00E436CD"/>
    <w:rsid w:val="00E46C97"/>
    <w:rsid w:val="00E47F09"/>
    <w:rsid w:val="00E518D6"/>
    <w:rsid w:val="00E67495"/>
    <w:rsid w:val="00E70133"/>
    <w:rsid w:val="00E71D54"/>
    <w:rsid w:val="00E744E6"/>
    <w:rsid w:val="00E745EC"/>
    <w:rsid w:val="00E83459"/>
    <w:rsid w:val="00E84D14"/>
    <w:rsid w:val="00E910B3"/>
    <w:rsid w:val="00E91401"/>
    <w:rsid w:val="00E96C46"/>
    <w:rsid w:val="00EA01FA"/>
    <w:rsid w:val="00EA4647"/>
    <w:rsid w:val="00EA7E60"/>
    <w:rsid w:val="00EC7925"/>
    <w:rsid w:val="00EE277B"/>
    <w:rsid w:val="00EE6AE2"/>
    <w:rsid w:val="00EF43E0"/>
    <w:rsid w:val="00EF5ED1"/>
    <w:rsid w:val="00EF71F4"/>
    <w:rsid w:val="00F03DD1"/>
    <w:rsid w:val="00F06877"/>
    <w:rsid w:val="00F12993"/>
    <w:rsid w:val="00F252F6"/>
    <w:rsid w:val="00F34511"/>
    <w:rsid w:val="00F37070"/>
    <w:rsid w:val="00F44295"/>
    <w:rsid w:val="00F447F9"/>
    <w:rsid w:val="00F50997"/>
    <w:rsid w:val="00F50DB1"/>
    <w:rsid w:val="00F541A4"/>
    <w:rsid w:val="00F554C7"/>
    <w:rsid w:val="00F603B4"/>
    <w:rsid w:val="00F6053E"/>
    <w:rsid w:val="00F65A0A"/>
    <w:rsid w:val="00F73F4A"/>
    <w:rsid w:val="00F75A6A"/>
    <w:rsid w:val="00F8398E"/>
    <w:rsid w:val="00F9481D"/>
    <w:rsid w:val="00F96958"/>
    <w:rsid w:val="00FA25BC"/>
    <w:rsid w:val="00FB49FE"/>
    <w:rsid w:val="00FB5453"/>
    <w:rsid w:val="00FC3799"/>
    <w:rsid w:val="00FC4705"/>
    <w:rsid w:val="00FD48BC"/>
    <w:rsid w:val="00FD5D4F"/>
    <w:rsid w:val="00FF03BC"/>
    <w:rsid w:val="00FF553C"/>
    <w:rsid w:val="00FF7651"/>
    <w:rsid w:val="01513C12"/>
    <w:rsid w:val="018D125F"/>
    <w:rsid w:val="01D447F5"/>
    <w:rsid w:val="01E73809"/>
    <w:rsid w:val="01FD609D"/>
    <w:rsid w:val="020E47A2"/>
    <w:rsid w:val="02103F6D"/>
    <w:rsid w:val="021F24B7"/>
    <w:rsid w:val="02385327"/>
    <w:rsid w:val="02533F0F"/>
    <w:rsid w:val="025C1772"/>
    <w:rsid w:val="02821E01"/>
    <w:rsid w:val="02881E0B"/>
    <w:rsid w:val="02944874"/>
    <w:rsid w:val="02DB1A81"/>
    <w:rsid w:val="02DF39F5"/>
    <w:rsid w:val="02EF275C"/>
    <w:rsid w:val="03196799"/>
    <w:rsid w:val="0368372E"/>
    <w:rsid w:val="03C22159"/>
    <w:rsid w:val="03D33559"/>
    <w:rsid w:val="03D746CC"/>
    <w:rsid w:val="042E253E"/>
    <w:rsid w:val="0439121C"/>
    <w:rsid w:val="043D4E77"/>
    <w:rsid w:val="04575F38"/>
    <w:rsid w:val="047427D2"/>
    <w:rsid w:val="04A67A21"/>
    <w:rsid w:val="04DC643E"/>
    <w:rsid w:val="04F419D9"/>
    <w:rsid w:val="0510745B"/>
    <w:rsid w:val="05542478"/>
    <w:rsid w:val="057965EB"/>
    <w:rsid w:val="05800D3E"/>
    <w:rsid w:val="059E36F3"/>
    <w:rsid w:val="05C05FF1"/>
    <w:rsid w:val="05DB2211"/>
    <w:rsid w:val="05F45A09"/>
    <w:rsid w:val="0624656F"/>
    <w:rsid w:val="063E7ECD"/>
    <w:rsid w:val="0644429B"/>
    <w:rsid w:val="06471FDD"/>
    <w:rsid w:val="066D5745"/>
    <w:rsid w:val="068838D7"/>
    <w:rsid w:val="06A74086"/>
    <w:rsid w:val="070957C2"/>
    <w:rsid w:val="070D0B30"/>
    <w:rsid w:val="07381820"/>
    <w:rsid w:val="07826E0C"/>
    <w:rsid w:val="078E5637"/>
    <w:rsid w:val="079052BE"/>
    <w:rsid w:val="079528D4"/>
    <w:rsid w:val="0798024C"/>
    <w:rsid w:val="07CA4C73"/>
    <w:rsid w:val="07E663AB"/>
    <w:rsid w:val="08A33902"/>
    <w:rsid w:val="08AA0601"/>
    <w:rsid w:val="08B871CC"/>
    <w:rsid w:val="08E04EDC"/>
    <w:rsid w:val="08ED705C"/>
    <w:rsid w:val="092108C3"/>
    <w:rsid w:val="0932487E"/>
    <w:rsid w:val="097645AD"/>
    <w:rsid w:val="097F41C4"/>
    <w:rsid w:val="09C0632E"/>
    <w:rsid w:val="09DB12C7"/>
    <w:rsid w:val="0A07014A"/>
    <w:rsid w:val="0A1026E6"/>
    <w:rsid w:val="0A173A74"/>
    <w:rsid w:val="0A1F354D"/>
    <w:rsid w:val="0A391C3C"/>
    <w:rsid w:val="0A581689"/>
    <w:rsid w:val="0A762E91"/>
    <w:rsid w:val="0AAE262A"/>
    <w:rsid w:val="0AC16849"/>
    <w:rsid w:val="0AEF75A8"/>
    <w:rsid w:val="0B2B5A29"/>
    <w:rsid w:val="0B6B4275"/>
    <w:rsid w:val="0B867103"/>
    <w:rsid w:val="0BA50C29"/>
    <w:rsid w:val="0BDF4D78"/>
    <w:rsid w:val="0C0B13B7"/>
    <w:rsid w:val="0C2974B8"/>
    <w:rsid w:val="0C323CCD"/>
    <w:rsid w:val="0C3C7EA2"/>
    <w:rsid w:val="0C4072B2"/>
    <w:rsid w:val="0C5E598A"/>
    <w:rsid w:val="0CD367CA"/>
    <w:rsid w:val="0D0E5E63"/>
    <w:rsid w:val="0D183D8B"/>
    <w:rsid w:val="0D5B656D"/>
    <w:rsid w:val="0DAA3566"/>
    <w:rsid w:val="0DCA1364"/>
    <w:rsid w:val="0DCD56DA"/>
    <w:rsid w:val="0E05373C"/>
    <w:rsid w:val="0E143F91"/>
    <w:rsid w:val="0EE4290A"/>
    <w:rsid w:val="0EF461A4"/>
    <w:rsid w:val="0EF55242"/>
    <w:rsid w:val="0EF6634E"/>
    <w:rsid w:val="0F096081"/>
    <w:rsid w:val="0F1B5DB5"/>
    <w:rsid w:val="0F7A134D"/>
    <w:rsid w:val="0F8764B6"/>
    <w:rsid w:val="0F894C5C"/>
    <w:rsid w:val="0FAE09D7"/>
    <w:rsid w:val="101E5B5C"/>
    <w:rsid w:val="1043621B"/>
    <w:rsid w:val="10524731"/>
    <w:rsid w:val="10594DE6"/>
    <w:rsid w:val="106C2D6C"/>
    <w:rsid w:val="107C4FCF"/>
    <w:rsid w:val="10A1053B"/>
    <w:rsid w:val="11333889"/>
    <w:rsid w:val="11355398"/>
    <w:rsid w:val="116B3023"/>
    <w:rsid w:val="11A4728C"/>
    <w:rsid w:val="11A65CBA"/>
    <w:rsid w:val="11AE2F10"/>
    <w:rsid w:val="11BB57B3"/>
    <w:rsid w:val="11DA3D05"/>
    <w:rsid w:val="11FC78F1"/>
    <w:rsid w:val="12007DF7"/>
    <w:rsid w:val="120642D6"/>
    <w:rsid w:val="1228258E"/>
    <w:rsid w:val="122F240F"/>
    <w:rsid w:val="12426064"/>
    <w:rsid w:val="12834D70"/>
    <w:rsid w:val="12B02CB8"/>
    <w:rsid w:val="12C64289"/>
    <w:rsid w:val="135868A6"/>
    <w:rsid w:val="13D714B1"/>
    <w:rsid w:val="13E62E35"/>
    <w:rsid w:val="140432BB"/>
    <w:rsid w:val="141352AC"/>
    <w:rsid w:val="143C0CA7"/>
    <w:rsid w:val="147026FF"/>
    <w:rsid w:val="147D3D56"/>
    <w:rsid w:val="14A80150"/>
    <w:rsid w:val="14AE3E40"/>
    <w:rsid w:val="14B364C3"/>
    <w:rsid w:val="14DA6037"/>
    <w:rsid w:val="14E06E5F"/>
    <w:rsid w:val="14E153AA"/>
    <w:rsid w:val="14F8789A"/>
    <w:rsid w:val="150D2643"/>
    <w:rsid w:val="154F67B8"/>
    <w:rsid w:val="15527C99"/>
    <w:rsid w:val="156308FC"/>
    <w:rsid w:val="158C17BA"/>
    <w:rsid w:val="15913296"/>
    <w:rsid w:val="15964E1E"/>
    <w:rsid w:val="15B30AF5"/>
    <w:rsid w:val="15C57F4B"/>
    <w:rsid w:val="15E05B52"/>
    <w:rsid w:val="16005D04"/>
    <w:rsid w:val="16563EAC"/>
    <w:rsid w:val="16790A52"/>
    <w:rsid w:val="168F1BCF"/>
    <w:rsid w:val="16AB1FF5"/>
    <w:rsid w:val="16E8042E"/>
    <w:rsid w:val="16FE0496"/>
    <w:rsid w:val="173D0A69"/>
    <w:rsid w:val="175B1444"/>
    <w:rsid w:val="175E14DD"/>
    <w:rsid w:val="179901BE"/>
    <w:rsid w:val="17EC2D4C"/>
    <w:rsid w:val="18BC4164"/>
    <w:rsid w:val="18EB67F8"/>
    <w:rsid w:val="18F270DF"/>
    <w:rsid w:val="18F338FE"/>
    <w:rsid w:val="18FE477D"/>
    <w:rsid w:val="190B50EC"/>
    <w:rsid w:val="194B54E8"/>
    <w:rsid w:val="19566367"/>
    <w:rsid w:val="195B693B"/>
    <w:rsid w:val="195C14A3"/>
    <w:rsid w:val="19E32A71"/>
    <w:rsid w:val="19FA6B17"/>
    <w:rsid w:val="1A0B71D9"/>
    <w:rsid w:val="1A30520F"/>
    <w:rsid w:val="1A492924"/>
    <w:rsid w:val="1A5615B0"/>
    <w:rsid w:val="1A8A5587"/>
    <w:rsid w:val="1A9A7D66"/>
    <w:rsid w:val="1AC60233"/>
    <w:rsid w:val="1AF61D38"/>
    <w:rsid w:val="1B5543FC"/>
    <w:rsid w:val="1B5E59A7"/>
    <w:rsid w:val="1B6A633F"/>
    <w:rsid w:val="1B811695"/>
    <w:rsid w:val="1B866CAC"/>
    <w:rsid w:val="1BC00E7C"/>
    <w:rsid w:val="1BCD48DA"/>
    <w:rsid w:val="1C4F78C4"/>
    <w:rsid w:val="1C5E47EB"/>
    <w:rsid w:val="1C606062"/>
    <w:rsid w:val="1C654B13"/>
    <w:rsid w:val="1C672639"/>
    <w:rsid w:val="1C890801"/>
    <w:rsid w:val="1CB914E6"/>
    <w:rsid w:val="1CC91D76"/>
    <w:rsid w:val="1CF06AD2"/>
    <w:rsid w:val="1CF60975"/>
    <w:rsid w:val="1D104A7F"/>
    <w:rsid w:val="1D16439E"/>
    <w:rsid w:val="1D322C47"/>
    <w:rsid w:val="1D540A4C"/>
    <w:rsid w:val="1D840FC9"/>
    <w:rsid w:val="1DB775F0"/>
    <w:rsid w:val="1DC35F95"/>
    <w:rsid w:val="1DC85359"/>
    <w:rsid w:val="1DE101C9"/>
    <w:rsid w:val="1E1C195F"/>
    <w:rsid w:val="1ED02718"/>
    <w:rsid w:val="1EDA62E5"/>
    <w:rsid w:val="1EE70555"/>
    <w:rsid w:val="1EEE7042"/>
    <w:rsid w:val="1EF02DBA"/>
    <w:rsid w:val="1F274302"/>
    <w:rsid w:val="1FDC55BB"/>
    <w:rsid w:val="204F3B10"/>
    <w:rsid w:val="206770AC"/>
    <w:rsid w:val="208E4638"/>
    <w:rsid w:val="20C817B6"/>
    <w:rsid w:val="20DB1848"/>
    <w:rsid w:val="20E22BD6"/>
    <w:rsid w:val="20F309CC"/>
    <w:rsid w:val="20F3403C"/>
    <w:rsid w:val="210C37AF"/>
    <w:rsid w:val="21220376"/>
    <w:rsid w:val="214203ED"/>
    <w:rsid w:val="21550B4E"/>
    <w:rsid w:val="21767C6B"/>
    <w:rsid w:val="218E68BA"/>
    <w:rsid w:val="21B67E8F"/>
    <w:rsid w:val="21BE719F"/>
    <w:rsid w:val="220B5B57"/>
    <w:rsid w:val="221943D6"/>
    <w:rsid w:val="224376A4"/>
    <w:rsid w:val="22631AF5"/>
    <w:rsid w:val="2270093D"/>
    <w:rsid w:val="22837AA1"/>
    <w:rsid w:val="23291D28"/>
    <w:rsid w:val="232A5D1A"/>
    <w:rsid w:val="2332331C"/>
    <w:rsid w:val="234138EB"/>
    <w:rsid w:val="235C7DA9"/>
    <w:rsid w:val="239E13C0"/>
    <w:rsid w:val="23AC3027"/>
    <w:rsid w:val="24700FE2"/>
    <w:rsid w:val="24765B0F"/>
    <w:rsid w:val="248D6DDA"/>
    <w:rsid w:val="24957421"/>
    <w:rsid w:val="24C27C59"/>
    <w:rsid w:val="24E219A3"/>
    <w:rsid w:val="24F84776"/>
    <w:rsid w:val="25643BBA"/>
    <w:rsid w:val="25781413"/>
    <w:rsid w:val="25981CE0"/>
    <w:rsid w:val="25AC5561"/>
    <w:rsid w:val="25DF76E4"/>
    <w:rsid w:val="25E66CC5"/>
    <w:rsid w:val="25ED1ACA"/>
    <w:rsid w:val="26277D00"/>
    <w:rsid w:val="26345428"/>
    <w:rsid w:val="26AA1AA0"/>
    <w:rsid w:val="26D23FB3"/>
    <w:rsid w:val="26DF449B"/>
    <w:rsid w:val="272950BB"/>
    <w:rsid w:val="274041B2"/>
    <w:rsid w:val="274549EA"/>
    <w:rsid w:val="2749750B"/>
    <w:rsid w:val="27545EB0"/>
    <w:rsid w:val="27F53A6B"/>
    <w:rsid w:val="280E7836"/>
    <w:rsid w:val="28132AF3"/>
    <w:rsid w:val="28577A06"/>
    <w:rsid w:val="28844DD2"/>
    <w:rsid w:val="28CF773A"/>
    <w:rsid w:val="28D23530"/>
    <w:rsid w:val="28D8239C"/>
    <w:rsid w:val="292D498C"/>
    <w:rsid w:val="29310257"/>
    <w:rsid w:val="293D5999"/>
    <w:rsid w:val="2980168A"/>
    <w:rsid w:val="2989084F"/>
    <w:rsid w:val="29D800F7"/>
    <w:rsid w:val="2A0E2346"/>
    <w:rsid w:val="2A0F6F98"/>
    <w:rsid w:val="2A4D5475"/>
    <w:rsid w:val="2A4E6BE6"/>
    <w:rsid w:val="2A5230E5"/>
    <w:rsid w:val="2A5C57A7"/>
    <w:rsid w:val="2AA131BA"/>
    <w:rsid w:val="2B4F0E68"/>
    <w:rsid w:val="2B64591B"/>
    <w:rsid w:val="2B936FA7"/>
    <w:rsid w:val="2BA43455"/>
    <w:rsid w:val="2BA744FB"/>
    <w:rsid w:val="2BBB474F"/>
    <w:rsid w:val="2BC55DBD"/>
    <w:rsid w:val="2C2916B9"/>
    <w:rsid w:val="2C363DD6"/>
    <w:rsid w:val="2C57573B"/>
    <w:rsid w:val="2CDC537E"/>
    <w:rsid w:val="2CFC2B99"/>
    <w:rsid w:val="2D285E15"/>
    <w:rsid w:val="2D3227EF"/>
    <w:rsid w:val="2D7B4138"/>
    <w:rsid w:val="2D8017AD"/>
    <w:rsid w:val="2D8F379E"/>
    <w:rsid w:val="2D93624A"/>
    <w:rsid w:val="2DA34C81"/>
    <w:rsid w:val="2DAE631A"/>
    <w:rsid w:val="2DC243AF"/>
    <w:rsid w:val="2DC61C8D"/>
    <w:rsid w:val="2E0E122D"/>
    <w:rsid w:val="2E271C28"/>
    <w:rsid w:val="2E5751B8"/>
    <w:rsid w:val="2E60513A"/>
    <w:rsid w:val="2E611269"/>
    <w:rsid w:val="2E7F1A64"/>
    <w:rsid w:val="2ED51684"/>
    <w:rsid w:val="2EF70060"/>
    <w:rsid w:val="2F0D370C"/>
    <w:rsid w:val="2F87083C"/>
    <w:rsid w:val="3011493E"/>
    <w:rsid w:val="3054059C"/>
    <w:rsid w:val="30575A45"/>
    <w:rsid w:val="30E937C2"/>
    <w:rsid w:val="30FA3624"/>
    <w:rsid w:val="31091AB9"/>
    <w:rsid w:val="31197F4E"/>
    <w:rsid w:val="31550A04"/>
    <w:rsid w:val="3155321F"/>
    <w:rsid w:val="317427C8"/>
    <w:rsid w:val="317653A0"/>
    <w:rsid w:val="317F1D7B"/>
    <w:rsid w:val="31CF2D03"/>
    <w:rsid w:val="31F91AF9"/>
    <w:rsid w:val="320D55D9"/>
    <w:rsid w:val="32365FC3"/>
    <w:rsid w:val="329D4BAF"/>
    <w:rsid w:val="32C550CC"/>
    <w:rsid w:val="32CD4892"/>
    <w:rsid w:val="32F169A3"/>
    <w:rsid w:val="33152997"/>
    <w:rsid w:val="333F5C66"/>
    <w:rsid w:val="33B977C6"/>
    <w:rsid w:val="33EC68ED"/>
    <w:rsid w:val="33EC7CBE"/>
    <w:rsid w:val="34012F1B"/>
    <w:rsid w:val="34052A0C"/>
    <w:rsid w:val="343011E9"/>
    <w:rsid w:val="34330BAF"/>
    <w:rsid w:val="3437693D"/>
    <w:rsid w:val="34397442"/>
    <w:rsid w:val="343B2E10"/>
    <w:rsid w:val="344B5A1F"/>
    <w:rsid w:val="34AA710F"/>
    <w:rsid w:val="3505035C"/>
    <w:rsid w:val="354E6E2F"/>
    <w:rsid w:val="3552171A"/>
    <w:rsid w:val="35643762"/>
    <w:rsid w:val="3566572C"/>
    <w:rsid w:val="359F29EC"/>
    <w:rsid w:val="35A324DC"/>
    <w:rsid w:val="35BE7316"/>
    <w:rsid w:val="35C853E2"/>
    <w:rsid w:val="36031B4D"/>
    <w:rsid w:val="36163B64"/>
    <w:rsid w:val="362829E1"/>
    <w:rsid w:val="366D25CC"/>
    <w:rsid w:val="36A302BA"/>
    <w:rsid w:val="36BA65F2"/>
    <w:rsid w:val="36E0150E"/>
    <w:rsid w:val="36E10664"/>
    <w:rsid w:val="371746AF"/>
    <w:rsid w:val="372D4AA3"/>
    <w:rsid w:val="37337890"/>
    <w:rsid w:val="37352D73"/>
    <w:rsid w:val="37B61D8D"/>
    <w:rsid w:val="37D270A9"/>
    <w:rsid w:val="37F52D97"/>
    <w:rsid w:val="37F62EDD"/>
    <w:rsid w:val="3845787B"/>
    <w:rsid w:val="38471845"/>
    <w:rsid w:val="38523D46"/>
    <w:rsid w:val="388D1222"/>
    <w:rsid w:val="38AA7BAF"/>
    <w:rsid w:val="38C8225A"/>
    <w:rsid w:val="38DD69EA"/>
    <w:rsid w:val="39255ABB"/>
    <w:rsid w:val="392737AD"/>
    <w:rsid w:val="393D0552"/>
    <w:rsid w:val="395F2BBE"/>
    <w:rsid w:val="39A0491F"/>
    <w:rsid w:val="39D07618"/>
    <w:rsid w:val="3A886145"/>
    <w:rsid w:val="3A8D5509"/>
    <w:rsid w:val="3A9A4C6A"/>
    <w:rsid w:val="3AC3717D"/>
    <w:rsid w:val="3B191A92"/>
    <w:rsid w:val="3B1B48C3"/>
    <w:rsid w:val="3B8E3B1B"/>
    <w:rsid w:val="3BC47F82"/>
    <w:rsid w:val="3BCC4E0B"/>
    <w:rsid w:val="3BEA5956"/>
    <w:rsid w:val="3BF515B8"/>
    <w:rsid w:val="3C746D9C"/>
    <w:rsid w:val="3C7C0780"/>
    <w:rsid w:val="3CD8769E"/>
    <w:rsid w:val="3CE73005"/>
    <w:rsid w:val="3CEB264D"/>
    <w:rsid w:val="3CF25AF7"/>
    <w:rsid w:val="3D2C725B"/>
    <w:rsid w:val="3D3954D4"/>
    <w:rsid w:val="3D521314"/>
    <w:rsid w:val="3D624A2B"/>
    <w:rsid w:val="3D82046C"/>
    <w:rsid w:val="3D840E45"/>
    <w:rsid w:val="3D991F8B"/>
    <w:rsid w:val="3DA2754E"/>
    <w:rsid w:val="3DAE0510"/>
    <w:rsid w:val="3E077380"/>
    <w:rsid w:val="3E0E4BB3"/>
    <w:rsid w:val="3E18158D"/>
    <w:rsid w:val="3E1A3557"/>
    <w:rsid w:val="3E353EED"/>
    <w:rsid w:val="3E6F02BB"/>
    <w:rsid w:val="3EA177D5"/>
    <w:rsid w:val="3EC3774B"/>
    <w:rsid w:val="3EC62D97"/>
    <w:rsid w:val="3ED575EC"/>
    <w:rsid w:val="3EDF4C25"/>
    <w:rsid w:val="3F0538C0"/>
    <w:rsid w:val="3F4D34B9"/>
    <w:rsid w:val="3FB62E0C"/>
    <w:rsid w:val="3FCD2DF1"/>
    <w:rsid w:val="3FD6200A"/>
    <w:rsid w:val="40213349"/>
    <w:rsid w:val="40452075"/>
    <w:rsid w:val="40516F10"/>
    <w:rsid w:val="40C61E52"/>
    <w:rsid w:val="410302D3"/>
    <w:rsid w:val="41384420"/>
    <w:rsid w:val="416C56B7"/>
    <w:rsid w:val="41754B19"/>
    <w:rsid w:val="41756589"/>
    <w:rsid w:val="42052CB9"/>
    <w:rsid w:val="4230334A"/>
    <w:rsid w:val="4252687F"/>
    <w:rsid w:val="42A90803"/>
    <w:rsid w:val="42AC0CBD"/>
    <w:rsid w:val="42AE5E51"/>
    <w:rsid w:val="42D33CD5"/>
    <w:rsid w:val="42FE6FA4"/>
    <w:rsid w:val="432E715D"/>
    <w:rsid w:val="434516DB"/>
    <w:rsid w:val="43770B04"/>
    <w:rsid w:val="43D35ED5"/>
    <w:rsid w:val="43E1697A"/>
    <w:rsid w:val="4470027C"/>
    <w:rsid w:val="449556E6"/>
    <w:rsid w:val="44A64C1A"/>
    <w:rsid w:val="451C7BB5"/>
    <w:rsid w:val="45667082"/>
    <w:rsid w:val="45922F6C"/>
    <w:rsid w:val="45CF076F"/>
    <w:rsid w:val="460573F1"/>
    <w:rsid w:val="461B60BF"/>
    <w:rsid w:val="46386C71"/>
    <w:rsid w:val="46560EA5"/>
    <w:rsid w:val="468A72CA"/>
    <w:rsid w:val="46955E71"/>
    <w:rsid w:val="46B36F7B"/>
    <w:rsid w:val="46C86CA8"/>
    <w:rsid w:val="470152B5"/>
    <w:rsid w:val="4709365E"/>
    <w:rsid w:val="47290367"/>
    <w:rsid w:val="47573126"/>
    <w:rsid w:val="476D1093"/>
    <w:rsid w:val="47844A3E"/>
    <w:rsid w:val="47E250E6"/>
    <w:rsid w:val="47FE7508"/>
    <w:rsid w:val="48084421"/>
    <w:rsid w:val="4828061F"/>
    <w:rsid w:val="48741AB6"/>
    <w:rsid w:val="487815A6"/>
    <w:rsid w:val="487E08DF"/>
    <w:rsid w:val="48B325DE"/>
    <w:rsid w:val="48B7436D"/>
    <w:rsid w:val="48D657C2"/>
    <w:rsid w:val="48E128E4"/>
    <w:rsid w:val="48F72292"/>
    <w:rsid w:val="49276B29"/>
    <w:rsid w:val="49366D6C"/>
    <w:rsid w:val="49697141"/>
    <w:rsid w:val="496E0143"/>
    <w:rsid w:val="498275B5"/>
    <w:rsid w:val="49C023AF"/>
    <w:rsid w:val="49E044F4"/>
    <w:rsid w:val="4A421E6C"/>
    <w:rsid w:val="4A541B9F"/>
    <w:rsid w:val="4A7F1119"/>
    <w:rsid w:val="4A880662"/>
    <w:rsid w:val="4A8E6E5F"/>
    <w:rsid w:val="4B0B04B0"/>
    <w:rsid w:val="4B32384F"/>
    <w:rsid w:val="4B49722A"/>
    <w:rsid w:val="4B4B370E"/>
    <w:rsid w:val="4B51743C"/>
    <w:rsid w:val="4B907E3F"/>
    <w:rsid w:val="4BD15948"/>
    <w:rsid w:val="4BFE1743"/>
    <w:rsid w:val="4C143394"/>
    <w:rsid w:val="4C196BFC"/>
    <w:rsid w:val="4C3169DE"/>
    <w:rsid w:val="4C371778"/>
    <w:rsid w:val="4C39104D"/>
    <w:rsid w:val="4C39729F"/>
    <w:rsid w:val="4C3B7F30"/>
    <w:rsid w:val="4C505A3D"/>
    <w:rsid w:val="4C520360"/>
    <w:rsid w:val="4C7866B3"/>
    <w:rsid w:val="4C8F3363"/>
    <w:rsid w:val="4C9444D5"/>
    <w:rsid w:val="4CAE3FDC"/>
    <w:rsid w:val="4CAF130F"/>
    <w:rsid w:val="4CBB10F3"/>
    <w:rsid w:val="4CCE79E7"/>
    <w:rsid w:val="4D085A60"/>
    <w:rsid w:val="4D3F1E32"/>
    <w:rsid w:val="4D4072C0"/>
    <w:rsid w:val="4D5B0B15"/>
    <w:rsid w:val="4D8F6975"/>
    <w:rsid w:val="4D956757"/>
    <w:rsid w:val="4D9D412A"/>
    <w:rsid w:val="4DB017E2"/>
    <w:rsid w:val="4DFA2A5E"/>
    <w:rsid w:val="4E03526A"/>
    <w:rsid w:val="4E055AF0"/>
    <w:rsid w:val="4E265795"/>
    <w:rsid w:val="4E283396"/>
    <w:rsid w:val="4ECF3EEA"/>
    <w:rsid w:val="4ED41501"/>
    <w:rsid w:val="4EED26DE"/>
    <w:rsid w:val="4EEE25C2"/>
    <w:rsid w:val="4F0911AA"/>
    <w:rsid w:val="4F133DD7"/>
    <w:rsid w:val="4F1A5BE3"/>
    <w:rsid w:val="4F431662"/>
    <w:rsid w:val="4F495A4B"/>
    <w:rsid w:val="4F6F7920"/>
    <w:rsid w:val="4F81030A"/>
    <w:rsid w:val="4F9B5B7A"/>
    <w:rsid w:val="4FEB6B02"/>
    <w:rsid w:val="50591CBD"/>
    <w:rsid w:val="50781EB6"/>
    <w:rsid w:val="50F33EC0"/>
    <w:rsid w:val="50FE0AB7"/>
    <w:rsid w:val="51051E45"/>
    <w:rsid w:val="51705511"/>
    <w:rsid w:val="51791EEB"/>
    <w:rsid w:val="51856AE2"/>
    <w:rsid w:val="51932FAD"/>
    <w:rsid w:val="522C002A"/>
    <w:rsid w:val="527350F3"/>
    <w:rsid w:val="52861F5F"/>
    <w:rsid w:val="52D44E17"/>
    <w:rsid w:val="52F12681"/>
    <w:rsid w:val="534A10F7"/>
    <w:rsid w:val="53651C5E"/>
    <w:rsid w:val="537D1A12"/>
    <w:rsid w:val="53980D4F"/>
    <w:rsid w:val="53BF4341"/>
    <w:rsid w:val="53C2401E"/>
    <w:rsid w:val="5415414D"/>
    <w:rsid w:val="54260108"/>
    <w:rsid w:val="5428175B"/>
    <w:rsid w:val="5430333D"/>
    <w:rsid w:val="543F11CA"/>
    <w:rsid w:val="546926EB"/>
    <w:rsid w:val="54B43966"/>
    <w:rsid w:val="54E104D3"/>
    <w:rsid w:val="54FB0E5D"/>
    <w:rsid w:val="54FF095A"/>
    <w:rsid w:val="551C76DF"/>
    <w:rsid w:val="55284354"/>
    <w:rsid w:val="55322ADD"/>
    <w:rsid w:val="55C220B3"/>
    <w:rsid w:val="55DA73FC"/>
    <w:rsid w:val="55FF50B5"/>
    <w:rsid w:val="561E49EC"/>
    <w:rsid w:val="563D1CEE"/>
    <w:rsid w:val="5683367D"/>
    <w:rsid w:val="56AD2D63"/>
    <w:rsid w:val="56C04B9F"/>
    <w:rsid w:val="57085055"/>
    <w:rsid w:val="571716CC"/>
    <w:rsid w:val="57467F9D"/>
    <w:rsid w:val="5748483A"/>
    <w:rsid w:val="574A125B"/>
    <w:rsid w:val="57630249"/>
    <w:rsid w:val="576F626A"/>
    <w:rsid w:val="579637F7"/>
    <w:rsid w:val="579B705F"/>
    <w:rsid w:val="57F13BBA"/>
    <w:rsid w:val="58135DAF"/>
    <w:rsid w:val="588B5F2B"/>
    <w:rsid w:val="58E058A9"/>
    <w:rsid w:val="59707ADC"/>
    <w:rsid w:val="59914276"/>
    <w:rsid w:val="59C26B25"/>
    <w:rsid w:val="59D42B23"/>
    <w:rsid w:val="59D94E95"/>
    <w:rsid w:val="5A4E660B"/>
    <w:rsid w:val="5AAF30B0"/>
    <w:rsid w:val="5AE66844"/>
    <w:rsid w:val="5B4F2965"/>
    <w:rsid w:val="5B593475"/>
    <w:rsid w:val="5B637E94"/>
    <w:rsid w:val="5B950133"/>
    <w:rsid w:val="5BC668C3"/>
    <w:rsid w:val="5BFB00CD"/>
    <w:rsid w:val="5BFDB43A"/>
    <w:rsid w:val="5BFF51E5"/>
    <w:rsid w:val="5C14118E"/>
    <w:rsid w:val="5C186ED1"/>
    <w:rsid w:val="5C317F92"/>
    <w:rsid w:val="5C553C81"/>
    <w:rsid w:val="5C6C2D78"/>
    <w:rsid w:val="5C7616BA"/>
    <w:rsid w:val="5C891B7C"/>
    <w:rsid w:val="5CEC6BED"/>
    <w:rsid w:val="5D5B3E66"/>
    <w:rsid w:val="5D635F29"/>
    <w:rsid w:val="5DA93DCF"/>
    <w:rsid w:val="5DD706C5"/>
    <w:rsid w:val="5E117D49"/>
    <w:rsid w:val="5E2F69F0"/>
    <w:rsid w:val="5E655CD1"/>
    <w:rsid w:val="5E6E7770"/>
    <w:rsid w:val="5EA42C9D"/>
    <w:rsid w:val="5EB6477F"/>
    <w:rsid w:val="5EBB7F2F"/>
    <w:rsid w:val="5EC90F94"/>
    <w:rsid w:val="5F0E4B5E"/>
    <w:rsid w:val="5F125E59"/>
    <w:rsid w:val="5FD23912"/>
    <w:rsid w:val="5FF62262"/>
    <w:rsid w:val="5FF67529"/>
    <w:rsid w:val="603B33E0"/>
    <w:rsid w:val="603E2C7E"/>
    <w:rsid w:val="60532B08"/>
    <w:rsid w:val="605D7990"/>
    <w:rsid w:val="606A3FC3"/>
    <w:rsid w:val="607E307A"/>
    <w:rsid w:val="608B3FA0"/>
    <w:rsid w:val="60A516E1"/>
    <w:rsid w:val="60B60A66"/>
    <w:rsid w:val="60BA5F0C"/>
    <w:rsid w:val="60BF3D90"/>
    <w:rsid w:val="60C37F0C"/>
    <w:rsid w:val="60DA1918"/>
    <w:rsid w:val="60FD6695"/>
    <w:rsid w:val="6127205C"/>
    <w:rsid w:val="614442C4"/>
    <w:rsid w:val="619B48A0"/>
    <w:rsid w:val="61C471B3"/>
    <w:rsid w:val="61DC44FC"/>
    <w:rsid w:val="61E7751A"/>
    <w:rsid w:val="620968D2"/>
    <w:rsid w:val="620F2070"/>
    <w:rsid w:val="621B01E1"/>
    <w:rsid w:val="622163B3"/>
    <w:rsid w:val="626F755B"/>
    <w:rsid w:val="62943029"/>
    <w:rsid w:val="629A371D"/>
    <w:rsid w:val="62E573E1"/>
    <w:rsid w:val="62FF36E3"/>
    <w:rsid w:val="63367C3C"/>
    <w:rsid w:val="634C5F07"/>
    <w:rsid w:val="63883E5B"/>
    <w:rsid w:val="63885D8F"/>
    <w:rsid w:val="639B02A2"/>
    <w:rsid w:val="63A4104A"/>
    <w:rsid w:val="63CF2FB0"/>
    <w:rsid w:val="63D765C7"/>
    <w:rsid w:val="646D3B32"/>
    <w:rsid w:val="64761478"/>
    <w:rsid w:val="647661F2"/>
    <w:rsid w:val="64D577BF"/>
    <w:rsid w:val="64F60D70"/>
    <w:rsid w:val="65130235"/>
    <w:rsid w:val="6544037B"/>
    <w:rsid w:val="665E7BD6"/>
    <w:rsid w:val="66757DC9"/>
    <w:rsid w:val="66904B1B"/>
    <w:rsid w:val="66AE6527"/>
    <w:rsid w:val="66CA0DC7"/>
    <w:rsid w:val="66E1517F"/>
    <w:rsid w:val="670D5102"/>
    <w:rsid w:val="6715402C"/>
    <w:rsid w:val="67287BFC"/>
    <w:rsid w:val="67426314"/>
    <w:rsid w:val="67705E13"/>
    <w:rsid w:val="67BA708E"/>
    <w:rsid w:val="67D7142D"/>
    <w:rsid w:val="67F500C6"/>
    <w:rsid w:val="68555008"/>
    <w:rsid w:val="68556DB7"/>
    <w:rsid w:val="68727968"/>
    <w:rsid w:val="687B477C"/>
    <w:rsid w:val="68834AEC"/>
    <w:rsid w:val="688432FC"/>
    <w:rsid w:val="688B2364"/>
    <w:rsid w:val="68907DEF"/>
    <w:rsid w:val="68AA6A1A"/>
    <w:rsid w:val="68CB7079"/>
    <w:rsid w:val="69643E1C"/>
    <w:rsid w:val="698D6339"/>
    <w:rsid w:val="699229E7"/>
    <w:rsid w:val="6A334ED5"/>
    <w:rsid w:val="6A514EE7"/>
    <w:rsid w:val="6A6B28C1"/>
    <w:rsid w:val="6A703332"/>
    <w:rsid w:val="6A767EB5"/>
    <w:rsid w:val="6AC210BF"/>
    <w:rsid w:val="6AC502BC"/>
    <w:rsid w:val="6AD8355F"/>
    <w:rsid w:val="6B0F149F"/>
    <w:rsid w:val="6B1061E0"/>
    <w:rsid w:val="6B414749"/>
    <w:rsid w:val="6B6748E5"/>
    <w:rsid w:val="6B945E48"/>
    <w:rsid w:val="6B97374C"/>
    <w:rsid w:val="6B992717"/>
    <w:rsid w:val="6B9F05A0"/>
    <w:rsid w:val="6BBA03C8"/>
    <w:rsid w:val="6BBD714D"/>
    <w:rsid w:val="6C2B2308"/>
    <w:rsid w:val="6C3311BD"/>
    <w:rsid w:val="6C354F35"/>
    <w:rsid w:val="6C404029"/>
    <w:rsid w:val="6C4737B1"/>
    <w:rsid w:val="6C5775A1"/>
    <w:rsid w:val="6C655B91"/>
    <w:rsid w:val="6C9D0D2C"/>
    <w:rsid w:val="6CA35FC0"/>
    <w:rsid w:val="6CAD0F6F"/>
    <w:rsid w:val="6D1C7EA3"/>
    <w:rsid w:val="6D2E2755"/>
    <w:rsid w:val="6D3E42BD"/>
    <w:rsid w:val="6D837F22"/>
    <w:rsid w:val="6D932FBD"/>
    <w:rsid w:val="6DB4457F"/>
    <w:rsid w:val="6DEA7FA1"/>
    <w:rsid w:val="6E443B55"/>
    <w:rsid w:val="6F5D0165"/>
    <w:rsid w:val="6F767B9F"/>
    <w:rsid w:val="6F926B42"/>
    <w:rsid w:val="6FE42F27"/>
    <w:rsid w:val="6FE4739E"/>
    <w:rsid w:val="6FFE3647"/>
    <w:rsid w:val="70311EB7"/>
    <w:rsid w:val="70362B7D"/>
    <w:rsid w:val="703B2D36"/>
    <w:rsid w:val="705362D1"/>
    <w:rsid w:val="705B76C4"/>
    <w:rsid w:val="707A385E"/>
    <w:rsid w:val="70BB6878"/>
    <w:rsid w:val="70C57820"/>
    <w:rsid w:val="70F91A4F"/>
    <w:rsid w:val="714F4CEB"/>
    <w:rsid w:val="71660F9E"/>
    <w:rsid w:val="71816E6E"/>
    <w:rsid w:val="719E5CC6"/>
    <w:rsid w:val="71A007FA"/>
    <w:rsid w:val="71CC00E9"/>
    <w:rsid w:val="71E90096"/>
    <w:rsid w:val="72252C36"/>
    <w:rsid w:val="72512FE4"/>
    <w:rsid w:val="726227FC"/>
    <w:rsid w:val="72671BC0"/>
    <w:rsid w:val="729D3834"/>
    <w:rsid w:val="72AA7CFF"/>
    <w:rsid w:val="72AE3C93"/>
    <w:rsid w:val="72AE77EF"/>
    <w:rsid w:val="72BA43E6"/>
    <w:rsid w:val="72C07522"/>
    <w:rsid w:val="733B681E"/>
    <w:rsid w:val="7355410F"/>
    <w:rsid w:val="737A2701"/>
    <w:rsid w:val="73881D02"/>
    <w:rsid w:val="7399049F"/>
    <w:rsid w:val="73C51294"/>
    <w:rsid w:val="73D94D40"/>
    <w:rsid w:val="741D2E7E"/>
    <w:rsid w:val="74224562"/>
    <w:rsid w:val="745B2765"/>
    <w:rsid w:val="74677DB0"/>
    <w:rsid w:val="746F2FAE"/>
    <w:rsid w:val="74A34DB1"/>
    <w:rsid w:val="74BE4400"/>
    <w:rsid w:val="74F56F52"/>
    <w:rsid w:val="74F60A7B"/>
    <w:rsid w:val="74F76776"/>
    <w:rsid w:val="752124FA"/>
    <w:rsid w:val="76992D48"/>
    <w:rsid w:val="76CB1A2F"/>
    <w:rsid w:val="76CD47E8"/>
    <w:rsid w:val="7711659E"/>
    <w:rsid w:val="77353AA6"/>
    <w:rsid w:val="773E5587"/>
    <w:rsid w:val="775C6163"/>
    <w:rsid w:val="777D3C34"/>
    <w:rsid w:val="7783022B"/>
    <w:rsid w:val="77835A9F"/>
    <w:rsid w:val="77A2369A"/>
    <w:rsid w:val="77AA0813"/>
    <w:rsid w:val="77BE0445"/>
    <w:rsid w:val="77C771F6"/>
    <w:rsid w:val="780B3EEF"/>
    <w:rsid w:val="782A51BF"/>
    <w:rsid w:val="782F3180"/>
    <w:rsid w:val="783E1615"/>
    <w:rsid w:val="7840538D"/>
    <w:rsid w:val="784A7FD0"/>
    <w:rsid w:val="78526E6F"/>
    <w:rsid w:val="78822E4F"/>
    <w:rsid w:val="78961451"/>
    <w:rsid w:val="789D458E"/>
    <w:rsid w:val="789D5CEE"/>
    <w:rsid w:val="78A538AB"/>
    <w:rsid w:val="78EC27F9"/>
    <w:rsid w:val="78EE6B97"/>
    <w:rsid w:val="78F46178"/>
    <w:rsid w:val="78F94FFB"/>
    <w:rsid w:val="793173E9"/>
    <w:rsid w:val="79490272"/>
    <w:rsid w:val="796450AB"/>
    <w:rsid w:val="796C4D04"/>
    <w:rsid w:val="797572B9"/>
    <w:rsid w:val="798807A7"/>
    <w:rsid w:val="79B626E2"/>
    <w:rsid w:val="7A0128FA"/>
    <w:rsid w:val="7A266805"/>
    <w:rsid w:val="7A505630"/>
    <w:rsid w:val="7A6C781B"/>
    <w:rsid w:val="7A8537D9"/>
    <w:rsid w:val="7AD4000F"/>
    <w:rsid w:val="7B000E04"/>
    <w:rsid w:val="7B3F192C"/>
    <w:rsid w:val="7B5D0004"/>
    <w:rsid w:val="7B7A0BDD"/>
    <w:rsid w:val="7B820CCB"/>
    <w:rsid w:val="7B915671"/>
    <w:rsid w:val="7B9854E0"/>
    <w:rsid w:val="7BC20015"/>
    <w:rsid w:val="7BD00C6D"/>
    <w:rsid w:val="7BD02CCB"/>
    <w:rsid w:val="7BD167C4"/>
    <w:rsid w:val="7BE73D72"/>
    <w:rsid w:val="7C091F3A"/>
    <w:rsid w:val="7C11160D"/>
    <w:rsid w:val="7C40216A"/>
    <w:rsid w:val="7C5B55FA"/>
    <w:rsid w:val="7C792312"/>
    <w:rsid w:val="7CB400F8"/>
    <w:rsid w:val="7CFC7D9A"/>
    <w:rsid w:val="7D0566AA"/>
    <w:rsid w:val="7D1B7C95"/>
    <w:rsid w:val="7D5D078F"/>
    <w:rsid w:val="7D7F24B4"/>
    <w:rsid w:val="7D7F4C76"/>
    <w:rsid w:val="7DD16DB1"/>
    <w:rsid w:val="7DDF11A4"/>
    <w:rsid w:val="7EA85A3A"/>
    <w:rsid w:val="7EAB72D9"/>
    <w:rsid w:val="7EAC4A59"/>
    <w:rsid w:val="7ECD1873"/>
    <w:rsid w:val="7ED32033"/>
    <w:rsid w:val="7EDF2EB7"/>
    <w:rsid w:val="7EE03426"/>
    <w:rsid w:val="7EE24616"/>
    <w:rsid w:val="7EF02F3D"/>
    <w:rsid w:val="7F1E3F4E"/>
    <w:rsid w:val="7F246DE3"/>
    <w:rsid w:val="7F2C666B"/>
    <w:rsid w:val="7F4F626B"/>
    <w:rsid w:val="7F693BDF"/>
    <w:rsid w:val="7F6D27E0"/>
    <w:rsid w:val="7F8F6BFA"/>
    <w:rsid w:val="7F9B734D"/>
    <w:rsid w:val="7FAC2395"/>
    <w:rsid w:val="8FFF77BD"/>
    <w:rsid w:val="BBFC84A0"/>
    <w:rsid w:val="BBFD5288"/>
    <w:rsid w:val="C323EE83"/>
    <w:rsid w:val="DE6FCFA5"/>
    <w:rsid w:val="DF5FA2D9"/>
    <w:rsid w:val="E1CF718D"/>
    <w:rsid w:val="EF689C69"/>
    <w:rsid w:val="F3BEA141"/>
    <w:rsid w:val="FEFB4D8F"/>
    <w:rsid w:val="FF5FCA71"/>
    <w:rsid w:val="FF6F5D02"/>
    <w:rsid w:val="FFC76F91"/>
    <w:rsid w:val="FFFC44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name="toc 2"/>
    <w:lsdException w:qFormat="1" w:uiPriority="39" w:name="toc 3"/>
    <w:lsdException w:qFormat="1" w:unhideWhenUsed="0" w:uiPriority="99" w:name="toc 4"/>
    <w:lsdException w:uiPriority="0" w:name="toc 5"/>
    <w:lsdException w:uiPriority="0" w:name="toc 6"/>
    <w:lsdException w:uiPriority="0" w:name="toc 7"/>
    <w:lsdException w:qFormat="1" w:uiPriority="0" w:semiHidden="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99" w:semiHidden="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abs>
        <w:tab w:val="left" w:pos="360"/>
      </w:tabs>
      <w:adjustRightInd w:val="0"/>
      <w:snapToGrid w:val="0"/>
      <w:spacing w:line="360" w:lineRule="auto"/>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240" w:lineRule="auto"/>
      <w:ind w:firstLine="367" w:firstLineChars="83"/>
      <w:outlineLvl w:val="0"/>
    </w:pPr>
    <w:rPr>
      <w:b/>
      <w:bCs/>
      <w:kern w:val="44"/>
      <w:sz w:val="44"/>
      <w:szCs w:val="44"/>
    </w:rPr>
  </w:style>
  <w:style w:type="paragraph" w:styleId="4">
    <w:name w:val="heading 2"/>
    <w:basedOn w:val="1"/>
    <w:next w:val="1"/>
    <w:qFormat/>
    <w:uiPriority w:val="9"/>
    <w:pPr>
      <w:keepNext/>
      <w:keepLines/>
      <w:jc w:val="center"/>
      <w:outlineLvl w:val="1"/>
    </w:pPr>
    <w:rPr>
      <w:rFonts w:ascii="宋体" w:hAnsi="Arial" w:cs="宋体"/>
      <w:sz w:val="32"/>
    </w:rPr>
  </w:style>
  <w:style w:type="paragraph" w:styleId="5">
    <w:name w:val="heading 3"/>
    <w:basedOn w:val="1"/>
    <w:next w:val="1"/>
    <w:qFormat/>
    <w:uiPriority w:val="9"/>
    <w:pPr>
      <w:tabs>
        <w:tab w:val="left" w:pos="851"/>
      </w:tabs>
      <w:autoSpaceDE w:val="0"/>
      <w:autoSpaceDN w:val="0"/>
      <w:outlineLvl w:val="2"/>
    </w:pPr>
    <w:rPr>
      <w:rFonts w:ascii="宋体"/>
    </w:rPr>
  </w:style>
  <w:style w:type="paragraph" w:styleId="6">
    <w:name w:val="heading 4"/>
    <w:basedOn w:val="1"/>
    <w:next w:val="1"/>
    <w:qFormat/>
    <w:uiPriority w:val="0"/>
    <w:pPr>
      <w:keepNext/>
      <w:keepLines/>
      <w:numPr>
        <w:ilvl w:val="3"/>
        <w:numId w:val="1"/>
      </w:numPr>
      <w:tabs>
        <w:tab w:val="left" w:pos="504"/>
        <w:tab w:val="clear" w:pos="360"/>
      </w:tabs>
      <w:spacing w:beforeLines="50" w:afterLines="50"/>
      <w:outlineLvl w:val="3"/>
    </w:pPr>
    <w:rPr>
      <w:rFonts w:ascii="Arial" w:hAnsi="Arial"/>
      <w:b/>
      <w:bCs/>
      <w:sz w:val="24"/>
      <w:szCs w:val="28"/>
    </w:rPr>
  </w:style>
  <w:style w:type="paragraph" w:styleId="7">
    <w:name w:val="heading 5"/>
    <w:basedOn w:val="1"/>
    <w:next w:val="1"/>
    <w:unhideWhenUsed/>
    <w:qFormat/>
    <w:uiPriority w:val="0"/>
    <w:pPr>
      <w:keepNext/>
      <w:keepLines/>
      <w:numPr>
        <w:ilvl w:val="4"/>
        <w:numId w:val="1"/>
      </w:numPr>
      <w:spacing w:before="120" w:after="120"/>
      <w:outlineLvl w:val="4"/>
    </w:pPr>
    <w:rPr>
      <w:b/>
      <w:bCs/>
      <w:sz w:val="24"/>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style>
  <w:style w:type="paragraph" w:styleId="8">
    <w:name w:val="Note Heading"/>
    <w:next w:val="1"/>
    <w:qFormat/>
    <w:uiPriority w:val="99"/>
    <w:pPr>
      <w:widowControl w:val="0"/>
      <w:snapToGrid w:val="0"/>
      <w:spacing w:before="120" w:after="120" w:line="320" w:lineRule="exact"/>
      <w:ind w:firstLine="413" w:firstLineChars="200"/>
      <w:jc w:val="both"/>
    </w:pPr>
    <w:rPr>
      <w:rFonts w:ascii="宋体" w:hAnsi="宋体" w:eastAsia="宋体" w:cs="Times New Roman"/>
      <w:b/>
      <w:color w:val="000000"/>
      <w:kern w:val="2"/>
      <w:sz w:val="21"/>
      <w:szCs w:val="22"/>
      <w:lang w:val="en-US" w:eastAsia="zh-CN" w:bidi="ar-SA"/>
    </w:rPr>
  </w:style>
  <w:style w:type="paragraph" w:styleId="9">
    <w:name w:val="Document Map"/>
    <w:basedOn w:val="1"/>
    <w:link w:val="73"/>
    <w:qFormat/>
    <w:uiPriority w:val="0"/>
    <w:rPr>
      <w:rFonts w:ascii="宋体"/>
      <w:sz w:val="18"/>
      <w:szCs w:val="18"/>
    </w:rPr>
  </w:style>
  <w:style w:type="paragraph" w:styleId="10">
    <w:name w:val="annotation text"/>
    <w:basedOn w:val="1"/>
    <w:link w:val="48"/>
    <w:qFormat/>
    <w:uiPriority w:val="0"/>
  </w:style>
  <w:style w:type="paragraph" w:styleId="11">
    <w:name w:val="Body Text"/>
    <w:basedOn w:val="1"/>
    <w:next w:val="1"/>
    <w:qFormat/>
    <w:uiPriority w:val="99"/>
    <w:pPr>
      <w:spacing w:after="120"/>
      <w:ind w:left="368"/>
    </w:pPr>
  </w:style>
  <w:style w:type="paragraph" w:styleId="12">
    <w:name w:val="Body Text Indent"/>
    <w:basedOn w:val="1"/>
    <w:qFormat/>
    <w:uiPriority w:val="0"/>
    <w:pPr>
      <w:spacing w:after="120"/>
      <w:ind w:left="420" w:leftChars="200"/>
    </w:pPr>
  </w:style>
  <w:style w:type="paragraph" w:styleId="13">
    <w:name w:val="toc 3"/>
    <w:basedOn w:val="1"/>
    <w:next w:val="1"/>
    <w:semiHidden/>
    <w:unhideWhenUsed/>
    <w:qFormat/>
    <w:uiPriority w:val="39"/>
    <w:pPr>
      <w:tabs>
        <w:tab w:val="clear" w:pos="360"/>
      </w:tabs>
      <w:adjustRightInd/>
      <w:snapToGrid/>
      <w:spacing w:after="100" w:line="276" w:lineRule="auto"/>
      <w:ind w:left="440"/>
    </w:pPr>
    <w:rPr>
      <w:rFonts w:asciiTheme="minorHAnsi" w:hAnsiTheme="minorHAnsi" w:eastAsiaTheme="minorEastAsia" w:cstheme="minorBidi"/>
      <w:kern w:val="0"/>
      <w:sz w:val="22"/>
      <w:szCs w:val="22"/>
    </w:rPr>
  </w:style>
  <w:style w:type="paragraph" w:styleId="14">
    <w:name w:val="Plain Text"/>
    <w:basedOn w:val="1"/>
    <w:link w:val="67"/>
    <w:qFormat/>
    <w:uiPriority w:val="0"/>
    <w:rPr>
      <w:rFonts w:ascii="宋体" w:hAnsi="Courier New"/>
      <w:szCs w:val="21"/>
    </w:rPr>
  </w:style>
  <w:style w:type="paragraph" w:styleId="15">
    <w:name w:val="toc 8"/>
    <w:basedOn w:val="1"/>
    <w:next w:val="1"/>
    <w:unhideWhenUsed/>
    <w:qFormat/>
    <w:uiPriority w:val="0"/>
    <w:pPr>
      <w:ind w:left="2940" w:leftChars="1400"/>
    </w:pPr>
    <w:rPr>
      <w:rFonts w:ascii="Calibri" w:hAnsi="Calibri"/>
      <w:szCs w:val="22"/>
    </w:rPr>
  </w:style>
  <w:style w:type="paragraph" w:styleId="16">
    <w:name w:val="Date"/>
    <w:basedOn w:val="1"/>
    <w:next w:val="1"/>
    <w:qFormat/>
    <w:uiPriority w:val="0"/>
    <w:pPr>
      <w:ind w:left="100" w:leftChars="2500"/>
    </w:pPr>
    <w:rPr>
      <w:rFonts w:asciiTheme="minorHAnsi" w:hAnsiTheme="minorHAnsi" w:cstheme="minorBidi"/>
      <w:sz w:val="24"/>
      <w:szCs w:val="22"/>
    </w:rPr>
  </w:style>
  <w:style w:type="paragraph" w:styleId="17">
    <w:name w:val="Balloon Text"/>
    <w:basedOn w:val="1"/>
    <w:link w:val="70"/>
    <w:qFormat/>
    <w:uiPriority w:val="0"/>
    <w:rPr>
      <w:sz w:val="18"/>
      <w:szCs w:val="18"/>
    </w:rPr>
  </w:style>
  <w:style w:type="paragraph" w:styleId="18">
    <w:name w:val="footer"/>
    <w:basedOn w:val="1"/>
    <w:link w:val="69"/>
    <w:qFormat/>
    <w:uiPriority w:val="99"/>
    <w:pPr>
      <w:tabs>
        <w:tab w:val="center" w:pos="4153"/>
        <w:tab w:val="right" w:pos="8306"/>
      </w:tabs>
    </w:pPr>
    <w:rPr>
      <w:sz w:val="18"/>
    </w:rPr>
  </w:style>
  <w:style w:type="paragraph" w:styleId="19">
    <w:name w:val="header"/>
    <w:basedOn w:val="1"/>
    <w:qFormat/>
    <w:uiPriority w:val="0"/>
    <w:pPr>
      <w:pBdr>
        <w:bottom w:val="single" w:color="auto" w:sz="6" w:space="1"/>
      </w:pBdr>
      <w:tabs>
        <w:tab w:val="center" w:pos="4153"/>
        <w:tab w:val="right" w:pos="8306"/>
      </w:tabs>
      <w:jc w:val="center"/>
    </w:pPr>
    <w:rPr>
      <w:sz w:val="18"/>
    </w:rPr>
  </w:style>
  <w:style w:type="paragraph" w:styleId="20">
    <w:name w:val="toc 1"/>
    <w:basedOn w:val="1"/>
    <w:next w:val="1"/>
    <w:qFormat/>
    <w:uiPriority w:val="39"/>
  </w:style>
  <w:style w:type="paragraph" w:styleId="21">
    <w:name w:val="toc 4"/>
    <w:basedOn w:val="1"/>
    <w:next w:val="1"/>
    <w:semiHidden/>
    <w:qFormat/>
    <w:uiPriority w:val="99"/>
    <w:pPr>
      <w:wordWrap w:val="0"/>
      <w:ind w:firstLine="640" w:firstLineChars="200"/>
    </w:pPr>
    <w:rPr>
      <w:rFonts w:ascii="黑体" w:eastAsia="黑体" w:cs="黑体"/>
      <w:sz w:val="32"/>
      <w:szCs w:val="32"/>
    </w:rPr>
  </w:style>
  <w:style w:type="paragraph" w:styleId="22">
    <w:name w:val="List"/>
    <w:basedOn w:val="1"/>
    <w:next w:val="1"/>
    <w:qFormat/>
    <w:uiPriority w:val="0"/>
  </w:style>
  <w:style w:type="paragraph" w:styleId="23">
    <w:name w:val="Body Text Indent 3"/>
    <w:basedOn w:val="1"/>
    <w:qFormat/>
    <w:uiPriority w:val="0"/>
    <w:pPr>
      <w:ind w:firstLine="783" w:firstLineChars="373"/>
    </w:pPr>
    <w:rPr>
      <w:rFonts w:hAnsi="宋体"/>
    </w:rPr>
  </w:style>
  <w:style w:type="paragraph" w:styleId="24">
    <w:name w:val="toc 2"/>
    <w:basedOn w:val="1"/>
    <w:next w:val="1"/>
    <w:semiHidden/>
    <w:unhideWhenUsed/>
    <w:qFormat/>
    <w:uiPriority w:val="39"/>
    <w:pPr>
      <w:tabs>
        <w:tab w:val="clear" w:pos="360"/>
      </w:tabs>
      <w:adjustRightInd/>
      <w:snapToGrid/>
      <w:spacing w:after="100" w:line="276" w:lineRule="auto"/>
      <w:ind w:left="220"/>
    </w:pPr>
    <w:rPr>
      <w:rFonts w:asciiTheme="minorHAnsi" w:hAnsiTheme="minorHAnsi" w:eastAsiaTheme="minorEastAsia" w:cstheme="minorBidi"/>
      <w:kern w:val="0"/>
      <w:sz w:val="22"/>
      <w:szCs w:val="22"/>
    </w:rPr>
  </w:style>
  <w:style w:type="paragraph" w:styleId="25">
    <w:name w:val="Normal (Web)"/>
    <w:basedOn w:val="1"/>
    <w:qFormat/>
    <w:uiPriority w:val="99"/>
    <w:pPr>
      <w:spacing w:before="100" w:beforeAutospacing="1" w:after="100" w:afterAutospacing="1"/>
    </w:pPr>
    <w:rPr>
      <w:rFonts w:ascii="宋体" w:hAnsi="宋体" w:cs="宋体"/>
      <w:sz w:val="24"/>
    </w:rPr>
  </w:style>
  <w:style w:type="paragraph" w:styleId="26">
    <w:name w:val="annotation subject"/>
    <w:basedOn w:val="10"/>
    <w:next w:val="10"/>
    <w:link w:val="49"/>
    <w:qFormat/>
    <w:uiPriority w:val="0"/>
    <w:rPr>
      <w:b/>
      <w:bCs/>
    </w:rPr>
  </w:style>
  <w:style w:type="paragraph" w:styleId="27">
    <w:name w:val="Body Text First Indent"/>
    <w:basedOn w:val="11"/>
    <w:unhideWhenUsed/>
    <w:qFormat/>
    <w:uiPriority w:val="99"/>
    <w:pPr>
      <w:ind w:firstLine="100" w:firstLineChars="100"/>
    </w:pPr>
  </w:style>
  <w:style w:type="paragraph" w:styleId="28">
    <w:name w:val="Body Text First Indent 2"/>
    <w:basedOn w:val="12"/>
    <w:qFormat/>
    <w:uiPriority w:val="0"/>
    <w:pPr>
      <w:ind w:left="0" w:leftChars="0"/>
      <w:textAlignment w:val="baseline"/>
    </w:pPr>
    <w:rPr>
      <w:rFonts w:eastAsia="等线"/>
      <w:color w:val="000000"/>
    </w:rPr>
  </w:style>
  <w:style w:type="table" w:styleId="30">
    <w:name w:val="Table Grid"/>
    <w:basedOn w:val="2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qFormat/>
    <w:uiPriority w:val="0"/>
  </w:style>
  <w:style w:type="character" w:styleId="34">
    <w:name w:val="FollowedHyperlink"/>
    <w:basedOn w:val="31"/>
    <w:semiHidden/>
    <w:unhideWhenUsed/>
    <w:qFormat/>
    <w:uiPriority w:val="0"/>
    <w:rPr>
      <w:rFonts w:hint="eastAsia" w:ascii="微软雅黑" w:hAnsi="微软雅黑" w:eastAsia="微软雅黑" w:cs="微软雅黑"/>
      <w:color w:val="333333"/>
      <w:sz w:val="21"/>
      <w:szCs w:val="21"/>
      <w:u w:val="none"/>
    </w:rPr>
  </w:style>
  <w:style w:type="character" w:styleId="35">
    <w:name w:val="Emphasis"/>
    <w:basedOn w:val="31"/>
    <w:qFormat/>
    <w:uiPriority w:val="0"/>
    <w:rPr>
      <w:rFonts w:ascii="sans-serif" w:hAnsi="sans-serif" w:eastAsia="sans-serif" w:cs="sans-serif"/>
      <w:i/>
      <w:color w:val="FFFFFF"/>
      <w:sz w:val="21"/>
      <w:szCs w:val="21"/>
      <w:u w:val="none"/>
      <w:vertAlign w:val="baseline"/>
    </w:rPr>
  </w:style>
  <w:style w:type="character" w:styleId="36">
    <w:name w:val="HTML Definition"/>
    <w:basedOn w:val="31"/>
    <w:semiHidden/>
    <w:unhideWhenUsed/>
    <w:qFormat/>
    <w:uiPriority w:val="0"/>
    <w:rPr>
      <w:i/>
      <w:iCs/>
    </w:rPr>
  </w:style>
  <w:style w:type="character" w:styleId="37">
    <w:name w:val="HTML Typewriter"/>
    <w:basedOn w:val="31"/>
    <w:semiHidden/>
    <w:unhideWhenUsed/>
    <w:qFormat/>
    <w:uiPriority w:val="0"/>
    <w:rPr>
      <w:rFonts w:ascii="monospace" w:hAnsi="monospace" w:eastAsia="monospace" w:cs="monospace"/>
      <w:sz w:val="20"/>
    </w:rPr>
  </w:style>
  <w:style w:type="character" w:styleId="38">
    <w:name w:val="HTML Acronym"/>
    <w:basedOn w:val="31"/>
    <w:semiHidden/>
    <w:unhideWhenUsed/>
    <w:qFormat/>
    <w:uiPriority w:val="0"/>
  </w:style>
  <w:style w:type="character" w:styleId="39">
    <w:name w:val="HTML Variable"/>
    <w:basedOn w:val="31"/>
    <w:semiHidden/>
    <w:unhideWhenUsed/>
    <w:qFormat/>
    <w:uiPriority w:val="0"/>
  </w:style>
  <w:style w:type="character" w:styleId="40">
    <w:name w:val="Hyperlink"/>
    <w:basedOn w:val="31"/>
    <w:unhideWhenUsed/>
    <w:qFormat/>
    <w:uiPriority w:val="99"/>
    <w:rPr>
      <w:color w:val="0563C1" w:themeColor="hyperlink"/>
      <w:u w:val="single"/>
      <w14:textFill>
        <w14:solidFill>
          <w14:schemeClr w14:val="hlink"/>
        </w14:solidFill>
      </w14:textFill>
    </w:rPr>
  </w:style>
  <w:style w:type="character" w:styleId="41">
    <w:name w:val="HTML Code"/>
    <w:basedOn w:val="31"/>
    <w:semiHidden/>
    <w:unhideWhenUsed/>
    <w:qFormat/>
    <w:uiPriority w:val="0"/>
    <w:rPr>
      <w:rFonts w:ascii="Consolas" w:hAnsi="Consolas" w:eastAsia="Consolas" w:cs="Consolas"/>
      <w:color w:val="C7254E"/>
      <w:sz w:val="21"/>
      <w:szCs w:val="21"/>
      <w:bdr w:val="single" w:color="E1E1E1" w:sz="6" w:space="0"/>
      <w:shd w:val="clear" w:color="auto" w:fill="F9F2F4"/>
    </w:rPr>
  </w:style>
  <w:style w:type="character" w:styleId="42">
    <w:name w:val="annotation reference"/>
    <w:basedOn w:val="31"/>
    <w:qFormat/>
    <w:uiPriority w:val="0"/>
    <w:rPr>
      <w:sz w:val="21"/>
      <w:szCs w:val="21"/>
    </w:rPr>
  </w:style>
  <w:style w:type="character" w:styleId="43">
    <w:name w:val="HTML Cite"/>
    <w:basedOn w:val="31"/>
    <w:semiHidden/>
    <w:unhideWhenUsed/>
    <w:qFormat/>
    <w:uiPriority w:val="0"/>
  </w:style>
  <w:style w:type="character" w:styleId="44">
    <w:name w:val="HTML Keyboard"/>
    <w:basedOn w:val="31"/>
    <w:semiHidden/>
    <w:unhideWhenUsed/>
    <w:qFormat/>
    <w:uiPriority w:val="0"/>
    <w:rPr>
      <w:rFonts w:hint="default" w:ascii="Consolas" w:hAnsi="Consolas" w:eastAsia="Consolas" w:cs="Consolas"/>
      <w:color w:val="FFFFFF"/>
      <w:sz w:val="21"/>
      <w:szCs w:val="21"/>
      <w:shd w:val="clear" w:color="auto" w:fill="333333"/>
    </w:rPr>
  </w:style>
  <w:style w:type="character" w:styleId="45">
    <w:name w:val="HTML Sample"/>
    <w:basedOn w:val="31"/>
    <w:semiHidden/>
    <w:unhideWhenUsed/>
    <w:qFormat/>
    <w:uiPriority w:val="0"/>
    <w:rPr>
      <w:rFonts w:hint="default" w:ascii="Consolas" w:hAnsi="Consolas" w:eastAsia="Consolas" w:cs="Consolas"/>
      <w:sz w:val="21"/>
      <w:szCs w:val="21"/>
    </w:rPr>
  </w:style>
  <w:style w:type="paragraph" w:customStyle="1" w:styleId="46">
    <w:name w:val="Default"/>
    <w:next w:val="2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customStyle="1" w:styleId="48">
    <w:name w:val="批注文字 字符"/>
    <w:link w:val="10"/>
    <w:qFormat/>
    <w:uiPriority w:val="0"/>
    <w:rPr>
      <w:kern w:val="2"/>
      <w:sz w:val="21"/>
      <w:szCs w:val="24"/>
    </w:rPr>
  </w:style>
  <w:style w:type="character" w:customStyle="1" w:styleId="49">
    <w:name w:val="批注主题 字符"/>
    <w:link w:val="26"/>
    <w:qFormat/>
    <w:uiPriority w:val="0"/>
    <w:rPr>
      <w:b/>
      <w:bCs/>
      <w:kern w:val="2"/>
      <w:sz w:val="21"/>
      <w:szCs w:val="24"/>
    </w:rPr>
  </w:style>
  <w:style w:type="paragraph" w:customStyle="1" w:styleId="50">
    <w:name w:val="文档正文"/>
    <w:basedOn w:val="1"/>
    <w:qFormat/>
    <w:uiPriority w:val="99"/>
    <w:pPr>
      <w:spacing w:line="480" w:lineRule="atLeast"/>
      <w:ind w:firstLine="567" w:firstLineChars="200"/>
      <w:textAlignment w:val="baseline"/>
    </w:pPr>
    <w:rPr>
      <w:rFonts w:ascii="长城仿宋"/>
      <w:kern w:val="0"/>
      <w:szCs w:val="20"/>
    </w:rPr>
  </w:style>
  <w:style w:type="paragraph" w:customStyle="1" w:styleId="51">
    <w:name w:val="1"/>
    <w:basedOn w:val="1"/>
    <w:next w:val="14"/>
    <w:qFormat/>
    <w:uiPriority w:val="99"/>
    <w:rPr>
      <w:rFonts w:ascii="宋体" w:hAnsi="Courier New"/>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styleId="53">
    <w:name w:val="List Paragraph"/>
    <w:basedOn w:val="1"/>
    <w:link w:val="68"/>
    <w:qFormat/>
    <w:uiPriority w:val="34"/>
    <w:pPr>
      <w:ind w:firstLine="200" w:firstLineChars="200"/>
    </w:pPr>
  </w:style>
  <w:style w:type="paragraph" w:customStyle="1" w:styleId="54">
    <w:name w:val="正文_2"/>
    <w:qFormat/>
    <w:uiPriority w:val="0"/>
    <w:rPr>
      <w:rFonts w:ascii="Times New Roman" w:hAnsi="Times New Roman" w:eastAsia="宋体" w:cs="Times New Roman"/>
      <w:sz w:val="21"/>
      <w:lang w:val="en-US" w:eastAsia="zh-CN" w:bidi="ar-SA"/>
    </w:rPr>
  </w:style>
  <w:style w:type="paragraph" w:customStyle="1" w:styleId="55">
    <w:name w:val="Table Paragraph"/>
    <w:basedOn w:val="1"/>
    <w:qFormat/>
    <w:uiPriority w:val="1"/>
    <w:rPr>
      <w:rFonts w:ascii="宋体" w:hAnsi="宋体" w:cs="宋体"/>
    </w:rPr>
  </w:style>
  <w:style w:type="paragraph" w:customStyle="1" w:styleId="56">
    <w:name w:val="列出段落1"/>
    <w:basedOn w:val="1"/>
    <w:qFormat/>
    <w:uiPriority w:val="34"/>
    <w:pPr>
      <w:ind w:firstLine="200" w:firstLineChars="200"/>
    </w:pPr>
  </w:style>
  <w:style w:type="paragraph" w:customStyle="1" w:styleId="5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DocDefaults"/>
    <w:basedOn w:val="1"/>
    <w:qFormat/>
    <w:uiPriority w:val="0"/>
    <w:pPr>
      <w:spacing w:line="276" w:lineRule="auto"/>
    </w:pPr>
    <w:rPr>
      <w:sz w:val="20"/>
      <w:lang w:eastAsia="en-US"/>
    </w:rPr>
  </w:style>
  <w:style w:type="character" w:customStyle="1" w:styleId="59">
    <w:name w:val="span_a0"/>
    <w:qFormat/>
    <w:uiPriority w:val="0"/>
  </w:style>
  <w:style w:type="paragraph" w:customStyle="1" w:styleId="60">
    <w:name w:val="页脚2"/>
    <w:basedOn w:val="1"/>
    <w:qFormat/>
    <w:uiPriority w:val="0"/>
    <w:pPr>
      <w:pBdr>
        <w:top w:val="single" w:color="auto" w:sz="6" w:space="0"/>
      </w:pBdr>
      <w:jc w:val="right"/>
      <w:textAlignment w:val="center"/>
    </w:pPr>
    <w:rPr>
      <w:rFonts w:ascii="宋体" w:hAnsi="宋体"/>
      <w:sz w:val="18"/>
    </w:rPr>
  </w:style>
  <w:style w:type="paragraph" w:customStyle="1" w:styleId="61">
    <w:name w:val="正文文本1"/>
    <w:basedOn w:val="1"/>
    <w:qFormat/>
    <w:uiPriority w:val="0"/>
    <w:pPr>
      <w:shd w:val="clear" w:color="auto" w:fill="FFFFFF"/>
      <w:spacing w:line="444" w:lineRule="auto"/>
      <w:ind w:firstLine="350"/>
    </w:pPr>
    <w:rPr>
      <w:rFonts w:ascii="MingLiU" w:hAnsi="MingLiU" w:eastAsia="MingLiU" w:cs="MingLiU"/>
      <w:color w:val="000000"/>
      <w:sz w:val="18"/>
      <w:szCs w:val="18"/>
      <w:lang w:val="zh-CN" w:bidi="zh-CN"/>
    </w:rPr>
  </w:style>
  <w:style w:type="paragraph" w:customStyle="1" w:styleId="62">
    <w:name w:val="表格标题"/>
    <w:basedOn w:val="1"/>
    <w:qFormat/>
    <w:uiPriority w:val="0"/>
    <w:rPr>
      <w:rFonts w:ascii="黑体" w:hAnsi="宋体" w:eastAsia="黑体"/>
    </w:rPr>
  </w:style>
  <w:style w:type="paragraph" w:customStyle="1" w:styleId="6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5">
    <w:name w:val="_Style 6"/>
    <w:basedOn w:val="1"/>
    <w:next w:val="53"/>
    <w:qFormat/>
    <w:uiPriority w:val="34"/>
    <w:pPr>
      <w:ind w:firstLine="200" w:firstLineChars="200"/>
    </w:pPr>
    <w:rPr>
      <w:rFonts w:ascii="Calibri" w:hAnsi="Calibri"/>
    </w:rPr>
  </w:style>
  <w:style w:type="paragraph" w:customStyle="1" w:styleId="6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纯文本 字符"/>
    <w:link w:val="14"/>
    <w:qFormat/>
    <w:uiPriority w:val="0"/>
    <w:rPr>
      <w:rFonts w:ascii="宋体" w:hAnsi="Courier New"/>
      <w:kern w:val="2"/>
      <w:sz w:val="21"/>
      <w:szCs w:val="21"/>
    </w:rPr>
  </w:style>
  <w:style w:type="character" w:customStyle="1" w:styleId="68">
    <w:name w:val="列表段落 字符"/>
    <w:link w:val="53"/>
    <w:qFormat/>
    <w:uiPriority w:val="34"/>
    <w:rPr>
      <w:kern w:val="2"/>
      <w:sz w:val="21"/>
      <w:szCs w:val="24"/>
    </w:rPr>
  </w:style>
  <w:style w:type="character" w:customStyle="1" w:styleId="69">
    <w:name w:val="页脚 字符"/>
    <w:link w:val="18"/>
    <w:qFormat/>
    <w:uiPriority w:val="99"/>
    <w:rPr>
      <w:kern w:val="2"/>
      <w:sz w:val="18"/>
      <w:szCs w:val="24"/>
    </w:rPr>
  </w:style>
  <w:style w:type="character" w:customStyle="1" w:styleId="70">
    <w:name w:val="批注框文本 字符"/>
    <w:basedOn w:val="31"/>
    <w:link w:val="17"/>
    <w:qFormat/>
    <w:uiPriority w:val="0"/>
    <w:rPr>
      <w:kern w:val="2"/>
      <w:sz w:val="18"/>
      <w:szCs w:val="18"/>
    </w:rPr>
  </w:style>
  <w:style w:type="paragraph" w:customStyle="1" w:styleId="7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列出段落3"/>
    <w:basedOn w:val="1"/>
    <w:unhideWhenUsed/>
    <w:qFormat/>
    <w:uiPriority w:val="99"/>
    <w:pPr>
      <w:ind w:firstLine="200" w:firstLineChars="200"/>
    </w:pPr>
    <w:rPr>
      <w:kern w:val="0"/>
      <w:szCs w:val="20"/>
    </w:rPr>
  </w:style>
  <w:style w:type="character" w:customStyle="1" w:styleId="73">
    <w:name w:val="文档结构图 字符"/>
    <w:basedOn w:val="31"/>
    <w:link w:val="9"/>
    <w:qFormat/>
    <w:uiPriority w:val="0"/>
    <w:rPr>
      <w:rFonts w:ascii="宋体"/>
      <w:kern w:val="2"/>
      <w:sz w:val="18"/>
      <w:szCs w:val="18"/>
      <w:lang w:bidi="ar-SA"/>
    </w:rPr>
  </w:style>
  <w:style w:type="paragraph" w:customStyle="1" w:styleId="74">
    <w:name w:val="普通(网站)_0"/>
    <w:basedOn w:val="1"/>
    <w:qFormat/>
    <w:uiPriority w:val="0"/>
    <w:pPr>
      <w:spacing w:before="100" w:beforeAutospacing="1" w:after="100" w:afterAutospacing="1"/>
    </w:pPr>
    <w:rPr>
      <w:kern w:val="0"/>
      <w:sz w:val="24"/>
    </w:rPr>
  </w:style>
  <w:style w:type="character" w:customStyle="1" w:styleId="75">
    <w:name w:val="new"/>
    <w:basedOn w:val="31"/>
    <w:qFormat/>
    <w:uiPriority w:val="0"/>
    <w:rPr>
      <w:color w:val="999999"/>
    </w:rPr>
  </w:style>
  <w:style w:type="character" w:customStyle="1" w:styleId="76">
    <w:name w:val="action"/>
    <w:basedOn w:val="31"/>
    <w:qFormat/>
    <w:uiPriority w:val="0"/>
    <w:rPr>
      <w:b/>
      <w:bCs/>
      <w:sz w:val="16"/>
      <w:szCs w:val="16"/>
      <w:shd w:val="clear" w:color="auto" w:fill="FFFFFF"/>
    </w:rPr>
  </w:style>
  <w:style w:type="character" w:customStyle="1" w:styleId="77">
    <w:name w:val="filename"/>
    <w:basedOn w:val="31"/>
    <w:qFormat/>
    <w:uiPriority w:val="0"/>
    <w:rPr>
      <w:color w:val="777777"/>
      <w:sz w:val="16"/>
      <w:szCs w:val="16"/>
    </w:rPr>
  </w:style>
  <w:style w:type="character" w:customStyle="1" w:styleId="78">
    <w:name w:val="hover"/>
    <w:basedOn w:val="31"/>
    <w:qFormat/>
    <w:uiPriority w:val="0"/>
    <w:rPr>
      <w:shd w:val="clear" w:color="auto" w:fill="EEEEEE"/>
    </w:rPr>
  </w:style>
  <w:style w:type="character" w:customStyle="1" w:styleId="79">
    <w:name w:val="hover1"/>
    <w:basedOn w:val="31"/>
    <w:qFormat/>
    <w:uiPriority w:val="0"/>
    <w:rPr>
      <w:shd w:val="clear" w:color="auto" w:fill="EEEEEE"/>
    </w:rPr>
  </w:style>
  <w:style w:type="character" w:customStyle="1" w:styleId="80">
    <w:name w:val="old"/>
    <w:basedOn w:val="31"/>
    <w:qFormat/>
    <w:uiPriority w:val="0"/>
    <w:rPr>
      <w:color w:val="999999"/>
    </w:rPr>
  </w:style>
  <w:style w:type="character" w:customStyle="1" w:styleId="81">
    <w:name w:val="old1"/>
    <w:basedOn w:val="31"/>
    <w:qFormat/>
    <w:uiPriority w:val="0"/>
    <w:rPr>
      <w:color w:val="999999"/>
    </w:rPr>
  </w:style>
  <w:style w:type="character" w:customStyle="1" w:styleId="82">
    <w:name w:val="layui-laypage-curr"/>
    <w:basedOn w:val="31"/>
    <w:qFormat/>
    <w:uiPriority w:val="0"/>
  </w:style>
  <w:style w:type="character" w:customStyle="1" w:styleId="83">
    <w:name w:val="checked"/>
    <w:basedOn w:val="31"/>
    <w:qFormat/>
    <w:uiPriority w:val="0"/>
  </w:style>
  <w:style w:type="character" w:customStyle="1" w:styleId="84">
    <w:name w:val="checked1"/>
    <w:basedOn w:val="31"/>
    <w:qFormat/>
    <w:uiPriority w:val="0"/>
  </w:style>
  <w:style w:type="character" w:customStyle="1" w:styleId="85">
    <w:name w:val="hour_am"/>
    <w:basedOn w:val="31"/>
    <w:qFormat/>
    <w:uiPriority w:val="0"/>
  </w:style>
  <w:style w:type="character" w:customStyle="1" w:styleId="86">
    <w:name w:val="hour_pm"/>
    <w:basedOn w:val="31"/>
    <w:qFormat/>
    <w:uiPriority w:val="0"/>
  </w:style>
  <w:style w:type="character" w:customStyle="1" w:styleId="87">
    <w:name w:val="select-info"/>
    <w:basedOn w:val="31"/>
    <w:qFormat/>
    <w:uiPriority w:val="0"/>
  </w:style>
  <w:style w:type="character" w:customStyle="1" w:styleId="88">
    <w:name w:val="select-item"/>
    <w:basedOn w:val="31"/>
    <w:qFormat/>
    <w:uiPriority w:val="0"/>
  </w:style>
  <w:style w:type="paragraph" w:styleId="8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90">
    <w:name w:val="标题 4_0"/>
    <w:basedOn w:val="57"/>
    <w:next w:val="57"/>
    <w:unhideWhenUsed/>
    <w:qFormat/>
    <w:uiPriority w:val="9"/>
    <w:pPr>
      <w:keepNext/>
      <w:keepLines/>
      <w:spacing w:before="280" w:after="290" w:line="376" w:lineRule="auto"/>
      <w:outlineLvl w:val="3"/>
    </w:pPr>
    <w:rPr>
      <w:rFonts w:ascii="Cambria" w:hAnsi="Cambria"/>
      <w:b/>
      <w:bCs/>
      <w:sz w:val="28"/>
      <w:szCs w:val="28"/>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p141"/>
    <w:qFormat/>
    <w:uiPriority w:val="0"/>
    <w:rPr>
      <w:sz w:val="21"/>
      <w:szCs w:val="21"/>
    </w:rPr>
  </w:style>
  <w:style w:type="paragraph" w:customStyle="1" w:styleId="94">
    <w:name w:val="正文1"/>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5">
    <w:name w:val="font21"/>
    <w:basedOn w:val="31"/>
    <w:qFormat/>
    <w:uiPriority w:val="0"/>
    <w:rPr>
      <w:rFonts w:hint="eastAsia" w:ascii="宋体" w:hAnsi="宋体" w:eastAsia="宋体" w:cs="宋体"/>
      <w:color w:val="000000"/>
      <w:sz w:val="22"/>
      <w:szCs w:val="22"/>
      <w:u w:val="none"/>
    </w:rPr>
  </w:style>
  <w:style w:type="character" w:customStyle="1" w:styleId="96">
    <w:name w:val="font01"/>
    <w:basedOn w:val="31"/>
    <w:qFormat/>
    <w:uiPriority w:val="0"/>
    <w:rPr>
      <w:rFonts w:hint="eastAsia" w:ascii="宋体" w:hAnsi="宋体" w:eastAsia="宋体" w:cs="宋体"/>
      <w:color w:val="000000"/>
      <w:sz w:val="22"/>
      <w:szCs w:val="22"/>
      <w:u w:val="none"/>
    </w:rPr>
  </w:style>
  <w:style w:type="paragraph" w:customStyle="1" w:styleId="97">
    <w:name w:val="列表段落1"/>
    <w:basedOn w:val="1"/>
    <w:unhideWhenUsed/>
    <w:qFormat/>
    <w:uiPriority w:val="99"/>
    <w:pPr>
      <w:wordWrap w:val="0"/>
      <w:autoSpaceDE w:val="0"/>
      <w:autoSpaceDN w:val="0"/>
      <w:ind w:firstLine="200" w:firstLineChars="200"/>
    </w:pPr>
    <w:rPr>
      <w:rFonts w:ascii="宋体"/>
      <w:sz w:val="20"/>
      <w:lang w:eastAsia="ko-KR"/>
    </w:rPr>
  </w:style>
  <w:style w:type="paragraph" w:customStyle="1" w:styleId="98">
    <w:name w:val="Other|1"/>
    <w:basedOn w:val="1"/>
    <w:qFormat/>
    <w:uiPriority w:val="0"/>
    <w:pPr>
      <w:spacing w:line="439" w:lineRule="auto"/>
      <w:ind w:firstLine="400"/>
    </w:pPr>
    <w:rPr>
      <w:rFonts w:ascii="宋体" w:hAnsi="宋体" w:cs="宋体"/>
      <w:sz w:val="30"/>
      <w:szCs w:val="30"/>
      <w:lang w:val="zh-TW" w:eastAsia="zh-TW" w:bidi="zh-TW"/>
    </w:rPr>
  </w:style>
  <w:style w:type="paragraph" w:customStyle="1" w:styleId="9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00">
    <w:name w:val="TOC 标题1"/>
    <w:basedOn w:val="3"/>
    <w:next w:val="1"/>
    <w:unhideWhenUsed/>
    <w:qFormat/>
    <w:uiPriority w:val="39"/>
    <w:pPr>
      <w:tabs>
        <w:tab w:val="clear" w:pos="360"/>
      </w:tabs>
      <w:adjustRightInd/>
      <w:snapToGrid/>
      <w:spacing w:before="240" w:after="0" w:line="259" w:lineRule="auto"/>
      <w:ind w:firstLine="0" w:firstLineChars="0"/>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01">
    <w:name w:val="样式1"/>
    <w:basedOn w:val="1"/>
    <w:qFormat/>
    <w:uiPriority w:val="0"/>
  </w:style>
  <w:style w:type="paragraph" w:customStyle="1" w:styleId="102">
    <w:name w:val="标题 2_0"/>
    <w:basedOn w:val="57"/>
    <w:next w:val="57"/>
    <w:qFormat/>
    <w:uiPriority w:val="0"/>
    <w:pPr>
      <w:keepNext/>
      <w:keepLines/>
      <w:numPr>
        <w:ilvl w:val="1"/>
        <w:numId w:val="2"/>
      </w:numPr>
      <w:spacing w:beforeLines="200" w:afterLines="200"/>
      <w:ind w:firstLine="0"/>
      <w:outlineLvl w:val="1"/>
    </w:pPr>
    <w:rPr>
      <w:rFonts w:eastAsia="黑体"/>
      <w:bCs/>
      <w:sz w:val="36"/>
      <w:szCs w:val="36"/>
    </w:rPr>
  </w:style>
  <w:style w:type="paragraph" w:customStyle="1" w:styleId="103">
    <w:name w:val="标题 3_0"/>
    <w:basedOn w:val="57"/>
    <w:next w:val="57"/>
    <w:qFormat/>
    <w:uiPriority w:val="0"/>
    <w:pPr>
      <w:keepNext/>
      <w:keepLines/>
      <w:numPr>
        <w:ilvl w:val="2"/>
        <w:numId w:val="2"/>
      </w:numPr>
      <w:spacing w:beforeLines="100" w:afterLines="100"/>
      <w:ind w:left="425" w:firstLine="0"/>
      <w:outlineLvl w:val="2"/>
    </w:pPr>
    <w:rPr>
      <w:rFonts w:ascii="宋体" w:hAnsi="宋体" w:eastAsia="黑体"/>
      <w:color w:val="000000"/>
      <w:sz w:val="30"/>
      <w:szCs w:val="28"/>
    </w:rPr>
  </w:style>
  <w:style w:type="paragraph" w:customStyle="1" w:styleId="104">
    <w:name w:val="正文缩进_0_0_0"/>
    <w:basedOn w:val="105"/>
    <w:qFormat/>
    <w:uiPriority w:val="0"/>
    <w:pPr>
      <w:autoSpaceDE w:val="0"/>
      <w:autoSpaceDN w:val="0"/>
      <w:spacing w:line="360" w:lineRule="auto"/>
      <w:ind w:left="181" w:firstLine="420"/>
    </w:pPr>
    <w:rPr>
      <w:rFonts w:ascii="Calibri" w:hAnsi="Calibri"/>
      <w:kern w:val="0"/>
      <w:sz w:val="24"/>
    </w:rPr>
  </w:style>
  <w:style w:type="paragraph" w:customStyle="1" w:styleId="105">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正文缩进_0_0"/>
    <w:basedOn w:val="107"/>
    <w:qFormat/>
    <w:uiPriority w:val="0"/>
    <w:pPr>
      <w:autoSpaceDE w:val="0"/>
      <w:autoSpaceDN w:val="0"/>
      <w:spacing w:line="360" w:lineRule="auto"/>
      <w:ind w:left="181" w:firstLine="420"/>
    </w:pPr>
    <w:rPr>
      <w:rFonts w:ascii="Calibri" w:hAnsi="Calibri"/>
      <w:kern w:val="0"/>
      <w:sz w:val="24"/>
      <w:szCs w:val="20"/>
    </w:rPr>
  </w:style>
  <w:style w:type="paragraph" w:customStyle="1" w:styleId="107">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font11"/>
    <w:basedOn w:val="31"/>
    <w:qFormat/>
    <w:uiPriority w:val="0"/>
    <w:rPr>
      <w:rFonts w:hint="eastAsia" w:ascii="宋体" w:hAnsi="宋体" w:eastAsia="宋体" w:cs="宋体"/>
      <w:color w:val="000000"/>
      <w:sz w:val="22"/>
      <w:szCs w:val="22"/>
      <w:u w:val="none"/>
    </w:rPr>
  </w:style>
  <w:style w:type="character" w:customStyle="1" w:styleId="109">
    <w:name w:val="15"/>
    <w:basedOn w:val="31"/>
    <w:qFormat/>
    <w:uiPriority w:val="0"/>
    <w:rPr>
      <w:rFonts w:hint="eastAsia" w:ascii="宋体" w:hAnsi="宋体" w:eastAsia="宋体" w:cs="宋体"/>
      <w:color w:val="000000"/>
      <w:sz w:val="22"/>
      <w:szCs w:val="22"/>
    </w:rPr>
  </w:style>
  <w:style w:type="character" w:customStyle="1" w:styleId="110">
    <w:name w:val="10"/>
    <w:basedOn w:val="31"/>
    <w:qFormat/>
    <w:uiPriority w:val="0"/>
    <w:rPr>
      <w:rFonts w:hint="default" w:ascii="Times New Roman" w:hAnsi="Times New Roman" w:eastAsia="仿宋_GB2312" w:cs="Times New Roman"/>
      <w:sz w:val="21"/>
      <w:szCs w:val="21"/>
    </w:rPr>
  </w:style>
  <w:style w:type="character" w:customStyle="1" w:styleId="111">
    <w:name w:val="16"/>
    <w:basedOn w:val="31"/>
    <w:qFormat/>
    <w:uiPriority w:val="0"/>
    <w:rPr>
      <w:rFonts w:hint="eastAsia" w:ascii="宋体" w:hAnsi="宋体" w:eastAsia="宋体" w:cs="宋体"/>
      <w:color w:val="000000"/>
      <w:sz w:val="22"/>
      <w:szCs w:val="22"/>
    </w:rPr>
  </w:style>
  <w:style w:type="character" w:customStyle="1" w:styleId="112">
    <w:name w:val="first-child"/>
    <w:basedOn w:val="31"/>
    <w:qFormat/>
    <w:uiPriority w:val="0"/>
  </w:style>
  <w:style w:type="character" w:customStyle="1" w:styleId="113">
    <w:name w:val="layui-layer-tabnow"/>
    <w:basedOn w:val="31"/>
    <w:qFormat/>
    <w:uiPriority w:val="0"/>
    <w:rPr>
      <w:bdr w:val="single" w:color="CCCCCC" w:sz="2" w:space="0"/>
      <w:shd w:val="clear" w:color="auto" w:fill="FFFFFF"/>
    </w:rPr>
  </w:style>
  <w:style w:type="character" w:customStyle="1" w:styleId="114">
    <w:name w:val="edui-clickable2"/>
    <w:basedOn w:val="31"/>
    <w:qFormat/>
    <w:uiPriority w:val="0"/>
    <w:rPr>
      <w:color w:val="0000FF"/>
      <w:u w:val="single"/>
    </w:rPr>
  </w:style>
  <w:style w:type="character" w:customStyle="1" w:styleId="115">
    <w:name w:val="hover3"/>
    <w:basedOn w:val="31"/>
    <w:qFormat/>
    <w:uiPriority w:val="0"/>
  </w:style>
  <w:style w:type="character" w:customStyle="1" w:styleId="116">
    <w:name w:val="hover4"/>
    <w:basedOn w:val="31"/>
    <w:qFormat/>
    <w:uiPriority w:val="0"/>
    <w:rPr>
      <w:color w:val="2590EB"/>
    </w:rPr>
  </w:style>
  <w:style w:type="character" w:customStyle="1" w:styleId="117">
    <w:name w:val="hover5"/>
    <w:basedOn w:val="31"/>
    <w:qFormat/>
    <w:uiPriority w:val="0"/>
    <w:rPr>
      <w:color w:val="2590EB"/>
    </w:rPr>
  </w:style>
  <w:style w:type="character" w:customStyle="1" w:styleId="118">
    <w:name w:val="hover6"/>
    <w:basedOn w:val="31"/>
    <w:qFormat/>
    <w:uiPriority w:val="0"/>
    <w:rPr>
      <w:color w:val="2590EB"/>
      <w:shd w:val="clear" w:color="auto" w:fill="E9F4FD"/>
    </w:rPr>
  </w:style>
  <w:style w:type="character" w:customStyle="1" w:styleId="119">
    <w:name w:val="room"/>
    <w:basedOn w:val="31"/>
    <w:qFormat/>
    <w:uiPriority w:val="0"/>
  </w:style>
  <w:style w:type="character" w:customStyle="1" w:styleId="120">
    <w:name w:val="time"/>
    <w:basedOn w:val="31"/>
    <w:qFormat/>
    <w:uiPriority w:val="0"/>
  </w:style>
  <w:style w:type="character" w:customStyle="1" w:styleId="121">
    <w:name w:val="status"/>
    <w:basedOn w:val="31"/>
    <w:qFormat/>
    <w:uiPriority w:val="0"/>
    <w:rPr>
      <w:color w:val="0776DD"/>
    </w:rPr>
  </w:style>
  <w:style w:type="character" w:customStyle="1" w:styleId="122">
    <w:name w:val="timeaxis"/>
    <w:basedOn w:val="31"/>
    <w:qFormat/>
    <w:uiPriority w:val="0"/>
  </w:style>
  <w:style w:type="character" w:customStyle="1" w:styleId="123">
    <w:name w:val="edui-unclickable"/>
    <w:basedOn w:val="31"/>
    <w:qFormat/>
    <w:uiPriority w:val="0"/>
    <w:rPr>
      <w:color w:val="808080"/>
    </w:rPr>
  </w:style>
  <w:style w:type="character" w:customStyle="1" w:styleId="124">
    <w:name w:val="hover2"/>
    <w:basedOn w:val="31"/>
    <w:qFormat/>
    <w:uiPriority w:val="0"/>
    <w:rPr>
      <w:color w:val="2590EB"/>
    </w:rPr>
  </w:style>
  <w:style w:type="paragraph" w:customStyle="1" w:styleId="1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13291</Words>
  <Characters>13752</Characters>
  <Lines>167</Lines>
  <Paragraphs>47</Paragraphs>
  <TotalTime>236</TotalTime>
  <ScaleCrop>false</ScaleCrop>
  <LinksUpToDate>false</LinksUpToDate>
  <CharactersWithSpaces>14091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2024-02-04T02:40:00Z</dcterms:created>
  <dc:creator>凡</dc:creator>
  <cp:lastModifiedBy>全球数源中心</cp:lastModifiedBy>
  <cp:lastPrinted>2025-06-23T01:32:01Z</cp:lastPrinted>
  <dcterms:modified xsi:type="dcterms:W3CDTF">2025-06-23T06:15:33Z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F82C85ADE1A048E8B92AB5237B6A1DDC_13</vt:lpwstr>
  </property>
  <property fmtid="{D5CDD505-2E9C-101B-9397-08002B2CF9AE}" pid="4" name="KSOTemplateDocerSaveRecord">
    <vt:lpwstr>eyJoZGlkIjoiMzMxM2M1MGQ3ZDc3ZmQyMzMwN2UxMzU2MGQ5MmE3NjEiLCJ1c2VySWQiOiI2MDkyOTEzMjYifQ==</vt:lpwstr>
  </property>
</Properties>
</file>