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C937079">
      <w:pPr>
        <w:snapToGrid w:val="0"/>
        <w:jc w:val="center"/>
        <w:rPr>
          <w:rStyle w:val="53"/>
          <w:rFonts w:hint="default" w:ascii="方正小标宋简体" w:hAnsi="方正小标宋简体" w:eastAsia="方正小标宋简体"/>
          <w:sz w:val="44"/>
          <w:szCs w:val="44"/>
          <w:highlight w:val="none"/>
          <w:lang w:val="en-US" w:eastAsia="zh-CN"/>
        </w:rPr>
      </w:pPr>
      <w:r>
        <w:rPr>
          <w:rStyle w:val="53"/>
          <w:rFonts w:hint="eastAsia" w:ascii="方正小标宋简体" w:hAnsi="方正小标宋简体" w:eastAsia="方正小标宋简体"/>
          <w:sz w:val="44"/>
          <w:szCs w:val="44"/>
          <w:highlight w:val="none"/>
          <w:lang w:val="en-US" w:eastAsia="zh-CN"/>
        </w:rPr>
        <w:t>南沙资产经营集团战略规划及综合管理</w:t>
      </w:r>
    </w:p>
    <w:p w14:paraId="13066BD4">
      <w:pPr>
        <w:snapToGrid w:val="0"/>
        <w:jc w:val="center"/>
        <w:rPr>
          <w:rStyle w:val="53"/>
          <w:rFonts w:hint="eastAsia" w:ascii="方正小标宋简体" w:hAnsi="方正小标宋简体" w:eastAsia="方正小标宋简体"/>
          <w:sz w:val="44"/>
          <w:szCs w:val="44"/>
          <w:highlight w:val="none"/>
        </w:rPr>
      </w:pPr>
      <w:r>
        <w:rPr>
          <w:rStyle w:val="53"/>
          <w:rFonts w:hint="eastAsia" w:ascii="方正小标宋简体" w:hAnsi="方正小标宋简体" w:eastAsia="方正小标宋简体"/>
          <w:sz w:val="44"/>
          <w:szCs w:val="44"/>
          <w:highlight w:val="none"/>
          <w:lang w:val="en-US" w:eastAsia="zh-CN"/>
        </w:rPr>
        <w:t>咨询</w:t>
      </w:r>
      <w:r>
        <w:rPr>
          <w:rStyle w:val="53"/>
          <w:rFonts w:hint="eastAsia" w:ascii="方正小标宋简体" w:hAnsi="方正小标宋简体" w:eastAsia="方正小标宋简体"/>
          <w:sz w:val="44"/>
          <w:szCs w:val="44"/>
          <w:highlight w:val="none"/>
        </w:rPr>
        <w:t>服务项目</w:t>
      </w:r>
    </w:p>
    <w:p w14:paraId="6638B560">
      <w:pPr>
        <w:snapToGrid w:val="0"/>
        <w:jc w:val="center"/>
        <w:rPr>
          <w:rFonts w:ascii="黑体" w:eastAsia="黑体"/>
          <w:sz w:val="36"/>
          <w:szCs w:val="36"/>
          <w:highlight w:val="none"/>
        </w:rPr>
      </w:pPr>
    </w:p>
    <w:p w14:paraId="1260BE6D">
      <w:pPr>
        <w:spacing w:line="360" w:lineRule="auto"/>
        <w:jc w:val="center"/>
        <w:rPr>
          <w:rFonts w:ascii="黑体" w:eastAsia="黑体"/>
          <w:sz w:val="36"/>
          <w:szCs w:val="36"/>
          <w:highlight w:val="none"/>
        </w:rPr>
      </w:pPr>
    </w:p>
    <w:p w14:paraId="171FD43F">
      <w:pPr>
        <w:spacing w:line="360" w:lineRule="auto"/>
        <w:jc w:val="center"/>
        <w:rPr>
          <w:rFonts w:ascii="黑体" w:eastAsia="黑体"/>
          <w:sz w:val="36"/>
          <w:szCs w:val="36"/>
          <w:highlight w:val="none"/>
        </w:rPr>
      </w:pPr>
    </w:p>
    <w:p w14:paraId="3BDBC53F">
      <w:pPr>
        <w:spacing w:line="360" w:lineRule="auto"/>
        <w:rPr>
          <w:rFonts w:ascii="黑体" w:eastAsia="黑体"/>
          <w:sz w:val="36"/>
          <w:szCs w:val="36"/>
          <w:highlight w:val="none"/>
        </w:rPr>
      </w:pPr>
      <w:r>
        <w:rPr>
          <w:rFonts w:hint="eastAsia" w:ascii="黑体" w:eastAsia="黑体"/>
          <w:sz w:val="36"/>
          <w:szCs w:val="36"/>
          <w:highlight w:val="none"/>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305435</wp:posOffset>
                </wp:positionV>
                <wp:extent cx="5334000" cy="0"/>
                <wp:effectExtent l="0" t="15875" r="0" b="22225"/>
                <wp:wrapNone/>
                <wp:docPr id="1" name="Line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0.85pt;margin-top:24.05pt;height:0pt;width:420pt;z-index:251659264;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xFoHHSAAAABwEAAA8AAAAAAAAAAQAgAAAAIgAAAGRy&#10;cy9kb3ducmV2LnhtbFBLAQIUABQAAAAIAIdO4kD4fNci0gEAAM4DAAAOAAAAAAAAAAEAIAAAACEB&#10;AABkcnMvZTJvRG9jLnhtbFBLBQYAAAAABgAGAFkBAABlBQAAAAA=&#10;">
                <v:fill on="f" focussize="0,0"/>
                <v:stroke weight="2.5pt" color="#000000" joinstyle="round"/>
                <v:imagedata o:title=""/>
                <o:lock v:ext="edit" aspectratio="f"/>
              </v:line>
            </w:pict>
          </mc:Fallback>
        </mc:AlternateContent>
      </w:r>
    </w:p>
    <w:p w14:paraId="3B82AFC9">
      <w:pPr>
        <w:tabs>
          <w:tab w:val="left" w:pos="2160"/>
        </w:tabs>
        <w:spacing w:line="300" w:lineRule="auto"/>
        <w:jc w:val="center"/>
        <w:rPr>
          <w:rFonts w:ascii="黑体" w:eastAsia="黑体"/>
          <w:b/>
          <w:spacing w:val="120"/>
          <w:sz w:val="84"/>
          <w:szCs w:val="84"/>
          <w:highlight w:val="none"/>
          <w14:shadow w14:blurRad="50800" w14:dist="38100" w14:dir="2700000" w14:sx="100000" w14:sy="100000" w14:kx="0" w14:ky="0" w14:algn="tl">
            <w14:srgbClr w14:val="000000">
              <w14:alpha w14:val="60000"/>
            </w14:srgbClr>
          </w14:shadow>
        </w:rPr>
      </w:pPr>
      <w:r>
        <w:rPr>
          <w:rFonts w:hint="eastAsia" w:ascii="黑体" w:eastAsia="黑体"/>
          <w:b/>
          <w:spacing w:val="120"/>
          <w:position w:val="-2"/>
          <w:sz w:val="84"/>
          <w:szCs w:val="84"/>
          <w:highlight w:val="none"/>
          <w14:shadow w14:blurRad="50800" w14:dist="38100" w14:dir="2700000" w14:sx="100000" w14:sy="100000" w14:kx="0" w14:ky="0" w14:algn="tl">
            <w14:srgbClr w14:val="000000">
              <w14:alpha w14:val="60000"/>
            </w14:srgbClr>
          </w14:shadow>
        </w:rPr>
        <w:t>招标文件</w:t>
      </w:r>
    </w:p>
    <w:p w14:paraId="2BB9B4B1">
      <w:pPr>
        <w:spacing w:line="360" w:lineRule="auto"/>
        <w:jc w:val="center"/>
        <w:rPr>
          <w:rFonts w:ascii="黑体" w:eastAsia="黑体"/>
          <w:sz w:val="36"/>
          <w:szCs w:val="36"/>
          <w:highlight w:val="none"/>
        </w:rPr>
      </w:pPr>
      <w:r>
        <w:rPr>
          <w:rFonts w:hint="eastAsia" w:ascii="黑体" w:eastAsia="黑体"/>
          <w:sz w:val="36"/>
          <w:szCs w:val="36"/>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31115</wp:posOffset>
                </wp:positionV>
                <wp:extent cx="5334000" cy="0"/>
                <wp:effectExtent l="0" t="15875" r="0" b="22225"/>
                <wp:wrapNone/>
                <wp:docPr id="2" name="Line 3"/>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0pt;margin-top:2.45pt;height:0pt;width:420pt;z-index:251660288;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YFfi3RAAAABAEAAA8AAAAAAAAAAQAgAAAAIgAAAGRy&#10;cy9kb3ducmV2LnhtbFBLAQIUABQAAAAIAIdO4kA4Lqeh0wEAAM4DAAAOAAAAAAAAAAEAIAAAACAB&#10;AABkcnMvZTJvRG9jLnhtbFBLBQYAAAAABgAGAFkBAABlBQAAAAA=&#10;">
                <v:fill on="f" focussize="0,0"/>
                <v:stroke weight="2.5pt" color="#000000" joinstyle="round"/>
                <v:imagedata o:title=""/>
                <o:lock v:ext="edit" aspectratio="f"/>
              </v:line>
            </w:pict>
          </mc:Fallback>
        </mc:AlternateContent>
      </w:r>
    </w:p>
    <w:p w14:paraId="60B7B8EE">
      <w:pPr>
        <w:spacing w:line="360" w:lineRule="auto"/>
        <w:jc w:val="center"/>
        <w:rPr>
          <w:rFonts w:ascii="黑体" w:eastAsia="黑体"/>
          <w:sz w:val="36"/>
          <w:szCs w:val="36"/>
          <w:highlight w:val="none"/>
        </w:rPr>
      </w:pPr>
    </w:p>
    <w:p w14:paraId="5CF90063">
      <w:pPr>
        <w:pStyle w:val="3"/>
        <w:rPr>
          <w:rFonts w:ascii="黑体" w:eastAsia="黑体"/>
          <w:sz w:val="36"/>
          <w:szCs w:val="36"/>
          <w:highlight w:val="none"/>
        </w:rPr>
      </w:pPr>
    </w:p>
    <w:p w14:paraId="58499E71">
      <w:pPr>
        <w:rPr>
          <w:highlight w:val="none"/>
        </w:rPr>
      </w:pPr>
    </w:p>
    <w:p w14:paraId="4C52BE91">
      <w:pPr>
        <w:spacing w:line="360" w:lineRule="auto"/>
        <w:jc w:val="center"/>
        <w:rPr>
          <w:rFonts w:ascii="黑体" w:eastAsia="黑体"/>
          <w:sz w:val="36"/>
          <w:szCs w:val="36"/>
          <w:highlight w:val="none"/>
        </w:rPr>
      </w:pPr>
    </w:p>
    <w:p w14:paraId="44570E8A">
      <w:pPr>
        <w:spacing w:line="360" w:lineRule="auto"/>
        <w:jc w:val="center"/>
        <w:rPr>
          <w:rFonts w:ascii="黑体" w:eastAsia="黑体"/>
          <w:sz w:val="36"/>
          <w:szCs w:val="36"/>
          <w:highlight w:val="none"/>
        </w:rPr>
      </w:pPr>
    </w:p>
    <w:p w14:paraId="5AAE074B">
      <w:pPr>
        <w:spacing w:line="360" w:lineRule="auto"/>
        <w:jc w:val="center"/>
        <w:rPr>
          <w:rFonts w:ascii="黑体" w:eastAsia="黑体"/>
          <w:sz w:val="36"/>
          <w:szCs w:val="36"/>
          <w:highlight w:val="none"/>
        </w:rPr>
      </w:pPr>
    </w:p>
    <w:p w14:paraId="55F22B64">
      <w:pPr>
        <w:spacing w:line="360" w:lineRule="auto"/>
        <w:jc w:val="center"/>
        <w:rPr>
          <w:rFonts w:ascii="黑体" w:eastAsia="黑体"/>
          <w:sz w:val="36"/>
          <w:szCs w:val="36"/>
          <w:highlight w:val="none"/>
        </w:rPr>
      </w:pPr>
    </w:p>
    <w:p w14:paraId="7B66BA54">
      <w:pPr>
        <w:spacing w:line="360" w:lineRule="auto"/>
        <w:jc w:val="center"/>
        <w:rPr>
          <w:rFonts w:ascii="黑体" w:eastAsia="黑体"/>
          <w:sz w:val="44"/>
          <w:szCs w:val="44"/>
          <w:highlight w:val="none"/>
        </w:rPr>
      </w:pPr>
    </w:p>
    <w:p w14:paraId="2A155D08">
      <w:pPr>
        <w:spacing w:line="360" w:lineRule="auto"/>
        <w:jc w:val="center"/>
        <w:rPr>
          <w:rFonts w:ascii="黑体" w:eastAsia="黑体"/>
          <w:sz w:val="44"/>
          <w:szCs w:val="44"/>
          <w:highlight w:val="none"/>
        </w:rPr>
      </w:pPr>
      <w:r>
        <w:rPr>
          <w:rFonts w:hint="eastAsia" w:ascii="黑体" w:eastAsia="黑体"/>
          <w:sz w:val="44"/>
          <w:szCs w:val="44"/>
          <w:highlight w:val="none"/>
          <w:lang w:val="en-US" w:eastAsia="zh-CN"/>
        </w:rPr>
        <w:t>广州南沙资产经营集团有限公司</w:t>
      </w:r>
    </w:p>
    <w:p w14:paraId="092077FF">
      <w:pPr>
        <w:spacing w:line="360" w:lineRule="auto"/>
        <w:jc w:val="center"/>
        <w:rPr>
          <w:rFonts w:ascii="黑体" w:eastAsia="黑体"/>
          <w:sz w:val="44"/>
          <w:szCs w:val="44"/>
          <w:highlight w:val="none"/>
        </w:rPr>
      </w:pPr>
    </w:p>
    <w:p w14:paraId="40FCDCEE">
      <w:pPr>
        <w:spacing w:line="360" w:lineRule="auto"/>
        <w:jc w:val="center"/>
        <w:rPr>
          <w:rFonts w:ascii="黑体" w:eastAsia="黑体"/>
          <w:sz w:val="44"/>
          <w:szCs w:val="44"/>
          <w:highlight w:val="none"/>
        </w:rPr>
        <w:sectPr>
          <w:footerReference r:id="rId5" w:type="first"/>
          <w:footerReference r:id="rId3" w:type="default"/>
          <w:footerReference r:id="rId4" w:type="even"/>
          <w:pgSz w:w="11906" w:h="16838"/>
          <w:pgMar w:top="1440" w:right="1646" w:bottom="1440" w:left="1620" w:header="851" w:footer="1259" w:gutter="0"/>
          <w:pgNumType w:fmt="decimal"/>
          <w:cols w:space="720" w:num="1"/>
          <w:docGrid w:type="lines" w:linePitch="312" w:charSpace="0"/>
        </w:sectPr>
      </w:pPr>
      <w:r>
        <w:rPr>
          <w:rFonts w:hint="eastAsia" w:ascii="黑体" w:eastAsia="黑体"/>
          <w:sz w:val="44"/>
          <w:szCs w:val="44"/>
          <w:highlight w:val="none"/>
        </w:rPr>
        <w:t>202</w:t>
      </w:r>
      <w:r>
        <w:rPr>
          <w:rFonts w:hint="eastAsia" w:ascii="黑体" w:eastAsia="黑体"/>
          <w:sz w:val="44"/>
          <w:szCs w:val="44"/>
          <w:highlight w:val="none"/>
          <w:lang w:val="en-US" w:eastAsia="zh-CN"/>
        </w:rPr>
        <w:t>5</w:t>
      </w:r>
      <w:r>
        <w:rPr>
          <w:rFonts w:hint="eastAsia" w:ascii="黑体" w:eastAsia="黑体"/>
          <w:sz w:val="44"/>
          <w:szCs w:val="44"/>
          <w:highlight w:val="none"/>
        </w:rPr>
        <w:t>年</w:t>
      </w:r>
      <w:r>
        <w:rPr>
          <w:rFonts w:hint="eastAsia" w:ascii="黑体" w:eastAsia="黑体"/>
          <w:sz w:val="44"/>
          <w:szCs w:val="44"/>
          <w:highlight w:val="none"/>
          <w:lang w:val="en-US" w:eastAsia="zh-CN"/>
        </w:rPr>
        <w:t>7</w:t>
      </w:r>
      <w:r>
        <w:rPr>
          <w:rFonts w:hint="eastAsia" w:ascii="黑体" w:eastAsia="黑体"/>
          <w:sz w:val="44"/>
          <w:szCs w:val="44"/>
          <w:highlight w:val="none"/>
        </w:rPr>
        <w:t>月</w:t>
      </w:r>
    </w:p>
    <w:p w14:paraId="2F3FBACB">
      <w:pPr>
        <w:spacing w:line="580" w:lineRule="exact"/>
        <w:jc w:val="center"/>
        <w:rPr>
          <w:rFonts w:hint="eastAsia" w:eastAsia="方正小标宋简体"/>
          <w:sz w:val="36"/>
          <w:szCs w:val="36"/>
          <w:highlight w:val="none"/>
        </w:rPr>
      </w:pPr>
      <w:r>
        <w:rPr>
          <w:rFonts w:hint="eastAsia" w:eastAsia="方正小标宋简体"/>
          <w:sz w:val="36"/>
          <w:szCs w:val="36"/>
          <w:highlight w:val="none"/>
        </w:rPr>
        <w:t>南沙资产经营集团战略规划及综合管理</w:t>
      </w:r>
    </w:p>
    <w:p w14:paraId="3777C450">
      <w:pPr>
        <w:spacing w:line="580" w:lineRule="exact"/>
        <w:jc w:val="center"/>
        <w:rPr>
          <w:rFonts w:ascii="方正小标宋简体" w:hAnsi="华文仿宋" w:eastAsia="方正小标宋简体"/>
          <w:sz w:val="36"/>
          <w:szCs w:val="36"/>
          <w:highlight w:val="none"/>
        </w:rPr>
      </w:pPr>
      <w:r>
        <w:rPr>
          <w:rFonts w:hint="eastAsia" w:eastAsia="方正小标宋简体"/>
          <w:sz w:val="36"/>
          <w:szCs w:val="36"/>
          <w:highlight w:val="none"/>
          <w:lang w:val="en-US" w:eastAsia="zh-CN"/>
        </w:rPr>
        <w:t>咨询</w:t>
      </w:r>
      <w:r>
        <w:rPr>
          <w:rFonts w:hint="eastAsia" w:eastAsia="方正小标宋简体"/>
          <w:sz w:val="36"/>
          <w:szCs w:val="36"/>
          <w:highlight w:val="none"/>
        </w:rPr>
        <w:t>服务项目</w:t>
      </w:r>
      <w:r>
        <w:rPr>
          <w:rFonts w:eastAsia="方正小标宋简体"/>
          <w:sz w:val="36"/>
          <w:szCs w:val="36"/>
          <w:highlight w:val="none"/>
        </w:rPr>
        <w:t>招标</w:t>
      </w:r>
      <w:r>
        <w:rPr>
          <w:rFonts w:hint="eastAsia" w:eastAsia="方正小标宋简体"/>
          <w:sz w:val="36"/>
          <w:szCs w:val="36"/>
          <w:highlight w:val="none"/>
        </w:rPr>
        <w:t>公告</w:t>
      </w:r>
    </w:p>
    <w:p w14:paraId="3D280470">
      <w:pPr>
        <w:widowControl/>
        <w:spacing w:line="560" w:lineRule="exact"/>
        <w:ind w:firstLine="640" w:firstLineChars="200"/>
        <w:jc w:val="left"/>
        <w:rPr>
          <w:rFonts w:ascii="仿宋_GB2312" w:hAnsi="仿宋_GB2312" w:eastAsia="仿宋_GB2312" w:cs="仿宋_GB2312"/>
          <w:kern w:val="0"/>
          <w:sz w:val="32"/>
          <w:szCs w:val="32"/>
          <w:highlight w:val="none"/>
          <w:shd w:val="clear" w:color="auto" w:fill="FFFFFF"/>
          <w:lang w:bidi="ar"/>
        </w:rPr>
      </w:pPr>
    </w:p>
    <w:p w14:paraId="7A34F190">
      <w:pPr>
        <w:widowControl/>
        <w:spacing w:line="560" w:lineRule="exact"/>
        <w:ind w:firstLine="640" w:firstLineChars="200"/>
        <w:jc w:val="left"/>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招标人：广州南沙资产经营集团有限公司</w:t>
      </w:r>
    </w:p>
    <w:p w14:paraId="21C49A5F">
      <w:pPr>
        <w:widowControl/>
        <w:ind w:firstLine="640" w:firstLineChars="200"/>
        <w:jc w:val="left"/>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招标项目名称：南沙资产经营集团战略规划及综合管理咨询服务项目</w:t>
      </w:r>
    </w:p>
    <w:p w14:paraId="5288FC2E">
      <w:pPr>
        <w:widowControl/>
        <w:numPr>
          <w:ilvl w:val="255"/>
          <w:numId w:val="0"/>
        </w:numPr>
        <w:ind w:firstLine="640" w:firstLineChars="200"/>
        <w:jc w:val="left"/>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招标内容：本项目要求中标人向招标人提供战略规划及综合管理咨询服务</w:t>
      </w:r>
      <w:r>
        <w:rPr>
          <w:rFonts w:hint="eastAsia" w:ascii="仿宋_GB2312" w:hAnsi="仿宋_GB2312" w:eastAsia="仿宋_GB2312" w:cs="仿宋_GB2312"/>
          <w:kern w:val="0"/>
          <w:sz w:val="32"/>
          <w:szCs w:val="32"/>
          <w:highlight w:val="none"/>
          <w:shd w:val="clear" w:color="auto" w:fill="FFFFFF"/>
          <w:lang w:val="en-US" w:eastAsia="zh-CN" w:bidi="ar"/>
        </w:rPr>
        <w:t>并出具相关成果文件</w:t>
      </w:r>
      <w:r>
        <w:rPr>
          <w:rFonts w:hint="eastAsia" w:ascii="仿宋_GB2312" w:hAnsi="仿宋_GB2312" w:eastAsia="仿宋_GB2312" w:cs="仿宋_GB2312"/>
          <w:kern w:val="0"/>
          <w:sz w:val="32"/>
          <w:szCs w:val="32"/>
          <w:highlight w:val="none"/>
          <w:shd w:val="clear" w:color="auto" w:fill="FFFFFF"/>
          <w:lang w:bidi="ar"/>
        </w:rPr>
        <w:t>。</w:t>
      </w:r>
      <w:r>
        <w:rPr>
          <w:rFonts w:hint="eastAsia" w:ascii="仿宋_GB2312" w:hAnsi="仿宋_GB2312" w:eastAsia="仿宋_GB2312" w:cs="仿宋_GB2312"/>
          <w:b/>
          <w:bCs/>
          <w:kern w:val="0"/>
          <w:sz w:val="32"/>
          <w:szCs w:val="32"/>
          <w:highlight w:val="none"/>
          <w:shd w:val="clear" w:color="auto" w:fill="FFFFFF"/>
          <w:lang w:bidi="ar"/>
        </w:rPr>
        <w:t>战略规划服务：</w:t>
      </w:r>
      <w:r>
        <w:rPr>
          <w:rFonts w:hint="eastAsia" w:ascii="仿宋_GB2312" w:hAnsi="仿宋_GB2312" w:eastAsia="仿宋_GB2312" w:cs="仿宋_GB2312"/>
          <w:kern w:val="0"/>
          <w:sz w:val="32"/>
          <w:szCs w:val="32"/>
          <w:highlight w:val="none"/>
          <w:shd w:val="clear" w:color="auto" w:fill="FFFFFF"/>
          <w:lang w:bidi="ar"/>
        </w:rPr>
        <w:t>结合宏观政策、经济形势、区域发展、产业发展研究，对集团当前经营总体成效、业务布局、管控体系、组织架构、激励机制进行全面分析与评估，识别企业核心优势和存在问题，在此基础上提出优化集团业务结构思路，明确关键战略及业务组合，规划各业务板块的定位、发展目标和发展策略；从党建文化、治理体系、组织管控、人力资源、投资管理、财务管理、风险管理等方面提出支撑集团战略目标实现的配套管理机制与方案；并将战略目标和关键举措分解为未来三年可执行的年度计划和重点项目，明确责任主体、时间节点、主要产出等；完成《南沙资产集团“十五五”战略发展规划》、《南沙资产集团“十五五”规划实施三年行动方案》。</w:t>
      </w:r>
      <w:r>
        <w:rPr>
          <w:rFonts w:hint="eastAsia" w:ascii="仿宋_GB2312" w:hAnsi="仿宋_GB2312" w:eastAsia="仿宋_GB2312" w:cs="仿宋_GB2312"/>
          <w:b/>
          <w:bCs/>
          <w:kern w:val="0"/>
          <w:sz w:val="32"/>
          <w:szCs w:val="32"/>
          <w:highlight w:val="none"/>
          <w:shd w:val="clear" w:color="auto" w:fill="FFFFFF"/>
          <w:lang w:bidi="ar"/>
        </w:rPr>
        <w:t>综合管理咨询：</w:t>
      </w:r>
      <w:r>
        <w:rPr>
          <w:rFonts w:hint="eastAsia" w:ascii="仿宋_GB2312" w:hAnsi="仿宋_GB2312" w:eastAsia="仿宋_GB2312" w:cs="仿宋_GB2312"/>
          <w:kern w:val="0"/>
          <w:sz w:val="32"/>
          <w:szCs w:val="32"/>
          <w:highlight w:val="none"/>
          <w:shd w:val="clear" w:color="auto" w:fill="FFFFFF"/>
          <w:lang w:bidi="ar"/>
        </w:rPr>
        <w:t>基于集团战略定位与业务特点，设计适配的管控模式，明确集团总部与下属公司的权责边界，完成《南沙资产集团权责体系优化报告》、《南沙资产集团权责表》、《南沙资产集团管控体系制度汇编》；对集团组织架构进行系统性诊断与优化设计，科学设置总部职能部门与各部门岗位，提升组织协同性，完成《南沙资产集团组织体系优化报告》、《南沙资产集团部门职能说明书》、《南沙资产集团岗位设计方案》、《南沙资产集团岗位职责说明书》；</w:t>
      </w:r>
      <w:r>
        <w:rPr>
          <w:rFonts w:hint="eastAsia" w:ascii="仿宋_GB2312" w:hAnsi="仿宋_GB2312" w:eastAsia="仿宋_GB2312" w:cs="仿宋_GB2312"/>
          <w:kern w:val="0"/>
          <w:sz w:val="32"/>
          <w:szCs w:val="32"/>
          <w:highlight w:val="none"/>
          <w:shd w:val="clear" w:color="auto" w:fill="FFFFFF"/>
          <w:lang w:val="en-US" w:eastAsia="zh-CN" w:bidi="ar"/>
        </w:rPr>
        <w:t>根据公司发展战略提出人力资源管理提升建议，完成《</w:t>
      </w:r>
      <w:r>
        <w:rPr>
          <w:rFonts w:hint="eastAsia" w:ascii="仿宋_GB2312" w:hAnsi="仿宋_GB2312" w:eastAsia="仿宋_GB2312" w:cs="仿宋_GB2312"/>
          <w:kern w:val="0"/>
          <w:sz w:val="32"/>
          <w:szCs w:val="32"/>
          <w:highlight w:val="none"/>
          <w:shd w:val="clear" w:color="auto" w:fill="FFFFFF"/>
          <w:lang w:bidi="ar"/>
        </w:rPr>
        <w:t>南沙资产集团人力资源规划</w:t>
      </w:r>
      <w:r>
        <w:rPr>
          <w:rFonts w:hint="eastAsia" w:ascii="仿宋_GB2312" w:hAnsi="仿宋_GB2312" w:eastAsia="仿宋_GB2312" w:cs="仿宋_GB2312"/>
          <w:kern w:val="0"/>
          <w:sz w:val="32"/>
          <w:szCs w:val="32"/>
          <w:highlight w:val="none"/>
          <w:shd w:val="clear" w:color="auto" w:fill="FFFFFF"/>
          <w:lang w:val="en-US" w:eastAsia="zh-CN" w:bidi="ar"/>
        </w:rPr>
        <w:t>》；</w:t>
      </w:r>
      <w:r>
        <w:rPr>
          <w:rFonts w:hint="eastAsia" w:ascii="仿宋_GB2312" w:hAnsi="仿宋_GB2312" w:eastAsia="仿宋_GB2312" w:cs="仿宋_GB2312"/>
          <w:kern w:val="0"/>
          <w:sz w:val="32"/>
          <w:szCs w:val="32"/>
          <w:highlight w:val="none"/>
          <w:shd w:val="clear" w:color="auto" w:fill="FFFFFF"/>
          <w:lang w:bidi="ar"/>
        </w:rPr>
        <w:t>设计以战略目标为导向的绩效考核体系，完成《南沙资产集团绩效管理方案》、《南沙资产集团绩效管理制度》；优化薪酬激励机制，完成《南沙资产集团薪酬管理方案》、《南沙资产集团薪酬管理制度》、《南沙资产集团薪级表》；完善职级管理体系，完成《南沙资产集团职级管理制度》、《南沙资产集团职级表》；设计系统化的</w:t>
      </w:r>
      <w:r>
        <w:rPr>
          <w:rFonts w:hint="eastAsia" w:ascii="仿宋_GB2312" w:hAnsi="仿宋_GB2312" w:eastAsia="仿宋_GB2312" w:cs="仿宋_GB2312"/>
          <w:kern w:val="0"/>
          <w:sz w:val="32"/>
          <w:szCs w:val="32"/>
          <w:highlight w:val="none"/>
          <w:shd w:val="clear" w:color="auto" w:fill="FFFFFF"/>
          <w:lang w:val="en-US" w:eastAsia="zh-CN" w:bidi="ar"/>
        </w:rPr>
        <w:t>人才梯队</w:t>
      </w:r>
      <w:r>
        <w:rPr>
          <w:rFonts w:hint="eastAsia" w:ascii="仿宋_GB2312" w:hAnsi="仿宋_GB2312" w:eastAsia="仿宋_GB2312" w:cs="仿宋_GB2312"/>
          <w:kern w:val="0"/>
          <w:sz w:val="32"/>
          <w:szCs w:val="32"/>
          <w:highlight w:val="none"/>
          <w:shd w:val="clear" w:color="auto" w:fill="FFFFFF"/>
          <w:lang w:bidi="ar"/>
        </w:rPr>
        <w:t>培养发展方案，完成《南沙资产集团</w:t>
      </w:r>
      <w:r>
        <w:rPr>
          <w:rFonts w:hint="eastAsia" w:ascii="仿宋_GB2312" w:hAnsi="仿宋_GB2312" w:eastAsia="仿宋_GB2312" w:cs="仿宋_GB2312"/>
          <w:kern w:val="0"/>
          <w:sz w:val="32"/>
          <w:szCs w:val="32"/>
          <w:highlight w:val="none"/>
          <w:shd w:val="clear" w:color="auto" w:fill="FFFFFF"/>
          <w:lang w:val="en-US" w:eastAsia="zh-CN" w:bidi="ar"/>
        </w:rPr>
        <w:t>人才梯队</w:t>
      </w:r>
      <w:r>
        <w:rPr>
          <w:rFonts w:hint="eastAsia" w:ascii="仿宋_GB2312" w:hAnsi="仿宋_GB2312" w:eastAsia="仿宋_GB2312" w:cs="仿宋_GB2312"/>
          <w:kern w:val="0"/>
          <w:sz w:val="32"/>
          <w:szCs w:val="32"/>
          <w:highlight w:val="none"/>
          <w:shd w:val="clear" w:color="auto" w:fill="FFFFFF"/>
          <w:lang w:bidi="ar"/>
        </w:rPr>
        <w:t>培养方案》。</w:t>
      </w:r>
    </w:p>
    <w:p w14:paraId="3B954369">
      <w:pPr>
        <w:widowControl/>
        <w:shd w:val="clear" w:color="auto" w:fill="FFFFFF"/>
        <w:spacing w:line="560" w:lineRule="exact"/>
        <w:ind w:firstLine="640" w:firstLineChars="200"/>
        <w:jc w:val="left"/>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评审办法：综合评审法</w:t>
      </w:r>
    </w:p>
    <w:p w14:paraId="72DDAE0F">
      <w:pPr>
        <w:widowControl/>
        <w:shd w:val="clear" w:color="auto" w:fill="FFFFFF"/>
        <w:spacing w:line="560" w:lineRule="exact"/>
        <w:ind w:firstLine="640" w:firstLineChars="200"/>
        <w:jc w:val="left"/>
        <w:rPr>
          <w:rFonts w:hint="default" w:ascii="仿宋_GB2312" w:hAnsi="仿宋_GB2312" w:eastAsia="仿宋_GB2312" w:cs="仿宋_GB2312"/>
          <w:kern w:val="0"/>
          <w:sz w:val="32"/>
          <w:szCs w:val="32"/>
          <w:highlight w:val="none"/>
          <w:shd w:val="clear" w:color="auto" w:fill="FFFFFF"/>
          <w:lang w:val="en-US" w:eastAsia="zh-CN" w:bidi="ar"/>
        </w:rPr>
      </w:pPr>
      <w:r>
        <w:rPr>
          <w:rFonts w:hint="eastAsia" w:ascii="仿宋_GB2312" w:hAnsi="仿宋_GB2312" w:eastAsia="仿宋_GB2312" w:cs="仿宋_GB2312"/>
          <w:kern w:val="0"/>
          <w:sz w:val="32"/>
          <w:szCs w:val="32"/>
          <w:highlight w:val="none"/>
          <w:shd w:val="clear" w:color="auto" w:fill="FFFFFF"/>
          <w:lang w:bidi="ar"/>
        </w:rPr>
        <w:t>招标价格：不高于人民币</w:t>
      </w:r>
      <w:r>
        <w:rPr>
          <w:rFonts w:hint="eastAsia" w:ascii="仿宋_GB2312" w:hAnsi="仿宋_GB2312" w:eastAsia="仿宋_GB2312" w:cs="仿宋_GB2312"/>
          <w:kern w:val="0"/>
          <w:sz w:val="32"/>
          <w:szCs w:val="32"/>
          <w:highlight w:val="none"/>
          <w:shd w:val="clear" w:color="auto" w:fill="FFFFFF"/>
          <w:lang w:val="en-US" w:eastAsia="zh-CN" w:bidi="ar"/>
        </w:rPr>
        <w:t>190</w:t>
      </w:r>
      <w:r>
        <w:rPr>
          <w:rFonts w:hint="eastAsia" w:ascii="仿宋_GB2312" w:hAnsi="仿宋_GB2312" w:eastAsia="仿宋_GB2312" w:cs="仿宋_GB2312"/>
          <w:kern w:val="0"/>
          <w:sz w:val="32"/>
          <w:szCs w:val="32"/>
          <w:highlight w:val="none"/>
          <w:shd w:val="clear" w:color="auto" w:fill="FFFFFF"/>
          <w:lang w:bidi="ar"/>
        </w:rPr>
        <w:t>万元</w:t>
      </w:r>
      <w:r>
        <w:rPr>
          <w:rFonts w:hint="eastAsia" w:ascii="仿宋_GB2312" w:hAnsi="仿宋_GB2312" w:eastAsia="仿宋_GB2312" w:cs="仿宋_GB2312"/>
          <w:kern w:val="0"/>
          <w:sz w:val="32"/>
          <w:szCs w:val="32"/>
          <w:highlight w:val="none"/>
          <w:shd w:val="clear" w:color="auto" w:fill="FFFFFF"/>
          <w:lang w:val="en-US" w:eastAsia="zh-CN" w:bidi="ar"/>
        </w:rPr>
        <w:t>且不低于160万元</w:t>
      </w:r>
    </w:p>
    <w:p w14:paraId="2DAB5FC1">
      <w:pPr>
        <w:widowControl/>
        <w:shd w:val="clear" w:color="auto" w:fill="FFFFFF"/>
        <w:spacing w:line="560" w:lineRule="exact"/>
        <w:ind w:firstLine="640" w:firstLineChars="200"/>
        <w:jc w:val="left"/>
        <w:rPr>
          <w:rFonts w:ascii="仿宋_GB2312" w:hAnsi="仿宋_GB2312" w:eastAsia="仿宋_GB2312" w:cs="仿宋_GB2312"/>
          <w:kern w:val="0"/>
          <w:sz w:val="32"/>
          <w:szCs w:val="32"/>
          <w:highlight w:val="none"/>
          <w:shd w:val="clear" w:color="auto" w:fill="FFFFFF"/>
          <w:lang w:bidi="ar"/>
        </w:rPr>
      </w:pPr>
      <w:bookmarkStart w:id="0" w:name="投标人资格要求（公告）"/>
      <w:r>
        <w:rPr>
          <w:rFonts w:hint="eastAsia" w:ascii="仿宋_GB2312" w:hAnsi="仿宋_GB2312" w:eastAsia="仿宋_GB2312" w:cs="仿宋_GB2312"/>
          <w:kern w:val="0"/>
          <w:sz w:val="32"/>
          <w:szCs w:val="32"/>
          <w:highlight w:val="none"/>
          <w:shd w:val="clear" w:color="auto" w:fill="FFFFFF"/>
          <w:lang w:bidi="ar"/>
        </w:rPr>
        <w:t>投标人资格要求：</w:t>
      </w:r>
    </w:p>
    <w:bookmarkEnd w:id="0"/>
    <w:p w14:paraId="4887932C">
      <w:pPr>
        <w:widowControl/>
        <w:numPr>
          <w:ilvl w:val="0"/>
          <w:numId w:val="1"/>
        </w:numPr>
        <w:shd w:val="clear" w:color="auto" w:fill="FFFFFF"/>
        <w:spacing w:line="560" w:lineRule="exact"/>
        <w:ind w:firstLine="640" w:firstLineChars="200"/>
        <w:jc w:val="left"/>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在中华人民共和国境内注册，具有独立承担民事责任能力并具有法人资格；持有工商行政管理部门核发的法人营业执照，按国家法律正常经营；</w:t>
      </w:r>
    </w:p>
    <w:p w14:paraId="58456E84">
      <w:pPr>
        <w:widowControl/>
        <w:numPr>
          <w:ilvl w:val="0"/>
          <w:numId w:val="1"/>
        </w:numPr>
        <w:shd w:val="clear" w:color="auto" w:fill="FFFFFF"/>
        <w:spacing w:line="560" w:lineRule="exact"/>
        <w:ind w:firstLine="640"/>
        <w:jc w:val="left"/>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投标人</w:t>
      </w:r>
      <w:r>
        <w:rPr>
          <w:rFonts w:hint="eastAsia" w:ascii="仿宋_GB2312" w:hAnsi="仿宋_GB2312" w:eastAsia="仿宋_GB2312" w:cs="仿宋_GB2312"/>
          <w:kern w:val="0"/>
          <w:sz w:val="32"/>
          <w:szCs w:val="32"/>
          <w:highlight w:val="none"/>
          <w:shd w:val="clear" w:color="auto" w:fill="FFFFFF"/>
          <w:lang w:val="en-US" w:eastAsia="zh-CN" w:bidi="ar"/>
        </w:rPr>
        <w:t>需具备企业管理咨询、经济咨询、技术咨询等与本咨询服务项目相关的经营范围</w:t>
      </w:r>
      <w:r>
        <w:rPr>
          <w:rFonts w:hint="eastAsia" w:ascii="仿宋_GB2312" w:hAnsi="仿宋_GB2312" w:eastAsia="仿宋_GB2312" w:cs="仿宋_GB2312"/>
          <w:kern w:val="0"/>
          <w:sz w:val="32"/>
          <w:szCs w:val="32"/>
          <w:highlight w:val="none"/>
          <w:shd w:val="clear" w:color="auto" w:fill="FFFFFF"/>
          <w:lang w:bidi="ar"/>
        </w:rPr>
        <w:t>；</w:t>
      </w:r>
    </w:p>
    <w:p w14:paraId="441B75B7">
      <w:pPr>
        <w:widowControl/>
        <w:numPr>
          <w:ilvl w:val="0"/>
          <w:numId w:val="1"/>
        </w:numPr>
        <w:shd w:val="clear" w:color="auto" w:fill="FFFFFF"/>
        <w:spacing w:line="560" w:lineRule="exact"/>
        <w:ind w:firstLine="640"/>
        <w:jc w:val="left"/>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投标人</w:t>
      </w:r>
      <w:r>
        <w:rPr>
          <w:rFonts w:hint="eastAsia" w:ascii="仿宋_GB2312" w:hAnsi="仿宋_GB2312" w:eastAsia="仿宋_GB2312" w:cs="仿宋_GB2312"/>
          <w:kern w:val="0"/>
          <w:sz w:val="32"/>
          <w:szCs w:val="32"/>
          <w:highlight w:val="none"/>
          <w:shd w:val="clear" w:color="auto" w:fill="FFFFFF"/>
          <w:lang w:val="en-US" w:eastAsia="zh-CN" w:bidi="ar"/>
        </w:rPr>
        <w:t>近三年</w:t>
      </w:r>
      <w:r>
        <w:rPr>
          <w:rFonts w:hint="eastAsia" w:ascii="仿宋_GB2312" w:hAnsi="仿宋_GB2312" w:eastAsia="仿宋_GB2312" w:cs="仿宋_GB2312"/>
          <w:kern w:val="0"/>
          <w:sz w:val="32"/>
          <w:szCs w:val="32"/>
          <w:highlight w:val="none"/>
          <w:shd w:val="clear" w:color="auto" w:fill="FFFFFF"/>
          <w:lang w:bidi="ar"/>
        </w:rPr>
        <w:t>具有良好的财务状况（提供承诺函）；</w:t>
      </w:r>
    </w:p>
    <w:p w14:paraId="23DA5F97">
      <w:pPr>
        <w:widowControl/>
        <w:numPr>
          <w:ilvl w:val="0"/>
          <w:numId w:val="1"/>
        </w:numPr>
        <w:shd w:val="clear" w:color="auto" w:fill="FFFFFF"/>
        <w:spacing w:line="560" w:lineRule="exact"/>
        <w:ind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投标人必须为未被列入信用中国网站(www.creditchina.gov.cn)的“失信被执行人”、“重大税收违法案件当事人名单”的供应商（提供开标时间前10天内的查询结果网页截图并加盖公章</w:t>
      </w:r>
      <w:r>
        <w:rPr>
          <w:rFonts w:hint="eastAsia" w:ascii="仿宋_GB2312" w:hAnsi="仿宋_GB2312" w:eastAsia="仿宋_GB2312" w:cs="仿宋_GB2312"/>
          <w:kern w:val="0"/>
          <w:sz w:val="32"/>
          <w:szCs w:val="32"/>
          <w:highlight w:val="none"/>
          <w:shd w:val="clear" w:color="auto" w:fill="FFFFFF"/>
          <w:lang w:eastAsia="zh-CN" w:bidi="ar"/>
        </w:rPr>
        <w:t>，</w:t>
      </w:r>
      <w:r>
        <w:rPr>
          <w:rFonts w:hint="eastAsia" w:ascii="仿宋_GB2312" w:hAnsi="仿宋_GB2312" w:eastAsia="仿宋_GB2312" w:cs="仿宋_GB2312"/>
          <w:kern w:val="0"/>
          <w:sz w:val="32"/>
          <w:szCs w:val="32"/>
          <w:highlight w:val="none"/>
          <w:shd w:val="clear" w:color="auto" w:fill="FFFFFF"/>
          <w:lang w:val="en-US" w:eastAsia="zh-CN" w:bidi="ar"/>
        </w:rPr>
        <w:t>截图须显示截图时间</w:t>
      </w:r>
      <w:r>
        <w:rPr>
          <w:rFonts w:hint="eastAsia" w:ascii="仿宋_GB2312" w:hAnsi="仿宋_GB2312" w:eastAsia="仿宋_GB2312" w:cs="仿宋_GB2312"/>
          <w:kern w:val="0"/>
          <w:sz w:val="32"/>
          <w:szCs w:val="32"/>
          <w:highlight w:val="none"/>
          <w:shd w:val="clear" w:color="auto" w:fill="FFFFFF"/>
          <w:lang w:bidi="ar"/>
        </w:rPr>
        <w:t>）；投标人近三年内（202</w:t>
      </w:r>
      <w:r>
        <w:rPr>
          <w:rFonts w:hint="eastAsia" w:ascii="仿宋_GB2312" w:hAnsi="仿宋_GB2312" w:eastAsia="仿宋_GB2312" w:cs="仿宋_GB2312"/>
          <w:kern w:val="0"/>
          <w:sz w:val="32"/>
          <w:szCs w:val="32"/>
          <w:highlight w:val="none"/>
          <w:shd w:val="clear" w:color="auto" w:fill="FFFFFF"/>
          <w:lang w:val="en-US" w:eastAsia="zh-CN" w:bidi="ar"/>
        </w:rPr>
        <w:t>2</w:t>
      </w:r>
      <w:r>
        <w:rPr>
          <w:rFonts w:hint="eastAsia" w:ascii="仿宋_GB2312" w:hAnsi="仿宋_GB2312" w:eastAsia="仿宋_GB2312" w:cs="仿宋_GB2312"/>
          <w:kern w:val="0"/>
          <w:sz w:val="32"/>
          <w:szCs w:val="32"/>
          <w:highlight w:val="none"/>
          <w:shd w:val="clear" w:color="auto" w:fill="FFFFFF"/>
          <w:lang w:bidi="ar"/>
        </w:rPr>
        <w:t>年</w:t>
      </w:r>
      <w:r>
        <w:rPr>
          <w:rFonts w:hint="eastAsia" w:ascii="仿宋_GB2312" w:hAnsi="仿宋_GB2312" w:eastAsia="仿宋_GB2312" w:cs="仿宋_GB2312"/>
          <w:kern w:val="0"/>
          <w:sz w:val="32"/>
          <w:szCs w:val="32"/>
          <w:highlight w:val="none"/>
          <w:shd w:val="clear" w:color="auto" w:fill="FFFFFF"/>
          <w:lang w:val="en-US" w:eastAsia="zh-CN" w:bidi="ar"/>
        </w:rPr>
        <w:t>7</w:t>
      </w:r>
      <w:r>
        <w:rPr>
          <w:rFonts w:hint="eastAsia" w:ascii="仿宋_GB2312" w:hAnsi="仿宋_GB2312" w:eastAsia="仿宋_GB2312" w:cs="仿宋_GB2312"/>
          <w:kern w:val="0"/>
          <w:sz w:val="32"/>
          <w:szCs w:val="32"/>
          <w:highlight w:val="none"/>
          <w:shd w:val="clear" w:color="auto" w:fill="FFFFFF"/>
          <w:lang w:bidi="ar"/>
        </w:rPr>
        <w:t>月</w:t>
      </w:r>
      <w:r>
        <w:rPr>
          <w:rFonts w:hint="eastAsia" w:ascii="仿宋_GB2312" w:hAnsi="仿宋_GB2312" w:eastAsia="仿宋_GB2312" w:cs="仿宋_GB2312"/>
          <w:kern w:val="0"/>
          <w:sz w:val="32"/>
          <w:szCs w:val="32"/>
          <w:highlight w:val="none"/>
          <w:shd w:val="clear" w:color="auto" w:fill="FFFFFF"/>
          <w:lang w:val="en-US" w:eastAsia="zh-CN" w:bidi="ar"/>
        </w:rPr>
        <w:t>1</w:t>
      </w:r>
      <w:r>
        <w:rPr>
          <w:rFonts w:hint="eastAsia" w:ascii="仿宋_GB2312" w:hAnsi="仿宋_GB2312" w:eastAsia="仿宋_GB2312" w:cs="仿宋_GB2312"/>
          <w:kern w:val="0"/>
          <w:sz w:val="32"/>
          <w:szCs w:val="32"/>
          <w:highlight w:val="none"/>
          <w:shd w:val="clear" w:color="auto" w:fill="FFFFFF"/>
          <w:lang w:bidi="ar"/>
        </w:rPr>
        <w:t>日至202</w:t>
      </w:r>
      <w:r>
        <w:rPr>
          <w:rFonts w:hint="eastAsia" w:ascii="仿宋_GB2312" w:hAnsi="仿宋_GB2312" w:eastAsia="仿宋_GB2312" w:cs="仿宋_GB2312"/>
          <w:kern w:val="0"/>
          <w:sz w:val="32"/>
          <w:szCs w:val="32"/>
          <w:highlight w:val="none"/>
          <w:shd w:val="clear" w:color="auto" w:fill="FFFFFF"/>
          <w:lang w:val="en-US" w:eastAsia="zh-CN" w:bidi="ar"/>
        </w:rPr>
        <w:t>5</w:t>
      </w:r>
      <w:r>
        <w:rPr>
          <w:rFonts w:hint="eastAsia" w:ascii="仿宋_GB2312" w:hAnsi="仿宋_GB2312" w:eastAsia="仿宋_GB2312" w:cs="仿宋_GB2312"/>
          <w:kern w:val="0"/>
          <w:sz w:val="32"/>
          <w:szCs w:val="32"/>
          <w:highlight w:val="none"/>
          <w:shd w:val="clear" w:color="auto" w:fill="FFFFFF"/>
          <w:lang w:bidi="ar"/>
        </w:rPr>
        <w:t>年</w:t>
      </w:r>
      <w:r>
        <w:rPr>
          <w:rFonts w:hint="eastAsia" w:ascii="仿宋_GB2312" w:hAnsi="仿宋_GB2312" w:eastAsia="仿宋_GB2312" w:cs="仿宋_GB2312"/>
          <w:kern w:val="0"/>
          <w:sz w:val="32"/>
          <w:szCs w:val="32"/>
          <w:highlight w:val="none"/>
          <w:shd w:val="clear" w:color="auto" w:fill="FFFFFF"/>
          <w:lang w:val="en-US" w:eastAsia="zh-CN" w:bidi="ar"/>
        </w:rPr>
        <w:t>6</w:t>
      </w:r>
      <w:r>
        <w:rPr>
          <w:rFonts w:hint="eastAsia" w:ascii="仿宋_GB2312" w:hAnsi="仿宋_GB2312" w:eastAsia="仿宋_GB2312" w:cs="仿宋_GB2312"/>
          <w:kern w:val="0"/>
          <w:sz w:val="32"/>
          <w:szCs w:val="32"/>
          <w:highlight w:val="none"/>
          <w:shd w:val="clear" w:color="auto" w:fill="FFFFFF"/>
          <w:lang w:bidi="ar"/>
        </w:rPr>
        <w:t>月</w:t>
      </w:r>
      <w:r>
        <w:rPr>
          <w:rFonts w:hint="eastAsia" w:ascii="仿宋_GB2312" w:hAnsi="仿宋_GB2312" w:eastAsia="仿宋_GB2312" w:cs="仿宋_GB2312"/>
          <w:kern w:val="0"/>
          <w:sz w:val="32"/>
          <w:szCs w:val="32"/>
          <w:highlight w:val="none"/>
          <w:shd w:val="clear" w:color="auto" w:fill="FFFFFF"/>
          <w:lang w:val="en-US" w:eastAsia="zh-CN" w:bidi="ar"/>
        </w:rPr>
        <w:t>30</w:t>
      </w:r>
      <w:r>
        <w:rPr>
          <w:rFonts w:hint="eastAsia" w:ascii="仿宋_GB2312" w:hAnsi="仿宋_GB2312" w:eastAsia="仿宋_GB2312" w:cs="仿宋_GB2312"/>
          <w:kern w:val="0"/>
          <w:sz w:val="32"/>
          <w:szCs w:val="32"/>
          <w:highlight w:val="none"/>
          <w:shd w:val="clear" w:color="auto" w:fill="FFFFFF"/>
          <w:lang w:bidi="ar"/>
        </w:rPr>
        <w:t>日）没有重大违法记录、</w:t>
      </w:r>
      <w:r>
        <w:rPr>
          <w:rFonts w:hint="eastAsia" w:ascii="仿宋_GB2312" w:hAnsi="仿宋_GB2312" w:eastAsia="仿宋_GB2312" w:cs="仿宋_GB2312"/>
          <w:kern w:val="0"/>
          <w:sz w:val="32"/>
          <w:szCs w:val="32"/>
          <w:highlight w:val="none"/>
          <w:shd w:val="clear" w:color="auto" w:fill="FFFFFF"/>
          <w:lang w:val="en-US" w:eastAsia="zh-CN" w:bidi="ar"/>
        </w:rPr>
        <w:t>不存在骗取中标、严重违约等情况、</w:t>
      </w:r>
      <w:r>
        <w:rPr>
          <w:rFonts w:hint="eastAsia" w:ascii="仿宋_GB2312" w:hAnsi="仿宋_GB2312" w:eastAsia="仿宋_GB2312" w:cs="仿宋_GB2312"/>
          <w:kern w:val="0"/>
          <w:sz w:val="32"/>
          <w:szCs w:val="32"/>
          <w:highlight w:val="none"/>
          <w:shd w:val="clear" w:color="auto" w:fill="FFFFFF"/>
          <w:lang w:bidi="ar"/>
        </w:rPr>
        <w:t>有依法缴纳税收和社会保障资金的良好记录、服务团队成员为投标人员工并未受过行业处罚或涉及行业相关的法律诉讼事项（提供承诺函）；</w:t>
      </w:r>
    </w:p>
    <w:p w14:paraId="5012712E">
      <w:pPr>
        <w:widowControl/>
        <w:numPr>
          <w:ilvl w:val="0"/>
          <w:numId w:val="1"/>
        </w:numPr>
        <w:shd w:val="clear" w:color="auto" w:fill="FFFFFF"/>
        <w:spacing w:line="560" w:lineRule="exact"/>
        <w:ind w:firstLine="640" w:firstLineChars="200"/>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val="en-US" w:eastAsia="zh-CN" w:bidi="ar"/>
        </w:rPr>
        <w:t>投标人须确保项目服务团队成员（包括项目负责人）与投标文件保持一致，且项目负责人驻场时间须超过15个工作日（提供承诺函）；</w:t>
      </w:r>
    </w:p>
    <w:p w14:paraId="39F4DD51">
      <w:pPr>
        <w:widowControl/>
        <w:numPr>
          <w:ilvl w:val="0"/>
          <w:numId w:val="1"/>
        </w:numPr>
        <w:shd w:val="clear" w:color="auto" w:fill="FFFFFF"/>
        <w:spacing w:line="560" w:lineRule="exact"/>
        <w:ind w:firstLine="640" w:firstLineChars="200"/>
        <w:rPr>
          <w:highlight w:val="none"/>
        </w:rPr>
      </w:pPr>
      <w:r>
        <w:rPr>
          <w:rFonts w:hint="eastAsia" w:ascii="仿宋_GB2312" w:hAnsi="仿宋_GB2312" w:eastAsia="仿宋_GB2312" w:cs="仿宋_GB2312"/>
          <w:kern w:val="0"/>
          <w:sz w:val="32"/>
          <w:szCs w:val="32"/>
          <w:highlight w:val="none"/>
          <w:shd w:val="clear" w:color="auto" w:fill="FFFFFF"/>
          <w:lang w:bidi="ar"/>
        </w:rPr>
        <w:t>本次招标</w:t>
      </w:r>
      <w:r>
        <w:rPr>
          <w:rFonts w:hint="eastAsia" w:ascii="仿宋_GB2312" w:hAnsi="仿宋_GB2312" w:eastAsia="仿宋_GB2312" w:cs="仿宋_GB2312"/>
          <w:kern w:val="0"/>
          <w:sz w:val="32"/>
          <w:szCs w:val="32"/>
          <w:highlight w:val="none"/>
          <w:shd w:val="clear" w:color="auto" w:fill="FFFFFF"/>
          <w:lang w:val="en-US" w:eastAsia="zh-CN" w:bidi="ar"/>
        </w:rPr>
        <w:t>不</w:t>
      </w:r>
      <w:r>
        <w:rPr>
          <w:rFonts w:hint="eastAsia" w:ascii="仿宋_GB2312" w:hAnsi="仿宋_GB2312" w:eastAsia="仿宋_GB2312" w:cs="仿宋_GB2312"/>
          <w:kern w:val="0"/>
          <w:sz w:val="32"/>
          <w:szCs w:val="32"/>
          <w:highlight w:val="none"/>
          <w:shd w:val="clear" w:color="auto" w:fill="FFFFFF"/>
          <w:lang w:bidi="ar"/>
        </w:rPr>
        <w:t>接受联合体投标。</w:t>
      </w:r>
    </w:p>
    <w:p w14:paraId="7A3234A2">
      <w:pPr>
        <w:widowControl/>
        <w:numPr>
          <w:ilvl w:val="0"/>
          <w:numId w:val="1"/>
        </w:numPr>
        <w:shd w:val="clear" w:color="auto" w:fill="FFFFFF"/>
        <w:spacing w:line="560" w:lineRule="exact"/>
        <w:ind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招标公告、招标文件和中标候选人</w:t>
      </w:r>
      <w:r>
        <w:rPr>
          <w:rFonts w:hint="eastAsia" w:ascii="仿宋_GB2312" w:hAnsi="仿宋_GB2312" w:eastAsia="仿宋_GB2312" w:cs="仿宋_GB2312"/>
          <w:kern w:val="0"/>
          <w:sz w:val="32"/>
          <w:szCs w:val="32"/>
          <w:highlight w:val="none"/>
          <w:shd w:val="clear" w:color="auto" w:fill="FFFFFF"/>
          <w:lang w:val="en-US" w:eastAsia="zh-CN" w:bidi="ar"/>
        </w:rPr>
        <w:t>于</w:t>
      </w:r>
      <w:r>
        <w:rPr>
          <w:rFonts w:hint="eastAsia" w:ascii="仿宋_GB2312" w:hAnsi="仿宋_GB2312" w:eastAsia="仿宋_GB2312" w:cs="仿宋_GB2312"/>
          <w:kern w:val="0"/>
          <w:sz w:val="32"/>
          <w:szCs w:val="32"/>
          <w:highlight w:val="none"/>
          <w:shd w:val="clear" w:color="auto" w:fill="FFFFFF"/>
          <w:lang w:bidi="ar"/>
        </w:rPr>
        <w:t>广州南沙资产经营集团有限公司网站(http</w:t>
      </w:r>
      <w:r>
        <w:rPr>
          <w:rFonts w:hint="eastAsia" w:ascii="仿宋_GB2312" w:hAnsi="仿宋_GB2312" w:eastAsia="仿宋_GB2312" w:cs="仿宋_GB2312"/>
          <w:kern w:val="0"/>
          <w:sz w:val="32"/>
          <w:szCs w:val="32"/>
          <w:highlight w:val="none"/>
          <w:shd w:val="clear" w:color="auto" w:fill="FFFFFF"/>
          <w:lang w:val="en-US" w:eastAsia="zh-CN" w:bidi="ar"/>
        </w:rPr>
        <w:t>:</w:t>
      </w:r>
      <w:r>
        <w:rPr>
          <w:rFonts w:hint="eastAsia" w:ascii="仿宋_GB2312" w:hAnsi="仿宋_GB2312" w:eastAsia="仿宋_GB2312" w:cs="仿宋_GB2312"/>
          <w:kern w:val="0"/>
          <w:sz w:val="32"/>
          <w:szCs w:val="32"/>
          <w:highlight w:val="none"/>
          <w:shd w:val="clear" w:color="auto" w:fill="FFFFFF"/>
          <w:lang w:bidi="ar"/>
        </w:rPr>
        <w:t>//www.gnao.com.cn)</w:t>
      </w:r>
      <w:r>
        <w:rPr>
          <w:rFonts w:hint="eastAsia" w:ascii="仿宋_GB2312" w:hAnsi="仿宋_GB2312" w:eastAsia="仿宋_GB2312" w:cs="仿宋_GB2312"/>
          <w:kern w:val="0"/>
          <w:sz w:val="32"/>
          <w:szCs w:val="32"/>
          <w:highlight w:val="none"/>
          <w:shd w:val="clear" w:color="auto" w:fill="FFFFFF"/>
          <w:lang w:val="en-US" w:eastAsia="zh-CN" w:bidi="ar"/>
        </w:rPr>
        <w:t>及广州国企阳光采购信息发布平台（https://ygcg.gzggzy.cn）</w:t>
      </w:r>
      <w:r>
        <w:rPr>
          <w:rFonts w:hint="eastAsia" w:ascii="仿宋_GB2312" w:hAnsi="仿宋_GB2312" w:eastAsia="仿宋_GB2312" w:cs="仿宋_GB2312"/>
          <w:kern w:val="0"/>
          <w:sz w:val="32"/>
          <w:szCs w:val="32"/>
          <w:highlight w:val="none"/>
          <w:shd w:val="clear" w:color="auto" w:fill="FFFFFF"/>
          <w:lang w:bidi="ar"/>
        </w:rPr>
        <w:t>上公示。</w:t>
      </w:r>
    </w:p>
    <w:p w14:paraId="649F88E2">
      <w:pPr>
        <w:widowControl/>
        <w:numPr>
          <w:ilvl w:val="0"/>
          <w:numId w:val="1"/>
        </w:numPr>
        <w:shd w:val="clear" w:color="auto" w:fill="FFFFFF"/>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投标文件邮寄截止日期：202</w:t>
      </w:r>
      <w:r>
        <w:rPr>
          <w:rFonts w:hint="eastAsia" w:ascii="仿宋_GB2312" w:hAnsi="仿宋_GB2312" w:eastAsia="仿宋_GB2312" w:cs="仿宋_GB2312"/>
          <w:kern w:val="0"/>
          <w:sz w:val="32"/>
          <w:szCs w:val="32"/>
          <w:highlight w:val="none"/>
          <w:shd w:val="clear" w:color="auto" w:fill="FFFFFF"/>
          <w:lang w:val="en-US" w:eastAsia="zh-CN" w:bidi="ar"/>
        </w:rPr>
        <w:t>5</w:t>
      </w:r>
      <w:r>
        <w:rPr>
          <w:rFonts w:hint="eastAsia" w:ascii="仿宋_GB2312" w:hAnsi="仿宋_GB2312" w:eastAsia="仿宋_GB2312" w:cs="仿宋_GB2312"/>
          <w:kern w:val="0"/>
          <w:sz w:val="32"/>
          <w:szCs w:val="32"/>
          <w:highlight w:val="none"/>
          <w:shd w:val="clear" w:color="auto" w:fill="FFFFFF"/>
          <w:lang w:bidi="ar"/>
        </w:rPr>
        <w:t>年</w:t>
      </w:r>
      <w:r>
        <w:rPr>
          <w:rFonts w:hint="eastAsia" w:ascii="仿宋_GB2312" w:hAnsi="仿宋_GB2312" w:eastAsia="仿宋_GB2312" w:cs="仿宋_GB2312"/>
          <w:kern w:val="0"/>
          <w:sz w:val="32"/>
          <w:szCs w:val="32"/>
          <w:highlight w:val="none"/>
          <w:shd w:val="clear" w:color="auto" w:fill="FFFFFF"/>
          <w:lang w:val="en-US" w:eastAsia="zh-CN" w:bidi="ar"/>
        </w:rPr>
        <w:t>7</w:t>
      </w:r>
      <w:r>
        <w:rPr>
          <w:rFonts w:hint="eastAsia" w:ascii="仿宋_GB2312" w:hAnsi="仿宋_GB2312" w:eastAsia="仿宋_GB2312" w:cs="仿宋_GB2312"/>
          <w:kern w:val="0"/>
          <w:sz w:val="32"/>
          <w:szCs w:val="32"/>
          <w:highlight w:val="none"/>
          <w:shd w:val="clear" w:color="auto" w:fill="FFFFFF"/>
          <w:lang w:bidi="ar"/>
        </w:rPr>
        <w:t>月</w:t>
      </w:r>
      <w:r>
        <w:rPr>
          <w:rFonts w:hint="eastAsia" w:ascii="仿宋_GB2312" w:hAnsi="仿宋_GB2312" w:eastAsia="仿宋_GB2312" w:cs="仿宋_GB2312"/>
          <w:kern w:val="0"/>
          <w:sz w:val="32"/>
          <w:szCs w:val="32"/>
          <w:highlight w:val="none"/>
          <w:shd w:val="clear" w:color="auto" w:fill="FFFFFF"/>
          <w:lang w:val="en-US" w:eastAsia="zh-CN" w:bidi="ar"/>
        </w:rPr>
        <w:t>11</w:t>
      </w:r>
      <w:r>
        <w:rPr>
          <w:rFonts w:hint="eastAsia" w:ascii="仿宋_GB2312" w:hAnsi="仿宋_GB2312" w:eastAsia="仿宋_GB2312" w:cs="仿宋_GB2312"/>
          <w:kern w:val="0"/>
          <w:sz w:val="32"/>
          <w:szCs w:val="32"/>
          <w:highlight w:val="none"/>
          <w:shd w:val="clear" w:color="auto" w:fill="FFFFFF"/>
          <w:lang w:bidi="ar"/>
        </w:rPr>
        <w:t>日</w:t>
      </w:r>
      <w:r>
        <w:rPr>
          <w:rFonts w:hint="eastAsia" w:ascii="仿宋_GB2312" w:hAnsi="仿宋_GB2312" w:eastAsia="仿宋_GB2312" w:cs="仿宋_GB2312"/>
          <w:kern w:val="0"/>
          <w:sz w:val="32"/>
          <w:szCs w:val="32"/>
          <w:highlight w:val="none"/>
          <w:shd w:val="clear" w:color="auto" w:fill="FFFFFF"/>
          <w:lang w:val="en-US" w:eastAsia="zh-CN" w:bidi="ar"/>
        </w:rPr>
        <w:t>14</w:t>
      </w:r>
      <w:r>
        <w:rPr>
          <w:rFonts w:hint="eastAsia" w:ascii="仿宋_GB2312" w:hAnsi="仿宋_GB2312" w:eastAsia="仿宋_GB2312" w:cs="仿宋_GB2312"/>
          <w:kern w:val="0"/>
          <w:sz w:val="32"/>
          <w:szCs w:val="32"/>
          <w:highlight w:val="none"/>
          <w:shd w:val="clear" w:color="auto" w:fill="FFFFFF"/>
          <w:lang w:bidi="ar"/>
        </w:rPr>
        <w:t>时</w:t>
      </w:r>
      <w:r>
        <w:rPr>
          <w:rFonts w:hint="eastAsia" w:ascii="仿宋_GB2312" w:hAnsi="仿宋_GB2312" w:eastAsia="仿宋_GB2312" w:cs="仿宋_GB2312"/>
          <w:kern w:val="0"/>
          <w:sz w:val="32"/>
          <w:szCs w:val="32"/>
          <w:highlight w:val="none"/>
          <w:shd w:val="clear" w:color="auto" w:fill="FFFFFF"/>
          <w:lang w:val="en-US" w:eastAsia="zh-CN" w:bidi="ar"/>
        </w:rPr>
        <w:t>30</w:t>
      </w:r>
      <w:r>
        <w:rPr>
          <w:rFonts w:hint="eastAsia" w:ascii="仿宋_GB2312" w:hAnsi="仿宋_GB2312" w:eastAsia="仿宋_GB2312" w:cs="仿宋_GB2312"/>
          <w:kern w:val="0"/>
          <w:sz w:val="32"/>
          <w:szCs w:val="32"/>
          <w:highlight w:val="none"/>
          <w:shd w:val="clear" w:color="auto" w:fill="FFFFFF"/>
          <w:lang w:bidi="ar"/>
        </w:rPr>
        <w:t>分前</w:t>
      </w:r>
    </w:p>
    <w:p w14:paraId="3D1CAD76">
      <w:pPr>
        <w:widowControl/>
        <w:shd w:val="clear" w:color="auto" w:fill="FFFFFF"/>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开标与评审日期：202</w:t>
      </w:r>
      <w:r>
        <w:rPr>
          <w:rFonts w:hint="eastAsia" w:ascii="仿宋_GB2312" w:hAnsi="仿宋_GB2312" w:eastAsia="仿宋_GB2312" w:cs="仿宋_GB2312"/>
          <w:kern w:val="0"/>
          <w:sz w:val="32"/>
          <w:szCs w:val="32"/>
          <w:highlight w:val="none"/>
          <w:shd w:val="clear" w:color="auto" w:fill="FFFFFF"/>
          <w:lang w:val="en-US" w:eastAsia="zh-CN" w:bidi="ar"/>
        </w:rPr>
        <w:t>5</w:t>
      </w:r>
      <w:r>
        <w:rPr>
          <w:rFonts w:hint="eastAsia" w:ascii="仿宋_GB2312" w:hAnsi="仿宋_GB2312" w:eastAsia="仿宋_GB2312" w:cs="仿宋_GB2312"/>
          <w:kern w:val="0"/>
          <w:sz w:val="32"/>
          <w:szCs w:val="32"/>
          <w:highlight w:val="none"/>
          <w:shd w:val="clear" w:color="auto" w:fill="FFFFFF"/>
          <w:lang w:bidi="ar"/>
        </w:rPr>
        <w:t>年</w:t>
      </w:r>
      <w:r>
        <w:rPr>
          <w:rFonts w:hint="eastAsia" w:ascii="仿宋_GB2312" w:hAnsi="仿宋_GB2312" w:eastAsia="仿宋_GB2312" w:cs="仿宋_GB2312"/>
          <w:kern w:val="0"/>
          <w:sz w:val="32"/>
          <w:szCs w:val="32"/>
          <w:highlight w:val="none"/>
          <w:shd w:val="clear" w:color="auto" w:fill="FFFFFF"/>
          <w:lang w:val="en-US" w:eastAsia="zh-CN" w:bidi="ar"/>
        </w:rPr>
        <w:t>7</w:t>
      </w:r>
      <w:r>
        <w:rPr>
          <w:rFonts w:hint="eastAsia" w:ascii="仿宋_GB2312" w:hAnsi="仿宋_GB2312" w:eastAsia="仿宋_GB2312" w:cs="仿宋_GB2312"/>
          <w:kern w:val="0"/>
          <w:sz w:val="32"/>
          <w:szCs w:val="32"/>
          <w:highlight w:val="none"/>
          <w:shd w:val="clear" w:color="auto" w:fill="FFFFFF"/>
          <w:lang w:bidi="ar"/>
        </w:rPr>
        <w:t>月</w:t>
      </w:r>
      <w:r>
        <w:rPr>
          <w:rFonts w:hint="eastAsia" w:ascii="仿宋_GB2312" w:hAnsi="仿宋_GB2312" w:eastAsia="仿宋_GB2312" w:cs="仿宋_GB2312"/>
          <w:kern w:val="0"/>
          <w:sz w:val="32"/>
          <w:szCs w:val="32"/>
          <w:highlight w:val="none"/>
          <w:shd w:val="clear" w:color="auto" w:fill="FFFFFF"/>
          <w:lang w:val="en-US" w:eastAsia="zh-CN" w:bidi="ar"/>
        </w:rPr>
        <w:t>11</w:t>
      </w:r>
      <w:r>
        <w:rPr>
          <w:rFonts w:hint="eastAsia" w:ascii="仿宋_GB2312" w:hAnsi="仿宋_GB2312" w:eastAsia="仿宋_GB2312" w:cs="仿宋_GB2312"/>
          <w:kern w:val="0"/>
          <w:sz w:val="32"/>
          <w:szCs w:val="32"/>
          <w:highlight w:val="none"/>
          <w:shd w:val="clear" w:color="auto" w:fill="FFFFFF"/>
          <w:lang w:bidi="ar"/>
        </w:rPr>
        <w:t>日</w:t>
      </w:r>
      <w:r>
        <w:rPr>
          <w:rFonts w:hint="eastAsia" w:ascii="仿宋_GB2312" w:hAnsi="仿宋_GB2312" w:eastAsia="仿宋_GB2312" w:cs="仿宋_GB2312"/>
          <w:kern w:val="0"/>
          <w:sz w:val="32"/>
          <w:szCs w:val="32"/>
          <w:highlight w:val="none"/>
          <w:shd w:val="clear" w:color="auto" w:fill="FFFFFF"/>
          <w:lang w:val="en-US" w:eastAsia="zh-CN" w:bidi="ar"/>
        </w:rPr>
        <w:t>14</w:t>
      </w:r>
      <w:r>
        <w:rPr>
          <w:rFonts w:hint="eastAsia" w:ascii="仿宋_GB2312" w:hAnsi="仿宋_GB2312" w:eastAsia="仿宋_GB2312" w:cs="仿宋_GB2312"/>
          <w:kern w:val="0"/>
          <w:sz w:val="32"/>
          <w:szCs w:val="32"/>
          <w:highlight w:val="none"/>
          <w:shd w:val="clear" w:color="auto" w:fill="FFFFFF"/>
          <w:lang w:bidi="ar"/>
        </w:rPr>
        <w:t>时</w:t>
      </w:r>
      <w:r>
        <w:rPr>
          <w:rFonts w:hint="eastAsia" w:ascii="仿宋_GB2312" w:hAnsi="仿宋_GB2312" w:eastAsia="仿宋_GB2312" w:cs="仿宋_GB2312"/>
          <w:kern w:val="0"/>
          <w:sz w:val="32"/>
          <w:szCs w:val="32"/>
          <w:highlight w:val="none"/>
          <w:shd w:val="clear" w:color="auto" w:fill="FFFFFF"/>
          <w:lang w:val="en-US" w:eastAsia="zh-CN" w:bidi="ar"/>
        </w:rPr>
        <w:t>30</w:t>
      </w:r>
      <w:r>
        <w:rPr>
          <w:rFonts w:hint="eastAsia" w:ascii="仿宋_GB2312" w:hAnsi="仿宋_GB2312" w:eastAsia="仿宋_GB2312" w:cs="仿宋_GB2312"/>
          <w:kern w:val="0"/>
          <w:sz w:val="32"/>
          <w:szCs w:val="32"/>
          <w:highlight w:val="none"/>
          <w:shd w:val="clear" w:color="auto" w:fill="FFFFFF"/>
          <w:lang w:bidi="ar"/>
        </w:rPr>
        <w:t>分</w:t>
      </w:r>
    </w:p>
    <w:p w14:paraId="51FFA487">
      <w:pPr>
        <w:widowControl/>
        <w:shd w:val="clear" w:color="auto" w:fill="FFFFFF"/>
        <w:spacing w:line="560" w:lineRule="exact"/>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0"/>
          <w:sz w:val="32"/>
          <w:szCs w:val="32"/>
          <w:highlight w:val="none"/>
          <w:shd w:val="clear" w:color="auto" w:fill="FFFFFF"/>
          <w:lang w:bidi="ar"/>
        </w:rPr>
        <w:t>开标地点：广东省广州市南沙区海滨路171号南沙金融大厦</w:t>
      </w:r>
      <w:r>
        <w:rPr>
          <w:rFonts w:hint="eastAsia" w:ascii="仿宋_GB2312" w:hAnsi="仿宋_GB2312" w:eastAsia="仿宋_GB2312" w:cs="仿宋_GB2312"/>
          <w:kern w:val="0"/>
          <w:sz w:val="32"/>
          <w:szCs w:val="32"/>
          <w:highlight w:val="none"/>
          <w:shd w:val="clear" w:color="auto" w:fill="FFFFFF"/>
          <w:lang w:val="en-US" w:eastAsia="zh-CN" w:bidi="ar"/>
        </w:rPr>
        <w:t>1103室</w:t>
      </w:r>
    </w:p>
    <w:p w14:paraId="345FA454">
      <w:pPr>
        <w:widowControl/>
        <w:shd w:val="clear" w:color="auto" w:fill="FFFFFF"/>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投标份数：正本1份，副本2份，电子版本1份。</w:t>
      </w:r>
    </w:p>
    <w:p w14:paraId="28EA553D">
      <w:pPr>
        <w:widowControl/>
        <w:shd w:val="clear" w:color="auto" w:fill="FFFFFF"/>
        <w:spacing w:line="560" w:lineRule="exact"/>
        <w:ind w:firstLine="640" w:firstLineChars="200"/>
        <w:jc w:val="left"/>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投标文件邮寄地址：广东省广州市南沙区海滨路171号南沙金融大厦11楼风控合规部</w:t>
      </w:r>
    </w:p>
    <w:p w14:paraId="070AECCB">
      <w:pPr>
        <w:widowControl/>
        <w:shd w:val="clear" w:color="auto" w:fill="FFFFFF"/>
        <w:spacing w:line="560" w:lineRule="exact"/>
        <w:ind w:firstLine="640" w:firstLineChars="200"/>
        <w:jc w:val="left"/>
        <w:rPr>
          <w:rFonts w:hint="default" w:ascii="仿宋_GB2312" w:hAnsi="仿宋_GB2312" w:eastAsia="仿宋_GB2312" w:cs="仿宋_GB2312"/>
          <w:kern w:val="0"/>
          <w:sz w:val="32"/>
          <w:szCs w:val="32"/>
          <w:highlight w:val="none"/>
          <w:shd w:val="clear" w:color="auto" w:fill="FFFFFF"/>
          <w:lang w:val="en-US" w:eastAsia="zh-CN" w:bidi="ar"/>
        </w:rPr>
      </w:pPr>
      <w:r>
        <w:rPr>
          <w:rFonts w:hint="eastAsia" w:ascii="仿宋_GB2312" w:hAnsi="仿宋_GB2312" w:eastAsia="仿宋_GB2312" w:cs="仿宋_GB2312"/>
          <w:kern w:val="0"/>
          <w:sz w:val="32"/>
          <w:szCs w:val="32"/>
          <w:highlight w:val="none"/>
          <w:shd w:val="clear" w:color="auto" w:fill="FFFFFF"/>
          <w:lang w:bidi="ar"/>
        </w:rPr>
        <w:t>联系人：陈小姐</w:t>
      </w:r>
      <w:r>
        <w:rPr>
          <w:rFonts w:hint="eastAsia" w:ascii="仿宋_GB2312" w:hAnsi="仿宋_GB2312" w:eastAsia="仿宋_GB2312" w:cs="仿宋_GB2312"/>
          <w:kern w:val="0"/>
          <w:sz w:val="32"/>
          <w:szCs w:val="32"/>
          <w:highlight w:val="none"/>
          <w:shd w:val="clear" w:color="auto" w:fill="FFFFFF"/>
          <w:lang w:eastAsia="zh-CN" w:bidi="ar"/>
        </w:rPr>
        <w:t>、</w:t>
      </w:r>
      <w:r>
        <w:rPr>
          <w:rFonts w:hint="eastAsia" w:ascii="仿宋_GB2312" w:hAnsi="仿宋_GB2312" w:eastAsia="仿宋_GB2312" w:cs="仿宋_GB2312"/>
          <w:kern w:val="0"/>
          <w:sz w:val="32"/>
          <w:szCs w:val="32"/>
          <w:highlight w:val="none"/>
          <w:shd w:val="clear" w:color="auto" w:fill="FFFFFF"/>
          <w:lang w:val="en-US" w:eastAsia="zh-CN" w:bidi="ar"/>
        </w:rPr>
        <w:t>吴先生</w:t>
      </w:r>
    </w:p>
    <w:p w14:paraId="53749449">
      <w:pPr>
        <w:widowControl/>
        <w:shd w:val="clear" w:color="auto" w:fill="FFFFFF"/>
        <w:spacing w:line="560" w:lineRule="exact"/>
        <w:ind w:firstLine="640" w:firstLineChars="200"/>
        <w:jc w:val="left"/>
        <w:rPr>
          <w:rFonts w:hint="default" w:ascii="仿宋_GB2312" w:hAnsi="仿宋_GB2312" w:eastAsia="仿宋_GB2312" w:cs="仿宋_GB2312"/>
          <w:kern w:val="0"/>
          <w:sz w:val="32"/>
          <w:szCs w:val="32"/>
          <w:highlight w:val="none"/>
          <w:shd w:val="clear" w:color="auto" w:fill="FFFFFF"/>
          <w:lang w:val="en-US" w:eastAsia="zh-CN" w:bidi="ar"/>
        </w:rPr>
      </w:pPr>
      <w:r>
        <w:rPr>
          <w:rFonts w:hint="eastAsia" w:ascii="仿宋_GB2312" w:hAnsi="仿宋_GB2312" w:eastAsia="仿宋_GB2312" w:cs="仿宋_GB2312"/>
          <w:kern w:val="0"/>
          <w:sz w:val="32"/>
          <w:szCs w:val="32"/>
          <w:highlight w:val="none"/>
          <w:shd w:val="clear" w:color="auto" w:fill="FFFFFF"/>
          <w:lang w:bidi="ar"/>
        </w:rPr>
        <w:t>电话：020-66810073</w:t>
      </w:r>
      <w:r>
        <w:rPr>
          <w:rFonts w:hint="eastAsia" w:ascii="仿宋_GB2312" w:hAnsi="仿宋_GB2312" w:eastAsia="仿宋_GB2312" w:cs="仿宋_GB2312"/>
          <w:kern w:val="0"/>
          <w:sz w:val="32"/>
          <w:szCs w:val="32"/>
          <w:highlight w:val="none"/>
          <w:shd w:val="clear" w:color="auto" w:fill="FFFFFF"/>
          <w:lang w:eastAsia="zh-CN" w:bidi="ar"/>
        </w:rPr>
        <w:t>、</w:t>
      </w:r>
      <w:r>
        <w:rPr>
          <w:rFonts w:hint="eastAsia" w:ascii="仿宋_GB2312" w:hAnsi="仿宋_GB2312" w:eastAsia="仿宋_GB2312" w:cs="仿宋_GB2312"/>
          <w:kern w:val="0"/>
          <w:sz w:val="32"/>
          <w:szCs w:val="32"/>
          <w:highlight w:val="none"/>
          <w:shd w:val="clear" w:color="auto" w:fill="FFFFFF"/>
          <w:lang w:val="en-US" w:eastAsia="zh-CN" w:bidi="ar"/>
        </w:rPr>
        <w:t>020-66813691</w:t>
      </w:r>
      <w:bookmarkStart w:id="3" w:name="_GoBack"/>
      <w:bookmarkEnd w:id="3"/>
    </w:p>
    <w:p w14:paraId="4FA252AE">
      <w:pPr>
        <w:pStyle w:val="3"/>
        <w:spacing w:line="560" w:lineRule="exact"/>
        <w:ind w:firstLine="643" w:firstLineChars="200"/>
        <w:rPr>
          <w:rFonts w:ascii="仿宋_GB2312" w:hAnsi="仿宋_GB2312" w:eastAsia="仿宋_GB2312" w:cs="仿宋_GB2312"/>
          <w:kern w:val="0"/>
          <w:sz w:val="32"/>
          <w:szCs w:val="32"/>
          <w:highlight w:val="none"/>
          <w:shd w:val="clear" w:color="auto" w:fill="FFFFFF"/>
          <w:lang w:bidi="ar"/>
        </w:rPr>
      </w:pPr>
    </w:p>
    <w:p w14:paraId="2C77EDC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highlight w:val="none"/>
        </w:rPr>
      </w:pPr>
    </w:p>
    <w:p w14:paraId="5238470C">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right"/>
        <w:textAlignment w:val="auto"/>
        <w:rPr>
          <w:rFonts w:hint="eastAsia" w:ascii="仿宋_GB2312" w:hAnsi="仿宋_GB2312" w:eastAsia="仿宋_GB2312" w:cs="仿宋_GB2312"/>
          <w:kern w:val="0"/>
          <w:sz w:val="32"/>
          <w:szCs w:val="32"/>
          <w:highlight w:val="none"/>
          <w:shd w:val="clear" w:color="auto" w:fill="FFFFFF"/>
          <w:lang w:eastAsia="zh-CN" w:bidi="ar"/>
        </w:rPr>
      </w:pPr>
      <w:r>
        <w:rPr>
          <w:rFonts w:hint="eastAsia" w:ascii="仿宋_GB2312" w:hAnsi="仿宋_GB2312" w:eastAsia="仿宋_GB2312" w:cs="仿宋_GB2312"/>
          <w:kern w:val="0"/>
          <w:sz w:val="32"/>
          <w:szCs w:val="32"/>
          <w:highlight w:val="none"/>
          <w:shd w:val="clear" w:color="auto" w:fill="FFFFFF"/>
          <w:lang w:bidi="ar"/>
        </w:rPr>
        <w:t>广州南沙资产经营集团有限公司</w:t>
      </w:r>
    </w:p>
    <w:p w14:paraId="534759BF">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right"/>
        <w:textAlignment w:val="auto"/>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202</w:t>
      </w:r>
      <w:r>
        <w:rPr>
          <w:rFonts w:hint="eastAsia" w:ascii="仿宋_GB2312" w:hAnsi="仿宋_GB2312" w:eastAsia="仿宋_GB2312" w:cs="仿宋_GB2312"/>
          <w:kern w:val="0"/>
          <w:sz w:val="32"/>
          <w:szCs w:val="32"/>
          <w:highlight w:val="none"/>
          <w:shd w:val="clear" w:color="auto" w:fill="FFFFFF"/>
          <w:lang w:val="en-US" w:eastAsia="zh-CN" w:bidi="ar"/>
        </w:rPr>
        <w:t>5</w:t>
      </w:r>
      <w:r>
        <w:rPr>
          <w:rFonts w:hint="eastAsia" w:ascii="仿宋_GB2312" w:hAnsi="仿宋_GB2312" w:eastAsia="仿宋_GB2312" w:cs="仿宋_GB2312"/>
          <w:kern w:val="0"/>
          <w:sz w:val="32"/>
          <w:szCs w:val="32"/>
          <w:highlight w:val="none"/>
          <w:shd w:val="clear" w:color="auto" w:fill="FFFFFF"/>
          <w:lang w:bidi="ar"/>
        </w:rPr>
        <w:t>年</w:t>
      </w:r>
      <w:r>
        <w:rPr>
          <w:rFonts w:hint="eastAsia" w:ascii="仿宋_GB2312" w:hAnsi="仿宋_GB2312" w:eastAsia="仿宋_GB2312" w:cs="仿宋_GB2312"/>
          <w:kern w:val="0"/>
          <w:sz w:val="32"/>
          <w:szCs w:val="32"/>
          <w:highlight w:val="none"/>
          <w:shd w:val="clear" w:color="auto" w:fill="FFFFFF"/>
          <w:lang w:val="en-US" w:eastAsia="zh-CN" w:bidi="ar"/>
        </w:rPr>
        <w:t>7</w:t>
      </w:r>
      <w:r>
        <w:rPr>
          <w:rFonts w:hint="eastAsia" w:ascii="仿宋_GB2312" w:hAnsi="仿宋_GB2312" w:eastAsia="仿宋_GB2312" w:cs="仿宋_GB2312"/>
          <w:kern w:val="0"/>
          <w:sz w:val="32"/>
          <w:szCs w:val="32"/>
          <w:highlight w:val="none"/>
          <w:shd w:val="clear" w:color="auto" w:fill="FFFFFF"/>
          <w:lang w:bidi="ar"/>
        </w:rPr>
        <w:t>月</w:t>
      </w:r>
      <w:r>
        <w:rPr>
          <w:rFonts w:hint="eastAsia" w:ascii="仿宋_GB2312" w:hAnsi="仿宋_GB2312" w:eastAsia="仿宋_GB2312" w:cs="仿宋_GB2312"/>
          <w:kern w:val="0"/>
          <w:sz w:val="32"/>
          <w:szCs w:val="32"/>
          <w:highlight w:val="none"/>
          <w:shd w:val="clear" w:color="auto" w:fill="FFFFFF"/>
          <w:lang w:val="en-US" w:eastAsia="zh-CN" w:bidi="ar"/>
        </w:rPr>
        <w:t>8</w:t>
      </w:r>
      <w:r>
        <w:rPr>
          <w:rFonts w:hint="eastAsia" w:ascii="仿宋_GB2312" w:hAnsi="仿宋_GB2312" w:eastAsia="仿宋_GB2312" w:cs="仿宋_GB2312"/>
          <w:kern w:val="0"/>
          <w:sz w:val="32"/>
          <w:szCs w:val="32"/>
          <w:highlight w:val="none"/>
          <w:shd w:val="clear" w:color="auto" w:fill="FFFFFF"/>
          <w:lang w:bidi="ar"/>
        </w:rPr>
        <w:t>日</w:t>
      </w:r>
    </w:p>
    <w:p w14:paraId="772B7F1D">
      <w:pPr>
        <w:widowControl/>
        <w:spacing w:line="240" w:lineRule="auto"/>
        <w:jc w:val="center"/>
        <w:rPr>
          <w:rFonts w:hint="eastAsia" w:eastAsia="方正小标宋简体"/>
          <w:sz w:val="36"/>
          <w:szCs w:val="36"/>
          <w:highlight w:val="none"/>
        </w:rPr>
      </w:pPr>
      <w:r>
        <w:rPr>
          <w:rFonts w:hint="eastAsia" w:ascii="仿宋_GB2312" w:hAnsi="仿宋_GB2312" w:eastAsia="仿宋_GB2312" w:cs="仿宋_GB2312"/>
          <w:kern w:val="0"/>
          <w:sz w:val="32"/>
          <w:szCs w:val="32"/>
          <w:highlight w:val="none"/>
          <w:shd w:val="clear" w:color="auto" w:fill="FFFFFF"/>
          <w:lang w:bidi="ar"/>
        </w:rPr>
        <w:br w:type="page"/>
      </w:r>
      <w:r>
        <w:rPr>
          <w:rFonts w:hint="eastAsia" w:ascii="Times New Roman" w:hAnsi="Times New Roman" w:eastAsia="方正小标宋简体" w:cs="Times New Roman"/>
          <w:kern w:val="2"/>
          <w:sz w:val="36"/>
          <w:szCs w:val="36"/>
          <w:highlight w:val="none"/>
          <w:shd w:val="clear"/>
          <w:lang w:bidi="ar"/>
        </w:rPr>
        <w:t>南沙资产经营集团战略规划及综合管理</w:t>
      </w:r>
    </w:p>
    <w:p w14:paraId="7E927A55">
      <w:pPr>
        <w:widowControl/>
        <w:jc w:val="center"/>
        <w:rPr>
          <w:rFonts w:hint="default" w:eastAsia="方正小标宋简体"/>
          <w:sz w:val="36"/>
          <w:szCs w:val="36"/>
          <w:highlight w:val="none"/>
          <w:lang w:val="en-US" w:eastAsia="zh-CN"/>
        </w:rPr>
      </w:pPr>
      <w:r>
        <w:rPr>
          <w:rFonts w:hint="eastAsia" w:eastAsia="方正小标宋简体"/>
          <w:sz w:val="36"/>
          <w:szCs w:val="36"/>
          <w:highlight w:val="none"/>
          <w:lang w:val="en-US" w:eastAsia="zh-CN"/>
        </w:rPr>
        <w:t>咨询</w:t>
      </w:r>
      <w:r>
        <w:rPr>
          <w:rFonts w:hint="eastAsia" w:eastAsia="方正小标宋简体"/>
          <w:sz w:val="36"/>
          <w:szCs w:val="36"/>
          <w:highlight w:val="none"/>
        </w:rPr>
        <w:t>服务项目</w:t>
      </w:r>
      <w:r>
        <w:rPr>
          <w:rFonts w:eastAsia="方正小标宋简体"/>
          <w:sz w:val="36"/>
          <w:szCs w:val="36"/>
          <w:highlight w:val="none"/>
        </w:rPr>
        <w:t>招标</w:t>
      </w:r>
      <w:r>
        <w:rPr>
          <w:rFonts w:hint="eastAsia" w:eastAsia="方正小标宋简体"/>
          <w:sz w:val="36"/>
          <w:szCs w:val="36"/>
          <w:highlight w:val="none"/>
          <w:lang w:val="en-US" w:eastAsia="zh-CN"/>
        </w:rPr>
        <w:t>文件</w:t>
      </w:r>
    </w:p>
    <w:p w14:paraId="5FF89F8F">
      <w:pPr>
        <w:widowControl/>
        <w:shd w:val="clear" w:color="auto" w:fill="FFFFFF"/>
        <w:jc w:val="center"/>
        <w:rPr>
          <w:rFonts w:eastAsia="方正小标宋简体"/>
          <w:sz w:val="36"/>
          <w:szCs w:val="36"/>
          <w:highlight w:val="none"/>
        </w:rPr>
      </w:pPr>
    </w:p>
    <w:p w14:paraId="027E17EE">
      <w:pPr>
        <w:widowControl/>
        <w:shd w:val="clear" w:color="auto" w:fill="FFFFFF"/>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致</w:t>
      </w:r>
      <w:r>
        <w:rPr>
          <w:rFonts w:hint="eastAsia" w:ascii="仿宋_GB2312" w:hAnsi="仿宋_GB2312" w:eastAsia="仿宋_GB2312" w:cs="仿宋_GB2312"/>
          <w:kern w:val="0"/>
          <w:sz w:val="32"/>
          <w:szCs w:val="32"/>
          <w:highlight w:val="none"/>
          <w:u w:val="single"/>
          <w:shd w:val="clear" w:color="auto" w:fill="FFFFFF"/>
          <w:lang w:bidi="ar"/>
        </w:rPr>
        <w:t>投标人：</w:t>
      </w:r>
    </w:p>
    <w:p w14:paraId="465CFF57">
      <w:pPr>
        <w:widowControl/>
        <w:shd w:val="clear" w:color="auto" w:fill="FFFFFF"/>
        <w:ind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本次招标为选聘南沙资产经营集团战略规划及综合管理</w:t>
      </w:r>
      <w:r>
        <w:rPr>
          <w:rFonts w:hint="eastAsia" w:ascii="仿宋_GB2312" w:hAnsi="仿宋_GB2312" w:eastAsia="仿宋_GB2312" w:cs="仿宋_GB2312"/>
          <w:kern w:val="0"/>
          <w:sz w:val="32"/>
          <w:szCs w:val="32"/>
          <w:highlight w:val="none"/>
          <w:shd w:val="clear" w:color="auto" w:fill="FFFFFF"/>
          <w:lang w:val="en-US" w:eastAsia="zh-CN" w:bidi="ar"/>
        </w:rPr>
        <w:t>咨询</w:t>
      </w:r>
      <w:r>
        <w:rPr>
          <w:rFonts w:hint="eastAsia" w:ascii="仿宋_GB2312" w:hAnsi="仿宋_GB2312" w:eastAsia="仿宋_GB2312" w:cs="仿宋_GB2312"/>
          <w:kern w:val="0"/>
          <w:sz w:val="32"/>
          <w:szCs w:val="32"/>
          <w:highlight w:val="none"/>
          <w:shd w:val="clear" w:color="auto" w:fill="FFFFFF"/>
          <w:lang w:bidi="ar"/>
        </w:rPr>
        <w:t>服务单位，在指定期限内，完成</w:t>
      </w:r>
      <w:r>
        <w:rPr>
          <w:rFonts w:hint="eastAsia" w:ascii="仿宋_GB2312" w:hAnsi="仿宋_GB2312" w:eastAsia="仿宋_GB2312" w:cs="仿宋_GB2312"/>
          <w:b w:val="0"/>
          <w:bCs w:val="0"/>
          <w:kern w:val="0"/>
          <w:sz w:val="32"/>
          <w:szCs w:val="32"/>
          <w:highlight w:val="none"/>
          <w:shd w:val="clear" w:color="auto" w:fill="FFFFFF"/>
          <w:lang w:val="en-US" w:eastAsia="zh-CN" w:bidi="ar"/>
        </w:rPr>
        <w:t>战略规划服务</w:t>
      </w:r>
      <w:r>
        <w:rPr>
          <w:rFonts w:hint="eastAsia" w:ascii="仿宋_GB2312" w:hAnsi="仿宋_GB2312" w:eastAsia="仿宋_GB2312" w:cs="仿宋_GB2312"/>
          <w:kern w:val="0"/>
          <w:sz w:val="32"/>
          <w:szCs w:val="32"/>
          <w:highlight w:val="none"/>
          <w:shd w:val="clear" w:color="auto" w:fill="FFFFFF"/>
          <w:lang w:val="en-US" w:eastAsia="zh-CN" w:bidi="ar"/>
        </w:rPr>
        <w:t>及综合管理咨询</w:t>
      </w:r>
      <w:r>
        <w:rPr>
          <w:rFonts w:hint="eastAsia" w:ascii="仿宋_GB2312" w:hAnsi="仿宋_GB2312" w:eastAsia="仿宋_GB2312" w:cs="仿宋_GB2312"/>
          <w:kern w:val="0"/>
          <w:sz w:val="32"/>
          <w:szCs w:val="32"/>
          <w:highlight w:val="none"/>
          <w:shd w:val="clear" w:color="auto" w:fill="FFFFFF"/>
          <w:lang w:bidi="ar"/>
        </w:rPr>
        <w:t>工作</w:t>
      </w:r>
      <w:r>
        <w:rPr>
          <w:rFonts w:hint="eastAsia" w:ascii="仿宋_GB2312" w:hAnsi="仿宋_GB2312" w:eastAsia="仿宋_GB2312" w:cs="仿宋_GB2312"/>
          <w:kern w:val="0"/>
          <w:sz w:val="32"/>
          <w:szCs w:val="32"/>
          <w:highlight w:val="none"/>
          <w:shd w:val="clear" w:color="auto" w:fill="FFFFFF"/>
          <w:lang w:val="en-US" w:eastAsia="zh-CN" w:bidi="ar"/>
        </w:rPr>
        <w:t>并出具相关成果文件</w:t>
      </w:r>
      <w:r>
        <w:rPr>
          <w:rFonts w:hint="eastAsia" w:ascii="仿宋_GB2312" w:hAnsi="仿宋_GB2312" w:eastAsia="仿宋_GB2312" w:cs="仿宋_GB2312"/>
          <w:kern w:val="0"/>
          <w:sz w:val="32"/>
          <w:szCs w:val="32"/>
          <w:highlight w:val="none"/>
          <w:shd w:val="clear" w:color="auto" w:fill="FFFFFF"/>
          <w:lang w:bidi="ar"/>
        </w:rPr>
        <w:t>。投标人须仔细阅读招标文件，如发现有任何疑问、冲突或技术问题，投标人须要求招标人澄清。</w:t>
      </w:r>
    </w:p>
    <w:p w14:paraId="14BEE577">
      <w:pPr>
        <w:widowControl/>
        <w:shd w:val="clear" w:color="auto" w:fill="FFFFFF"/>
        <w:ind w:firstLine="640" w:firstLineChars="200"/>
        <w:rPr>
          <w:rFonts w:eastAsia="仿宋_GB2312"/>
          <w:color w:val="000000"/>
          <w:kern w:val="0"/>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一、项目概述</w:t>
      </w:r>
    </w:p>
    <w:p w14:paraId="61423D23">
      <w:pPr>
        <w:widowControl/>
        <w:ind w:firstLine="640" w:firstLineChars="200"/>
        <w:rPr>
          <w:rFonts w:hint="eastAsia" w:eastAsia="仿宋_GB2312"/>
          <w:color w:val="000000"/>
          <w:kern w:val="0"/>
          <w:sz w:val="32"/>
          <w:szCs w:val="32"/>
          <w:highlight w:val="none"/>
        </w:rPr>
      </w:pPr>
      <w:r>
        <w:rPr>
          <w:rFonts w:hint="eastAsia" w:eastAsia="仿宋_GB2312"/>
          <w:color w:val="000000"/>
          <w:kern w:val="0"/>
          <w:sz w:val="32"/>
          <w:szCs w:val="32"/>
          <w:highlight w:val="none"/>
        </w:rPr>
        <w:t>广州南沙资产经营集团有限公司（以下简称“</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资产集团”）始创于1992年。2019年12月30日，整合南沙区港口仓储物流、文化旅游等资产资源，正式挂牌成立集团公司，是南沙开发区管委会出资组建的区属国有一级集团公司。</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资产集团以“建设南沙，服务湾区”为宗旨，以服务南沙改革发展和开发建设大局为使命，围绕</w:t>
      </w:r>
      <w:r>
        <w:rPr>
          <w:rFonts w:hint="eastAsia" w:eastAsia="仿宋_GB2312"/>
          <w:color w:val="000000"/>
          <w:kern w:val="0"/>
          <w:sz w:val="32"/>
          <w:szCs w:val="32"/>
          <w:highlight w:val="none"/>
          <w:lang w:val="en-US" w:eastAsia="zh-CN"/>
        </w:rPr>
        <w:t>以</w:t>
      </w:r>
      <w:r>
        <w:rPr>
          <w:rFonts w:hint="eastAsia" w:ascii="仿宋_GB2312" w:hAnsi="仿宋_GB2312" w:eastAsia="仿宋_GB2312" w:cs="仿宋_GB2312"/>
          <w:sz w:val="32"/>
          <w:szCs w:val="32"/>
          <w:lang w:val="en-US" w:eastAsia="zh-CN"/>
        </w:rPr>
        <w:t>“文商旅体、港航物流、资产管理、数字经济”四大主业为支撑、以南沙湾核心区为战略支点的“4+1”发展战略</w:t>
      </w:r>
      <w:r>
        <w:rPr>
          <w:rFonts w:hint="eastAsia" w:eastAsia="仿宋_GB2312"/>
          <w:color w:val="000000"/>
          <w:kern w:val="0"/>
          <w:sz w:val="32"/>
          <w:szCs w:val="32"/>
          <w:highlight w:val="none"/>
        </w:rPr>
        <w:t>，充分发挥区域功能性产业重要平台作用，助力南沙打造立足湾区、协同港澳、面向世界的重大战略性平台。</w:t>
      </w:r>
    </w:p>
    <w:p w14:paraId="6526272F">
      <w:pPr>
        <w:pStyle w:val="17"/>
        <w:rPr>
          <w:rFonts w:hint="eastAsia" w:ascii="Times New Roman" w:hAnsi="Times New Roman" w:eastAsia="仿宋_GB2312" w:cs="Times New Roman"/>
          <w:color w:val="000000"/>
          <w:kern w:val="0"/>
          <w:sz w:val="32"/>
          <w:szCs w:val="32"/>
          <w:highlight w:val="none"/>
          <w:lang w:val="en-US" w:eastAsia="zh-CN" w:bidi="ar-SA"/>
        </w:rPr>
      </w:pPr>
      <w:r>
        <w:rPr>
          <w:rFonts w:hint="default" w:ascii="仿宋_GB2312" w:hAnsi="仿宋_GB2312" w:eastAsia="仿宋_GB2312" w:cs="仿宋_GB2312"/>
          <w:sz w:val="32"/>
          <w:szCs w:val="32"/>
          <w:lang w:val="en-US" w:eastAsia="zh-CN"/>
        </w:rPr>
        <w:t>随着“十四五”步入收官阶段，</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资产集团</w:t>
      </w:r>
      <w:r>
        <w:rPr>
          <w:rFonts w:hint="default" w:ascii="仿宋_GB2312" w:hAnsi="仿宋_GB2312" w:eastAsia="仿宋_GB2312" w:cs="仿宋_GB2312"/>
          <w:sz w:val="32"/>
          <w:szCs w:val="32"/>
          <w:lang w:val="en-US" w:eastAsia="zh-CN"/>
        </w:rPr>
        <w:t>所处的</w:t>
      </w:r>
      <w:r>
        <w:rPr>
          <w:rFonts w:hint="eastAsia" w:ascii="仿宋_GB2312" w:hAnsi="仿宋_GB2312" w:eastAsia="仿宋_GB2312" w:cs="仿宋_GB2312"/>
          <w:sz w:val="32"/>
          <w:szCs w:val="32"/>
          <w:lang w:val="en-US" w:eastAsia="zh-CN"/>
        </w:rPr>
        <w:t>内外部</w:t>
      </w:r>
      <w:r>
        <w:rPr>
          <w:rFonts w:hint="default" w:ascii="仿宋_GB2312" w:hAnsi="仿宋_GB2312" w:eastAsia="仿宋_GB2312" w:cs="仿宋_GB2312"/>
          <w:sz w:val="32"/>
          <w:szCs w:val="32"/>
          <w:lang w:val="en-US" w:eastAsia="zh-CN"/>
        </w:rPr>
        <w:t>环境正经历着持续且深刻的变化</w:t>
      </w:r>
      <w:r>
        <w:rPr>
          <w:rFonts w:hint="eastAsia" w:ascii="仿宋_GB2312" w:hAnsi="仿宋_GB2312" w:eastAsia="仿宋_GB2312" w:cs="仿宋_GB2312"/>
          <w:sz w:val="32"/>
          <w:szCs w:val="32"/>
          <w:lang w:val="en-US" w:eastAsia="zh-CN"/>
        </w:rPr>
        <w:t>，为精准把握粤港澳大湾区战略升级机遇，深度融入南沙区“十五五”规划发展蓝图，全面提升集团核心竞争力，拟聘请第三方专业咨询机构开展集团战略规划及综合管理咨询工作。</w:t>
      </w:r>
    </w:p>
    <w:p w14:paraId="3B73D7A1">
      <w:pPr>
        <w:widowControl/>
        <w:numPr>
          <w:ilvl w:val="0"/>
          <w:numId w:val="2"/>
        </w:numPr>
        <w:shd w:val="clear" w:color="auto" w:fill="FFFFFF"/>
        <w:ind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招标内容及成果要求</w:t>
      </w:r>
    </w:p>
    <w:p w14:paraId="5E9EC96B">
      <w:pPr>
        <w:keepNext w:val="0"/>
        <w:keepLines w:val="0"/>
        <w:pageBreakBefore w:val="0"/>
        <w:widowControl/>
        <w:numPr>
          <w:ilvl w:val="0"/>
          <w:numId w:val="3"/>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招标内容</w:t>
      </w:r>
    </w:p>
    <w:p w14:paraId="1E00AF2E">
      <w:pPr>
        <w:widowControl/>
        <w:numPr>
          <w:ilvl w:val="255"/>
          <w:numId w:val="0"/>
        </w:numPr>
        <w:ind w:firstLine="640" w:firstLineChars="200"/>
        <w:jc w:val="left"/>
        <w:rPr>
          <w:highlight w:val="none"/>
        </w:rPr>
      </w:pPr>
      <w:r>
        <w:rPr>
          <w:rFonts w:hint="eastAsia" w:ascii="仿宋_GB2312" w:hAnsi="仿宋_GB2312" w:eastAsia="仿宋_GB2312" w:cs="仿宋_GB2312"/>
          <w:kern w:val="0"/>
          <w:sz w:val="32"/>
          <w:szCs w:val="32"/>
          <w:highlight w:val="none"/>
          <w:shd w:val="clear" w:color="auto" w:fill="FFFFFF"/>
          <w:lang w:bidi="ar"/>
        </w:rPr>
        <w:t>本项目要求中标人</w:t>
      </w:r>
      <w:r>
        <w:rPr>
          <w:rFonts w:hint="eastAsia" w:ascii="仿宋_GB2312" w:hAnsi="仿宋_GB2312" w:eastAsia="仿宋_GB2312" w:cs="仿宋_GB2312"/>
          <w:kern w:val="0"/>
          <w:sz w:val="32"/>
          <w:szCs w:val="32"/>
          <w:highlight w:val="none"/>
          <w:shd w:val="clear" w:color="auto" w:fill="FFFFFF"/>
          <w:lang w:val="en-US" w:eastAsia="zh-CN" w:bidi="ar"/>
        </w:rPr>
        <w:t>向招标人提供战略规划及综合管理咨询服务并出具相关成果文件。</w:t>
      </w:r>
      <w:r>
        <w:rPr>
          <w:rFonts w:hint="eastAsia" w:ascii="仿宋_GB2312" w:hAnsi="仿宋_GB2312" w:eastAsia="仿宋_GB2312" w:cs="仿宋_GB2312"/>
          <w:b/>
          <w:bCs/>
          <w:kern w:val="0"/>
          <w:sz w:val="32"/>
          <w:szCs w:val="32"/>
          <w:highlight w:val="none"/>
          <w:shd w:val="clear" w:color="auto" w:fill="FFFFFF"/>
          <w:lang w:val="en-US" w:eastAsia="zh-CN" w:bidi="ar"/>
        </w:rPr>
        <w:t>战略规划服务：</w:t>
      </w:r>
      <w:r>
        <w:rPr>
          <w:rFonts w:hint="eastAsia" w:ascii="仿宋_GB2312" w:hAnsi="仿宋_GB2312" w:eastAsia="仿宋_GB2312" w:cs="仿宋_GB2312"/>
          <w:sz w:val="32"/>
          <w:szCs w:val="32"/>
          <w:lang w:val="en-US" w:eastAsia="zh-CN"/>
        </w:rPr>
        <w:t>结合宏观政策、经济形势、区域发展、产业发展研究，对集团当前经营总体成效、业务布局、管控体系、组织架构、激励机制进行全面分析与评估，识别企业核心优势和存在问题，在此基础上提出优化集团业务结构思路，明确关键战略及业务组合，规划各业务板块的定位、发展目标和发展策略；</w:t>
      </w:r>
      <w:r>
        <w:rPr>
          <w:rFonts w:hint="default" w:ascii="仿宋_GB2312" w:hAnsi="仿宋_GB2312" w:eastAsia="仿宋_GB2312" w:cs="仿宋_GB2312"/>
          <w:sz w:val="32"/>
          <w:szCs w:val="32"/>
          <w:lang w:val="en-US" w:eastAsia="zh-CN"/>
        </w:rPr>
        <w:t>从党建文化、治理体系、组织管控、人力资源、投资管理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财务管理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风险管理等方面提出支撑集团战略目标实现的配套管理机制与方案</w:t>
      </w:r>
      <w:r>
        <w:rPr>
          <w:rFonts w:hint="eastAsia" w:ascii="仿宋_GB2312" w:hAnsi="仿宋_GB2312" w:eastAsia="仿宋_GB2312" w:cs="仿宋_GB2312"/>
          <w:sz w:val="32"/>
          <w:szCs w:val="32"/>
          <w:lang w:val="en-US" w:eastAsia="zh-CN"/>
        </w:rPr>
        <w:t>；并将战略目标和关键举措分解为未来三年可执行的年度计划和重点项目，明确责任主体、时间节点、主要产出等；完成《</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资产集团</w:t>
      </w:r>
      <w:r>
        <w:rPr>
          <w:rFonts w:hint="eastAsia" w:ascii="仿宋_GB2312" w:hAnsi="仿宋_GB2312" w:eastAsia="仿宋_GB2312" w:cs="仿宋_GB2312"/>
          <w:sz w:val="32"/>
          <w:szCs w:val="32"/>
          <w:lang w:val="en-US" w:eastAsia="zh-CN"/>
        </w:rPr>
        <w:t>“十五五”战略发展规划》、《</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资产集团</w:t>
      </w:r>
      <w:r>
        <w:rPr>
          <w:rFonts w:hint="eastAsia" w:ascii="仿宋_GB2312" w:hAnsi="仿宋_GB2312" w:eastAsia="仿宋_GB2312" w:cs="仿宋_GB2312"/>
          <w:sz w:val="32"/>
          <w:szCs w:val="32"/>
          <w:lang w:val="en-US" w:eastAsia="zh-CN"/>
        </w:rPr>
        <w:t>“十五五”规划实施三年行动方案》。</w:t>
      </w:r>
      <w:r>
        <w:rPr>
          <w:rFonts w:hint="eastAsia" w:ascii="仿宋_GB2312" w:hAnsi="仿宋_GB2312" w:eastAsia="仿宋_GB2312" w:cs="仿宋_GB2312"/>
          <w:b/>
          <w:bCs/>
          <w:sz w:val="32"/>
          <w:szCs w:val="32"/>
          <w:lang w:val="en-US" w:eastAsia="zh-CN"/>
        </w:rPr>
        <w:t>综合管理咨询：</w:t>
      </w:r>
      <w:r>
        <w:rPr>
          <w:rFonts w:hint="eastAsia" w:ascii="仿宋_GB2312" w:hAnsi="仿宋_GB2312" w:eastAsia="仿宋_GB2312" w:cs="仿宋_GB2312"/>
          <w:sz w:val="32"/>
          <w:szCs w:val="32"/>
          <w:lang w:val="en-US" w:eastAsia="zh-CN"/>
        </w:rPr>
        <w:t>基于集团战略定位与业务特点，设计适配的管控模式，明确集团总部与下属公司的权责边界，完成《</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资产集团</w:t>
      </w:r>
      <w:r>
        <w:rPr>
          <w:rFonts w:hint="eastAsia" w:ascii="仿宋_GB2312" w:hAnsi="仿宋_GB2312" w:eastAsia="仿宋_GB2312" w:cs="仿宋_GB2312"/>
          <w:sz w:val="32"/>
          <w:szCs w:val="32"/>
          <w:lang w:val="en-US" w:eastAsia="zh-CN"/>
        </w:rPr>
        <w:t>权责体系优化报告》、《</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资产集团</w:t>
      </w:r>
      <w:r>
        <w:rPr>
          <w:rFonts w:hint="eastAsia" w:ascii="仿宋_GB2312" w:hAnsi="仿宋_GB2312" w:eastAsia="仿宋_GB2312" w:cs="仿宋_GB2312"/>
          <w:sz w:val="32"/>
          <w:szCs w:val="32"/>
          <w:lang w:val="en-US" w:eastAsia="zh-CN"/>
        </w:rPr>
        <w:t>权责表》、《</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w:t>
      </w:r>
      <w:r>
        <w:rPr>
          <w:rFonts w:hint="eastAsia" w:ascii="仿宋_GB2312" w:hAnsi="仿宋_GB2312" w:eastAsia="仿宋_GB2312" w:cs="仿宋_GB2312"/>
          <w:sz w:val="32"/>
          <w:szCs w:val="32"/>
          <w:lang w:val="en-US" w:eastAsia="zh-CN"/>
        </w:rPr>
        <w:t>集团管控体系制度汇编》；对集团组织架构进行系统性诊断与优化设计，科学设置总部职能部门与各部门岗位，提升组织协同性，完成《</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资产集团</w:t>
      </w:r>
      <w:r>
        <w:rPr>
          <w:rFonts w:hint="eastAsia" w:ascii="仿宋_GB2312" w:hAnsi="仿宋_GB2312" w:eastAsia="仿宋_GB2312" w:cs="仿宋_GB2312"/>
          <w:sz w:val="32"/>
          <w:szCs w:val="32"/>
          <w:lang w:val="en-US" w:eastAsia="zh-CN"/>
        </w:rPr>
        <w:t>组织体系优化报告》、《</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资产集团</w:t>
      </w:r>
      <w:r>
        <w:rPr>
          <w:rFonts w:hint="eastAsia" w:ascii="仿宋_GB2312" w:hAnsi="仿宋_GB2312" w:eastAsia="仿宋_GB2312" w:cs="仿宋_GB2312"/>
          <w:sz w:val="32"/>
          <w:szCs w:val="32"/>
          <w:lang w:val="en-US" w:eastAsia="zh-CN"/>
        </w:rPr>
        <w:t>部门职能说明书》、《</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资产集团</w:t>
      </w:r>
      <w:r>
        <w:rPr>
          <w:rFonts w:hint="eastAsia" w:ascii="仿宋_GB2312" w:hAnsi="仿宋_GB2312" w:eastAsia="仿宋_GB2312" w:cs="仿宋_GB2312"/>
          <w:sz w:val="32"/>
          <w:szCs w:val="32"/>
          <w:lang w:val="en-US" w:eastAsia="zh-CN"/>
        </w:rPr>
        <w:t>岗位设计方案》、《</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资产集团</w:t>
      </w:r>
      <w:r>
        <w:rPr>
          <w:rFonts w:hint="eastAsia" w:ascii="仿宋_GB2312" w:hAnsi="仿宋_GB2312" w:eastAsia="仿宋_GB2312" w:cs="仿宋_GB2312"/>
          <w:sz w:val="32"/>
          <w:szCs w:val="32"/>
          <w:lang w:val="en-US" w:eastAsia="zh-CN"/>
        </w:rPr>
        <w:t>岗位职责说明书》；</w:t>
      </w:r>
      <w:r>
        <w:rPr>
          <w:rFonts w:hint="eastAsia" w:ascii="仿宋_GB2312" w:hAnsi="仿宋_GB2312" w:eastAsia="仿宋_GB2312" w:cs="仿宋_GB2312"/>
          <w:kern w:val="0"/>
          <w:sz w:val="32"/>
          <w:szCs w:val="32"/>
          <w:highlight w:val="none"/>
          <w:shd w:val="clear" w:color="auto" w:fill="FFFFFF"/>
          <w:lang w:val="en-US" w:eastAsia="zh-CN" w:bidi="ar"/>
        </w:rPr>
        <w:t>根据公司发展战略提出人力资源管理提升建议，完成《</w:t>
      </w:r>
      <w:r>
        <w:rPr>
          <w:rFonts w:hint="eastAsia" w:ascii="仿宋_GB2312" w:hAnsi="仿宋_GB2312" w:eastAsia="仿宋_GB2312" w:cs="仿宋_GB2312"/>
          <w:kern w:val="0"/>
          <w:sz w:val="32"/>
          <w:szCs w:val="32"/>
          <w:highlight w:val="none"/>
          <w:shd w:val="clear" w:color="auto" w:fill="FFFFFF"/>
          <w:lang w:bidi="ar"/>
        </w:rPr>
        <w:t>南沙资产集团人力资源规划</w:t>
      </w:r>
      <w:r>
        <w:rPr>
          <w:rFonts w:hint="eastAsia" w:ascii="仿宋_GB2312" w:hAnsi="仿宋_GB2312" w:eastAsia="仿宋_GB2312" w:cs="仿宋_GB2312"/>
          <w:kern w:val="0"/>
          <w:sz w:val="32"/>
          <w:szCs w:val="32"/>
          <w:highlight w:val="none"/>
          <w:shd w:val="clear" w:color="auto" w:fill="FFFFFF"/>
          <w:lang w:val="en-US" w:eastAsia="zh-CN" w:bidi="ar"/>
        </w:rPr>
        <w:t>》；</w:t>
      </w:r>
      <w:r>
        <w:rPr>
          <w:rFonts w:hint="eastAsia" w:ascii="仿宋_GB2312" w:hAnsi="仿宋_GB2312" w:eastAsia="仿宋_GB2312" w:cs="仿宋_GB2312"/>
          <w:sz w:val="32"/>
          <w:szCs w:val="32"/>
          <w:lang w:val="en-US" w:eastAsia="zh-CN"/>
        </w:rPr>
        <w:t>设计以战略目标为导向的绩效考核体系，完成《</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资产集团</w:t>
      </w:r>
      <w:r>
        <w:rPr>
          <w:rFonts w:hint="eastAsia" w:ascii="仿宋_GB2312" w:hAnsi="仿宋_GB2312" w:eastAsia="仿宋_GB2312" w:cs="仿宋_GB2312"/>
          <w:sz w:val="32"/>
          <w:szCs w:val="32"/>
          <w:lang w:val="en-US" w:eastAsia="zh-CN"/>
        </w:rPr>
        <w:t>绩效管理方案》、《</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资产集团</w:t>
      </w:r>
      <w:r>
        <w:rPr>
          <w:rFonts w:hint="eastAsia" w:ascii="仿宋_GB2312" w:hAnsi="仿宋_GB2312" w:eastAsia="仿宋_GB2312" w:cs="仿宋_GB2312"/>
          <w:sz w:val="32"/>
          <w:szCs w:val="32"/>
          <w:lang w:val="en-US" w:eastAsia="zh-CN"/>
        </w:rPr>
        <w:t>绩效管理制度》；优化薪酬激励机制，完成《</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资产集团</w:t>
      </w:r>
      <w:r>
        <w:rPr>
          <w:rFonts w:hint="eastAsia" w:ascii="仿宋_GB2312" w:hAnsi="仿宋_GB2312" w:eastAsia="仿宋_GB2312" w:cs="仿宋_GB2312"/>
          <w:sz w:val="32"/>
          <w:szCs w:val="32"/>
          <w:lang w:val="en-US" w:eastAsia="zh-CN"/>
        </w:rPr>
        <w:t>薪酬管理方案》、《</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资产集团</w:t>
      </w:r>
      <w:r>
        <w:rPr>
          <w:rFonts w:hint="eastAsia" w:ascii="仿宋_GB2312" w:hAnsi="仿宋_GB2312" w:eastAsia="仿宋_GB2312" w:cs="仿宋_GB2312"/>
          <w:sz w:val="32"/>
          <w:szCs w:val="32"/>
          <w:lang w:val="en-US" w:eastAsia="zh-CN"/>
        </w:rPr>
        <w:t>薪酬管理制度》、《</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资产集团</w:t>
      </w:r>
      <w:r>
        <w:rPr>
          <w:rFonts w:hint="eastAsia" w:ascii="仿宋_GB2312" w:hAnsi="仿宋_GB2312" w:eastAsia="仿宋_GB2312" w:cs="仿宋_GB2312"/>
          <w:sz w:val="32"/>
          <w:szCs w:val="32"/>
          <w:lang w:val="en-US" w:eastAsia="zh-CN"/>
        </w:rPr>
        <w:t>薪级表》；完善职级管理体系，完成《</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资产集团</w:t>
      </w:r>
      <w:r>
        <w:rPr>
          <w:rFonts w:hint="eastAsia" w:ascii="仿宋_GB2312" w:hAnsi="仿宋_GB2312" w:eastAsia="仿宋_GB2312" w:cs="仿宋_GB2312"/>
          <w:sz w:val="32"/>
          <w:szCs w:val="32"/>
          <w:lang w:val="en-US" w:eastAsia="zh-CN"/>
        </w:rPr>
        <w:t>职级管理制度》、《</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资产集团</w:t>
      </w:r>
      <w:r>
        <w:rPr>
          <w:rFonts w:hint="eastAsia" w:ascii="仿宋_GB2312" w:hAnsi="仿宋_GB2312" w:eastAsia="仿宋_GB2312" w:cs="仿宋_GB2312"/>
          <w:sz w:val="32"/>
          <w:szCs w:val="32"/>
          <w:lang w:val="en-US" w:eastAsia="zh-CN"/>
        </w:rPr>
        <w:t>职级表》；设计系统化的</w:t>
      </w:r>
      <w:r>
        <w:rPr>
          <w:rFonts w:hint="eastAsia" w:ascii="仿宋_GB2312" w:hAnsi="仿宋_GB2312" w:eastAsia="仿宋_GB2312" w:cs="仿宋_GB2312"/>
          <w:kern w:val="0"/>
          <w:sz w:val="32"/>
          <w:szCs w:val="32"/>
          <w:highlight w:val="none"/>
          <w:shd w:val="clear" w:color="auto" w:fill="FFFFFF"/>
          <w:lang w:val="en-US" w:eastAsia="zh-CN" w:bidi="ar"/>
        </w:rPr>
        <w:t>人才梯队</w:t>
      </w:r>
      <w:r>
        <w:rPr>
          <w:rFonts w:hint="eastAsia" w:ascii="仿宋_GB2312" w:hAnsi="仿宋_GB2312" w:eastAsia="仿宋_GB2312" w:cs="仿宋_GB2312"/>
          <w:sz w:val="32"/>
          <w:szCs w:val="32"/>
          <w:lang w:val="en-US" w:eastAsia="zh-CN"/>
        </w:rPr>
        <w:t>培养发展方案，完成《</w:t>
      </w:r>
      <w:r>
        <w:rPr>
          <w:rFonts w:hint="eastAsia" w:eastAsia="仿宋_GB2312"/>
          <w:color w:val="000000"/>
          <w:kern w:val="0"/>
          <w:sz w:val="32"/>
          <w:szCs w:val="32"/>
          <w:highlight w:val="none"/>
          <w:lang w:val="en-US" w:eastAsia="zh-CN"/>
        </w:rPr>
        <w:t>南沙</w:t>
      </w:r>
      <w:r>
        <w:rPr>
          <w:rFonts w:hint="eastAsia" w:eastAsia="仿宋_GB2312"/>
          <w:color w:val="000000"/>
          <w:kern w:val="0"/>
          <w:sz w:val="32"/>
          <w:szCs w:val="32"/>
          <w:highlight w:val="none"/>
        </w:rPr>
        <w:t>资产集团</w:t>
      </w:r>
      <w:r>
        <w:rPr>
          <w:rFonts w:hint="eastAsia" w:ascii="仿宋_GB2312" w:hAnsi="仿宋_GB2312" w:eastAsia="仿宋_GB2312" w:cs="仿宋_GB2312"/>
          <w:kern w:val="0"/>
          <w:sz w:val="32"/>
          <w:szCs w:val="32"/>
          <w:highlight w:val="none"/>
          <w:shd w:val="clear" w:color="auto" w:fill="FFFFFF"/>
          <w:lang w:val="en-US" w:eastAsia="zh-CN" w:bidi="ar"/>
        </w:rPr>
        <w:t>人才梯队</w:t>
      </w:r>
      <w:r>
        <w:rPr>
          <w:rFonts w:hint="eastAsia" w:ascii="仿宋_GB2312" w:hAnsi="仿宋_GB2312" w:eastAsia="仿宋_GB2312" w:cs="仿宋_GB2312"/>
          <w:sz w:val="32"/>
          <w:szCs w:val="32"/>
          <w:lang w:val="en-US" w:eastAsia="zh-CN"/>
        </w:rPr>
        <w:t>培养方案》。</w:t>
      </w:r>
    </w:p>
    <w:p w14:paraId="7D3F0065">
      <w:pPr>
        <w:widowControl/>
        <w:shd w:val="clear" w:color="auto" w:fill="FFFFFF"/>
        <w:ind w:firstLine="640" w:firstLineChars="200"/>
        <w:rPr>
          <w:rFonts w:hint="default"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（二）服务期限</w:t>
      </w:r>
    </w:p>
    <w:p w14:paraId="5AA1121F">
      <w:pPr>
        <w:widowControl/>
        <w:shd w:val="clear" w:color="auto" w:fill="FFFFFF"/>
        <w:ind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此次专项服务期限</w:t>
      </w:r>
      <w:r>
        <w:rPr>
          <w:rFonts w:hint="eastAsia" w:ascii="仿宋_GB2312" w:hAnsi="仿宋_GB2312" w:eastAsia="仿宋_GB2312" w:cs="仿宋_GB2312"/>
          <w:kern w:val="0"/>
          <w:sz w:val="32"/>
          <w:szCs w:val="32"/>
          <w:highlight w:val="none"/>
          <w:shd w:val="clear" w:color="auto" w:fill="FFFFFF"/>
          <w:lang w:eastAsia="zh-CN" w:bidi="ar"/>
        </w:rPr>
        <w:t>，</w:t>
      </w:r>
      <w:r>
        <w:rPr>
          <w:rFonts w:hint="eastAsia" w:ascii="仿宋_GB2312" w:hAnsi="仿宋_GB2312" w:eastAsia="仿宋_GB2312" w:cs="仿宋_GB2312"/>
          <w:kern w:val="0"/>
          <w:sz w:val="32"/>
          <w:szCs w:val="32"/>
          <w:highlight w:val="none"/>
          <w:shd w:val="clear" w:color="auto" w:fill="FFFFFF"/>
          <w:lang w:bidi="ar"/>
        </w:rPr>
        <w:t>原则上</w:t>
      </w:r>
      <w:r>
        <w:rPr>
          <w:rFonts w:hint="eastAsia" w:ascii="仿宋_GB2312" w:hAnsi="仿宋_GB2312" w:eastAsia="仿宋_GB2312" w:cs="仿宋_GB2312"/>
          <w:kern w:val="0"/>
          <w:sz w:val="32"/>
          <w:szCs w:val="32"/>
          <w:highlight w:val="none"/>
          <w:shd w:val="clear" w:color="auto" w:fill="FFFFFF"/>
          <w:lang w:val="en-US" w:eastAsia="zh-CN" w:bidi="ar"/>
        </w:rPr>
        <w:t>以全部成果文件经招标人按程序审定且辅导服务期结束为限。</w:t>
      </w:r>
      <w:r>
        <w:rPr>
          <w:rFonts w:hint="eastAsia" w:ascii="仿宋_GB2312" w:hAnsi="仿宋_GB2312" w:eastAsia="仿宋_GB2312" w:cs="仿宋_GB2312"/>
          <w:kern w:val="0"/>
          <w:sz w:val="32"/>
          <w:szCs w:val="32"/>
          <w:highlight w:val="none"/>
          <w:shd w:val="clear" w:color="auto" w:fill="FFFFFF"/>
          <w:lang w:bidi="ar"/>
        </w:rPr>
        <w:t>受托方自中标通知书发出起</w:t>
      </w:r>
      <w:r>
        <w:rPr>
          <w:rFonts w:hint="eastAsia" w:ascii="仿宋_GB2312" w:hAnsi="仿宋_GB2312" w:eastAsia="仿宋_GB2312" w:cs="仿宋_GB2312"/>
          <w:kern w:val="0"/>
          <w:sz w:val="32"/>
          <w:szCs w:val="32"/>
          <w:highlight w:val="none"/>
          <w:shd w:val="clear" w:color="auto" w:fill="FFFFFF"/>
          <w:lang w:val="en-US" w:eastAsia="zh-CN" w:bidi="ar"/>
        </w:rPr>
        <w:t>60</w:t>
      </w:r>
      <w:r>
        <w:rPr>
          <w:rFonts w:hint="eastAsia" w:ascii="仿宋_GB2312" w:hAnsi="仿宋_GB2312" w:eastAsia="仿宋_GB2312" w:cs="仿宋_GB2312"/>
          <w:kern w:val="0"/>
          <w:sz w:val="32"/>
          <w:szCs w:val="32"/>
          <w:highlight w:val="none"/>
          <w:shd w:val="clear" w:color="auto" w:fill="FFFFFF"/>
          <w:lang w:bidi="ar"/>
        </w:rPr>
        <w:t>个</w:t>
      </w:r>
      <w:r>
        <w:rPr>
          <w:rFonts w:hint="eastAsia" w:ascii="仿宋_GB2312" w:hAnsi="仿宋_GB2312" w:eastAsia="仿宋_GB2312" w:cs="仿宋_GB2312"/>
          <w:kern w:val="0"/>
          <w:sz w:val="32"/>
          <w:szCs w:val="32"/>
          <w:highlight w:val="none"/>
          <w:shd w:val="clear" w:color="auto" w:fill="FFFFFF"/>
          <w:lang w:val="en-US" w:eastAsia="zh-CN" w:bidi="ar"/>
        </w:rPr>
        <w:t>日历日</w:t>
      </w:r>
      <w:r>
        <w:rPr>
          <w:rFonts w:hint="eastAsia" w:ascii="仿宋_GB2312" w:hAnsi="仿宋_GB2312" w:eastAsia="仿宋_GB2312" w:cs="仿宋_GB2312"/>
          <w:kern w:val="0"/>
          <w:sz w:val="32"/>
          <w:szCs w:val="32"/>
          <w:highlight w:val="none"/>
          <w:shd w:val="clear" w:color="auto" w:fill="FFFFFF"/>
          <w:lang w:bidi="ar"/>
        </w:rPr>
        <w:t>内提交</w:t>
      </w:r>
      <w:r>
        <w:rPr>
          <w:rFonts w:hint="eastAsia" w:ascii="仿宋_GB2312" w:hAnsi="仿宋_GB2312" w:eastAsia="仿宋_GB2312" w:cs="仿宋_GB2312"/>
          <w:sz w:val="32"/>
          <w:szCs w:val="32"/>
          <w:lang w:val="en-US" w:eastAsia="zh-CN"/>
        </w:rPr>
        <w:t>“十五五”战略发展规划、“十五五”规划实施三年行动方案</w:t>
      </w:r>
      <w:r>
        <w:rPr>
          <w:rFonts w:hint="eastAsia" w:ascii="仿宋_GB2312" w:hAnsi="仿宋_GB2312" w:eastAsia="仿宋_GB2312" w:cs="仿宋_GB2312"/>
          <w:kern w:val="0"/>
          <w:sz w:val="32"/>
          <w:szCs w:val="32"/>
          <w:highlight w:val="none"/>
          <w:shd w:val="clear" w:color="auto" w:fill="FFFFFF"/>
          <w:lang w:bidi="ar"/>
        </w:rPr>
        <w:t>初稿，</w:t>
      </w:r>
      <w:r>
        <w:rPr>
          <w:rFonts w:hint="eastAsia" w:ascii="仿宋_GB2312" w:hAnsi="仿宋_GB2312" w:eastAsia="仿宋_GB2312" w:cs="仿宋_GB2312"/>
          <w:kern w:val="0"/>
          <w:sz w:val="32"/>
          <w:szCs w:val="32"/>
          <w:highlight w:val="none"/>
          <w:shd w:val="clear" w:color="auto" w:fill="FFFFFF"/>
          <w:lang w:val="en-US" w:eastAsia="zh-CN" w:bidi="ar"/>
        </w:rPr>
        <w:t>90个日历日内出具达到报审深度的成果文件且经招标人按程序审定；120个日历日内提交</w:t>
      </w:r>
      <w:r>
        <w:rPr>
          <w:rFonts w:hint="eastAsia" w:ascii="仿宋_GB2312" w:hAnsi="仿宋_GB2312" w:eastAsia="仿宋_GB2312" w:cs="仿宋_GB2312"/>
          <w:sz w:val="32"/>
          <w:szCs w:val="32"/>
          <w:lang w:val="en-US" w:eastAsia="zh-CN"/>
        </w:rPr>
        <w:t>权责体系优化报告、权责表、管控体系制度汇编、组织体系优化报告、部门职能说明书、岗位设计方案、岗位职责说明书初稿，150个</w:t>
      </w:r>
      <w:r>
        <w:rPr>
          <w:rFonts w:hint="eastAsia" w:ascii="仿宋_GB2312" w:hAnsi="仿宋_GB2312" w:eastAsia="仿宋_GB2312" w:cs="仿宋_GB2312"/>
          <w:kern w:val="0"/>
          <w:sz w:val="32"/>
          <w:szCs w:val="32"/>
          <w:highlight w:val="none"/>
          <w:shd w:val="clear" w:color="auto" w:fill="FFFFFF"/>
          <w:lang w:val="en-US" w:eastAsia="zh-CN" w:bidi="ar"/>
        </w:rPr>
        <w:t>日历日内出具达到报审深度的成果文件且经招标人按程序审定；</w:t>
      </w:r>
      <w:r>
        <w:rPr>
          <w:rFonts w:hint="eastAsia" w:ascii="仿宋_GB2312" w:hAnsi="仿宋_GB2312" w:eastAsia="仿宋_GB2312" w:cs="仿宋_GB2312"/>
          <w:sz w:val="32"/>
          <w:szCs w:val="32"/>
          <w:lang w:val="en-US" w:eastAsia="zh-CN"/>
        </w:rPr>
        <w:t>150个</w:t>
      </w:r>
      <w:r>
        <w:rPr>
          <w:rFonts w:hint="eastAsia" w:ascii="仿宋_GB2312" w:hAnsi="仿宋_GB2312" w:eastAsia="仿宋_GB2312" w:cs="仿宋_GB2312"/>
          <w:kern w:val="0"/>
          <w:sz w:val="32"/>
          <w:szCs w:val="32"/>
          <w:highlight w:val="none"/>
          <w:shd w:val="clear" w:color="auto" w:fill="FFFFFF"/>
          <w:lang w:val="en-US" w:eastAsia="zh-CN" w:bidi="ar"/>
        </w:rPr>
        <w:t>日历日内提交</w:t>
      </w:r>
      <w:r>
        <w:rPr>
          <w:rFonts w:hint="eastAsia" w:ascii="仿宋_GB2312" w:hAnsi="仿宋_GB2312" w:eastAsia="仿宋_GB2312" w:cs="仿宋_GB2312"/>
          <w:kern w:val="0"/>
          <w:sz w:val="32"/>
          <w:szCs w:val="32"/>
          <w:highlight w:val="none"/>
          <w:shd w:val="clear" w:color="auto" w:fill="FFFFFF"/>
          <w:lang w:bidi="ar"/>
        </w:rPr>
        <w:t>人力资源规划</w:t>
      </w:r>
      <w:r>
        <w:rPr>
          <w:rFonts w:hint="eastAsia" w:ascii="仿宋_GB2312" w:hAnsi="仿宋_GB2312" w:eastAsia="仿宋_GB2312" w:cs="仿宋_GB2312"/>
          <w:kern w:val="0"/>
          <w:sz w:val="32"/>
          <w:szCs w:val="32"/>
          <w:highlight w:val="none"/>
          <w:shd w:val="clear" w:color="auto" w:fill="FFFFFF"/>
          <w:lang w:eastAsia="zh-CN" w:bidi="ar"/>
        </w:rPr>
        <w:t>、</w:t>
      </w:r>
      <w:r>
        <w:rPr>
          <w:rFonts w:hint="eastAsia" w:ascii="仿宋_GB2312" w:hAnsi="仿宋_GB2312" w:eastAsia="仿宋_GB2312" w:cs="仿宋_GB2312"/>
          <w:sz w:val="32"/>
          <w:szCs w:val="32"/>
          <w:lang w:val="en-US" w:eastAsia="zh-CN"/>
        </w:rPr>
        <w:t>薪酬管理方案、薪酬管理制度、薪级表、职级管理制度、职级表、绩效管理方案、绩效管理制度、人才梯队培养方案初稿，180个</w:t>
      </w:r>
      <w:r>
        <w:rPr>
          <w:rFonts w:hint="eastAsia" w:ascii="仿宋_GB2312" w:hAnsi="仿宋_GB2312" w:eastAsia="仿宋_GB2312" w:cs="仿宋_GB2312"/>
          <w:kern w:val="0"/>
          <w:sz w:val="32"/>
          <w:szCs w:val="32"/>
          <w:highlight w:val="none"/>
          <w:shd w:val="clear" w:color="auto" w:fill="FFFFFF"/>
          <w:lang w:val="en-US" w:eastAsia="zh-CN" w:bidi="ar"/>
        </w:rPr>
        <w:t>日历日内出具达到报审深度的成果文件且经招标人按程序审定。</w:t>
      </w:r>
      <w:r>
        <w:rPr>
          <w:rFonts w:hint="eastAsia" w:ascii="仿宋_GB2312" w:hAnsi="仿宋_GB2312" w:eastAsia="仿宋_GB2312" w:cs="仿宋_GB2312"/>
          <w:kern w:val="0"/>
          <w:sz w:val="32"/>
          <w:szCs w:val="32"/>
          <w:highlight w:val="none"/>
          <w:shd w:val="clear" w:color="auto" w:fill="FFFFFF"/>
          <w:lang w:bidi="ar"/>
        </w:rPr>
        <w:t>后续中标人应根据项目实施需要，</w:t>
      </w:r>
      <w:r>
        <w:rPr>
          <w:rFonts w:hint="eastAsia" w:ascii="仿宋_GB2312" w:hAnsi="仿宋_GB2312" w:eastAsia="仿宋_GB2312" w:cs="仿宋_GB2312"/>
          <w:kern w:val="0"/>
          <w:sz w:val="32"/>
          <w:szCs w:val="32"/>
          <w:highlight w:val="none"/>
          <w:shd w:val="clear" w:color="auto" w:fill="FFFFFF"/>
          <w:lang w:val="en-US" w:eastAsia="zh-CN" w:bidi="ar"/>
        </w:rPr>
        <w:t>在全部成果文件经招标人按程序审定之日起持续1年的辅导服务期内向</w:t>
      </w:r>
      <w:r>
        <w:rPr>
          <w:rFonts w:hint="eastAsia" w:ascii="仿宋_GB2312" w:hAnsi="仿宋_GB2312" w:eastAsia="仿宋_GB2312" w:cs="仿宋_GB2312"/>
          <w:kern w:val="0"/>
          <w:sz w:val="32"/>
          <w:szCs w:val="32"/>
          <w:highlight w:val="none"/>
          <w:shd w:val="clear" w:color="auto" w:fill="FFFFFF"/>
          <w:lang w:bidi="ar"/>
        </w:rPr>
        <w:t>招标人</w:t>
      </w:r>
      <w:r>
        <w:rPr>
          <w:rFonts w:hint="eastAsia" w:ascii="仿宋_GB2312" w:hAnsi="仿宋_GB2312" w:eastAsia="仿宋_GB2312" w:cs="仿宋_GB2312"/>
          <w:kern w:val="0"/>
          <w:sz w:val="32"/>
          <w:szCs w:val="32"/>
          <w:highlight w:val="none"/>
          <w:shd w:val="clear" w:color="auto" w:fill="FFFFFF"/>
          <w:lang w:val="en-US" w:eastAsia="zh-CN" w:bidi="ar"/>
        </w:rPr>
        <w:t>提供相应的落地实施辅导服务，包括但不限于宣贯培训、指导落地、向上级单位汇报等。</w:t>
      </w:r>
    </w:p>
    <w:p w14:paraId="0654FA2A">
      <w:pPr>
        <w:widowControl/>
        <w:numPr>
          <w:ilvl w:val="0"/>
          <w:numId w:val="4"/>
        </w:numPr>
        <w:shd w:val="clear" w:color="auto" w:fill="FFFFFF"/>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服务成果</w:t>
      </w:r>
    </w:p>
    <w:p w14:paraId="78CD232E">
      <w:pPr>
        <w:widowControl/>
        <w:numPr>
          <w:ilvl w:val="255"/>
          <w:numId w:val="0"/>
        </w:numPr>
        <w:shd w:val="clear" w:color="auto" w:fill="FFFFFF"/>
        <w:ind w:firstLine="640" w:firstLineChars="200"/>
        <w:rPr>
          <w:rFonts w:hint="eastAsia" w:ascii="仿宋_GB2312" w:hAnsi="仿宋_GB2312" w:eastAsia="仿宋_GB2312" w:cs="仿宋_GB2312"/>
          <w:kern w:val="0"/>
          <w:sz w:val="32"/>
          <w:szCs w:val="32"/>
          <w:highlight w:val="none"/>
          <w:shd w:val="clear" w:color="auto" w:fill="FFFFFF"/>
          <w:lang w:eastAsia="zh-CN" w:bidi="ar"/>
        </w:rPr>
      </w:pPr>
      <w:r>
        <w:rPr>
          <w:rFonts w:hint="eastAsia" w:ascii="仿宋_GB2312" w:hAnsi="仿宋_GB2312" w:eastAsia="仿宋_GB2312" w:cs="仿宋_GB2312"/>
          <w:kern w:val="0"/>
          <w:sz w:val="32"/>
          <w:szCs w:val="32"/>
          <w:highlight w:val="none"/>
          <w:shd w:val="clear" w:color="auto" w:fill="FFFFFF"/>
          <w:lang w:bidi="ar"/>
        </w:rPr>
        <w:t>服务成果分为</w:t>
      </w:r>
      <w:r>
        <w:rPr>
          <w:rFonts w:hint="eastAsia" w:ascii="仿宋_GB2312" w:hAnsi="仿宋_GB2312" w:eastAsia="仿宋_GB2312" w:cs="仿宋_GB2312"/>
          <w:kern w:val="0"/>
          <w:sz w:val="32"/>
          <w:szCs w:val="32"/>
          <w:highlight w:val="none"/>
          <w:shd w:val="clear" w:color="auto" w:fill="FFFFFF"/>
          <w:lang w:val="en-US" w:eastAsia="zh-CN" w:bidi="ar"/>
        </w:rPr>
        <w:t>书面成果与非书面成果，包括但不限于以下内容（具体以合同签订为准）：</w:t>
      </w:r>
    </w:p>
    <w:tbl>
      <w:tblPr>
        <w:tblStyle w:val="18"/>
        <w:tblW w:w="105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1237"/>
        <w:gridCol w:w="5161"/>
        <w:gridCol w:w="2301"/>
        <w:gridCol w:w="1375"/>
      </w:tblGrid>
      <w:tr w14:paraId="5ABA4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0C49">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序号</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F311">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服务内容</w:t>
            </w:r>
          </w:p>
        </w:tc>
        <w:tc>
          <w:tcPr>
            <w:tcW w:w="5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E5A1">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具体要求</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6DCE">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书面成果</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2135">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非书面</w:t>
            </w:r>
          </w:p>
          <w:p w14:paraId="79194F4F">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成果</w:t>
            </w:r>
          </w:p>
        </w:tc>
      </w:tr>
      <w:tr w14:paraId="31002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66B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CA9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战略规划</w:t>
            </w:r>
          </w:p>
        </w:tc>
        <w:tc>
          <w:tcPr>
            <w:tcW w:w="5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01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8"/>
                <w:lang w:val="en-US" w:eastAsia="zh-CN" w:bidi="ar"/>
              </w:rPr>
              <w:t>·</w:t>
            </w:r>
            <w:r>
              <w:rPr>
                <w:rStyle w:val="59"/>
                <w:rFonts w:hAnsi="宋体"/>
                <w:lang w:val="en-US" w:eastAsia="zh-CN" w:bidi="ar"/>
              </w:rPr>
              <w:t>内外部分析：通过调研访谈、内部研讨、案头研究，系统诊断南沙资产集团发展优势和劣势、科学分析外部发展机遇和挑战；</w:t>
            </w:r>
            <w:r>
              <w:rPr>
                <w:rStyle w:val="59"/>
                <w:rFonts w:hAnsi="宋体"/>
                <w:lang w:val="en-US" w:eastAsia="zh-CN" w:bidi="ar"/>
              </w:rPr>
              <w:br w:type="textWrapping"/>
            </w:r>
            <w:r>
              <w:rPr>
                <w:rStyle w:val="58"/>
                <w:lang w:val="en-US" w:eastAsia="zh-CN" w:bidi="ar"/>
              </w:rPr>
              <w:t>·</w:t>
            </w:r>
            <w:r>
              <w:rPr>
                <w:rStyle w:val="59"/>
                <w:rFonts w:hAnsi="宋体"/>
                <w:lang w:val="en-US" w:eastAsia="zh-CN" w:bidi="ar"/>
              </w:rPr>
              <w:t>战略规划：明确南沙资产集团战略定位、提出未来发展战略目标、商业模式、业务布局，谋划具体业务板块发展目标和发展策略；</w:t>
            </w:r>
            <w:r>
              <w:rPr>
                <w:rStyle w:val="59"/>
                <w:rFonts w:hAnsi="宋体"/>
                <w:lang w:val="en-US" w:eastAsia="zh-CN" w:bidi="ar"/>
              </w:rPr>
              <w:br w:type="textWrapping"/>
            </w:r>
            <w:r>
              <w:rPr>
                <w:rStyle w:val="58"/>
                <w:lang w:val="en-US" w:eastAsia="zh-CN" w:bidi="ar"/>
              </w:rPr>
              <w:t>·</w:t>
            </w:r>
            <w:r>
              <w:rPr>
                <w:rStyle w:val="59"/>
                <w:rFonts w:hAnsi="宋体"/>
                <w:lang w:val="en-US" w:eastAsia="zh-CN" w:bidi="ar"/>
              </w:rPr>
              <w:t>重点举措和保障措施：从项目谋划、融资优化、管理提升、企业文化、人才梯队等方面制定支撑战略实现的重点举措和保障措施；</w:t>
            </w:r>
            <w:r>
              <w:rPr>
                <w:rStyle w:val="59"/>
                <w:rFonts w:hAnsi="宋体"/>
                <w:lang w:val="en-US" w:eastAsia="zh-CN" w:bidi="ar"/>
              </w:rPr>
              <w:br w:type="textWrapping"/>
            </w:r>
            <w:r>
              <w:rPr>
                <w:rStyle w:val="58"/>
                <w:lang w:val="en-US" w:eastAsia="zh-CN" w:bidi="ar"/>
              </w:rPr>
              <w:t>·</w:t>
            </w:r>
            <w:r>
              <w:rPr>
                <w:rStyle w:val="59"/>
                <w:rFonts w:hAnsi="宋体"/>
                <w:lang w:val="en-US" w:eastAsia="zh-CN" w:bidi="ar"/>
              </w:rPr>
              <w:t>战略解码与行动方案：通过战略解码的形式将业务举措和保障措施拆解落实到未来三年各部门、各子公司的具体工作计划与任务中。</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C6F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1.《南沙资产集团“十五五”战略发展规划》</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2.《南沙资产集团“十五五”规划实施三年行动方案》</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FD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8"/>
                <w:lang w:val="en-US" w:eastAsia="zh-CN" w:bidi="ar"/>
              </w:rPr>
              <w:t>·</w:t>
            </w:r>
            <w:r>
              <w:rPr>
                <w:rStyle w:val="59"/>
                <w:rFonts w:hAnsi="宋体"/>
                <w:lang w:val="en-US" w:eastAsia="zh-CN" w:bidi="ar"/>
              </w:rPr>
              <w:t>战略宣贯</w:t>
            </w:r>
            <w:r>
              <w:rPr>
                <w:rStyle w:val="59"/>
                <w:rFonts w:hAnsi="宋体"/>
                <w:lang w:val="en-US" w:eastAsia="zh-CN" w:bidi="ar"/>
              </w:rPr>
              <w:br w:type="textWrapping"/>
            </w:r>
            <w:r>
              <w:rPr>
                <w:rStyle w:val="58"/>
                <w:lang w:val="en-US" w:eastAsia="zh-CN" w:bidi="ar"/>
              </w:rPr>
              <w:t>·</w:t>
            </w:r>
            <w:r>
              <w:rPr>
                <w:rStyle w:val="59"/>
                <w:rFonts w:hAnsi="宋体"/>
                <w:lang w:val="en-US" w:eastAsia="zh-CN" w:bidi="ar"/>
              </w:rPr>
              <w:t>战略解码</w:t>
            </w:r>
            <w:r>
              <w:rPr>
                <w:rStyle w:val="58"/>
                <w:lang w:val="en-US" w:eastAsia="zh-CN" w:bidi="ar"/>
              </w:rPr>
              <w:br w:type="textWrapping"/>
            </w:r>
            <w:r>
              <w:rPr>
                <w:rStyle w:val="58"/>
                <w:lang w:val="en-US" w:eastAsia="zh-CN" w:bidi="ar"/>
              </w:rPr>
              <w:t>·</w:t>
            </w:r>
            <w:r>
              <w:rPr>
                <w:rStyle w:val="59"/>
                <w:rFonts w:hAnsi="宋体"/>
                <w:lang w:val="en-US" w:eastAsia="zh-CN" w:bidi="ar"/>
              </w:rPr>
              <w:t>向上汇报</w:t>
            </w:r>
          </w:p>
        </w:tc>
      </w:tr>
      <w:tr w14:paraId="6C626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50F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CF2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集团管控</w:t>
            </w:r>
          </w:p>
        </w:tc>
        <w:tc>
          <w:tcPr>
            <w:tcW w:w="5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8E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8"/>
                <w:lang w:val="en-US" w:eastAsia="zh-CN" w:bidi="ar"/>
              </w:rPr>
              <w:t>·</w:t>
            </w:r>
            <w:r>
              <w:rPr>
                <w:rStyle w:val="59"/>
                <w:rFonts w:hAnsi="宋体"/>
                <w:lang w:val="en-US" w:eastAsia="zh-CN" w:bidi="ar"/>
              </w:rPr>
              <w:t>管理诊断：深入剖析南沙资产集团在管控体系上的发展现状与核心问题，厘清管控体系调整方向和思路；</w:t>
            </w:r>
            <w:r>
              <w:rPr>
                <w:rStyle w:val="59"/>
                <w:rFonts w:hAnsi="宋体"/>
                <w:lang w:val="en-US" w:eastAsia="zh-CN" w:bidi="ar"/>
              </w:rPr>
              <w:br w:type="textWrapping"/>
            </w:r>
            <w:r>
              <w:rPr>
                <w:rStyle w:val="58"/>
                <w:lang w:val="en-US" w:eastAsia="zh-CN" w:bidi="ar"/>
              </w:rPr>
              <w:t>·</w:t>
            </w:r>
            <w:r>
              <w:rPr>
                <w:rStyle w:val="59"/>
                <w:rFonts w:hAnsi="宋体"/>
                <w:lang w:val="en-US" w:eastAsia="zh-CN" w:bidi="ar"/>
              </w:rPr>
              <w:t>体系设计：明确集团总部及下属公司功能定位，做好权责界面梳理和权责体系设计，将权责界面通过权责表实现清单化；</w:t>
            </w:r>
            <w:r>
              <w:rPr>
                <w:rStyle w:val="58"/>
                <w:lang w:val="en-US" w:eastAsia="zh-CN" w:bidi="ar"/>
              </w:rPr>
              <w:br w:type="textWrapping"/>
            </w:r>
            <w:r>
              <w:rPr>
                <w:rStyle w:val="58"/>
                <w:lang w:val="en-US" w:eastAsia="zh-CN" w:bidi="ar"/>
              </w:rPr>
              <w:t>·</w:t>
            </w:r>
            <w:r>
              <w:rPr>
                <w:rStyle w:val="59"/>
                <w:rFonts w:hAnsi="宋体"/>
                <w:lang w:val="en-US" w:eastAsia="zh-CN" w:bidi="ar"/>
              </w:rPr>
              <w:t>制度建设：基于优化后的权责体系，梳理、调整、优化、补充相关制度文件，完善集团管理制度体系。</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C1C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1.《南沙资产集团权责体系优化报告》</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2.《南沙资产集团权责表》</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3.《南沙资产集团管控体系制度汇编》</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80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9"/>
                <w:rFonts w:hAnsi="宋体"/>
                <w:lang w:val="en-US" w:eastAsia="zh-CN" w:bidi="ar"/>
              </w:rPr>
              <w:t>权责体系宣贯</w:t>
            </w:r>
          </w:p>
        </w:tc>
      </w:tr>
      <w:tr w14:paraId="0EE0F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4A0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DA1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组织架构与机构建设</w:t>
            </w:r>
          </w:p>
        </w:tc>
        <w:tc>
          <w:tcPr>
            <w:tcW w:w="5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09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8"/>
                <w:lang w:val="en-US" w:eastAsia="zh-CN" w:bidi="ar"/>
              </w:rPr>
              <w:t>·</w:t>
            </w:r>
            <w:r>
              <w:rPr>
                <w:rStyle w:val="59"/>
                <w:rFonts w:hAnsi="宋体"/>
                <w:lang w:val="en-US" w:eastAsia="zh-CN" w:bidi="ar"/>
              </w:rPr>
              <w:t>集团架构优化：根据集团战略规划，在明确集团与下属公司功能定位基础上，设计集团化架构，从股权整合和管理整合两方面，制定重组整合方案；</w:t>
            </w:r>
            <w:r>
              <w:rPr>
                <w:rStyle w:val="59"/>
                <w:rFonts w:hAnsi="宋体"/>
                <w:lang w:val="en-US" w:eastAsia="zh-CN" w:bidi="ar"/>
              </w:rPr>
              <w:br w:type="textWrapping"/>
            </w:r>
            <w:r>
              <w:rPr>
                <w:rStyle w:val="58"/>
                <w:lang w:val="en-US" w:eastAsia="zh-CN" w:bidi="ar"/>
              </w:rPr>
              <w:t>·</w:t>
            </w:r>
            <w:r>
              <w:rPr>
                <w:rStyle w:val="59"/>
                <w:rFonts w:hAnsi="宋体"/>
                <w:lang w:val="en-US" w:eastAsia="zh-CN" w:bidi="ar"/>
              </w:rPr>
              <w:t>完善治理结构：搭建完善三会一层及相关职能机构设置，为南沙资产集团建立中国特色现代企业治理体系；</w:t>
            </w:r>
            <w:r>
              <w:rPr>
                <w:rStyle w:val="59"/>
                <w:rFonts w:hAnsi="宋体"/>
                <w:lang w:val="en-US" w:eastAsia="zh-CN" w:bidi="ar"/>
              </w:rPr>
              <w:br w:type="textWrapping"/>
            </w:r>
            <w:r>
              <w:rPr>
                <w:rStyle w:val="58"/>
                <w:lang w:val="en-US" w:eastAsia="zh-CN" w:bidi="ar"/>
              </w:rPr>
              <w:t>·</w:t>
            </w:r>
            <w:r>
              <w:rPr>
                <w:rStyle w:val="59"/>
                <w:rFonts w:hAnsi="宋体"/>
                <w:lang w:val="en-US" w:eastAsia="zh-CN" w:bidi="ar"/>
              </w:rPr>
              <w:t>部门设置优化：按照集团总部功能定位，对总部部门及职能设置进行优化，更好发挥集团总部功能；</w:t>
            </w:r>
            <w:r>
              <w:rPr>
                <w:rStyle w:val="59"/>
                <w:rFonts w:hAnsi="宋体"/>
                <w:lang w:val="en-US" w:eastAsia="zh-CN" w:bidi="ar"/>
              </w:rPr>
              <w:br w:type="textWrapping"/>
            </w:r>
            <w:r>
              <w:rPr>
                <w:rStyle w:val="58"/>
                <w:lang w:val="en-US" w:eastAsia="zh-CN" w:bidi="ar"/>
              </w:rPr>
              <w:t>·</w:t>
            </w:r>
            <w:r>
              <w:rPr>
                <w:rStyle w:val="59"/>
                <w:rFonts w:hAnsi="宋体"/>
                <w:lang w:val="en-US" w:eastAsia="zh-CN" w:bidi="ar"/>
              </w:rPr>
              <w:t>岗位设计：梳理部门职责，合理设计各部门岗位，并进行工作分析，编写岗位说明书。</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F5B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1.《南沙资产集团组织体系优化报告》</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2.《南沙资产集团部门职能说明书》</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3.《南沙资产集团岗位设计方案》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4.《南沙资产集团岗位职责说明书》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9D7B">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Style w:val="59"/>
                <w:rFonts w:hAnsi="宋体"/>
                <w:lang w:val="en-US" w:eastAsia="zh-CN" w:bidi="ar"/>
              </w:rPr>
              <w:t>辅导实施，</w:t>
            </w:r>
            <w:r>
              <w:rPr>
                <w:rStyle w:val="59"/>
                <w:rFonts w:hint="eastAsia" w:hAnsi="宋体"/>
                <w:lang w:val="en-US" w:eastAsia="zh-CN" w:bidi="ar"/>
              </w:rPr>
              <w:t>且在辅导服务期内提供不少于3次现场指导。</w:t>
            </w:r>
          </w:p>
        </w:tc>
      </w:tr>
      <w:tr w14:paraId="439C7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6D4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53C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人力资源规划（集团总部及下属公司）</w:t>
            </w:r>
          </w:p>
        </w:tc>
        <w:tc>
          <w:tcPr>
            <w:tcW w:w="5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F5FC">
            <w:pPr>
              <w:pStyle w:val="2"/>
              <w:widowControl w:val="0"/>
              <w:spacing w:after="0"/>
              <w:textAlignment w:val="auto"/>
              <w:rPr>
                <w:rStyle w:val="59"/>
                <w:rFonts w:hAnsi="宋体"/>
                <w:lang w:val="en-US" w:eastAsia="zh-CN" w:bidi="ar"/>
              </w:rPr>
            </w:pPr>
            <w:r>
              <w:rPr>
                <w:rStyle w:val="58"/>
                <w:lang w:val="en-US" w:eastAsia="zh-CN" w:bidi="ar"/>
              </w:rPr>
              <w:t>·</w:t>
            </w:r>
            <w:r>
              <w:rPr>
                <w:rStyle w:val="59"/>
                <w:rFonts w:hint="eastAsia" w:hAnsi="宋体"/>
                <w:lang w:val="en-US" w:eastAsia="zh-CN" w:bidi="ar"/>
              </w:rPr>
              <w:t>人力资源现状分析：对公司内外部人力资源发展现状进行分析</w:t>
            </w:r>
            <w:r>
              <w:rPr>
                <w:rStyle w:val="59"/>
                <w:rFonts w:hAnsi="宋体"/>
                <w:lang w:val="en-US" w:eastAsia="zh-CN" w:bidi="ar"/>
              </w:rPr>
              <w:t>；</w:t>
            </w:r>
          </w:p>
          <w:p w14:paraId="05222304">
            <w:pPr>
              <w:pStyle w:val="2"/>
              <w:spacing w:after="0"/>
              <w:rPr>
                <w:rStyle w:val="59"/>
                <w:rFonts w:eastAsia="仿宋_GB2312"/>
                <w:lang w:eastAsia="zh-CN"/>
              </w:rPr>
            </w:pPr>
            <w:r>
              <w:rPr>
                <w:rStyle w:val="58"/>
                <w:lang w:val="en-US" w:eastAsia="zh-CN" w:bidi="ar"/>
              </w:rPr>
              <w:t>·</w:t>
            </w:r>
            <w:r>
              <w:rPr>
                <w:rStyle w:val="59"/>
              </w:rPr>
              <w:t>人力资源需求预测：根据公司发展战略，对未来人力资源需求总量、结构等进行分析预测</w:t>
            </w:r>
            <w:r>
              <w:rPr>
                <w:rStyle w:val="59"/>
                <w:rFonts w:eastAsia="仿宋_GB2312"/>
                <w:lang w:eastAsia="zh-CN"/>
              </w:rPr>
              <w:t>；</w:t>
            </w:r>
          </w:p>
          <w:p w14:paraId="4FEC1AB6">
            <w:pPr>
              <w:pStyle w:val="2"/>
              <w:spacing w:after="0"/>
              <w:rPr>
                <w:rStyle w:val="59"/>
                <w:rFonts w:hint="eastAsia" w:eastAsia="仿宋_GB2312"/>
                <w:lang w:val="en-US" w:eastAsia="zh-CN"/>
              </w:rPr>
            </w:pPr>
            <w:r>
              <w:rPr>
                <w:rStyle w:val="58"/>
                <w:lang w:val="en-US" w:eastAsia="zh-CN" w:bidi="ar"/>
              </w:rPr>
              <w:t>·</w:t>
            </w:r>
            <w:r>
              <w:rPr>
                <w:rStyle w:val="59"/>
              </w:rPr>
              <w:t>人力资源管理提升建议：基于现状和需求间的差距，从薪酬、绩效、招聘、培养等方面提出提升建议</w:t>
            </w:r>
            <w:r>
              <w:rPr>
                <w:rStyle w:val="59"/>
                <w:rFonts w:eastAsia="仿宋_GB2312"/>
                <w:lang w:eastAsia="zh-CN"/>
              </w:rPr>
              <w:t>。</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12CE">
            <w:pPr>
              <w:keepNext w:val="0"/>
              <w:keepLines w:val="0"/>
              <w:widowControl/>
              <w:suppressLineNumbers w:val="0"/>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《南沙资产集团人力资源规划》</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08DD">
            <w:pPr>
              <w:keepNext w:val="0"/>
              <w:keepLines w:val="0"/>
              <w:widowControl/>
              <w:suppressLineNumbers w:val="0"/>
              <w:jc w:val="left"/>
              <w:textAlignment w:val="center"/>
              <w:rPr>
                <w:rStyle w:val="59"/>
                <w:rFonts w:hAnsi="宋体"/>
                <w:lang w:val="en-US" w:eastAsia="zh-CN" w:bidi="ar"/>
              </w:rPr>
            </w:pPr>
            <w:r>
              <w:rPr>
                <w:rStyle w:val="59"/>
                <w:rFonts w:hint="eastAsia" w:hAnsi="宋体"/>
                <w:lang w:val="en-US" w:eastAsia="zh-CN" w:bidi="ar"/>
              </w:rPr>
              <w:t>辅导实施，且在辅导服务期内提供不少于3次现场指导。</w:t>
            </w:r>
          </w:p>
        </w:tc>
      </w:tr>
      <w:tr w14:paraId="2F92B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A62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89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薪酬绩效体系优化（集团总部）</w:t>
            </w:r>
          </w:p>
        </w:tc>
        <w:tc>
          <w:tcPr>
            <w:tcW w:w="5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E576">
            <w:pPr>
              <w:keepNext w:val="0"/>
              <w:keepLines w:val="0"/>
              <w:widowControl/>
              <w:suppressLineNumbers w:val="0"/>
              <w:jc w:val="left"/>
              <w:textAlignment w:val="center"/>
              <w:rPr>
                <w:rStyle w:val="59"/>
                <w:rFonts w:hint="eastAsia" w:hAnsi="宋体"/>
                <w:lang w:val="en-US" w:eastAsia="zh-CN" w:bidi="ar"/>
              </w:rPr>
            </w:pPr>
            <w:r>
              <w:rPr>
                <w:rStyle w:val="58"/>
                <w:lang w:val="en-US" w:eastAsia="zh-CN" w:bidi="ar"/>
              </w:rPr>
              <w:t>·</w:t>
            </w:r>
            <w:r>
              <w:rPr>
                <w:rStyle w:val="59"/>
                <w:rFonts w:hAnsi="宋体"/>
                <w:lang w:val="en-US" w:eastAsia="zh-CN" w:bidi="ar"/>
              </w:rPr>
              <w:t>薪酬</w:t>
            </w:r>
            <w:r>
              <w:rPr>
                <w:rStyle w:val="59"/>
                <w:rFonts w:hint="eastAsia" w:hAnsi="宋体"/>
                <w:lang w:val="en-US" w:eastAsia="zh-CN" w:bidi="ar"/>
              </w:rPr>
              <w:t>绩效</w:t>
            </w:r>
            <w:r>
              <w:rPr>
                <w:rStyle w:val="59"/>
                <w:rFonts w:hAnsi="宋体"/>
                <w:lang w:val="en-US" w:eastAsia="zh-CN" w:bidi="ar"/>
              </w:rPr>
              <w:t>现状调研：</w:t>
            </w:r>
            <w:r>
              <w:rPr>
                <w:rStyle w:val="59"/>
                <w:rFonts w:hint="eastAsia" w:hAnsi="宋体"/>
                <w:lang w:val="en-US" w:eastAsia="zh-CN" w:bidi="ar"/>
              </w:rPr>
              <w:t>对公司薪酬绩效管理现状进行调研，分析薪酬绩效管理体系当前存在的问题和需要改进的方向</w:t>
            </w:r>
            <w:r>
              <w:rPr>
                <w:rStyle w:val="59"/>
                <w:rFonts w:hAnsi="宋体"/>
                <w:lang w:val="en-US" w:eastAsia="zh-CN" w:bidi="ar"/>
              </w:rPr>
              <w:t>；</w:t>
            </w:r>
            <w:r>
              <w:rPr>
                <w:rStyle w:val="59"/>
                <w:rFonts w:hAnsi="宋体"/>
                <w:lang w:val="en-US" w:eastAsia="zh-CN" w:bidi="ar"/>
              </w:rPr>
              <w:br w:type="textWrapping"/>
            </w:r>
            <w:r>
              <w:rPr>
                <w:rStyle w:val="58"/>
                <w:lang w:val="en-US" w:eastAsia="zh-CN" w:bidi="ar"/>
              </w:rPr>
              <w:t>·</w:t>
            </w:r>
            <w:r>
              <w:rPr>
                <w:rStyle w:val="59"/>
                <w:rFonts w:hAnsi="宋体"/>
                <w:lang w:val="en-US" w:eastAsia="zh-CN" w:bidi="ar"/>
              </w:rPr>
              <w:t>薪酬</w:t>
            </w:r>
            <w:r>
              <w:rPr>
                <w:rStyle w:val="59"/>
                <w:rFonts w:hint="eastAsia" w:hAnsi="宋体"/>
                <w:lang w:val="en-US" w:eastAsia="zh-CN" w:bidi="ar"/>
              </w:rPr>
              <w:t>管理体系优化</w:t>
            </w:r>
            <w:r>
              <w:rPr>
                <w:rStyle w:val="59"/>
                <w:rFonts w:hAnsi="宋体"/>
                <w:lang w:val="en-US" w:eastAsia="zh-CN" w:bidi="ar"/>
              </w:rPr>
              <w:t>：</w:t>
            </w:r>
            <w:r>
              <w:rPr>
                <w:rStyle w:val="59"/>
                <w:rFonts w:hint="eastAsia" w:hAnsi="宋体"/>
                <w:lang w:val="en-US" w:eastAsia="zh-CN" w:bidi="ar"/>
              </w:rPr>
              <w:t>根据公司发展战略需要，从建设基于岗位价值、能力和业绩的个体薪酬管理规范和与团队绩效强关联的基于薪酬包管理的薪酬激励机制角度出发，优化现行薪酬体系；</w:t>
            </w:r>
          </w:p>
          <w:p w14:paraId="160C98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8"/>
                <w:lang w:val="en-US" w:eastAsia="zh-CN" w:bidi="ar"/>
              </w:rPr>
              <w:t>·</w:t>
            </w:r>
            <w:r>
              <w:rPr>
                <w:rStyle w:val="59"/>
              </w:rPr>
              <w:t>绩效管理体系优化：根据公司经营目标及组织特点，完善组织绩效考核方案、个人薪酬绩效考核方案等绩效管理体系</w:t>
            </w:r>
            <w:r>
              <w:rPr>
                <w:rStyle w:val="59"/>
                <w:rFonts w:hAnsi="宋体"/>
                <w:lang w:val="en-US" w:eastAsia="zh-CN" w:bidi="ar"/>
              </w:rPr>
              <w:t>。</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E2E6">
            <w:pPr>
              <w:keepNext w:val="0"/>
              <w:keepLines w:val="0"/>
              <w:widowControl/>
              <w:numPr>
                <w:ilvl w:val="0"/>
                <w:numId w:val="5"/>
              </w:numPr>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《南沙资产集团薪酬管理方案》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2.《南沙资产集团薪酬管理制度》</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3.《南沙资产集团薪级表》</w:t>
            </w:r>
          </w:p>
          <w:p w14:paraId="31DD66BB">
            <w:pPr>
              <w:pStyle w:val="2"/>
              <w:numPr>
                <w:ilvl w:val="-1"/>
                <w:numId w:val="0"/>
              </w:numPr>
              <w:rPr>
                <w:rFonts w:hint="eastAsia"/>
              </w:rPr>
            </w:pPr>
            <w:r>
              <w:rPr>
                <w:rFonts w:hint="eastAsia" w:ascii="仿宋_GB2312" w:hAnsi="宋体" w:eastAsia="仿宋_GB2312" w:cs="仿宋_GB2312"/>
                <w:i w:val="0"/>
                <w:iCs w:val="0"/>
                <w:color w:val="000000"/>
                <w:kern w:val="0"/>
                <w:sz w:val="24"/>
                <w:szCs w:val="24"/>
                <w:u w:val="none"/>
                <w:lang w:val="en-US" w:eastAsia="zh-CN" w:bidi="ar"/>
              </w:rPr>
              <w:t>4.《南沙资产集团绩效管理方案》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5.《南沙资产集团绩效管理制度》</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D1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9"/>
                <w:rFonts w:hAnsi="宋体"/>
                <w:lang w:val="en-US" w:eastAsia="zh-CN" w:bidi="ar"/>
              </w:rPr>
              <w:t>辅导实施</w:t>
            </w:r>
            <w:r>
              <w:rPr>
                <w:rStyle w:val="59"/>
                <w:rFonts w:hint="eastAsia" w:hAnsi="宋体"/>
                <w:lang w:val="en-US" w:eastAsia="zh-CN" w:bidi="ar"/>
              </w:rPr>
              <w:t>，且在辅导服务期内提供不少于3次现场指导。</w:t>
            </w:r>
          </w:p>
        </w:tc>
      </w:tr>
      <w:tr w14:paraId="067B0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D8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3E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职级管理体系（集团总部）</w:t>
            </w:r>
          </w:p>
        </w:tc>
        <w:tc>
          <w:tcPr>
            <w:tcW w:w="5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17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8"/>
                <w:lang w:val="en-US" w:eastAsia="zh-CN" w:bidi="ar"/>
              </w:rPr>
              <w:t>·</w:t>
            </w:r>
            <w:r>
              <w:rPr>
                <w:rStyle w:val="59"/>
                <w:rFonts w:hAnsi="宋体"/>
                <w:lang w:val="en-US" w:eastAsia="zh-CN" w:bidi="ar"/>
              </w:rPr>
              <w:t>职位序列划分：根据各岗位创造价值的特点进行职位序列划分，也即员工职业发展通道划分；</w:t>
            </w:r>
            <w:r>
              <w:rPr>
                <w:rStyle w:val="59"/>
                <w:rFonts w:hAnsi="宋体"/>
                <w:lang w:val="en-US" w:eastAsia="zh-CN" w:bidi="ar"/>
              </w:rPr>
              <w:br w:type="textWrapping"/>
            </w:r>
            <w:r>
              <w:rPr>
                <w:rStyle w:val="58"/>
                <w:lang w:val="en-US" w:eastAsia="zh-CN" w:bidi="ar"/>
              </w:rPr>
              <w:t>·</w:t>
            </w:r>
            <w:r>
              <w:rPr>
                <w:rStyle w:val="59"/>
                <w:rFonts w:hAnsi="宋体"/>
                <w:lang w:val="en-US" w:eastAsia="zh-CN" w:bidi="ar"/>
              </w:rPr>
              <w:t>职级表设计：根据集团发展对各职位序列岗位任职人员的能力级别需求，结合各岗位的岗位价值，设计职级表；</w:t>
            </w:r>
            <w:r>
              <w:rPr>
                <w:rStyle w:val="59"/>
                <w:rFonts w:hAnsi="宋体"/>
                <w:lang w:val="en-US" w:eastAsia="zh-CN" w:bidi="ar"/>
              </w:rPr>
              <w:br w:type="textWrapping"/>
            </w:r>
            <w:r>
              <w:rPr>
                <w:rStyle w:val="58"/>
                <w:lang w:val="en-US" w:eastAsia="zh-CN" w:bidi="ar"/>
              </w:rPr>
              <w:t>·</w:t>
            </w:r>
            <w:r>
              <w:rPr>
                <w:rStyle w:val="59"/>
                <w:rFonts w:hAnsi="宋体"/>
                <w:lang w:val="en-US" w:eastAsia="zh-CN" w:bidi="ar"/>
              </w:rPr>
              <w:t>职级管理机制：建立职级管理机制，与薪酬体系强关联，激励员工持续提高个人能力和业绩。</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AA0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1.《南沙资产集团职级管理制度》</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2.《南沙资产集团职级表》</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51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9"/>
                <w:rFonts w:hAnsi="宋体"/>
                <w:lang w:val="en-US" w:eastAsia="zh-CN" w:bidi="ar"/>
              </w:rPr>
              <w:t>辅导实施，</w:t>
            </w:r>
            <w:r>
              <w:rPr>
                <w:rStyle w:val="59"/>
                <w:rFonts w:hint="eastAsia" w:hAnsi="宋体"/>
                <w:lang w:val="en-US" w:eastAsia="zh-CN" w:bidi="ar"/>
              </w:rPr>
              <w:t>且在辅导服务期内提供不少于3次现场指导。</w:t>
            </w:r>
          </w:p>
        </w:tc>
      </w:tr>
      <w:tr w14:paraId="0972B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19B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7</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EA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人才梯队培养方案</w:t>
            </w:r>
          </w:p>
        </w:tc>
        <w:tc>
          <w:tcPr>
            <w:tcW w:w="5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83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59"/>
                <w:rFonts w:hAnsi="宋体"/>
                <w:lang w:val="en-US" w:eastAsia="zh-CN" w:bidi="ar"/>
              </w:rPr>
              <w:t>能力素质调研：对</w:t>
            </w:r>
            <w:r>
              <w:rPr>
                <w:rStyle w:val="59"/>
                <w:rFonts w:hint="eastAsia" w:hAnsi="宋体"/>
                <w:lang w:val="en-US" w:eastAsia="zh-CN" w:bidi="ar"/>
              </w:rPr>
              <w:t>集团核心人才梯队</w:t>
            </w:r>
            <w:r>
              <w:rPr>
                <w:rStyle w:val="59"/>
                <w:rFonts w:hAnsi="宋体"/>
                <w:lang w:val="en-US" w:eastAsia="zh-CN" w:bidi="ar"/>
              </w:rPr>
              <w:t>情况进行调研和评估；</w:t>
            </w:r>
            <w:r>
              <w:rPr>
                <w:rStyle w:val="59"/>
                <w:rFonts w:hAnsi="宋体"/>
                <w:lang w:val="en-US" w:eastAsia="zh-CN" w:bidi="ar"/>
              </w:rPr>
              <w:br w:type="textWrapping"/>
            </w:r>
            <w:r>
              <w:rPr>
                <w:rStyle w:val="58"/>
                <w:lang w:val="en-US" w:eastAsia="zh-CN" w:bidi="ar"/>
              </w:rPr>
              <w:t>·</w:t>
            </w:r>
            <w:r>
              <w:rPr>
                <w:rStyle w:val="59"/>
                <w:rFonts w:hAnsi="宋体"/>
                <w:lang w:val="en-US" w:eastAsia="zh-CN" w:bidi="ar"/>
              </w:rPr>
              <w:t>设计培养方案：根据集团对</w:t>
            </w:r>
            <w:r>
              <w:rPr>
                <w:rStyle w:val="59"/>
                <w:rFonts w:hint="eastAsia" w:hAnsi="宋体"/>
                <w:lang w:val="en-US" w:eastAsia="zh-CN" w:bidi="ar"/>
              </w:rPr>
              <w:t>核心人才梯队</w:t>
            </w:r>
            <w:r>
              <w:rPr>
                <w:rStyle w:val="59"/>
                <w:rFonts w:hAnsi="宋体"/>
                <w:lang w:val="en-US" w:eastAsia="zh-CN" w:bidi="ar"/>
              </w:rPr>
              <w:t>的能力素质要求，设计培养方案。</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8A0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《南沙资产集团人才梯队培养方案》</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31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9"/>
                <w:rFonts w:hAnsi="宋体"/>
                <w:lang w:val="en-US" w:eastAsia="zh-CN" w:bidi="ar"/>
              </w:rPr>
              <w:t>辅导实施，</w:t>
            </w:r>
            <w:r>
              <w:rPr>
                <w:rStyle w:val="59"/>
                <w:rFonts w:hint="eastAsia" w:hAnsi="宋体"/>
                <w:lang w:val="en-US" w:eastAsia="zh-CN" w:bidi="ar"/>
              </w:rPr>
              <w:t>且在辅导服务期内提供不少于3次现场指导。</w:t>
            </w:r>
          </w:p>
        </w:tc>
      </w:tr>
    </w:tbl>
    <w:p w14:paraId="25009CAD">
      <w:pPr>
        <w:pStyle w:val="2"/>
        <w:rPr>
          <w:rFonts w:hint="eastAsia"/>
          <w:lang w:eastAsia="zh-CN"/>
        </w:rPr>
      </w:pPr>
    </w:p>
    <w:p w14:paraId="2DEAC5A7">
      <w:pPr>
        <w:widowControl/>
        <w:shd w:val="clear" w:color="auto" w:fill="FFFFFF"/>
        <w:spacing w:line="560" w:lineRule="exact"/>
        <w:ind w:firstLine="640" w:firstLineChars="200"/>
        <w:jc w:val="left"/>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（四）服务价格：</w:t>
      </w:r>
      <w:r>
        <w:rPr>
          <w:rFonts w:hint="eastAsia" w:ascii="仿宋_GB2312" w:hAnsi="仿宋_GB2312" w:eastAsia="仿宋_GB2312" w:cs="仿宋_GB2312"/>
          <w:kern w:val="0"/>
          <w:sz w:val="32"/>
          <w:szCs w:val="32"/>
          <w:highlight w:val="none"/>
          <w:u w:val="single"/>
          <w:shd w:val="clear" w:color="auto" w:fill="FFFFFF"/>
          <w:lang w:bidi="ar"/>
        </w:rPr>
        <w:t>不高于人民币</w:t>
      </w:r>
      <w:r>
        <w:rPr>
          <w:rFonts w:hint="eastAsia" w:ascii="仿宋_GB2312" w:hAnsi="仿宋_GB2312" w:eastAsia="仿宋_GB2312" w:cs="仿宋_GB2312"/>
          <w:kern w:val="0"/>
          <w:sz w:val="32"/>
          <w:szCs w:val="32"/>
          <w:highlight w:val="none"/>
          <w:u w:val="single"/>
          <w:shd w:val="clear" w:color="auto" w:fill="FFFFFF"/>
          <w:lang w:val="en-US" w:eastAsia="zh-CN" w:bidi="ar"/>
        </w:rPr>
        <w:t>190万元且不低于160万元</w:t>
      </w:r>
      <w:r>
        <w:rPr>
          <w:rFonts w:hint="eastAsia" w:ascii="仿宋_GB2312" w:hAnsi="仿宋_GB2312" w:eastAsia="仿宋_GB2312" w:cs="仿宋_GB2312"/>
          <w:kern w:val="0"/>
          <w:sz w:val="32"/>
          <w:szCs w:val="32"/>
          <w:highlight w:val="none"/>
          <w:shd w:val="clear" w:color="auto" w:fill="FFFFFF"/>
          <w:lang w:val="en-US" w:eastAsia="zh-CN" w:bidi="ar"/>
        </w:rPr>
        <w:t>。</w:t>
      </w:r>
    </w:p>
    <w:p w14:paraId="0CF94F78">
      <w:pPr>
        <w:widowControl/>
        <w:shd w:val="clear" w:color="auto" w:fill="FFFFFF"/>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三、投标人资格要求</w:t>
      </w:r>
    </w:p>
    <w:p w14:paraId="337E910C">
      <w:pPr>
        <w:widowControl/>
        <w:shd w:val="clear" w:color="auto" w:fill="FFFFFF"/>
        <w:ind w:firstLine="640" w:firstLineChars="200"/>
        <w:rPr>
          <w:rFonts w:ascii="仿宋_GB2312" w:hAnsi="仿宋_GB2312" w:eastAsia="仿宋_GB2312" w:cs="仿宋_GB2312"/>
          <w:kern w:val="0"/>
          <w:sz w:val="32"/>
          <w:szCs w:val="32"/>
          <w:highlight w:val="none"/>
          <w:shd w:val="clear" w:color="auto" w:fill="FFFFFF"/>
          <w:lang w:bidi="ar"/>
        </w:rPr>
      </w:pPr>
      <w:bookmarkStart w:id="1" w:name="投标人资格要求（招标文件）"/>
      <w:r>
        <w:rPr>
          <w:rFonts w:hint="eastAsia" w:ascii="仿宋_GB2312" w:hAnsi="仿宋_GB2312" w:eastAsia="仿宋_GB2312" w:cs="仿宋_GB2312"/>
          <w:kern w:val="0"/>
          <w:sz w:val="32"/>
          <w:szCs w:val="32"/>
          <w:highlight w:val="none"/>
          <w:shd w:val="clear" w:color="auto" w:fill="FFFFFF"/>
          <w:lang w:bidi="ar"/>
        </w:rPr>
        <w:t>投标人必须同时具备以下资格条件：</w:t>
      </w:r>
      <w:bookmarkEnd w:id="1"/>
    </w:p>
    <w:p w14:paraId="67116F35">
      <w:pPr>
        <w:widowControl/>
        <w:numPr>
          <w:ilvl w:val="0"/>
          <w:numId w:val="6"/>
        </w:numPr>
        <w:shd w:val="clear" w:color="auto" w:fill="FFFFFF"/>
        <w:spacing w:line="560" w:lineRule="exact"/>
        <w:ind w:firstLine="640" w:firstLineChars="200"/>
        <w:jc w:val="left"/>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在中华人民共和国境内注册，具有独立承担民事责任能力并具有法人资格；持有工商行政管理部门核发的法人营业执照，按国家法律正常经营；</w:t>
      </w:r>
    </w:p>
    <w:p w14:paraId="0C4E9367">
      <w:pPr>
        <w:widowControl/>
        <w:numPr>
          <w:ilvl w:val="0"/>
          <w:numId w:val="6"/>
        </w:numPr>
        <w:shd w:val="clear" w:color="auto" w:fill="FFFFFF"/>
        <w:spacing w:line="560" w:lineRule="exact"/>
        <w:ind w:firstLine="640" w:firstLineChars="200"/>
        <w:jc w:val="left"/>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投标人需具备企业管理咨询、经济咨询、技术咨询等与本咨询服务项目相关的经营范围</w:t>
      </w:r>
      <w:r>
        <w:rPr>
          <w:rFonts w:hint="eastAsia" w:ascii="仿宋_GB2312" w:hAnsi="仿宋_GB2312" w:eastAsia="仿宋_GB2312" w:cs="仿宋_GB2312"/>
          <w:kern w:val="0"/>
          <w:sz w:val="32"/>
          <w:szCs w:val="32"/>
          <w:highlight w:val="none"/>
          <w:shd w:val="clear" w:color="auto" w:fill="FFFFFF"/>
          <w:lang w:eastAsia="zh-CN" w:bidi="ar"/>
        </w:rPr>
        <w:t>；</w:t>
      </w:r>
    </w:p>
    <w:p w14:paraId="32C48DE0">
      <w:pPr>
        <w:widowControl/>
        <w:numPr>
          <w:ilvl w:val="0"/>
          <w:numId w:val="6"/>
        </w:numPr>
        <w:shd w:val="clear" w:color="auto" w:fill="FFFFFF"/>
        <w:spacing w:line="560" w:lineRule="exact"/>
        <w:ind w:firstLine="640" w:firstLineChars="200"/>
        <w:jc w:val="left"/>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投标人</w:t>
      </w:r>
      <w:r>
        <w:rPr>
          <w:rFonts w:hint="eastAsia" w:ascii="仿宋_GB2312" w:hAnsi="仿宋_GB2312" w:eastAsia="仿宋_GB2312" w:cs="仿宋_GB2312"/>
          <w:kern w:val="0"/>
          <w:sz w:val="32"/>
          <w:szCs w:val="32"/>
          <w:highlight w:val="none"/>
          <w:shd w:val="clear" w:color="auto" w:fill="FFFFFF"/>
          <w:lang w:val="en-US" w:eastAsia="zh-CN" w:bidi="ar"/>
        </w:rPr>
        <w:t>近三年具有良好的财务状况</w:t>
      </w:r>
      <w:r>
        <w:rPr>
          <w:rFonts w:hint="eastAsia" w:ascii="仿宋_GB2312" w:hAnsi="仿宋_GB2312" w:eastAsia="仿宋_GB2312" w:cs="仿宋_GB2312"/>
          <w:kern w:val="0"/>
          <w:sz w:val="32"/>
          <w:szCs w:val="32"/>
          <w:highlight w:val="none"/>
          <w:shd w:val="clear" w:color="auto" w:fill="FFFFFF"/>
          <w:lang w:bidi="ar"/>
        </w:rPr>
        <w:t>（提供承诺函）；</w:t>
      </w:r>
    </w:p>
    <w:p w14:paraId="2C8F873C">
      <w:pPr>
        <w:widowControl/>
        <w:numPr>
          <w:ilvl w:val="0"/>
          <w:numId w:val="6"/>
        </w:numPr>
        <w:shd w:val="clear" w:color="auto" w:fill="FFFFFF"/>
        <w:spacing w:line="560" w:lineRule="exact"/>
        <w:ind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投标人必须为未被列入信用中国网站(www.creditchina.gov.cn)的“失信被执行人”、“重大税收违法案件当事人名单”的供应商（提供开标时间前10天内的查询结果网页截图并加盖公章</w:t>
      </w:r>
      <w:r>
        <w:rPr>
          <w:rFonts w:hint="eastAsia" w:ascii="仿宋_GB2312" w:hAnsi="仿宋_GB2312" w:eastAsia="仿宋_GB2312" w:cs="仿宋_GB2312"/>
          <w:kern w:val="0"/>
          <w:sz w:val="32"/>
          <w:szCs w:val="32"/>
          <w:highlight w:val="none"/>
          <w:shd w:val="clear" w:color="auto" w:fill="FFFFFF"/>
          <w:lang w:eastAsia="zh-CN" w:bidi="ar"/>
        </w:rPr>
        <w:t>，</w:t>
      </w:r>
      <w:r>
        <w:rPr>
          <w:rFonts w:hint="eastAsia" w:ascii="仿宋_GB2312" w:hAnsi="仿宋_GB2312" w:eastAsia="仿宋_GB2312" w:cs="仿宋_GB2312"/>
          <w:kern w:val="0"/>
          <w:sz w:val="32"/>
          <w:szCs w:val="32"/>
          <w:highlight w:val="none"/>
          <w:shd w:val="clear" w:color="auto" w:fill="FFFFFF"/>
          <w:lang w:val="en-US" w:eastAsia="zh-CN" w:bidi="ar"/>
        </w:rPr>
        <w:t>截图须显示截图时间</w:t>
      </w:r>
      <w:r>
        <w:rPr>
          <w:rFonts w:hint="eastAsia" w:ascii="仿宋_GB2312" w:hAnsi="仿宋_GB2312" w:eastAsia="仿宋_GB2312" w:cs="仿宋_GB2312"/>
          <w:kern w:val="0"/>
          <w:sz w:val="32"/>
          <w:szCs w:val="32"/>
          <w:highlight w:val="none"/>
          <w:shd w:val="clear" w:color="auto" w:fill="FFFFFF"/>
          <w:lang w:bidi="ar"/>
        </w:rPr>
        <w:t>）；投标人近三年内（202</w:t>
      </w:r>
      <w:r>
        <w:rPr>
          <w:rFonts w:hint="eastAsia" w:ascii="仿宋_GB2312" w:hAnsi="仿宋_GB2312" w:eastAsia="仿宋_GB2312" w:cs="仿宋_GB2312"/>
          <w:kern w:val="0"/>
          <w:sz w:val="32"/>
          <w:szCs w:val="32"/>
          <w:highlight w:val="none"/>
          <w:shd w:val="clear" w:color="auto" w:fill="FFFFFF"/>
          <w:lang w:val="en-US" w:eastAsia="zh-CN" w:bidi="ar"/>
        </w:rPr>
        <w:t>2</w:t>
      </w:r>
      <w:r>
        <w:rPr>
          <w:rFonts w:hint="eastAsia" w:ascii="仿宋_GB2312" w:hAnsi="仿宋_GB2312" w:eastAsia="仿宋_GB2312" w:cs="仿宋_GB2312"/>
          <w:kern w:val="0"/>
          <w:sz w:val="32"/>
          <w:szCs w:val="32"/>
          <w:highlight w:val="none"/>
          <w:shd w:val="clear" w:color="auto" w:fill="FFFFFF"/>
          <w:lang w:bidi="ar"/>
        </w:rPr>
        <w:t>年</w:t>
      </w:r>
      <w:r>
        <w:rPr>
          <w:rFonts w:hint="eastAsia" w:ascii="仿宋_GB2312" w:hAnsi="仿宋_GB2312" w:eastAsia="仿宋_GB2312" w:cs="仿宋_GB2312"/>
          <w:kern w:val="0"/>
          <w:sz w:val="32"/>
          <w:szCs w:val="32"/>
          <w:highlight w:val="none"/>
          <w:shd w:val="clear" w:color="auto" w:fill="FFFFFF"/>
          <w:lang w:val="en-US" w:eastAsia="zh-CN" w:bidi="ar"/>
        </w:rPr>
        <w:t>7</w:t>
      </w:r>
      <w:r>
        <w:rPr>
          <w:rFonts w:hint="eastAsia" w:ascii="仿宋_GB2312" w:hAnsi="仿宋_GB2312" w:eastAsia="仿宋_GB2312" w:cs="仿宋_GB2312"/>
          <w:kern w:val="0"/>
          <w:sz w:val="32"/>
          <w:szCs w:val="32"/>
          <w:highlight w:val="none"/>
          <w:shd w:val="clear" w:color="auto" w:fill="FFFFFF"/>
          <w:lang w:bidi="ar"/>
        </w:rPr>
        <w:t>月</w:t>
      </w:r>
      <w:r>
        <w:rPr>
          <w:rFonts w:hint="eastAsia" w:ascii="仿宋_GB2312" w:hAnsi="仿宋_GB2312" w:eastAsia="仿宋_GB2312" w:cs="仿宋_GB2312"/>
          <w:kern w:val="0"/>
          <w:sz w:val="32"/>
          <w:szCs w:val="32"/>
          <w:highlight w:val="none"/>
          <w:shd w:val="clear" w:color="auto" w:fill="FFFFFF"/>
          <w:lang w:val="en-US" w:eastAsia="zh-CN" w:bidi="ar"/>
        </w:rPr>
        <w:t>1</w:t>
      </w:r>
      <w:r>
        <w:rPr>
          <w:rFonts w:hint="eastAsia" w:ascii="仿宋_GB2312" w:hAnsi="仿宋_GB2312" w:eastAsia="仿宋_GB2312" w:cs="仿宋_GB2312"/>
          <w:kern w:val="0"/>
          <w:sz w:val="32"/>
          <w:szCs w:val="32"/>
          <w:highlight w:val="none"/>
          <w:shd w:val="clear" w:color="auto" w:fill="FFFFFF"/>
          <w:lang w:bidi="ar"/>
        </w:rPr>
        <w:t>日至202</w:t>
      </w:r>
      <w:r>
        <w:rPr>
          <w:rFonts w:hint="eastAsia" w:ascii="仿宋_GB2312" w:hAnsi="仿宋_GB2312" w:eastAsia="仿宋_GB2312" w:cs="仿宋_GB2312"/>
          <w:kern w:val="0"/>
          <w:sz w:val="32"/>
          <w:szCs w:val="32"/>
          <w:highlight w:val="none"/>
          <w:shd w:val="clear" w:color="auto" w:fill="FFFFFF"/>
          <w:lang w:val="en-US" w:eastAsia="zh-CN" w:bidi="ar"/>
        </w:rPr>
        <w:t>5</w:t>
      </w:r>
      <w:r>
        <w:rPr>
          <w:rFonts w:hint="eastAsia" w:ascii="仿宋_GB2312" w:hAnsi="仿宋_GB2312" w:eastAsia="仿宋_GB2312" w:cs="仿宋_GB2312"/>
          <w:kern w:val="0"/>
          <w:sz w:val="32"/>
          <w:szCs w:val="32"/>
          <w:highlight w:val="none"/>
          <w:shd w:val="clear" w:color="auto" w:fill="FFFFFF"/>
          <w:lang w:bidi="ar"/>
        </w:rPr>
        <w:t>年</w:t>
      </w:r>
      <w:r>
        <w:rPr>
          <w:rFonts w:hint="eastAsia" w:ascii="仿宋_GB2312" w:hAnsi="仿宋_GB2312" w:eastAsia="仿宋_GB2312" w:cs="仿宋_GB2312"/>
          <w:kern w:val="0"/>
          <w:sz w:val="32"/>
          <w:szCs w:val="32"/>
          <w:highlight w:val="none"/>
          <w:shd w:val="clear" w:color="auto" w:fill="FFFFFF"/>
          <w:lang w:val="en-US" w:eastAsia="zh-CN" w:bidi="ar"/>
        </w:rPr>
        <w:t>6</w:t>
      </w:r>
      <w:r>
        <w:rPr>
          <w:rFonts w:hint="eastAsia" w:ascii="仿宋_GB2312" w:hAnsi="仿宋_GB2312" w:eastAsia="仿宋_GB2312" w:cs="仿宋_GB2312"/>
          <w:kern w:val="0"/>
          <w:sz w:val="32"/>
          <w:szCs w:val="32"/>
          <w:highlight w:val="none"/>
          <w:shd w:val="clear" w:color="auto" w:fill="FFFFFF"/>
          <w:lang w:bidi="ar"/>
        </w:rPr>
        <w:t>月</w:t>
      </w:r>
      <w:r>
        <w:rPr>
          <w:rFonts w:hint="eastAsia" w:ascii="仿宋_GB2312" w:hAnsi="仿宋_GB2312" w:eastAsia="仿宋_GB2312" w:cs="仿宋_GB2312"/>
          <w:kern w:val="0"/>
          <w:sz w:val="32"/>
          <w:szCs w:val="32"/>
          <w:highlight w:val="none"/>
          <w:shd w:val="clear" w:color="auto" w:fill="FFFFFF"/>
          <w:lang w:val="en-US" w:eastAsia="zh-CN" w:bidi="ar"/>
        </w:rPr>
        <w:t>30</w:t>
      </w:r>
      <w:r>
        <w:rPr>
          <w:rFonts w:hint="eastAsia" w:ascii="仿宋_GB2312" w:hAnsi="仿宋_GB2312" w:eastAsia="仿宋_GB2312" w:cs="仿宋_GB2312"/>
          <w:kern w:val="0"/>
          <w:sz w:val="32"/>
          <w:szCs w:val="32"/>
          <w:highlight w:val="none"/>
          <w:shd w:val="clear" w:color="auto" w:fill="FFFFFF"/>
          <w:lang w:bidi="ar"/>
        </w:rPr>
        <w:t>日）没有重大违法记录、</w:t>
      </w:r>
      <w:r>
        <w:rPr>
          <w:rFonts w:hint="eastAsia" w:ascii="仿宋_GB2312" w:hAnsi="仿宋_GB2312" w:eastAsia="仿宋_GB2312" w:cs="仿宋_GB2312"/>
          <w:kern w:val="0"/>
          <w:sz w:val="32"/>
          <w:szCs w:val="32"/>
          <w:highlight w:val="none"/>
          <w:shd w:val="clear" w:color="auto" w:fill="FFFFFF"/>
          <w:lang w:val="en-US" w:eastAsia="zh-CN" w:bidi="ar"/>
        </w:rPr>
        <w:t>不存在骗取中标、严重违约等情况、</w:t>
      </w:r>
      <w:r>
        <w:rPr>
          <w:rFonts w:hint="eastAsia" w:ascii="仿宋_GB2312" w:hAnsi="仿宋_GB2312" w:eastAsia="仿宋_GB2312" w:cs="仿宋_GB2312"/>
          <w:kern w:val="0"/>
          <w:sz w:val="32"/>
          <w:szCs w:val="32"/>
          <w:highlight w:val="none"/>
          <w:shd w:val="clear" w:color="auto" w:fill="FFFFFF"/>
          <w:lang w:bidi="ar"/>
        </w:rPr>
        <w:t>有依法缴纳税收和社会保障资金的良好记录、服务团队成员为投标人员工并未受过行业处罚或涉及行业相关的法律诉讼事项（提供承诺函）；</w:t>
      </w:r>
    </w:p>
    <w:p w14:paraId="2E8DB0C0">
      <w:pPr>
        <w:widowControl/>
        <w:numPr>
          <w:ilvl w:val="0"/>
          <w:numId w:val="6"/>
        </w:numPr>
        <w:shd w:val="clear" w:color="auto" w:fill="FFFFFF"/>
        <w:spacing w:line="560" w:lineRule="exact"/>
        <w:ind w:firstLine="640" w:firstLineChars="200"/>
        <w:rPr>
          <w:highlight w:val="none"/>
        </w:rPr>
      </w:pPr>
      <w:r>
        <w:rPr>
          <w:rFonts w:hint="eastAsia" w:ascii="仿宋_GB2312" w:hAnsi="仿宋_GB2312" w:eastAsia="仿宋_GB2312" w:cs="仿宋_GB2312"/>
          <w:kern w:val="0"/>
          <w:sz w:val="32"/>
          <w:szCs w:val="32"/>
          <w:highlight w:val="none"/>
          <w:shd w:val="clear" w:color="auto" w:fill="FFFFFF"/>
          <w:lang w:val="en-US" w:eastAsia="zh-CN" w:bidi="ar"/>
        </w:rPr>
        <w:t>投标人须确保项目服务团队成员（包括项目负责人）与投标文件保持一致，且项目负责人驻场时间须超过15个工作日（提供承诺函）；</w:t>
      </w:r>
    </w:p>
    <w:p w14:paraId="00F9C780">
      <w:pPr>
        <w:widowControl/>
        <w:numPr>
          <w:ilvl w:val="0"/>
          <w:numId w:val="6"/>
        </w:numPr>
        <w:shd w:val="clear" w:color="auto" w:fill="FFFFFF"/>
        <w:spacing w:line="560" w:lineRule="exact"/>
        <w:ind w:firstLine="640" w:firstLineChars="200"/>
        <w:rPr>
          <w:highlight w:val="none"/>
        </w:rPr>
      </w:pPr>
      <w:r>
        <w:rPr>
          <w:rFonts w:hint="eastAsia" w:ascii="仿宋_GB2312" w:hAnsi="仿宋_GB2312" w:eastAsia="仿宋_GB2312" w:cs="仿宋_GB2312"/>
          <w:kern w:val="0"/>
          <w:sz w:val="32"/>
          <w:szCs w:val="32"/>
          <w:highlight w:val="none"/>
          <w:shd w:val="clear" w:color="auto" w:fill="FFFFFF"/>
          <w:lang w:bidi="ar"/>
        </w:rPr>
        <w:t>本次招标</w:t>
      </w:r>
      <w:r>
        <w:rPr>
          <w:rFonts w:hint="eastAsia" w:ascii="仿宋_GB2312" w:hAnsi="仿宋_GB2312" w:eastAsia="仿宋_GB2312" w:cs="仿宋_GB2312"/>
          <w:kern w:val="0"/>
          <w:sz w:val="32"/>
          <w:szCs w:val="32"/>
          <w:highlight w:val="none"/>
          <w:shd w:val="clear" w:color="auto" w:fill="FFFFFF"/>
          <w:lang w:val="en-US" w:eastAsia="zh-CN" w:bidi="ar"/>
        </w:rPr>
        <w:t>不</w:t>
      </w:r>
      <w:r>
        <w:rPr>
          <w:rFonts w:hint="eastAsia" w:ascii="仿宋_GB2312" w:hAnsi="仿宋_GB2312" w:eastAsia="仿宋_GB2312" w:cs="仿宋_GB2312"/>
          <w:kern w:val="0"/>
          <w:sz w:val="32"/>
          <w:szCs w:val="32"/>
          <w:highlight w:val="none"/>
          <w:shd w:val="clear" w:color="auto" w:fill="FFFFFF"/>
          <w:lang w:bidi="ar"/>
        </w:rPr>
        <w:t>接受联合体投标。</w:t>
      </w:r>
    </w:p>
    <w:p w14:paraId="26CB374F">
      <w:pPr>
        <w:widowControl/>
        <w:shd w:val="clear" w:color="auto" w:fill="FFFFFF"/>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四、投标文件内容及要求</w:t>
      </w:r>
    </w:p>
    <w:p w14:paraId="4F4FFF88">
      <w:pPr>
        <w:widowControl/>
        <w:shd w:val="clear" w:color="auto" w:fill="FFFFFF"/>
        <w:ind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（一）投标文件必须包括以下内容：</w:t>
      </w:r>
    </w:p>
    <w:p w14:paraId="2CBDD0FB">
      <w:pPr>
        <w:widowControl/>
        <w:numPr>
          <w:ilvl w:val="0"/>
          <w:numId w:val="7"/>
        </w:numPr>
        <w:shd w:val="clear" w:color="auto" w:fill="FFFFFF"/>
        <w:ind w:left="0"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投标书</w:t>
      </w:r>
      <w:r>
        <w:rPr>
          <w:rFonts w:hint="eastAsia" w:ascii="仿宋_GB2312" w:hAnsi="仿宋_GB2312" w:eastAsia="仿宋_GB2312" w:cs="仿宋_GB2312"/>
          <w:kern w:val="0"/>
          <w:sz w:val="32"/>
          <w:szCs w:val="32"/>
          <w:highlight w:val="none"/>
          <w:shd w:val="clear" w:color="auto" w:fill="FFFFFF"/>
          <w:lang w:eastAsia="zh-CN" w:bidi="ar"/>
        </w:rPr>
        <w:t>；</w:t>
      </w:r>
    </w:p>
    <w:p w14:paraId="7A3ADBBC">
      <w:pPr>
        <w:widowControl/>
        <w:numPr>
          <w:ilvl w:val="0"/>
          <w:numId w:val="7"/>
        </w:numPr>
        <w:shd w:val="clear" w:color="auto" w:fill="FFFFFF"/>
        <w:ind w:left="0"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报价表</w:t>
      </w:r>
      <w:r>
        <w:rPr>
          <w:rFonts w:hint="eastAsia" w:ascii="仿宋_GB2312" w:hAnsi="仿宋_GB2312" w:eastAsia="仿宋_GB2312" w:cs="仿宋_GB2312"/>
          <w:kern w:val="0"/>
          <w:sz w:val="32"/>
          <w:szCs w:val="32"/>
          <w:highlight w:val="none"/>
          <w:shd w:val="clear" w:color="auto" w:fill="FFFFFF"/>
          <w:lang w:eastAsia="zh-CN" w:bidi="ar"/>
        </w:rPr>
        <w:t>：投标报价为固定价格（含税），包括本项目所有服务及各种税费等全部费用，以人民币为结算单位（附件1.2）</w:t>
      </w:r>
      <w:r>
        <w:rPr>
          <w:rFonts w:hint="eastAsia" w:ascii="仿宋_GB2312" w:hAnsi="仿宋_GB2312" w:eastAsia="仿宋_GB2312" w:cs="仿宋_GB2312"/>
          <w:kern w:val="0"/>
          <w:sz w:val="32"/>
          <w:szCs w:val="32"/>
          <w:highlight w:val="none"/>
          <w:shd w:val="clear" w:color="auto" w:fill="FFFFFF"/>
          <w:lang w:bidi="ar"/>
        </w:rPr>
        <w:t>；</w:t>
      </w:r>
    </w:p>
    <w:p w14:paraId="67B8A5BD">
      <w:pPr>
        <w:widowControl/>
        <w:numPr>
          <w:ilvl w:val="0"/>
          <w:numId w:val="7"/>
        </w:numPr>
        <w:shd w:val="clear" w:color="auto" w:fill="FFFFFF"/>
        <w:ind w:left="0"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开标时间前10天内投标人未被列入信用中国网站(www.creditchina.gov.cn)“失信被执行人”、“重大税收违法案件当事人名单”的查询结果网页截图（加盖公章</w:t>
      </w:r>
      <w:r>
        <w:rPr>
          <w:rFonts w:hint="eastAsia" w:ascii="仿宋_GB2312" w:hAnsi="仿宋_GB2312" w:eastAsia="仿宋_GB2312" w:cs="仿宋_GB2312"/>
          <w:kern w:val="0"/>
          <w:sz w:val="32"/>
          <w:szCs w:val="32"/>
          <w:highlight w:val="none"/>
          <w:shd w:val="clear" w:color="auto" w:fill="FFFFFF"/>
          <w:lang w:eastAsia="zh-CN" w:bidi="ar"/>
        </w:rPr>
        <w:t>，</w:t>
      </w:r>
      <w:r>
        <w:rPr>
          <w:rFonts w:hint="eastAsia" w:ascii="仿宋_GB2312" w:hAnsi="仿宋_GB2312" w:eastAsia="仿宋_GB2312" w:cs="仿宋_GB2312"/>
          <w:kern w:val="0"/>
          <w:sz w:val="32"/>
          <w:szCs w:val="32"/>
          <w:highlight w:val="none"/>
          <w:shd w:val="clear" w:color="auto" w:fill="FFFFFF"/>
          <w:lang w:val="en-US" w:eastAsia="zh-CN" w:bidi="ar"/>
        </w:rPr>
        <w:t>截图须显示截图时间</w:t>
      </w:r>
      <w:r>
        <w:rPr>
          <w:rFonts w:hint="eastAsia" w:ascii="仿宋_GB2312" w:hAnsi="仿宋_GB2312" w:eastAsia="仿宋_GB2312" w:cs="仿宋_GB2312"/>
          <w:kern w:val="0"/>
          <w:sz w:val="32"/>
          <w:szCs w:val="32"/>
          <w:highlight w:val="none"/>
          <w:shd w:val="clear" w:color="auto" w:fill="FFFFFF"/>
          <w:lang w:bidi="ar"/>
        </w:rPr>
        <w:t>）和相关要求承诺函（附件1.7）；</w:t>
      </w:r>
    </w:p>
    <w:p w14:paraId="29FCD790">
      <w:pPr>
        <w:widowControl/>
        <w:numPr>
          <w:ilvl w:val="0"/>
          <w:numId w:val="7"/>
        </w:numPr>
        <w:shd w:val="clear" w:color="auto" w:fill="FFFFFF"/>
        <w:ind w:left="0"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法定代表人证明书，如有受托人的，则同时提供法定代表人证明书和法人授权委托证明书、受托人身份证明（身份证复印件）；</w:t>
      </w:r>
    </w:p>
    <w:p w14:paraId="244ED5B7">
      <w:pPr>
        <w:widowControl/>
        <w:numPr>
          <w:ilvl w:val="0"/>
          <w:numId w:val="7"/>
        </w:numPr>
        <w:shd w:val="clear" w:color="auto" w:fill="FFFFFF"/>
        <w:ind w:left="0" w:firstLine="640" w:firstLineChars="200"/>
        <w:rPr>
          <w:highlight w:val="none"/>
        </w:rPr>
      </w:pPr>
      <w:r>
        <w:rPr>
          <w:rFonts w:hint="eastAsia" w:ascii="仿宋_GB2312" w:hAnsi="仿宋_GB2312" w:eastAsia="仿宋_GB2312" w:cs="仿宋_GB2312"/>
          <w:kern w:val="0"/>
          <w:sz w:val="32"/>
          <w:szCs w:val="32"/>
          <w:highlight w:val="none"/>
          <w:shd w:val="clear" w:color="auto" w:fill="FFFFFF"/>
          <w:lang w:bidi="ar"/>
        </w:rPr>
        <w:t>有效的营业执照副本、组织机构代码证副本、税务登记证副本复印件或</w:t>
      </w:r>
      <w:r>
        <w:rPr>
          <w:rFonts w:hint="default" w:ascii="仿宋_GB2312" w:hAnsi="仿宋_GB2312" w:eastAsia="仿宋_GB2312" w:cs="仿宋_GB2312"/>
          <w:kern w:val="0"/>
          <w:sz w:val="32"/>
          <w:szCs w:val="32"/>
          <w:highlight w:val="none"/>
          <w:shd w:val="clear" w:color="auto" w:fill="FFFFFF"/>
          <w:lang w:val="en-US" w:bidi="ar"/>
        </w:rPr>
        <w:t>三</w:t>
      </w:r>
      <w:r>
        <w:rPr>
          <w:rFonts w:hint="eastAsia" w:ascii="仿宋_GB2312" w:hAnsi="仿宋_GB2312" w:eastAsia="仿宋_GB2312" w:cs="仿宋_GB2312"/>
          <w:kern w:val="0"/>
          <w:sz w:val="32"/>
          <w:szCs w:val="32"/>
          <w:highlight w:val="none"/>
          <w:shd w:val="clear" w:color="auto" w:fill="FFFFFF"/>
          <w:lang w:bidi="ar"/>
        </w:rPr>
        <w:t>证合一新证副本复印件（加盖公章）</w:t>
      </w:r>
      <w:r>
        <w:rPr>
          <w:rFonts w:hint="eastAsia" w:ascii="仿宋_GB2312" w:hAnsi="仿宋_GB2312" w:eastAsia="仿宋_GB2312" w:cs="仿宋_GB2312"/>
          <w:kern w:val="0"/>
          <w:sz w:val="32"/>
          <w:szCs w:val="32"/>
          <w:highlight w:val="none"/>
          <w:shd w:val="clear" w:color="auto" w:fill="FFFFFF"/>
          <w:lang w:eastAsia="zh-CN" w:bidi="ar"/>
        </w:rPr>
        <w:t>、相关资质证明文件（证明文件需加盖公章）</w:t>
      </w:r>
      <w:r>
        <w:rPr>
          <w:rFonts w:hint="eastAsia" w:ascii="仿宋_GB2312" w:hAnsi="仿宋_GB2312" w:eastAsia="仿宋_GB2312" w:cs="仿宋_GB2312"/>
          <w:kern w:val="0"/>
          <w:sz w:val="32"/>
          <w:szCs w:val="32"/>
          <w:highlight w:val="none"/>
          <w:shd w:val="clear" w:color="auto" w:fill="FFFFFF"/>
          <w:lang w:bidi="ar"/>
        </w:rPr>
        <w:t>；</w:t>
      </w:r>
    </w:p>
    <w:p w14:paraId="27313266">
      <w:pPr>
        <w:widowControl/>
        <w:numPr>
          <w:ilvl w:val="0"/>
          <w:numId w:val="7"/>
        </w:numPr>
        <w:shd w:val="clear" w:color="auto" w:fill="FFFFFF"/>
        <w:ind w:left="0" w:firstLine="640"/>
        <w:rPr>
          <w:highlight w:val="none"/>
        </w:rPr>
      </w:pPr>
      <w:r>
        <w:rPr>
          <w:rFonts w:hint="eastAsia" w:ascii="仿宋_GB2312" w:hAnsi="仿宋_GB2312" w:eastAsia="仿宋_GB2312" w:cs="仿宋_GB2312"/>
          <w:kern w:val="0"/>
          <w:sz w:val="32"/>
          <w:szCs w:val="32"/>
          <w:highlight w:val="none"/>
          <w:shd w:val="clear" w:color="auto" w:fill="FFFFFF"/>
          <w:lang w:bidi="ar"/>
        </w:rPr>
        <w:t>投标人过往</w:t>
      </w:r>
      <w:r>
        <w:rPr>
          <w:rFonts w:hint="eastAsia" w:ascii="仿宋_GB2312" w:hAnsi="仿宋_GB2312" w:eastAsia="仿宋_GB2312" w:cs="仿宋_GB2312"/>
          <w:kern w:val="0"/>
          <w:sz w:val="32"/>
          <w:szCs w:val="32"/>
          <w:highlight w:val="none"/>
          <w:shd w:val="clear" w:color="auto" w:fill="FFFFFF"/>
          <w:lang w:val="en-US" w:eastAsia="zh-CN" w:bidi="ar"/>
        </w:rPr>
        <w:t>类似项目</w:t>
      </w:r>
      <w:r>
        <w:rPr>
          <w:rFonts w:hint="eastAsia" w:ascii="仿宋_GB2312" w:hAnsi="仿宋_GB2312" w:eastAsia="仿宋_GB2312" w:cs="仿宋_GB2312"/>
          <w:kern w:val="0"/>
          <w:sz w:val="32"/>
          <w:szCs w:val="32"/>
          <w:highlight w:val="none"/>
          <w:shd w:val="clear" w:color="auto" w:fill="FFFFFF"/>
          <w:lang w:bidi="ar"/>
        </w:rPr>
        <w:t>服务经验</w:t>
      </w:r>
      <w:r>
        <w:rPr>
          <w:rFonts w:hint="eastAsia" w:ascii="仿宋_GB2312" w:hAnsi="仿宋_GB2312" w:eastAsia="仿宋_GB2312" w:cs="仿宋_GB2312"/>
          <w:kern w:val="0"/>
          <w:sz w:val="32"/>
          <w:szCs w:val="32"/>
          <w:highlight w:val="none"/>
          <w:shd w:val="clear" w:color="auto" w:fill="FFFFFF"/>
          <w:lang w:val="en-US" w:eastAsia="zh-CN" w:bidi="ar"/>
        </w:rPr>
        <w:t>证明</w:t>
      </w:r>
      <w:r>
        <w:rPr>
          <w:rFonts w:hint="eastAsia" w:ascii="仿宋_GB2312" w:hAnsi="仿宋_GB2312" w:eastAsia="仿宋_GB2312" w:cs="仿宋_GB2312"/>
          <w:kern w:val="0"/>
          <w:sz w:val="32"/>
          <w:szCs w:val="32"/>
          <w:highlight w:val="none"/>
          <w:shd w:val="clear" w:color="auto" w:fill="FFFFFF"/>
          <w:lang w:bidi="ar"/>
        </w:rPr>
        <w:t>，包括承接过</w:t>
      </w:r>
      <w:r>
        <w:rPr>
          <w:rFonts w:hint="eastAsia" w:ascii="仿宋_GB2312" w:hAnsi="仿宋_GB2312" w:eastAsia="仿宋_GB2312" w:cs="仿宋_GB2312"/>
          <w:kern w:val="0"/>
          <w:sz w:val="32"/>
          <w:szCs w:val="32"/>
          <w:highlight w:val="none"/>
          <w:shd w:val="clear" w:color="auto" w:fill="FFFFFF"/>
          <w:lang w:val="en-US" w:eastAsia="zh-CN" w:bidi="ar"/>
        </w:rPr>
        <w:t>战略</w:t>
      </w:r>
      <w:r>
        <w:rPr>
          <w:rFonts w:hint="eastAsia" w:ascii="仿宋_GB2312" w:hAnsi="仿宋_GB2312" w:eastAsia="仿宋_GB2312" w:cs="仿宋_GB2312"/>
          <w:kern w:val="0"/>
          <w:sz w:val="32"/>
          <w:szCs w:val="32"/>
          <w:highlight w:val="none"/>
          <w:shd w:val="clear" w:color="auto" w:fill="FFFFFF"/>
          <w:lang w:bidi="ar"/>
        </w:rPr>
        <w:t>咨询服务</w:t>
      </w:r>
      <w:r>
        <w:rPr>
          <w:rFonts w:hint="eastAsia" w:ascii="仿宋_GB2312" w:hAnsi="仿宋_GB2312" w:eastAsia="仿宋_GB2312" w:cs="仿宋_GB2312"/>
          <w:kern w:val="0"/>
          <w:sz w:val="32"/>
          <w:szCs w:val="32"/>
          <w:highlight w:val="none"/>
          <w:shd w:val="clear" w:color="auto" w:fill="FFFFFF"/>
          <w:lang w:val="en-US" w:eastAsia="zh-CN" w:bidi="ar"/>
        </w:rPr>
        <w:t>或组织管控、人力资源等管理咨询</w:t>
      </w:r>
      <w:r>
        <w:rPr>
          <w:rFonts w:hint="eastAsia" w:ascii="仿宋_GB2312" w:hAnsi="仿宋_GB2312" w:eastAsia="仿宋_GB2312" w:cs="仿宋_GB2312"/>
          <w:kern w:val="0"/>
          <w:sz w:val="32"/>
          <w:szCs w:val="32"/>
          <w:highlight w:val="none"/>
          <w:shd w:val="clear" w:color="auto" w:fill="FFFFFF"/>
          <w:lang w:bidi="ar"/>
        </w:rPr>
        <w:t>项目的合同及相关文件（按综合能力评分标准编制，加盖公章）；</w:t>
      </w:r>
    </w:p>
    <w:p w14:paraId="0471FBD2">
      <w:pPr>
        <w:widowControl/>
        <w:numPr>
          <w:ilvl w:val="0"/>
          <w:numId w:val="7"/>
        </w:numPr>
        <w:shd w:val="clear" w:color="auto" w:fill="FFFFFF"/>
        <w:ind w:left="0"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服务团队成员（包括项目负责人）名单（按综合能力评分标准编制，需加盖公章）；</w:t>
      </w:r>
    </w:p>
    <w:p w14:paraId="7D304E06">
      <w:pPr>
        <w:numPr>
          <w:ilvl w:val="0"/>
          <w:numId w:val="7"/>
        </w:numPr>
        <w:ind w:left="0" w:firstLine="640" w:firstLineChars="200"/>
        <w:rPr>
          <w:rFonts w:ascii="仿宋_GB2312" w:eastAsia="仿宋_GB2312"/>
          <w:sz w:val="32"/>
          <w:szCs w:val="28"/>
          <w:highlight w:val="none"/>
          <w:lang w:bidi="ar"/>
        </w:rPr>
      </w:pPr>
      <w:r>
        <w:rPr>
          <w:rFonts w:hint="eastAsia" w:ascii="仿宋_GB2312" w:hAnsi="仿宋_GB2312" w:eastAsia="仿宋_GB2312" w:cs="仿宋_GB2312"/>
          <w:kern w:val="0"/>
          <w:sz w:val="32"/>
          <w:szCs w:val="32"/>
          <w:highlight w:val="none"/>
          <w:shd w:val="clear" w:color="auto" w:fill="FFFFFF"/>
          <w:lang w:val="en-US" w:eastAsia="zh-CN" w:bidi="ar"/>
        </w:rPr>
        <w:t>投标人确保项目服务团队成员（包括项目负责人）与投标文件保持一致，且项目负责人驻场时间超过15个工作日的承诺函（内容及格式自拟）；</w:t>
      </w:r>
    </w:p>
    <w:p w14:paraId="28B188B9">
      <w:pPr>
        <w:numPr>
          <w:ilvl w:val="0"/>
          <w:numId w:val="7"/>
        </w:numPr>
        <w:ind w:left="0" w:firstLine="640" w:firstLineChars="200"/>
        <w:rPr>
          <w:rFonts w:ascii="仿宋_GB2312" w:eastAsia="仿宋_GB2312"/>
          <w:sz w:val="32"/>
          <w:szCs w:val="28"/>
          <w:highlight w:val="none"/>
          <w:lang w:bidi="ar"/>
        </w:rPr>
      </w:pPr>
      <w:r>
        <w:rPr>
          <w:rFonts w:hint="eastAsia" w:ascii="仿宋_GB2312" w:eastAsia="仿宋_GB2312"/>
          <w:sz w:val="32"/>
          <w:szCs w:val="28"/>
          <w:highlight w:val="none"/>
          <w:lang w:val="en-US" w:eastAsia="zh-CN" w:bidi="ar"/>
        </w:rPr>
        <w:t>技术方案：</w:t>
      </w:r>
    </w:p>
    <w:p w14:paraId="285AAF64">
      <w:pPr>
        <w:numPr>
          <w:ilvl w:val="0"/>
          <w:numId w:val="8"/>
        </w:numPr>
        <w:ind w:left="0" w:leftChars="0" w:firstLine="640" w:firstLineChars="200"/>
        <w:rPr>
          <w:rFonts w:ascii="仿宋_GB2312" w:eastAsia="仿宋_GB2312"/>
          <w:sz w:val="32"/>
          <w:szCs w:val="28"/>
          <w:highlight w:val="none"/>
          <w:lang w:bidi="ar"/>
        </w:rPr>
      </w:pPr>
      <w:r>
        <w:rPr>
          <w:rFonts w:hint="eastAsia" w:ascii="仿宋_GB2312" w:eastAsia="仿宋_GB2312"/>
          <w:sz w:val="32"/>
          <w:szCs w:val="28"/>
          <w:highlight w:val="none"/>
          <w:lang w:val="en-US" w:eastAsia="zh-CN" w:bidi="ar"/>
        </w:rPr>
        <w:t>发展诊断分析：深入了解招标人的实际发展情况，包括但不限于从以下方面科学诊断并分析招标人“十四五”期间发展的成绩和存在的问题：发展目标实现情况、业务布局情况、重点项目情况、管理体系建设情况、人力资源建设情况（加盖公章）；</w:t>
      </w:r>
    </w:p>
    <w:p w14:paraId="76CF1141">
      <w:pPr>
        <w:numPr>
          <w:ilvl w:val="0"/>
          <w:numId w:val="8"/>
        </w:numPr>
        <w:ind w:left="0" w:leftChars="0" w:firstLine="640" w:firstLineChars="200"/>
        <w:rPr>
          <w:rFonts w:ascii="仿宋_GB2312" w:eastAsia="仿宋_GB2312"/>
          <w:sz w:val="32"/>
          <w:szCs w:val="28"/>
          <w:highlight w:val="none"/>
          <w:lang w:bidi="ar"/>
        </w:rPr>
      </w:pPr>
      <w:r>
        <w:rPr>
          <w:rFonts w:hint="eastAsia" w:ascii="仿宋_GB2312" w:eastAsia="仿宋_GB2312"/>
          <w:sz w:val="32"/>
          <w:szCs w:val="28"/>
          <w:highlight w:val="none"/>
          <w:lang w:val="en-US" w:eastAsia="zh-CN" w:bidi="ar"/>
        </w:rPr>
        <w:t>外部环境分析：深刻理解招标人编制“十五五”规划的发展背景，分析招标人发展面临的宏观环境、行业环境和区域环境变化带来的机遇和挑战。宏观环境包括经济范式变化、人口结构变化、消费升级、科技创新、政策导向、国企改革等；行业环境包括招标人涉及的文旅消费、数字经济等行业发展形势等；区域环境包括南沙区近年来发展形势等（加盖公章）。</w:t>
      </w:r>
    </w:p>
    <w:p w14:paraId="06EBE72C">
      <w:pPr>
        <w:numPr>
          <w:ilvl w:val="0"/>
          <w:numId w:val="8"/>
        </w:numPr>
        <w:ind w:left="0" w:leftChars="0" w:firstLine="640" w:firstLineChars="200"/>
        <w:rPr>
          <w:rFonts w:ascii="仿宋_GB2312" w:eastAsia="仿宋_GB2312"/>
          <w:sz w:val="32"/>
          <w:szCs w:val="28"/>
          <w:highlight w:val="none"/>
          <w:lang w:bidi="ar"/>
        </w:rPr>
      </w:pPr>
      <w:r>
        <w:rPr>
          <w:rFonts w:hint="eastAsia" w:ascii="仿宋_GB2312" w:eastAsia="仿宋_GB2312"/>
          <w:sz w:val="32"/>
          <w:szCs w:val="28"/>
          <w:highlight w:val="none"/>
          <w:lang w:bidi="ar"/>
        </w:rPr>
        <w:t>规划编制思路</w:t>
      </w:r>
      <w:r>
        <w:rPr>
          <w:rFonts w:hint="eastAsia" w:ascii="仿宋_GB2312" w:eastAsia="仿宋_GB2312"/>
          <w:sz w:val="32"/>
          <w:szCs w:val="28"/>
          <w:highlight w:val="none"/>
          <w:lang w:eastAsia="zh-CN" w:bidi="ar"/>
        </w:rPr>
        <w:t>：基于对</w:t>
      </w:r>
      <w:r>
        <w:rPr>
          <w:rFonts w:hint="eastAsia" w:ascii="仿宋_GB2312" w:eastAsia="仿宋_GB2312"/>
          <w:sz w:val="32"/>
          <w:szCs w:val="28"/>
          <w:highlight w:val="none"/>
          <w:lang w:val="en-US" w:eastAsia="zh-CN" w:bidi="ar"/>
        </w:rPr>
        <w:t>招标</w:t>
      </w:r>
      <w:r>
        <w:rPr>
          <w:rFonts w:hint="eastAsia" w:ascii="仿宋_GB2312" w:eastAsia="仿宋_GB2312"/>
          <w:sz w:val="32"/>
          <w:szCs w:val="28"/>
          <w:highlight w:val="none"/>
          <w:lang w:eastAsia="zh-CN" w:bidi="ar"/>
        </w:rPr>
        <w:t>人内外部发展环境的理解，针对</w:t>
      </w:r>
      <w:r>
        <w:rPr>
          <w:rFonts w:hint="eastAsia" w:ascii="仿宋_GB2312" w:eastAsia="仿宋_GB2312"/>
          <w:sz w:val="32"/>
          <w:szCs w:val="28"/>
          <w:highlight w:val="none"/>
          <w:lang w:val="en-US" w:eastAsia="zh-CN" w:bidi="ar"/>
        </w:rPr>
        <w:t>招标</w:t>
      </w:r>
      <w:r>
        <w:rPr>
          <w:rFonts w:hint="eastAsia" w:ascii="仿宋_GB2312" w:eastAsia="仿宋_GB2312"/>
          <w:sz w:val="32"/>
          <w:szCs w:val="28"/>
          <w:highlight w:val="none"/>
          <w:lang w:eastAsia="zh-CN" w:bidi="ar"/>
        </w:rPr>
        <w:t>人的规划编制需要，提出有针对性、有创新性的规划思路，主要包括顶层设计与总体战略蓝图、业务布局与业务发展思路、组织管控与集团管理、战略落地保障措施、人力资源体系系统提升</w:t>
      </w:r>
      <w:r>
        <w:rPr>
          <w:rFonts w:hint="eastAsia" w:ascii="仿宋_GB2312" w:eastAsia="仿宋_GB2312"/>
          <w:sz w:val="32"/>
          <w:szCs w:val="28"/>
          <w:highlight w:val="none"/>
          <w:lang w:val="en-US" w:eastAsia="zh-CN" w:bidi="ar"/>
        </w:rPr>
        <w:t>等（加盖公章）。</w:t>
      </w:r>
    </w:p>
    <w:p w14:paraId="56E05444">
      <w:pPr>
        <w:numPr>
          <w:ilvl w:val="0"/>
          <w:numId w:val="8"/>
        </w:numPr>
        <w:ind w:left="0" w:leftChars="0" w:firstLine="640" w:firstLineChars="200"/>
        <w:rPr>
          <w:rFonts w:ascii="仿宋_GB2312" w:eastAsia="仿宋_GB2312"/>
          <w:sz w:val="32"/>
          <w:szCs w:val="28"/>
          <w:highlight w:val="none"/>
          <w:lang w:bidi="ar"/>
        </w:rPr>
      </w:pPr>
      <w:r>
        <w:rPr>
          <w:rFonts w:hint="eastAsia" w:ascii="仿宋_GB2312" w:eastAsia="仿宋_GB2312"/>
          <w:sz w:val="32"/>
          <w:szCs w:val="28"/>
          <w:highlight w:val="none"/>
          <w:lang w:bidi="ar"/>
        </w:rPr>
        <w:t>服务方案</w:t>
      </w:r>
      <w:r>
        <w:rPr>
          <w:rFonts w:hint="eastAsia" w:ascii="仿宋_GB2312" w:eastAsia="仿宋_GB2312"/>
          <w:sz w:val="32"/>
          <w:szCs w:val="28"/>
          <w:highlight w:val="none"/>
          <w:lang w:eastAsia="zh-CN" w:bidi="ar"/>
        </w:rPr>
        <w:t>：基于</w:t>
      </w:r>
      <w:r>
        <w:rPr>
          <w:rFonts w:hint="eastAsia" w:ascii="仿宋_GB2312" w:eastAsia="仿宋_GB2312"/>
          <w:sz w:val="32"/>
          <w:szCs w:val="28"/>
          <w:highlight w:val="none"/>
          <w:lang w:val="en-US" w:eastAsia="zh-CN" w:bidi="ar"/>
        </w:rPr>
        <w:t>招标</w:t>
      </w:r>
      <w:r>
        <w:rPr>
          <w:rFonts w:hint="eastAsia" w:ascii="仿宋_GB2312" w:eastAsia="仿宋_GB2312"/>
          <w:sz w:val="32"/>
          <w:szCs w:val="28"/>
          <w:highlight w:val="none"/>
          <w:lang w:eastAsia="zh-CN" w:bidi="ar"/>
        </w:rPr>
        <w:t>人服务需求和投标人提出的规划编制思路，提出有针对性、有创新性、有可操作性的规划服务方案</w:t>
      </w:r>
      <w:r>
        <w:rPr>
          <w:rFonts w:hint="eastAsia" w:ascii="仿宋_GB2312" w:eastAsia="仿宋_GB2312"/>
          <w:sz w:val="32"/>
          <w:szCs w:val="28"/>
          <w:highlight w:val="none"/>
          <w:lang w:val="en-US" w:eastAsia="zh-CN" w:bidi="ar"/>
        </w:rPr>
        <w:t>（加盖公章）</w:t>
      </w:r>
      <w:r>
        <w:rPr>
          <w:rFonts w:hint="eastAsia" w:ascii="仿宋_GB2312" w:eastAsia="仿宋_GB2312"/>
          <w:sz w:val="32"/>
          <w:szCs w:val="28"/>
          <w:highlight w:val="none"/>
          <w:lang w:eastAsia="zh-CN" w:bidi="ar"/>
        </w:rPr>
        <w:t>。</w:t>
      </w:r>
    </w:p>
    <w:p w14:paraId="58F7E969">
      <w:pPr>
        <w:numPr>
          <w:ilvl w:val="0"/>
          <w:numId w:val="8"/>
        </w:numPr>
        <w:ind w:left="0" w:leftChars="0" w:firstLine="640" w:firstLineChars="200"/>
        <w:rPr>
          <w:rFonts w:ascii="仿宋_GB2312" w:eastAsia="仿宋_GB2312"/>
          <w:sz w:val="32"/>
          <w:szCs w:val="28"/>
          <w:highlight w:val="none"/>
          <w:lang w:bidi="ar"/>
        </w:rPr>
      </w:pPr>
      <w:r>
        <w:rPr>
          <w:rFonts w:hint="eastAsia" w:ascii="仿宋_GB2312" w:eastAsia="仿宋_GB2312"/>
          <w:sz w:val="32"/>
          <w:szCs w:val="28"/>
          <w:highlight w:val="none"/>
          <w:lang w:bidi="ar"/>
        </w:rPr>
        <w:t>服务质量控制</w:t>
      </w:r>
      <w:r>
        <w:rPr>
          <w:rFonts w:hint="eastAsia" w:ascii="仿宋_GB2312" w:eastAsia="仿宋_GB2312"/>
          <w:sz w:val="32"/>
          <w:szCs w:val="28"/>
          <w:highlight w:val="none"/>
          <w:lang w:val="en-US" w:eastAsia="zh-CN" w:bidi="ar"/>
        </w:rPr>
        <w:t>及进度保障措施</w:t>
      </w:r>
      <w:r>
        <w:rPr>
          <w:rFonts w:hint="eastAsia" w:ascii="仿宋_GB2312" w:eastAsia="仿宋_GB2312"/>
          <w:sz w:val="32"/>
          <w:szCs w:val="28"/>
          <w:highlight w:val="none"/>
          <w:lang w:eastAsia="zh-CN" w:bidi="ar"/>
        </w:rPr>
        <w:t>：</w:t>
      </w:r>
      <w:r>
        <w:rPr>
          <w:rFonts w:hint="eastAsia" w:ascii="仿宋_GB2312" w:eastAsia="仿宋_GB2312"/>
          <w:sz w:val="32"/>
          <w:szCs w:val="28"/>
          <w:highlight w:val="none"/>
          <w:lang w:val="en-US" w:eastAsia="zh-CN" w:bidi="ar"/>
        </w:rPr>
        <w:t>包括项目各环节质量要求、阶段性审核机制、工作任务安排、关键节点计划等内容（加盖公章）。</w:t>
      </w:r>
    </w:p>
    <w:p w14:paraId="5B2AFB54">
      <w:pPr>
        <w:widowControl/>
        <w:shd w:val="clear" w:color="auto" w:fill="FFFFFF"/>
        <w:ind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（二）投标文件应符合以下要求：</w:t>
      </w:r>
    </w:p>
    <w:p w14:paraId="1F86394E">
      <w:pPr>
        <w:widowControl/>
        <w:numPr>
          <w:ilvl w:val="0"/>
          <w:numId w:val="9"/>
        </w:numPr>
        <w:shd w:val="clear" w:color="auto" w:fill="FFFFFF"/>
        <w:ind w:left="0"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投标文件纸质文件一式叁份，其中一份为正本并标记，两份为副本；电子文件为投标文件（首页盖章）的扫描件一份（U盘）。当正本与副本有不一致时，以正本为准。正本与副本应分别装订成册，在封面上标记“正本”、“副本”，封套上包含以下图示内容，并且加贴封条和加盖公章。</w:t>
      </w:r>
    </w:p>
    <w:tbl>
      <w:tblPr>
        <w:tblStyle w:val="18"/>
        <w:tblpPr w:leftFromText="180" w:rightFromText="180" w:vertAnchor="text" w:horzAnchor="page" w:tblpX="2237" w:tblpY="316"/>
        <w:tblOverlap w:val="never"/>
        <w:tblW w:w="8258" w:type="dxa"/>
        <w:tblInd w:w="0" w:type="dxa"/>
        <w:shd w:val="clear" w:color="auto" w:fill="E6E6E6"/>
        <w:tblLayout w:type="fixed"/>
        <w:tblCellMar>
          <w:top w:w="0" w:type="dxa"/>
          <w:left w:w="108" w:type="dxa"/>
          <w:bottom w:w="0" w:type="dxa"/>
          <w:right w:w="108" w:type="dxa"/>
        </w:tblCellMar>
      </w:tblPr>
      <w:tblGrid>
        <w:gridCol w:w="8258"/>
      </w:tblGrid>
      <w:tr w14:paraId="05AC2379">
        <w:tblPrEx>
          <w:shd w:val="clear" w:color="auto" w:fill="E6E6E6"/>
          <w:tblCellMar>
            <w:top w:w="0" w:type="dxa"/>
            <w:left w:w="108" w:type="dxa"/>
            <w:bottom w:w="0" w:type="dxa"/>
            <w:right w:w="108" w:type="dxa"/>
          </w:tblCellMar>
        </w:tblPrEx>
        <w:trPr>
          <w:trHeight w:val="3328" w:hRule="atLeast"/>
        </w:trPr>
        <w:tc>
          <w:tcPr>
            <w:tcW w:w="8258" w:type="dxa"/>
            <w:shd w:val="clear" w:color="auto" w:fill="E6E6E6"/>
          </w:tcPr>
          <w:p w14:paraId="3B2A7A6D">
            <w:pPr>
              <w:spacing w:line="560" w:lineRule="exact"/>
              <w:ind w:firstLine="420" w:firstLineChars="200"/>
              <w:rPr>
                <w:color w:val="000000"/>
                <w:highlight w:val="none"/>
              </w:rPr>
            </w:pPr>
            <w:r>
              <w:rPr>
                <w:color w:val="000000"/>
                <w:highlight w:val="none"/>
              </w:rPr>
              <w:t>收件人：</w:t>
            </w:r>
            <w:r>
              <w:rPr>
                <w:rFonts w:hint="eastAsia"/>
                <w:color w:val="000000"/>
                <w:highlight w:val="none"/>
                <w:lang w:val="en-US" w:eastAsia="zh-CN"/>
              </w:rPr>
              <w:t>广州南沙资产经营集团有限公司</w:t>
            </w:r>
          </w:p>
          <w:p w14:paraId="0F8A2346">
            <w:pPr>
              <w:spacing w:line="560" w:lineRule="exact"/>
              <w:ind w:firstLine="420" w:firstLineChars="200"/>
              <w:rPr>
                <w:rFonts w:hint="eastAsia" w:eastAsia="宋体"/>
                <w:color w:val="000000"/>
                <w:highlight w:val="none"/>
                <w:lang w:eastAsia="zh-CN"/>
              </w:rPr>
            </w:pPr>
            <w:r>
              <w:rPr>
                <w:color w:val="000000"/>
                <w:highlight w:val="none"/>
              </w:rPr>
              <w:t>项目名称：</w:t>
            </w:r>
            <w:r>
              <w:rPr>
                <w:rFonts w:hint="eastAsia"/>
                <w:color w:val="000000"/>
                <w:highlight w:val="none"/>
              </w:rPr>
              <w:t>南沙资产经营集团战略规划及综合管理</w:t>
            </w:r>
            <w:r>
              <w:rPr>
                <w:rFonts w:hint="eastAsia"/>
                <w:color w:val="000000"/>
                <w:highlight w:val="none"/>
                <w:lang w:eastAsia="zh-CN"/>
              </w:rPr>
              <w:t>咨询服务项目</w:t>
            </w:r>
          </w:p>
          <w:p w14:paraId="078F741E">
            <w:pPr>
              <w:spacing w:line="560" w:lineRule="exact"/>
              <w:ind w:firstLine="420" w:firstLineChars="200"/>
              <w:rPr>
                <w:color w:val="000000"/>
                <w:highlight w:val="none"/>
              </w:rPr>
            </w:pPr>
            <w:r>
              <w:rPr>
                <w:color w:val="000000"/>
                <w:highlight w:val="none"/>
              </w:rPr>
              <w:t>投标人名称：</w:t>
            </w:r>
          </w:p>
          <w:p w14:paraId="73919ED5">
            <w:pPr>
              <w:spacing w:line="560" w:lineRule="exact"/>
              <w:ind w:firstLine="420" w:firstLineChars="200"/>
              <w:rPr>
                <w:color w:val="000000"/>
                <w:highlight w:val="none"/>
              </w:rPr>
            </w:pPr>
            <w:r>
              <w:rPr>
                <w:color w:val="000000"/>
                <w:highlight w:val="none"/>
              </w:rPr>
              <w:t>投标人地址、联系人、电话</w:t>
            </w:r>
            <w:r>
              <w:rPr>
                <w:rFonts w:hint="eastAsia"/>
                <w:color w:val="000000"/>
                <w:highlight w:val="none"/>
              </w:rPr>
              <w:t>：</w:t>
            </w:r>
          </w:p>
          <w:p w14:paraId="23F6A9B3">
            <w:pPr>
              <w:pStyle w:val="3"/>
              <w:spacing w:line="560" w:lineRule="exact"/>
              <w:ind w:firstLine="602" w:firstLineChars="200"/>
              <w:rPr>
                <w:color w:val="000000"/>
                <w:highlight w:val="none"/>
              </w:rPr>
            </w:pPr>
            <w:r>
              <w:rPr>
                <w:rFonts w:hint="eastAsia" w:ascii="宋体" w:hAnsi="宋体" w:cs="宋体"/>
                <w:color w:val="000000"/>
                <w:sz w:val="30"/>
                <w:szCs w:val="30"/>
                <w:highlight w:val="none"/>
              </w:rPr>
              <w:t>在202</w:t>
            </w:r>
            <w:r>
              <w:rPr>
                <w:rFonts w:hint="eastAsia" w:ascii="宋体" w:hAnsi="宋体" w:cs="宋体"/>
                <w:color w:val="000000"/>
                <w:sz w:val="30"/>
                <w:szCs w:val="30"/>
                <w:highlight w:val="none"/>
                <w:lang w:val="en-US" w:eastAsia="zh-CN"/>
              </w:rPr>
              <w:t>5</w:t>
            </w:r>
            <w:r>
              <w:rPr>
                <w:rFonts w:hint="eastAsia" w:ascii="宋体" w:hAnsi="宋体" w:cs="宋体"/>
                <w:color w:val="000000"/>
                <w:sz w:val="30"/>
                <w:szCs w:val="30"/>
                <w:highlight w:val="none"/>
              </w:rPr>
              <w:t>年</w:t>
            </w:r>
            <w:r>
              <w:rPr>
                <w:rFonts w:hint="eastAsia" w:ascii="宋体" w:hAnsi="宋体" w:cs="宋体"/>
                <w:color w:val="000000"/>
                <w:sz w:val="30"/>
                <w:szCs w:val="30"/>
                <w:highlight w:val="none"/>
                <w:lang w:val="en-US" w:eastAsia="zh-CN"/>
              </w:rPr>
              <w:t>7</w:t>
            </w:r>
            <w:r>
              <w:rPr>
                <w:rFonts w:hint="eastAsia" w:ascii="宋体" w:hAnsi="宋体" w:cs="宋体"/>
                <w:color w:val="000000"/>
                <w:sz w:val="30"/>
                <w:szCs w:val="30"/>
                <w:highlight w:val="none"/>
              </w:rPr>
              <w:t>月</w:t>
            </w:r>
            <w:r>
              <w:rPr>
                <w:rFonts w:hint="eastAsia" w:ascii="宋体" w:hAnsi="宋体" w:cs="宋体"/>
                <w:color w:val="000000"/>
                <w:sz w:val="30"/>
                <w:szCs w:val="30"/>
                <w:highlight w:val="none"/>
                <w:lang w:val="en-US" w:eastAsia="zh-CN"/>
              </w:rPr>
              <w:t>11</w:t>
            </w:r>
            <w:r>
              <w:rPr>
                <w:rFonts w:hint="eastAsia" w:ascii="宋体" w:hAnsi="宋体" w:cs="宋体"/>
                <w:color w:val="000000"/>
                <w:sz w:val="30"/>
                <w:szCs w:val="30"/>
                <w:highlight w:val="none"/>
              </w:rPr>
              <w:t>日</w:t>
            </w:r>
            <w:r>
              <w:rPr>
                <w:rFonts w:hint="eastAsia" w:ascii="宋体" w:hAnsi="宋体" w:cs="宋体"/>
                <w:color w:val="000000"/>
                <w:sz w:val="30"/>
                <w:szCs w:val="30"/>
                <w:highlight w:val="none"/>
                <w:lang w:val="en-US" w:eastAsia="zh-CN"/>
              </w:rPr>
              <w:t>下午14</w:t>
            </w:r>
            <w:r>
              <w:rPr>
                <w:rFonts w:hint="eastAsia" w:ascii="宋体" w:hAnsi="宋体" w:cs="宋体"/>
                <w:color w:val="000000"/>
                <w:sz w:val="30"/>
                <w:szCs w:val="30"/>
                <w:highlight w:val="none"/>
              </w:rPr>
              <w:t>：</w:t>
            </w:r>
            <w:r>
              <w:rPr>
                <w:rFonts w:hint="eastAsia" w:ascii="宋体" w:hAnsi="宋体" w:cs="宋体"/>
                <w:color w:val="000000"/>
                <w:sz w:val="30"/>
                <w:szCs w:val="30"/>
                <w:highlight w:val="none"/>
                <w:lang w:val="en-US" w:eastAsia="zh-CN"/>
              </w:rPr>
              <w:t>30</w:t>
            </w:r>
            <w:r>
              <w:rPr>
                <w:rFonts w:hint="eastAsia" w:ascii="宋体" w:hAnsi="宋体" w:cs="宋体"/>
                <w:color w:val="000000"/>
                <w:sz w:val="30"/>
                <w:szCs w:val="30"/>
                <w:highlight w:val="none"/>
              </w:rPr>
              <w:t>分前不得启封</w:t>
            </w:r>
          </w:p>
        </w:tc>
      </w:tr>
    </w:tbl>
    <w:p w14:paraId="205507D5">
      <w:pPr>
        <w:widowControl/>
        <w:numPr>
          <w:ilvl w:val="0"/>
          <w:numId w:val="9"/>
        </w:numPr>
        <w:shd w:val="clear" w:color="auto" w:fill="FFFFFF"/>
        <w:ind w:firstLine="640" w:firstLineChars="200"/>
        <w:rPr>
          <w:highlight w:val="none"/>
        </w:rPr>
      </w:pPr>
      <w:r>
        <w:rPr>
          <w:rFonts w:hint="eastAsia" w:ascii="仿宋_GB2312" w:hAnsi="仿宋_GB2312" w:eastAsia="仿宋_GB2312" w:cs="仿宋_GB2312"/>
          <w:kern w:val="0"/>
          <w:sz w:val="32"/>
          <w:szCs w:val="32"/>
          <w:highlight w:val="none"/>
          <w:shd w:val="clear" w:color="auto" w:fill="FFFFFF"/>
          <w:lang w:bidi="ar"/>
        </w:rPr>
        <w:t>投标文件须加盖公章及骑缝公章，须有法定代表人或其授权人签字，并装订在投标文件内。</w:t>
      </w:r>
    </w:p>
    <w:p w14:paraId="5874F768">
      <w:pPr>
        <w:widowControl/>
        <w:numPr>
          <w:ilvl w:val="0"/>
          <w:numId w:val="9"/>
        </w:numPr>
        <w:shd w:val="clear" w:color="auto" w:fill="FFFFFF"/>
        <w:ind w:left="425" w:firstLine="640" w:firstLineChars="200"/>
        <w:rPr>
          <w:highlight w:val="none"/>
        </w:rPr>
      </w:pPr>
      <w:r>
        <w:rPr>
          <w:rFonts w:hint="eastAsia" w:ascii="仿宋_GB2312" w:hAnsi="仿宋_GB2312" w:eastAsia="仿宋_GB2312" w:cs="仿宋_GB2312"/>
          <w:kern w:val="0"/>
          <w:sz w:val="32"/>
          <w:szCs w:val="32"/>
          <w:highlight w:val="none"/>
          <w:shd w:val="clear" w:color="auto" w:fill="FFFFFF"/>
          <w:lang w:bidi="ar"/>
        </w:rPr>
        <w:t>文件正本应用不褪色的墨水书写或打印，字迹清晰可辨，</w:t>
      </w:r>
      <w:r>
        <w:rPr>
          <w:rFonts w:hint="eastAsia" w:ascii="仿宋_GB2312" w:hAnsi="仿宋_GB2312" w:eastAsia="仿宋_GB2312" w:cs="仿宋_GB2312"/>
          <w:kern w:val="0"/>
          <w:sz w:val="32"/>
          <w:szCs w:val="32"/>
          <w:highlight w:val="none"/>
          <w:shd w:val="clear" w:color="auto" w:fill="FFFFFF"/>
          <w:lang w:val="en-US" w:eastAsia="zh-CN" w:bidi="ar"/>
        </w:rPr>
        <w:t>内容</w:t>
      </w:r>
      <w:r>
        <w:rPr>
          <w:rFonts w:hint="eastAsia" w:ascii="仿宋_GB2312" w:hAnsi="仿宋_GB2312" w:eastAsia="仿宋_GB2312" w:cs="仿宋_GB2312"/>
          <w:kern w:val="0"/>
          <w:sz w:val="32"/>
          <w:szCs w:val="32"/>
          <w:highlight w:val="none"/>
          <w:shd w:val="clear" w:color="auto" w:fill="FFFFFF"/>
          <w:lang w:bidi="ar"/>
        </w:rPr>
        <w:t>都不应涂改，不应有行间插字或删除。如果出现上述情况，不论何种原因造成，均应由法定代表人或其授权人在改动处小签或盖法人章。</w:t>
      </w:r>
    </w:p>
    <w:p w14:paraId="255A2538">
      <w:pPr>
        <w:pStyle w:val="4"/>
        <w:snapToGrid w:val="0"/>
        <w:spacing w:before="0" w:after="0" w:line="240" w:lineRule="auto"/>
        <w:ind w:firstLine="960" w:firstLineChars="300"/>
        <w:rPr>
          <w:rFonts w:hint="eastAsia" w:ascii="仿宋_GB2312" w:hAnsi="仿宋_GB2312" w:eastAsia="仿宋_GB2312" w:cs="仿宋_GB2312"/>
          <w:b w:val="0"/>
          <w:bCs w:val="0"/>
          <w:kern w:val="0"/>
          <w:highlight w:val="none"/>
          <w:shd w:val="clear" w:color="auto" w:fill="FFFFFF"/>
          <w:lang w:bidi="ar"/>
        </w:rPr>
      </w:pPr>
      <w:r>
        <w:rPr>
          <w:rFonts w:hint="eastAsia" w:ascii="仿宋_GB2312" w:hAnsi="仿宋_GB2312" w:eastAsia="仿宋_GB2312" w:cs="仿宋_GB2312"/>
          <w:b w:val="0"/>
          <w:bCs w:val="0"/>
          <w:kern w:val="0"/>
          <w:highlight w:val="none"/>
          <w:shd w:val="clear" w:color="auto" w:fill="FFFFFF"/>
          <w:lang w:val="en-US" w:eastAsia="zh-CN" w:bidi="ar"/>
        </w:rPr>
        <w:t>投标文件不符合以上要求的，按投标文件无效处理</w:t>
      </w:r>
      <w:r>
        <w:rPr>
          <w:rFonts w:hint="eastAsia" w:ascii="仿宋_GB2312" w:hAnsi="仿宋_GB2312" w:eastAsia="仿宋_GB2312" w:cs="仿宋_GB2312"/>
          <w:b w:val="0"/>
          <w:bCs w:val="0"/>
          <w:kern w:val="0"/>
          <w:highlight w:val="none"/>
          <w:shd w:val="clear" w:color="auto" w:fill="FFFFFF"/>
          <w:lang w:bidi="ar"/>
        </w:rPr>
        <w:t>。</w:t>
      </w:r>
    </w:p>
    <w:p w14:paraId="10815CA8">
      <w:pPr>
        <w:widowControl/>
        <w:shd w:val="clear" w:color="auto" w:fill="FFFFFF"/>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五、投标人须知</w:t>
      </w:r>
    </w:p>
    <w:p w14:paraId="54FAE786">
      <w:pPr>
        <w:widowControl/>
        <w:numPr>
          <w:ilvl w:val="0"/>
          <w:numId w:val="10"/>
        </w:numPr>
        <w:shd w:val="clear" w:color="auto" w:fill="FFFFFF"/>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本次招标</w:t>
      </w:r>
      <w:r>
        <w:rPr>
          <w:rFonts w:hint="eastAsia" w:ascii="仿宋_GB2312" w:hAnsi="仿宋_GB2312" w:eastAsia="仿宋_GB2312" w:cs="仿宋_GB2312"/>
          <w:kern w:val="0"/>
          <w:sz w:val="32"/>
          <w:szCs w:val="32"/>
          <w:highlight w:val="none"/>
          <w:shd w:val="clear" w:color="auto" w:fill="FFFFFF"/>
          <w:lang w:val="en-US" w:eastAsia="zh-CN" w:bidi="ar"/>
        </w:rPr>
        <w:t>不</w:t>
      </w:r>
      <w:r>
        <w:rPr>
          <w:rFonts w:hint="eastAsia" w:ascii="仿宋_GB2312" w:hAnsi="仿宋_GB2312" w:eastAsia="仿宋_GB2312" w:cs="仿宋_GB2312"/>
          <w:kern w:val="0"/>
          <w:sz w:val="32"/>
          <w:szCs w:val="32"/>
          <w:highlight w:val="none"/>
          <w:shd w:val="clear" w:color="auto" w:fill="FFFFFF"/>
          <w:lang w:bidi="ar"/>
        </w:rPr>
        <w:t>接受联合体投标。</w:t>
      </w:r>
    </w:p>
    <w:p w14:paraId="3C19B716">
      <w:pPr>
        <w:widowControl/>
        <w:numPr>
          <w:ilvl w:val="0"/>
          <w:numId w:val="10"/>
        </w:numPr>
        <w:shd w:val="clear" w:color="auto" w:fill="FFFFFF"/>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招标人评标时除考虑投标人报价之外，还将对其综合能力进行比较。</w:t>
      </w:r>
    </w:p>
    <w:p w14:paraId="51EC7CD6">
      <w:pPr>
        <w:widowControl/>
        <w:numPr>
          <w:ilvl w:val="0"/>
          <w:numId w:val="10"/>
        </w:numPr>
        <w:shd w:val="clear" w:color="auto" w:fill="FFFFFF"/>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所报价格为总价包干价，包括服务费、税费、市内交通费、通讯费、住宿费、餐费以及投标人其它因本项目而产生的一切费用,包括合同实施过程中不可预见费用等。招标人郑重声明：价格是重要参考因素，但并非唯一条件。投标人一旦成交，双方将严格按照成交价格签订、执行合同。</w:t>
      </w:r>
    </w:p>
    <w:p w14:paraId="0758495F">
      <w:pPr>
        <w:widowControl/>
        <w:numPr>
          <w:ilvl w:val="0"/>
          <w:numId w:val="10"/>
        </w:numPr>
        <w:shd w:val="clear" w:color="auto" w:fill="FFFFFF"/>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投标人自行对</w:t>
      </w:r>
      <w:r>
        <w:rPr>
          <w:rFonts w:hint="eastAsia" w:ascii="仿宋_GB2312" w:hAnsi="仿宋_GB2312" w:eastAsia="仿宋_GB2312" w:cs="仿宋_GB2312"/>
          <w:kern w:val="0"/>
          <w:sz w:val="32"/>
          <w:szCs w:val="32"/>
          <w:highlight w:val="none"/>
          <w:shd w:val="clear" w:color="auto" w:fill="FFFFFF"/>
          <w:lang w:val="en-US" w:eastAsia="zh-CN" w:bidi="ar"/>
        </w:rPr>
        <w:t>项目</w:t>
      </w:r>
      <w:r>
        <w:rPr>
          <w:rFonts w:hint="eastAsia" w:ascii="仿宋_GB2312" w:hAnsi="仿宋_GB2312" w:eastAsia="仿宋_GB2312" w:cs="仿宋_GB2312"/>
          <w:kern w:val="0"/>
          <w:sz w:val="32"/>
          <w:szCs w:val="32"/>
          <w:highlight w:val="none"/>
          <w:shd w:val="clear" w:color="auto" w:fill="FFFFFF"/>
          <w:lang w:bidi="ar"/>
        </w:rPr>
        <w:t>现场及其周围环境进行考察，查明或核实有关编制投标文件和签订合同所必需的资料，现场考察期间的交通和食宿由投标人自行安排，费用自理。</w:t>
      </w:r>
    </w:p>
    <w:p w14:paraId="5EFDC837">
      <w:pPr>
        <w:widowControl/>
        <w:numPr>
          <w:ilvl w:val="0"/>
          <w:numId w:val="10"/>
        </w:numPr>
        <w:shd w:val="clear" w:color="auto" w:fill="FFFFFF"/>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各投标人应本着长期合作、专业服务的精神，以优惠的价格投标，但亦应严格保证业务质量，一旦发现成交单位及指派往招标人从事服务之工作人员的情况及专业水平与标书所述不符，或成交单位及指派往招标人从事服务之工作人员的实际从业能力无法达到招标人的要求，或因成交单位及指派往招标人从事服务之工作人员的过错给招标人带来损失的，或不能按本招标文件的要求提供服务的，招标人保留中途解聘并要求赔偿的权利，且招标人将不承担任何费用并有权追回已支付的所有费用。</w:t>
      </w:r>
    </w:p>
    <w:p w14:paraId="2F2B5789">
      <w:pPr>
        <w:widowControl/>
        <w:numPr>
          <w:ilvl w:val="0"/>
          <w:numId w:val="10"/>
        </w:numPr>
        <w:shd w:val="clear" w:color="auto" w:fill="FFFFFF"/>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投标人若未按本项目招标文件及招标公告规定投标，所投投标文件无效。无论成交与否，各投标人投标文件及相关资料恕不退回，由招标人存档备考，招标人将对投标人资料予以保密。</w:t>
      </w:r>
    </w:p>
    <w:p w14:paraId="4CEA0461">
      <w:pPr>
        <w:widowControl/>
        <w:numPr>
          <w:ilvl w:val="0"/>
          <w:numId w:val="10"/>
        </w:numPr>
        <w:shd w:val="clear" w:color="auto" w:fill="FFFFFF"/>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招标人有权在招投标期间内的合适时间发布招标文件的补充、澄清及参考文件。</w:t>
      </w:r>
    </w:p>
    <w:p w14:paraId="312A317F">
      <w:pPr>
        <w:widowControl/>
        <w:numPr>
          <w:ilvl w:val="0"/>
          <w:numId w:val="10"/>
        </w:numPr>
        <w:shd w:val="clear" w:color="auto" w:fill="FFFFFF"/>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招标人在规定的截止时间前，可以对招标文件进行修改，并将修改内容以公告的形式在招标公告公示网站上公示。</w:t>
      </w:r>
    </w:p>
    <w:p w14:paraId="2032AE40">
      <w:pPr>
        <w:widowControl/>
        <w:numPr>
          <w:ilvl w:val="0"/>
          <w:numId w:val="10"/>
        </w:numPr>
        <w:shd w:val="clear" w:color="auto" w:fill="FFFFFF"/>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投标文件的补充、修改与撤回</w:t>
      </w:r>
    </w:p>
    <w:p w14:paraId="6B089E0A">
      <w:pPr>
        <w:widowControl/>
        <w:numPr>
          <w:ilvl w:val="255"/>
          <w:numId w:val="0"/>
        </w:numPr>
        <w:shd w:val="clear" w:color="auto" w:fill="FFFFFF"/>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人在提交投标文件以后，在规定的投标截止时间之前，可以补充修改或撤回已提交的投标文件，并以书面形式按有关规定密封、标记和提交通知招标人，并在投标文件密封袋上清楚标明“补充、修改”或“撤回”字样。补充、修改的内容为投标文件的组成部分。</w:t>
      </w:r>
    </w:p>
    <w:p w14:paraId="6E42E2B7">
      <w:pPr>
        <w:widowControl/>
        <w:numPr>
          <w:ilvl w:val="0"/>
          <w:numId w:val="10"/>
        </w:numPr>
        <w:shd w:val="clear" w:color="auto" w:fill="FFFFFF"/>
        <w:rPr>
          <w:highlight w:val="none"/>
        </w:rPr>
      </w:pPr>
      <w:r>
        <w:rPr>
          <w:rFonts w:hint="eastAsia" w:ascii="仿宋_GB2312" w:hAnsi="仿宋_GB2312" w:eastAsia="仿宋_GB2312" w:cs="仿宋_GB2312"/>
          <w:sz w:val="32"/>
          <w:szCs w:val="32"/>
          <w:highlight w:val="none"/>
        </w:rPr>
        <w:t>在投标截止期与招标人在招标文件中规定的有效期终止日之间的这段时期内，投标人不能撤回投标文件。</w:t>
      </w:r>
    </w:p>
    <w:p w14:paraId="051C44EC">
      <w:pPr>
        <w:widowControl/>
        <w:numPr>
          <w:ilvl w:val="255"/>
          <w:numId w:val="0"/>
        </w:numPr>
        <w:shd w:val="clear" w:color="auto" w:fill="FFFFFF"/>
        <w:ind w:firstLine="640" w:firstLineChars="200"/>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任何要求澄清招标文件的投标人，均</w:t>
      </w:r>
      <w:r>
        <w:rPr>
          <w:rFonts w:hint="eastAsia" w:ascii="仿宋_GB2312" w:hAnsi="仿宋_GB2312" w:eastAsia="仿宋_GB2312" w:cs="仿宋_GB2312"/>
          <w:kern w:val="0"/>
          <w:sz w:val="32"/>
          <w:szCs w:val="32"/>
          <w:highlight w:val="none"/>
          <w:shd w:val="clear" w:color="auto" w:fill="FFFFFF"/>
          <w:lang w:val="en-US" w:eastAsia="zh-CN" w:bidi="ar"/>
        </w:rPr>
        <w:t>至少</w:t>
      </w:r>
      <w:r>
        <w:rPr>
          <w:rFonts w:hint="eastAsia" w:ascii="仿宋_GB2312" w:hAnsi="仿宋_GB2312" w:eastAsia="仿宋_GB2312" w:cs="仿宋_GB2312"/>
          <w:kern w:val="0"/>
          <w:sz w:val="32"/>
          <w:szCs w:val="32"/>
          <w:highlight w:val="none"/>
          <w:shd w:val="clear" w:color="auto" w:fill="FFFFFF"/>
          <w:lang w:bidi="ar"/>
        </w:rPr>
        <w:t>应在投标文件递交截止日前2天以书面形式通知招标人，招标人将以书面或官网公示通知的形式予以答复。</w:t>
      </w:r>
    </w:p>
    <w:p w14:paraId="565F00CB">
      <w:pPr>
        <w:widowControl/>
        <w:numPr>
          <w:ilvl w:val="0"/>
          <w:numId w:val="10"/>
        </w:numPr>
        <w:shd w:val="clear" w:color="auto" w:fill="FFFFFF"/>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招标人可以视招标具体情况，延长投标截止时间和开标时间，但至少应当在招标文件要求提交投标文件的截止时间1日前，并将变更时间在招标公告公示网站上公示。</w:t>
      </w:r>
    </w:p>
    <w:p w14:paraId="52D60B6A">
      <w:pPr>
        <w:widowControl/>
        <w:numPr>
          <w:ilvl w:val="0"/>
          <w:numId w:val="10"/>
        </w:numPr>
        <w:shd w:val="clear" w:color="auto" w:fill="FFFFFF"/>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若第一中标候选人存在放弃中标资格或未按照合同履约等情况，导致需要更换供应商的情况，招标人采用顺延的方式，将合格的第二中标候选人作为成交供应商开展采购活动；若招标人认定没有合格的中标候选人时，招标人重新开展招标活动。</w:t>
      </w:r>
    </w:p>
    <w:p w14:paraId="1E2B806E">
      <w:pPr>
        <w:widowControl/>
        <w:numPr>
          <w:ilvl w:val="0"/>
          <w:numId w:val="10"/>
        </w:numPr>
        <w:shd w:val="clear" w:color="auto" w:fill="FFFFFF"/>
        <w:rPr>
          <w:rFonts w:eastAsia="仿宋_GB2312"/>
          <w:highlight w:val="none"/>
        </w:rPr>
      </w:pPr>
      <w:r>
        <w:rPr>
          <w:rFonts w:hint="eastAsia" w:ascii="仿宋_GB2312" w:hAnsi="仿宋_GB2312" w:eastAsia="仿宋_GB2312" w:cs="仿宋_GB2312"/>
          <w:kern w:val="0"/>
          <w:sz w:val="32"/>
          <w:szCs w:val="32"/>
          <w:highlight w:val="none"/>
          <w:shd w:val="clear" w:color="auto" w:fill="FFFFFF"/>
          <w:lang w:bidi="ar"/>
        </w:rPr>
        <w:t>不论结果如何，投标人均需自行承担所有编写和递交投标文件及所有参与过程中的全部费用。</w:t>
      </w:r>
    </w:p>
    <w:p w14:paraId="29360268">
      <w:pPr>
        <w:widowControl/>
        <w:numPr>
          <w:ilvl w:val="0"/>
          <w:numId w:val="10"/>
        </w:numPr>
        <w:shd w:val="clear" w:color="auto" w:fill="FFFFFF"/>
        <w:rPr>
          <w:highlight w:val="none"/>
        </w:rPr>
      </w:pPr>
      <w:r>
        <w:rPr>
          <w:rFonts w:hint="eastAsia" w:ascii="仿宋_GB2312" w:hAnsi="仿宋_GB2312" w:eastAsia="仿宋_GB2312" w:cs="仿宋_GB2312"/>
          <w:kern w:val="0"/>
          <w:sz w:val="32"/>
          <w:szCs w:val="32"/>
          <w:highlight w:val="none"/>
          <w:shd w:val="clear" w:color="auto" w:fill="FFFFFF"/>
          <w:lang w:bidi="ar"/>
        </w:rPr>
        <w:t>本次招标由项目主体广州南沙资产经营集团有限公司统筹推进。</w:t>
      </w:r>
    </w:p>
    <w:p w14:paraId="30A78657">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六、投标有效期</w:t>
      </w:r>
    </w:p>
    <w:p w14:paraId="5F5A1721">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投标截止之日起90天内。</w:t>
      </w:r>
    </w:p>
    <w:p w14:paraId="6492C0FE">
      <w:pPr>
        <w:widowControl/>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lang w:bidi="ar"/>
        </w:rPr>
        <w:t>七、投标评审</w:t>
      </w:r>
    </w:p>
    <w:p w14:paraId="2559CF4D">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（一）投标文件的提交</w:t>
      </w:r>
    </w:p>
    <w:p w14:paraId="5DA611F9">
      <w:pPr>
        <w:numPr>
          <w:ilvl w:val="255"/>
          <w:numId w:val="0"/>
        </w:num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投标人应于截止时间前将投标文件密封邮寄至规定的地点，投标截止时间后邮寄的投标文件，招标人将不再受理；</w:t>
      </w:r>
    </w:p>
    <w:p w14:paraId="1E2FFD75">
      <w:pPr>
        <w:numPr>
          <w:ilvl w:val="0"/>
          <w:numId w:val="11"/>
        </w:num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开标</w:t>
      </w:r>
    </w:p>
    <w:p w14:paraId="0DAE9FE5">
      <w:pPr>
        <w:numPr>
          <w:ilvl w:val="0"/>
          <w:numId w:val="12"/>
        </w:numPr>
        <w:ind w:left="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招标人按此文件所规定的时间和地点开标；</w:t>
      </w:r>
    </w:p>
    <w:p w14:paraId="4C263998">
      <w:pPr>
        <w:numPr>
          <w:ilvl w:val="0"/>
          <w:numId w:val="12"/>
        </w:numPr>
        <w:ind w:left="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开标时间：202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下午14</w:t>
      </w:r>
      <w:r>
        <w:rPr>
          <w:rFonts w:hint="eastAsia" w:ascii="仿宋_GB2312" w:hAnsi="仿宋_GB2312" w:eastAsia="仿宋_GB2312" w:cs="仿宋_GB2312"/>
          <w:sz w:val="32"/>
          <w:szCs w:val="32"/>
          <w:highlight w:val="none"/>
        </w:rPr>
        <w:t>时</w:t>
      </w:r>
      <w:r>
        <w:rPr>
          <w:rFonts w:hint="eastAsia" w:ascii="仿宋_GB2312" w:hAnsi="仿宋_GB2312" w:eastAsia="仿宋_GB2312" w:cs="仿宋_GB2312"/>
          <w:sz w:val="32"/>
          <w:szCs w:val="32"/>
          <w:highlight w:val="none"/>
          <w:lang w:val="en-US" w:eastAsia="zh-CN"/>
        </w:rPr>
        <w:t>30分</w:t>
      </w:r>
      <w:r>
        <w:rPr>
          <w:rFonts w:hint="eastAsia" w:ascii="仿宋_GB2312" w:hAnsi="仿宋_GB2312" w:eastAsia="仿宋_GB2312" w:cs="仿宋_GB2312"/>
          <w:sz w:val="32"/>
          <w:szCs w:val="32"/>
          <w:highlight w:val="none"/>
        </w:rPr>
        <w:t>；</w:t>
      </w:r>
    </w:p>
    <w:p w14:paraId="5F379F96">
      <w:pPr>
        <w:numPr>
          <w:ilvl w:val="0"/>
          <w:numId w:val="12"/>
        </w:numPr>
        <w:ind w:left="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开标地址：广东省广州市南沙区海滨路171号南沙金融大厦</w:t>
      </w:r>
      <w:r>
        <w:rPr>
          <w:rFonts w:hint="eastAsia" w:ascii="仿宋_GB2312" w:hAnsi="仿宋_GB2312" w:eastAsia="仿宋_GB2312" w:cs="仿宋_GB2312"/>
          <w:sz w:val="32"/>
          <w:szCs w:val="32"/>
          <w:highlight w:val="none"/>
          <w:lang w:val="en-US" w:eastAsia="zh-CN"/>
        </w:rPr>
        <w:t>1103</w:t>
      </w:r>
      <w:r>
        <w:rPr>
          <w:rFonts w:hint="eastAsia" w:ascii="仿宋_GB2312" w:hAnsi="仿宋_GB2312" w:eastAsia="仿宋_GB2312" w:cs="仿宋_GB2312"/>
          <w:sz w:val="32"/>
          <w:szCs w:val="32"/>
          <w:highlight w:val="none"/>
        </w:rPr>
        <w:t>室</w:t>
      </w:r>
      <w:r>
        <w:rPr>
          <w:rFonts w:hint="eastAsia" w:ascii="仿宋_GB2312" w:hAnsi="仿宋_GB2312" w:eastAsia="仿宋_GB2312" w:cs="仿宋_GB2312"/>
          <w:sz w:val="32"/>
          <w:szCs w:val="32"/>
          <w:highlight w:val="none"/>
          <w:lang w:eastAsia="zh-CN"/>
        </w:rPr>
        <w:t>；</w:t>
      </w:r>
    </w:p>
    <w:p w14:paraId="7DA3598C">
      <w:pPr>
        <w:numPr>
          <w:ilvl w:val="0"/>
          <w:numId w:val="12"/>
        </w:numPr>
        <w:ind w:left="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按规定提交合格的撤回通知的投标文件不予开封，并退回给投标人；</w:t>
      </w:r>
    </w:p>
    <w:p w14:paraId="299092A8">
      <w:pPr>
        <w:pStyle w:val="3"/>
        <w:numPr>
          <w:ilvl w:val="0"/>
          <w:numId w:val="12"/>
        </w:numPr>
        <w:spacing w:line="240" w:lineRule="auto"/>
        <w:ind w:left="0" w:firstLine="640" w:firstLineChars="200"/>
        <w:rPr>
          <w:rFonts w:ascii="仿宋_GB2312" w:hAnsi="仿宋_GB2312" w:eastAsia="仿宋_GB2312" w:cs="仿宋_GB2312"/>
          <w:b w:val="0"/>
          <w:bCs w:val="0"/>
          <w:kern w:val="2"/>
          <w:sz w:val="32"/>
          <w:szCs w:val="32"/>
          <w:highlight w:val="none"/>
        </w:rPr>
      </w:pPr>
      <w:r>
        <w:rPr>
          <w:rFonts w:hint="eastAsia" w:ascii="仿宋_GB2312" w:hAnsi="仿宋_GB2312" w:eastAsia="仿宋_GB2312" w:cs="仿宋_GB2312"/>
          <w:b w:val="0"/>
          <w:bCs w:val="0"/>
          <w:kern w:val="2"/>
          <w:sz w:val="32"/>
          <w:szCs w:val="32"/>
          <w:highlight w:val="none"/>
        </w:rPr>
        <w:t>招标人在招标文件要求提交投标文件的截止时间前收到的投标文件，开标时都当众予以拆封、宣读投标人名称及报价。</w:t>
      </w:r>
    </w:p>
    <w:p w14:paraId="00096BE7">
      <w:pPr>
        <w:pStyle w:val="3"/>
        <w:spacing w:line="240" w:lineRule="auto"/>
        <w:ind w:firstLine="640" w:firstLineChars="200"/>
        <w:rPr>
          <w:rFonts w:ascii="仿宋_GB2312" w:hAnsi="仿宋_GB2312" w:eastAsia="仿宋_GB2312" w:cs="仿宋_GB2312"/>
          <w:b w:val="0"/>
          <w:bCs w:val="0"/>
          <w:kern w:val="2"/>
          <w:sz w:val="32"/>
          <w:szCs w:val="32"/>
          <w:highlight w:val="none"/>
        </w:rPr>
      </w:pPr>
      <w:r>
        <w:rPr>
          <w:rFonts w:hint="eastAsia" w:ascii="仿宋_GB2312" w:hAnsi="仿宋_GB2312" w:eastAsia="仿宋_GB2312" w:cs="仿宋_GB2312"/>
          <w:b w:val="0"/>
          <w:bCs w:val="0"/>
          <w:kern w:val="2"/>
          <w:sz w:val="32"/>
          <w:szCs w:val="32"/>
          <w:highlight w:val="none"/>
        </w:rPr>
        <w:t>（三）投标文件资格符合性审查</w:t>
      </w:r>
    </w:p>
    <w:p w14:paraId="72A78EEA">
      <w:pPr>
        <w:ind w:firstLine="640" w:firstLineChars="200"/>
        <w:rPr>
          <w:rFonts w:ascii="仿宋_GB2312" w:hAnsi="仿宋_GB2312" w:cs="仿宋_GB2312"/>
          <w:sz w:val="32"/>
          <w:szCs w:val="32"/>
          <w:highlight w:val="none"/>
        </w:rPr>
      </w:pPr>
      <w:r>
        <w:rPr>
          <w:rFonts w:hint="eastAsia" w:ascii="仿宋_GB2312" w:hAnsi="仿宋_GB2312" w:eastAsia="仿宋_GB2312" w:cs="仿宋_GB2312"/>
          <w:sz w:val="32"/>
          <w:szCs w:val="32"/>
          <w:highlight w:val="none"/>
        </w:rPr>
        <w:t>评审小组对投标文件进行资格符合性审查（附件2），若符合要求，则进入下一阶段；若不符合要求，则不得进入下一阶段。当通过符合性审查的投标人不足三家时，则本次招标失败，招标人将依法重新组织招标。</w:t>
      </w:r>
    </w:p>
    <w:p w14:paraId="2018EA17">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（四）综合评审</w:t>
      </w:r>
    </w:p>
    <w:p w14:paraId="3004083A">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审小组根据投标人的投标文件，从投标人资质、服务能力、服务方案、服务报价等方面进行综合评分（附件3）。综合评分排名第一名的投标人为第一中标候选人，依次类推。综合评分最高分出现两个或两个以上相同分数时，通过摇珠方式确定第一中标候选人。</w:t>
      </w:r>
    </w:p>
    <w:p w14:paraId="29ADF5AF">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评分细则详见附件</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w:t>
      </w:r>
    </w:p>
    <w:p w14:paraId="2AF8A7D2">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（五）中标公示及中标通知书</w:t>
      </w:r>
    </w:p>
    <w:p w14:paraId="19E8F9F1">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投标结果公示期结束后，如无异议，综合评审中排名第一者确定为中标人。招标方将及时向中标人发出中标通知书，中标人接到通知书后，若放弃中标资格，应在规定时间以内予以书面告知招标人。</w:t>
      </w:r>
    </w:p>
    <w:p w14:paraId="45115506">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（六）合同谈判与签订</w:t>
      </w:r>
    </w:p>
    <w:p w14:paraId="090EA445">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中标人应该在中标通知书中载明的时间内与招标人商谈有关事宜并签订合同协议书，中标价即为合同金额。</w:t>
      </w:r>
    </w:p>
    <w:p w14:paraId="02A7A2BC">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八、合同付款方式</w:t>
      </w:r>
    </w:p>
    <w:p w14:paraId="5934959B">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项目咨询费包含《南沙资产集团“十五五”战略发展规划》</w:t>
      </w:r>
      <w:r>
        <w:rPr>
          <w:rFonts w:hint="eastAsia" w:ascii="仿宋_GB2312" w:hAnsi="仿宋_GB2312" w:eastAsia="仿宋_GB2312" w:cs="仿宋_GB2312"/>
          <w:sz w:val="32"/>
          <w:szCs w:val="32"/>
          <w:highlight w:val="none"/>
          <w:lang w:eastAsia="zh-CN"/>
        </w:rPr>
        <w:t>、《南沙资产集团“十五五”规划实施三年行动方案》、《南沙资产集团权责体系优化报告》、《南沙资产集团权责表》、《南沙资产集团管控体系制度汇编》、《南沙资产集团组织体系优化报告》、《南沙资产集团部门职能说明书》、《南沙资产集团岗位设计方案》、《南沙资产集团岗位职责说明书》、《南沙资产集团人力资源规划》、《南沙资产集团薪酬管理方案》、《南沙资产集团薪酬管理制度》、《南沙资产集团薪级表》、《南沙资产集团绩效管理方案》、《南沙资产集团绩效管理制度》、《南沙资产集团职级管理制度》、《南沙资产集团职级表》、《南沙资产集团</w:t>
      </w:r>
      <w:r>
        <w:rPr>
          <w:rFonts w:hint="eastAsia" w:ascii="仿宋_GB2312" w:hAnsi="仿宋_GB2312" w:eastAsia="仿宋_GB2312" w:cs="仿宋_GB2312"/>
          <w:sz w:val="32"/>
          <w:szCs w:val="32"/>
          <w:highlight w:val="none"/>
          <w:lang w:val="en-US" w:eastAsia="zh-CN"/>
        </w:rPr>
        <w:t>人才梯队</w:t>
      </w:r>
      <w:r>
        <w:rPr>
          <w:rFonts w:hint="eastAsia" w:ascii="仿宋_GB2312" w:hAnsi="仿宋_GB2312" w:eastAsia="仿宋_GB2312" w:cs="仿宋_GB2312"/>
          <w:sz w:val="32"/>
          <w:szCs w:val="32"/>
          <w:highlight w:val="none"/>
          <w:lang w:eastAsia="zh-CN"/>
        </w:rPr>
        <w:t>培养方案》</w:t>
      </w:r>
      <w:r>
        <w:rPr>
          <w:rFonts w:hint="eastAsia" w:ascii="仿宋_GB2312" w:hAnsi="仿宋_GB2312" w:eastAsia="仿宋_GB2312" w:cs="仿宋_GB2312"/>
          <w:sz w:val="32"/>
          <w:szCs w:val="32"/>
          <w:highlight w:val="none"/>
        </w:rPr>
        <w:t>的编制咨询服务费，所有报告编制咨询服务费统一按阶段结算。本次招标按照以下节点付款：</w:t>
      </w:r>
    </w:p>
    <w:p w14:paraId="375C15CB">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首期：中标后，双方签订合同，中标人开具相应金额的增值税专用发票给招标人后的</w:t>
      </w:r>
      <w:r>
        <w:rPr>
          <w:rFonts w:hint="eastAsia" w:ascii="仿宋_GB2312" w:hAnsi="仿宋_GB2312" w:eastAsia="仿宋_GB2312" w:cs="仿宋_GB2312"/>
          <w:sz w:val="32"/>
          <w:szCs w:val="32"/>
          <w:highlight w:val="none"/>
          <w:lang w:val="en-US" w:eastAsia="zh-CN"/>
        </w:rPr>
        <w:t>15个日历日内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招标人支付给中标人项目合同款的</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0%作为项目预付款。</w:t>
      </w:r>
    </w:p>
    <w:p w14:paraId="54142684">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第二期：中标人根据招标人对《南沙资产集团“十五五”战略发展规划》修改意见进行深化并提供</w:t>
      </w:r>
      <w:r>
        <w:rPr>
          <w:rFonts w:hint="eastAsia" w:ascii="仿宋_GB2312" w:hAnsi="仿宋_GB2312" w:eastAsia="仿宋_GB2312" w:cs="仿宋_GB2312"/>
          <w:sz w:val="32"/>
          <w:szCs w:val="32"/>
          <w:highlight w:val="none"/>
          <w:lang w:val="en-US" w:eastAsia="zh-CN"/>
        </w:rPr>
        <w:t>报审</w:t>
      </w:r>
      <w:r>
        <w:rPr>
          <w:rFonts w:hint="eastAsia" w:ascii="仿宋_GB2312" w:hAnsi="仿宋_GB2312" w:eastAsia="仿宋_GB2312" w:cs="仿宋_GB2312"/>
          <w:sz w:val="32"/>
          <w:szCs w:val="32"/>
          <w:highlight w:val="none"/>
        </w:rPr>
        <w:t>稿</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经招标人确认后，</w:t>
      </w:r>
      <w:r>
        <w:rPr>
          <w:rFonts w:hint="eastAsia" w:ascii="仿宋_GB2312" w:hAnsi="仿宋_GB2312" w:eastAsia="仿宋_GB2312" w:cs="仿宋_GB2312"/>
          <w:sz w:val="32"/>
          <w:szCs w:val="32"/>
          <w:highlight w:val="none"/>
          <w:lang w:val="en-US" w:eastAsia="zh-CN"/>
        </w:rPr>
        <w:t>开具相应金额的增值税专用发票给招标人后15个日历日内，招标人支付给中标人项目合同款的15%。</w:t>
      </w:r>
    </w:p>
    <w:p w14:paraId="0235D0BE">
      <w:pPr>
        <w:pStyle w:val="17"/>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第三期：中标人配合招标人按程序审定</w:t>
      </w:r>
      <w:r>
        <w:rPr>
          <w:rFonts w:hint="eastAsia" w:ascii="仿宋_GB2312" w:hAnsi="仿宋_GB2312" w:eastAsia="仿宋_GB2312" w:cs="仿宋_GB2312"/>
          <w:sz w:val="32"/>
          <w:szCs w:val="32"/>
          <w:highlight w:val="none"/>
        </w:rPr>
        <w:t>《南沙资产集团“十五五”战略发展规划》</w:t>
      </w:r>
      <w:r>
        <w:rPr>
          <w:rFonts w:hint="eastAsia" w:ascii="仿宋_GB2312" w:hAnsi="仿宋_GB2312" w:eastAsia="仿宋_GB2312" w:cs="仿宋_GB2312"/>
          <w:sz w:val="32"/>
          <w:szCs w:val="32"/>
          <w:highlight w:val="none"/>
          <w:lang w:val="en-US" w:eastAsia="zh-CN"/>
        </w:rPr>
        <w:t>报审稿后，开具相应金额的增值税专用发票给招标人后15个日历日内，招标人支付给中标人项目合同款的15%。</w:t>
      </w:r>
    </w:p>
    <w:p w14:paraId="3CFB4209">
      <w:pPr>
        <w:pStyle w:val="17"/>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第四期：</w:t>
      </w:r>
      <w:r>
        <w:rPr>
          <w:rFonts w:hint="eastAsia" w:ascii="仿宋_GB2312" w:hAnsi="仿宋_GB2312" w:eastAsia="仿宋_GB2312" w:cs="仿宋_GB2312"/>
          <w:sz w:val="32"/>
          <w:szCs w:val="32"/>
          <w:highlight w:val="none"/>
        </w:rPr>
        <w:t>中标人根据招标人对</w:t>
      </w:r>
      <w:r>
        <w:rPr>
          <w:rFonts w:hint="eastAsia" w:ascii="仿宋_GB2312" w:hAnsi="仿宋_GB2312" w:eastAsia="仿宋_GB2312" w:cs="仿宋_GB2312"/>
          <w:sz w:val="32"/>
          <w:szCs w:val="32"/>
          <w:highlight w:val="none"/>
          <w:lang w:eastAsia="zh-CN"/>
        </w:rPr>
        <w:t>《南沙资产集团“十五五”规划实施三年行动方案》、《南沙资产集团权责体系优化报告》、《南沙资产集团权责表》、《南沙资产集团管控体系制度汇编》、《南沙资产集团组织体系优化报告》、《南沙资产集团部门职能说明书》、《南沙资产集团岗位设计方案》、《南沙资产集团岗位职责说明书》</w:t>
      </w:r>
      <w:r>
        <w:rPr>
          <w:rFonts w:hint="eastAsia" w:ascii="仿宋_GB2312" w:hAnsi="仿宋_GB2312" w:eastAsia="仿宋_GB2312" w:cs="仿宋_GB2312"/>
          <w:sz w:val="32"/>
          <w:szCs w:val="32"/>
          <w:highlight w:val="none"/>
        </w:rPr>
        <w:t>修改意见进行深化并提供</w:t>
      </w:r>
      <w:r>
        <w:rPr>
          <w:rFonts w:hint="eastAsia" w:ascii="仿宋_GB2312" w:hAnsi="仿宋_GB2312" w:eastAsia="仿宋_GB2312" w:cs="仿宋_GB2312"/>
          <w:sz w:val="32"/>
          <w:szCs w:val="32"/>
          <w:highlight w:val="none"/>
          <w:lang w:val="en-US" w:eastAsia="zh-CN"/>
        </w:rPr>
        <w:t>报审</w:t>
      </w:r>
      <w:r>
        <w:rPr>
          <w:rFonts w:hint="eastAsia" w:ascii="仿宋_GB2312" w:hAnsi="仿宋_GB2312" w:eastAsia="仿宋_GB2312" w:cs="仿宋_GB2312"/>
          <w:sz w:val="32"/>
          <w:szCs w:val="32"/>
          <w:highlight w:val="none"/>
        </w:rPr>
        <w:t>稿</w:t>
      </w:r>
      <w:r>
        <w:rPr>
          <w:rFonts w:hint="eastAsia" w:ascii="仿宋_GB2312" w:hAnsi="仿宋_GB2312" w:eastAsia="仿宋_GB2312" w:cs="仿宋_GB2312"/>
          <w:sz w:val="32"/>
          <w:szCs w:val="32"/>
          <w:highlight w:val="none"/>
          <w:lang w:val="en-US" w:eastAsia="zh-CN"/>
        </w:rPr>
        <w:t>，且配合招标人按程序审定上述成果文件后</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开具相应金额的增值税专用发票给招标人后15个日历日内，招标人支付给中标人项目合同款的15%。</w:t>
      </w:r>
    </w:p>
    <w:p w14:paraId="66D499C1">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期：中标人根据招标人对</w:t>
      </w:r>
      <w:r>
        <w:rPr>
          <w:rFonts w:hint="eastAsia" w:ascii="仿宋_GB2312" w:hAnsi="仿宋_GB2312" w:eastAsia="仿宋_GB2312" w:cs="仿宋_GB2312"/>
          <w:sz w:val="32"/>
          <w:szCs w:val="32"/>
          <w:highlight w:val="none"/>
          <w:lang w:eastAsia="zh-CN"/>
        </w:rPr>
        <w:t>《南沙资产集团人力资源规划》、《南沙资产集团薪酬管理方案》、《南沙资产集团薪酬管理制度》、《南沙资产集团薪级表》、《南沙资产集团绩效管理方案》、《南沙资产集团绩效管理制度》、《南沙资产集团职级管理制度》、《南沙资产集团职级表》、《南沙资产集团</w:t>
      </w:r>
      <w:r>
        <w:rPr>
          <w:rFonts w:hint="eastAsia" w:ascii="仿宋_GB2312" w:hAnsi="仿宋_GB2312" w:eastAsia="仿宋_GB2312" w:cs="仿宋_GB2312"/>
          <w:sz w:val="32"/>
          <w:szCs w:val="32"/>
          <w:highlight w:val="none"/>
          <w:lang w:val="en-US" w:eastAsia="zh-CN"/>
        </w:rPr>
        <w:t>人才梯队</w:t>
      </w:r>
      <w:r>
        <w:rPr>
          <w:rFonts w:hint="eastAsia" w:ascii="仿宋_GB2312" w:hAnsi="仿宋_GB2312" w:eastAsia="仿宋_GB2312" w:cs="仿宋_GB2312"/>
          <w:sz w:val="32"/>
          <w:szCs w:val="32"/>
          <w:highlight w:val="none"/>
          <w:lang w:eastAsia="zh-CN"/>
        </w:rPr>
        <w:t>培养方案》</w:t>
      </w:r>
      <w:r>
        <w:rPr>
          <w:rFonts w:hint="eastAsia" w:ascii="仿宋_GB2312" w:hAnsi="仿宋_GB2312" w:eastAsia="仿宋_GB2312" w:cs="仿宋_GB2312"/>
          <w:sz w:val="32"/>
          <w:szCs w:val="32"/>
          <w:highlight w:val="none"/>
        </w:rPr>
        <w:t>修改意见进行深化并提供</w:t>
      </w:r>
      <w:r>
        <w:rPr>
          <w:rFonts w:hint="eastAsia" w:ascii="仿宋_GB2312" w:hAnsi="仿宋_GB2312" w:eastAsia="仿宋_GB2312" w:cs="仿宋_GB2312"/>
          <w:sz w:val="32"/>
          <w:szCs w:val="32"/>
          <w:highlight w:val="none"/>
          <w:lang w:val="en-US" w:eastAsia="zh-CN"/>
        </w:rPr>
        <w:t>报审</w:t>
      </w:r>
      <w:r>
        <w:rPr>
          <w:rFonts w:hint="eastAsia" w:ascii="仿宋_GB2312" w:hAnsi="仿宋_GB2312" w:eastAsia="仿宋_GB2312" w:cs="仿宋_GB2312"/>
          <w:sz w:val="32"/>
          <w:szCs w:val="32"/>
          <w:highlight w:val="none"/>
        </w:rPr>
        <w:t>稿</w:t>
      </w:r>
      <w:r>
        <w:rPr>
          <w:rFonts w:hint="eastAsia" w:ascii="仿宋_GB2312" w:hAnsi="仿宋_GB2312" w:eastAsia="仿宋_GB2312" w:cs="仿宋_GB2312"/>
          <w:sz w:val="32"/>
          <w:szCs w:val="32"/>
          <w:highlight w:val="none"/>
          <w:lang w:val="en-US" w:eastAsia="zh-CN"/>
        </w:rPr>
        <w:t>，且配合招标人按程序审定上述成果文件后</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开具相应金额的增值税专用发票给招标人后15个日历日内，招标人支付给中标人项目合同款的15%。</w:t>
      </w:r>
    </w:p>
    <w:p w14:paraId="130EDE27">
      <w:pPr>
        <w:pStyle w:val="17"/>
        <w:rPr>
          <w:rFonts w:hint="default"/>
          <w:lang w:val="en-US"/>
        </w:rPr>
      </w:pPr>
      <w:r>
        <w:rPr>
          <w:rFonts w:hint="eastAsia" w:ascii="仿宋_GB2312" w:hAnsi="仿宋_GB2312" w:eastAsia="仿宋_GB2312" w:cs="仿宋_GB2312"/>
          <w:sz w:val="32"/>
          <w:szCs w:val="32"/>
          <w:highlight w:val="none"/>
          <w:lang w:val="en-US" w:eastAsia="zh-CN"/>
        </w:rPr>
        <w:t>第六期：</w:t>
      </w:r>
      <w:r>
        <w:rPr>
          <w:rFonts w:hint="eastAsia" w:ascii="仿宋_GB2312" w:hAnsi="仿宋_GB2312" w:eastAsia="仿宋_GB2312" w:cs="仿宋_GB2312"/>
          <w:kern w:val="0"/>
          <w:sz w:val="32"/>
          <w:szCs w:val="32"/>
          <w:highlight w:val="none"/>
          <w:shd w:val="clear" w:color="auto" w:fill="FFFFFF"/>
          <w:lang w:val="en-US" w:eastAsia="zh-CN" w:bidi="ar"/>
        </w:rPr>
        <w:t>自全部成果文件经招标人按程序审定之日起，</w:t>
      </w:r>
      <w:r>
        <w:rPr>
          <w:rFonts w:hint="eastAsia" w:ascii="仿宋_GB2312" w:hAnsi="仿宋_GB2312" w:eastAsia="仿宋_GB2312" w:cs="仿宋_GB2312"/>
          <w:sz w:val="32"/>
          <w:szCs w:val="32"/>
          <w:highlight w:val="none"/>
        </w:rPr>
        <w:t>中标人</w:t>
      </w:r>
      <w:r>
        <w:rPr>
          <w:rFonts w:hint="eastAsia" w:ascii="仿宋_GB2312" w:hAnsi="仿宋_GB2312" w:eastAsia="仿宋_GB2312" w:cs="仿宋_GB2312"/>
          <w:sz w:val="32"/>
          <w:szCs w:val="32"/>
          <w:highlight w:val="none"/>
          <w:lang w:val="en-US" w:eastAsia="zh-CN"/>
        </w:rPr>
        <w:t>提供</w:t>
      </w:r>
      <w:r>
        <w:rPr>
          <w:rFonts w:hint="eastAsia" w:ascii="仿宋_GB2312" w:hAnsi="仿宋_GB2312" w:eastAsia="仿宋_GB2312" w:cs="仿宋_GB2312"/>
          <w:kern w:val="0"/>
          <w:sz w:val="32"/>
          <w:szCs w:val="32"/>
          <w:highlight w:val="none"/>
          <w:shd w:val="clear" w:color="auto" w:fill="FFFFFF"/>
          <w:lang w:val="en-US" w:eastAsia="zh-CN" w:bidi="ar"/>
        </w:rPr>
        <w:t>1年的落地实施辅导服务，中标人辅导服务期结束后，</w:t>
      </w:r>
      <w:r>
        <w:rPr>
          <w:rFonts w:hint="eastAsia" w:ascii="仿宋_GB2312" w:hAnsi="仿宋_GB2312" w:eastAsia="仿宋_GB2312" w:cs="仿宋_GB2312"/>
          <w:sz w:val="32"/>
          <w:szCs w:val="32"/>
          <w:highlight w:val="none"/>
          <w:lang w:val="en-US" w:eastAsia="zh-CN"/>
        </w:rPr>
        <w:t>开具相应金额的增值税专用发票给招标人后15个日历日内，招标人支付给中标人项目合同款的10%。</w:t>
      </w:r>
    </w:p>
    <w:p w14:paraId="67A14204">
      <w:pPr>
        <w:widowControl/>
        <w:ind w:firstLine="640" w:firstLineChars="200"/>
        <w:jc w:val="left"/>
        <w:rPr>
          <w:rFonts w:ascii="仿宋_GB2312" w:hAnsi="仿宋_GB2312" w:eastAsia="仿宋_GB2312" w:cs="仿宋_GB2312"/>
          <w:sz w:val="32"/>
          <w:szCs w:val="32"/>
          <w:highlight w:val="none"/>
          <w:lang w:bidi="ar"/>
        </w:rPr>
      </w:pPr>
      <w:r>
        <w:rPr>
          <w:rFonts w:hint="eastAsia" w:ascii="仿宋_GB2312" w:hAnsi="仿宋_GB2312" w:eastAsia="仿宋_GB2312" w:cs="仿宋_GB2312"/>
          <w:kern w:val="0"/>
          <w:sz w:val="32"/>
          <w:szCs w:val="32"/>
          <w:highlight w:val="none"/>
          <w:shd w:val="clear" w:color="auto" w:fill="FFFFFF"/>
          <w:lang w:bidi="ar"/>
        </w:rPr>
        <w:t>九、招标人对本次招标活动及相关的文件资料拥有最终的</w:t>
      </w:r>
      <w:r>
        <w:rPr>
          <w:rFonts w:hint="eastAsia" w:ascii="仿宋_GB2312" w:hAnsi="仿宋_GB2312" w:eastAsia="仿宋_GB2312" w:cs="仿宋_GB2312"/>
          <w:sz w:val="32"/>
          <w:szCs w:val="32"/>
          <w:highlight w:val="none"/>
          <w:lang w:bidi="ar"/>
        </w:rPr>
        <w:t>解释权。</w:t>
      </w:r>
    </w:p>
    <w:p w14:paraId="26B32EC8">
      <w:pPr>
        <w:ind w:firstLine="640" w:firstLineChars="200"/>
        <w:rPr>
          <w:rFonts w:ascii="仿宋_GB2312" w:hAnsi="仿宋_GB2312" w:eastAsia="仿宋_GB2312" w:cs="仿宋_GB2312"/>
          <w:sz w:val="32"/>
          <w:szCs w:val="32"/>
          <w:highlight w:val="none"/>
          <w:lang w:bidi="ar"/>
        </w:rPr>
      </w:pPr>
    </w:p>
    <w:p w14:paraId="0A62B118">
      <w:pPr>
        <w:pStyle w:val="2"/>
      </w:pPr>
    </w:p>
    <w:p w14:paraId="54E1AB32">
      <w:pPr>
        <w:jc w:val="right"/>
        <w:rPr>
          <w:rFonts w:hint="eastAsia"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广州南沙资产经营集团有限公司</w:t>
      </w:r>
    </w:p>
    <w:p w14:paraId="4CE6C18E">
      <w:pPr>
        <w:jc w:val="right"/>
        <w:rPr>
          <w:rFonts w:ascii="仿宋_GB2312" w:hAnsi="仿宋_GB2312" w:eastAsia="仿宋_GB2312" w:cs="仿宋_GB2312"/>
          <w:kern w:val="0"/>
          <w:sz w:val="32"/>
          <w:szCs w:val="32"/>
          <w:highlight w:val="none"/>
          <w:shd w:val="clear" w:color="auto" w:fill="FFFFFF"/>
          <w:lang w:bidi="ar"/>
        </w:rPr>
      </w:pPr>
      <w:r>
        <w:rPr>
          <w:rFonts w:hint="eastAsia" w:ascii="仿宋_GB2312" w:hAnsi="仿宋_GB2312" w:eastAsia="仿宋_GB2312" w:cs="仿宋_GB2312"/>
          <w:kern w:val="0"/>
          <w:sz w:val="32"/>
          <w:szCs w:val="32"/>
          <w:highlight w:val="none"/>
          <w:shd w:val="clear" w:color="auto" w:fill="FFFFFF"/>
          <w:lang w:bidi="ar"/>
        </w:rPr>
        <w:t>202</w:t>
      </w:r>
      <w:r>
        <w:rPr>
          <w:rFonts w:hint="eastAsia" w:ascii="仿宋_GB2312" w:hAnsi="仿宋_GB2312" w:eastAsia="仿宋_GB2312" w:cs="仿宋_GB2312"/>
          <w:kern w:val="0"/>
          <w:sz w:val="32"/>
          <w:szCs w:val="32"/>
          <w:highlight w:val="none"/>
          <w:shd w:val="clear" w:color="auto" w:fill="FFFFFF"/>
          <w:lang w:val="en-US" w:eastAsia="zh-CN" w:bidi="ar"/>
        </w:rPr>
        <w:t>5</w:t>
      </w:r>
      <w:r>
        <w:rPr>
          <w:rFonts w:hint="eastAsia" w:ascii="仿宋_GB2312" w:hAnsi="仿宋_GB2312" w:eastAsia="仿宋_GB2312" w:cs="仿宋_GB2312"/>
          <w:kern w:val="0"/>
          <w:sz w:val="32"/>
          <w:szCs w:val="32"/>
          <w:highlight w:val="none"/>
          <w:shd w:val="clear" w:color="auto" w:fill="FFFFFF"/>
          <w:lang w:bidi="ar"/>
        </w:rPr>
        <w:t>年</w:t>
      </w:r>
      <w:r>
        <w:rPr>
          <w:rFonts w:hint="eastAsia" w:ascii="仿宋_GB2312" w:hAnsi="仿宋_GB2312" w:eastAsia="仿宋_GB2312" w:cs="仿宋_GB2312"/>
          <w:kern w:val="0"/>
          <w:sz w:val="32"/>
          <w:szCs w:val="32"/>
          <w:highlight w:val="none"/>
          <w:shd w:val="clear" w:color="auto" w:fill="FFFFFF"/>
          <w:lang w:val="en-US" w:eastAsia="zh-CN" w:bidi="ar"/>
        </w:rPr>
        <w:t>7</w:t>
      </w:r>
      <w:r>
        <w:rPr>
          <w:rFonts w:hint="eastAsia" w:ascii="仿宋_GB2312" w:hAnsi="仿宋_GB2312" w:eastAsia="仿宋_GB2312" w:cs="仿宋_GB2312"/>
          <w:kern w:val="0"/>
          <w:sz w:val="32"/>
          <w:szCs w:val="32"/>
          <w:highlight w:val="none"/>
          <w:shd w:val="clear" w:color="auto" w:fill="FFFFFF"/>
          <w:lang w:bidi="ar"/>
        </w:rPr>
        <w:t>月</w:t>
      </w:r>
      <w:r>
        <w:rPr>
          <w:rFonts w:hint="eastAsia" w:ascii="仿宋_GB2312" w:hAnsi="仿宋_GB2312" w:eastAsia="仿宋_GB2312" w:cs="仿宋_GB2312"/>
          <w:kern w:val="0"/>
          <w:sz w:val="32"/>
          <w:szCs w:val="32"/>
          <w:highlight w:val="none"/>
          <w:shd w:val="clear" w:color="auto" w:fill="FFFFFF"/>
          <w:lang w:val="en-US" w:eastAsia="zh-CN" w:bidi="ar"/>
        </w:rPr>
        <w:t>8</w:t>
      </w:r>
      <w:r>
        <w:rPr>
          <w:rFonts w:hint="eastAsia" w:ascii="仿宋_GB2312" w:hAnsi="仿宋_GB2312" w:eastAsia="仿宋_GB2312" w:cs="仿宋_GB2312"/>
          <w:kern w:val="0"/>
          <w:sz w:val="32"/>
          <w:szCs w:val="32"/>
          <w:highlight w:val="none"/>
          <w:shd w:val="clear" w:color="auto" w:fill="FFFFFF"/>
          <w:lang w:bidi="ar"/>
        </w:rPr>
        <w:t>日</w:t>
      </w:r>
    </w:p>
    <w:p w14:paraId="6592E268">
      <w:pPr>
        <w:numPr>
          <w:ilvl w:val="255"/>
          <w:numId w:val="0"/>
        </w:numPr>
        <w:rPr>
          <w:rFonts w:hint="eastAsia" w:ascii="仿宋_GB2312" w:hAnsi="仿宋_GB2312" w:eastAsia="仿宋_GB2312" w:cs="仿宋_GB2312"/>
          <w:bCs/>
          <w:sz w:val="32"/>
          <w:szCs w:val="32"/>
          <w:highlight w:val="none"/>
        </w:rPr>
      </w:pPr>
    </w:p>
    <w:p w14:paraId="7D54D7C9">
      <w:pPr>
        <w:numPr>
          <w:ilvl w:val="255"/>
          <w:numId w:val="0"/>
        </w:numPr>
        <w:rPr>
          <w:rFonts w:hint="eastAsia" w:ascii="仿宋_GB2312" w:hAnsi="仿宋_GB2312" w:eastAsia="仿宋_GB2312" w:cs="仿宋_GB2312"/>
          <w:bCs/>
          <w:sz w:val="32"/>
          <w:szCs w:val="32"/>
          <w:highlight w:val="none"/>
        </w:rPr>
      </w:pPr>
    </w:p>
    <w:p w14:paraId="1F5AB9A8">
      <w:pPr>
        <w:numPr>
          <w:ilvl w:val="255"/>
          <w:numId w:val="0"/>
        </w:numPr>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rPr>
        <w:t>附件：1.投标文件格式</w:t>
      </w:r>
      <w:r>
        <w:rPr>
          <w:rFonts w:hint="eastAsia" w:ascii="仿宋_GB2312" w:hAnsi="仿宋_GB2312" w:eastAsia="仿宋_GB2312" w:cs="仿宋_GB2312"/>
          <w:bCs/>
          <w:sz w:val="32"/>
          <w:szCs w:val="32"/>
          <w:highlight w:val="none"/>
          <w:lang w:val="en-US" w:eastAsia="zh-CN"/>
        </w:rPr>
        <w:t>参考模板</w:t>
      </w:r>
    </w:p>
    <w:p w14:paraId="583ABF9F">
      <w:pPr>
        <w:numPr>
          <w:ilvl w:val="1"/>
          <w:numId w:val="13"/>
        </w:numPr>
        <w:ind w:left="420" w:leftChars="20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封面（格式）</w:t>
      </w:r>
    </w:p>
    <w:p w14:paraId="6C30AAD1">
      <w:pPr>
        <w:numPr>
          <w:ilvl w:val="255"/>
          <w:numId w:val="0"/>
        </w:numPr>
        <w:ind w:left="420" w:leftChars="20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1.2 投标书、报价表（格式）</w:t>
      </w:r>
    </w:p>
    <w:p w14:paraId="14A9F915">
      <w:pPr>
        <w:numPr>
          <w:ilvl w:val="255"/>
          <w:numId w:val="0"/>
        </w:numPr>
        <w:ind w:left="420" w:leftChars="20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1.3 法定代表人（负责人）证明书（格式）</w:t>
      </w:r>
    </w:p>
    <w:p w14:paraId="04AB3651">
      <w:pPr>
        <w:numPr>
          <w:ilvl w:val="255"/>
          <w:numId w:val="0"/>
        </w:numPr>
        <w:ind w:left="420" w:leftChars="200" w:firstLine="640" w:firstLineChars="200"/>
        <w:rPr>
          <w:sz w:val="32"/>
          <w:szCs w:val="32"/>
          <w:highlight w:val="none"/>
        </w:rPr>
      </w:pPr>
      <w:r>
        <w:rPr>
          <w:rFonts w:hint="eastAsia" w:ascii="仿宋_GB2312" w:hAnsi="仿宋_GB2312" w:eastAsia="仿宋_GB2312" w:cs="仿宋_GB2312"/>
          <w:sz w:val="32"/>
          <w:szCs w:val="32"/>
          <w:highlight w:val="none"/>
        </w:rPr>
        <w:t>1.4 法定代表人授权委托书（格式）</w:t>
      </w:r>
    </w:p>
    <w:p w14:paraId="54A3AB71">
      <w:pPr>
        <w:ind w:left="1374" w:leftChars="504" w:hanging="316" w:hangingChars="99"/>
        <w:rPr>
          <w:highlight w:val="none"/>
        </w:rPr>
      </w:pPr>
      <w:r>
        <w:rPr>
          <w:rFonts w:hint="eastAsia" w:ascii="仿宋_GB2312" w:hAnsi="仿宋_GB2312" w:eastAsia="仿宋_GB2312" w:cs="仿宋_GB2312"/>
          <w:sz w:val="32"/>
          <w:szCs w:val="32"/>
          <w:highlight w:val="none"/>
        </w:rPr>
        <w:t>1.5 企业经验能力</w:t>
      </w:r>
      <w:r>
        <w:rPr>
          <w:rFonts w:hint="eastAsia" w:ascii="仿宋_GB2312" w:hAnsi="微软雅黑" w:eastAsia="仿宋_GB2312" w:cs="仿宋_GB2312"/>
          <w:sz w:val="32"/>
          <w:szCs w:val="32"/>
          <w:highlight w:val="none"/>
          <w:lang w:bidi="ar"/>
        </w:rPr>
        <w:t>（格式）</w:t>
      </w:r>
    </w:p>
    <w:p w14:paraId="3D90206E">
      <w:pPr>
        <w:numPr>
          <w:ilvl w:val="255"/>
          <w:numId w:val="0"/>
        </w:numPr>
        <w:ind w:left="420" w:leftChars="200" w:firstLine="640" w:firstLineChars="200"/>
        <w:rPr>
          <w:rFonts w:ascii="仿宋_GB2312" w:hAnsi="微软雅黑" w:eastAsia="仿宋_GB2312" w:cs="仿宋_GB2312"/>
          <w:sz w:val="32"/>
          <w:szCs w:val="32"/>
          <w:highlight w:val="none"/>
          <w:lang w:bidi="ar"/>
        </w:rPr>
      </w:pPr>
      <w:r>
        <w:rPr>
          <w:rFonts w:hint="eastAsia" w:ascii="仿宋_GB2312" w:hAnsi="微软雅黑" w:eastAsia="仿宋_GB2312" w:cs="仿宋_GB2312"/>
          <w:sz w:val="32"/>
          <w:szCs w:val="32"/>
          <w:highlight w:val="none"/>
          <w:lang w:bidi="ar"/>
        </w:rPr>
        <w:t>1.6 项目服务人员名单及综合能力经验文件（格式）</w:t>
      </w:r>
    </w:p>
    <w:p w14:paraId="768D43AB">
      <w:pPr>
        <w:ind w:left="1374" w:leftChars="504" w:hanging="316" w:hangingChars="99"/>
        <w:rPr>
          <w:rFonts w:eastAsia="仿宋_GB231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 xml:space="preserve"> 承诺函（格式）</w:t>
      </w:r>
    </w:p>
    <w:p w14:paraId="2166BBCF">
      <w:pPr>
        <w:numPr>
          <w:ilvl w:val="255"/>
          <w:numId w:val="0"/>
        </w:numPr>
        <w:ind w:left="420" w:leftChars="200" w:firstLine="419" w:firstLineChars="131"/>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2.符合性审查表</w:t>
      </w:r>
    </w:p>
    <w:p w14:paraId="4961B8E6">
      <w:pPr>
        <w:numPr>
          <w:ilvl w:val="255"/>
          <w:numId w:val="0"/>
        </w:numPr>
        <w:ind w:left="420" w:firstLine="420"/>
        <w:rPr>
          <w:rFonts w:ascii="仿宋_GB2312" w:hAnsi="仿宋_GB2312" w:eastAsia="仿宋_GB2312" w:cs="仿宋_GB2312"/>
          <w:sz w:val="28"/>
          <w:szCs w:val="28"/>
          <w:highlight w:val="none"/>
        </w:rPr>
      </w:pPr>
      <w:r>
        <w:rPr>
          <w:rFonts w:hint="eastAsia" w:ascii="仿宋_GB2312" w:hAnsi="仿宋_GB2312" w:eastAsia="仿宋_GB2312" w:cs="仿宋_GB2312"/>
          <w:sz w:val="32"/>
          <w:szCs w:val="32"/>
          <w:highlight w:val="none"/>
        </w:rPr>
        <w:t>3.综合评分表</w:t>
      </w:r>
    </w:p>
    <w:p w14:paraId="11557562">
      <w:pPr>
        <w:spacing w:line="360" w:lineRule="auto"/>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br w:type="page"/>
      </w:r>
      <w:r>
        <w:rPr>
          <w:rFonts w:hint="eastAsia" w:ascii="仿宋_GB2312" w:hAnsi="仿宋_GB2312" w:eastAsia="仿宋_GB2312" w:cs="仿宋_GB2312"/>
          <w:sz w:val="28"/>
          <w:szCs w:val="28"/>
          <w:highlight w:val="none"/>
        </w:rPr>
        <w:t>附件1.1 封面（格式）</w:t>
      </w:r>
    </w:p>
    <w:p w14:paraId="5E2A0737">
      <w:pPr>
        <w:pStyle w:val="2"/>
        <w:spacing w:after="0"/>
        <w:rPr>
          <w:rFonts w:hAnsi="宋体"/>
          <w:bCs/>
          <w:spacing w:val="6"/>
          <w:sz w:val="36"/>
          <w:szCs w:val="36"/>
          <w:highlight w:val="none"/>
        </w:rPr>
      </w:pPr>
    </w:p>
    <w:p w14:paraId="697594A1">
      <w:pPr>
        <w:jc w:val="center"/>
        <w:rPr>
          <w:rStyle w:val="53"/>
          <w:rFonts w:hint="eastAsia" w:ascii="方正小标宋简体" w:hAnsi="方正小标宋简体" w:eastAsia="方正小标宋简体"/>
          <w:sz w:val="44"/>
          <w:szCs w:val="44"/>
          <w:highlight w:val="none"/>
        </w:rPr>
      </w:pPr>
      <w:r>
        <w:rPr>
          <w:rStyle w:val="53"/>
          <w:rFonts w:hint="eastAsia" w:ascii="方正小标宋简体" w:hAnsi="方正小标宋简体" w:eastAsia="方正小标宋简体"/>
          <w:sz w:val="44"/>
          <w:szCs w:val="44"/>
          <w:highlight w:val="none"/>
          <w:lang w:val="en-US" w:eastAsia="zh-CN"/>
        </w:rPr>
        <w:t>南沙资产经营集团战略规划及综合管理</w:t>
      </w:r>
    </w:p>
    <w:p w14:paraId="49C643C9">
      <w:pPr>
        <w:jc w:val="center"/>
        <w:rPr>
          <w:rStyle w:val="53"/>
          <w:rFonts w:hint="eastAsia" w:ascii="方正小标宋简体" w:hAnsi="方正小标宋简体" w:eastAsia="方正小标宋简体"/>
          <w:sz w:val="44"/>
          <w:szCs w:val="44"/>
          <w:highlight w:val="none"/>
        </w:rPr>
      </w:pPr>
      <w:r>
        <w:rPr>
          <w:rStyle w:val="53"/>
          <w:rFonts w:hint="eastAsia" w:ascii="方正小标宋简体" w:hAnsi="方正小标宋简体" w:eastAsia="方正小标宋简体"/>
          <w:sz w:val="44"/>
          <w:szCs w:val="44"/>
          <w:highlight w:val="none"/>
          <w:lang w:val="en-US" w:eastAsia="zh-CN"/>
        </w:rPr>
        <w:t>咨询</w:t>
      </w:r>
      <w:r>
        <w:rPr>
          <w:rStyle w:val="53"/>
          <w:rFonts w:hint="eastAsia" w:ascii="方正小标宋简体" w:hAnsi="方正小标宋简体" w:eastAsia="方正小标宋简体"/>
          <w:sz w:val="44"/>
          <w:szCs w:val="44"/>
          <w:highlight w:val="none"/>
        </w:rPr>
        <w:t>服务项目</w:t>
      </w:r>
    </w:p>
    <w:p w14:paraId="29853212">
      <w:pPr>
        <w:jc w:val="center"/>
        <w:rPr>
          <w:rFonts w:ascii="方正小标宋简体" w:hAnsi="方正小标宋简体" w:eastAsia="方正小标宋简体" w:cs="方正小标宋简体"/>
          <w:b/>
          <w:sz w:val="96"/>
          <w:highlight w:val="none"/>
        </w:rPr>
      </w:pPr>
    </w:p>
    <w:p w14:paraId="32D3AA62">
      <w:pPr>
        <w:jc w:val="center"/>
        <w:outlineLvl w:val="0"/>
        <w:rPr>
          <w:rFonts w:ascii="方正小标宋简体" w:hAnsi="方正小标宋简体" w:eastAsia="方正小标宋简体" w:cs="方正小标宋简体"/>
          <w:bCs/>
          <w:spacing w:val="60"/>
          <w:sz w:val="72"/>
          <w:szCs w:val="72"/>
          <w:highlight w:val="none"/>
        </w:rPr>
      </w:pPr>
      <w:r>
        <w:rPr>
          <w:rFonts w:hint="eastAsia" w:ascii="方正小标宋简体" w:hAnsi="方正小标宋简体" w:eastAsia="方正小标宋简体" w:cs="方正小标宋简体"/>
          <w:bCs/>
          <w:spacing w:val="60"/>
          <w:sz w:val="72"/>
          <w:szCs w:val="72"/>
          <w:highlight w:val="none"/>
        </w:rPr>
        <w:t>投标文件</w:t>
      </w:r>
    </w:p>
    <w:p w14:paraId="06DCEC3F">
      <w:pPr>
        <w:jc w:val="center"/>
        <w:rPr>
          <w:rFonts w:ascii="方正小标宋简体" w:hAnsi="方正小标宋简体" w:eastAsia="方正小标宋简体" w:cs="方正小标宋简体"/>
          <w:bCs/>
          <w:sz w:val="48"/>
          <w:highlight w:val="none"/>
        </w:rPr>
      </w:pPr>
      <w:r>
        <w:rPr>
          <w:rFonts w:hint="eastAsia" w:ascii="方正小标宋简体" w:hAnsi="方正小标宋简体" w:eastAsia="方正小标宋简体" w:cs="方正小标宋简体"/>
          <w:bCs/>
          <w:sz w:val="32"/>
          <w:highlight w:val="none"/>
          <w:u w:val="single"/>
        </w:rPr>
        <w:t xml:space="preserve">    </w:t>
      </w:r>
      <w:r>
        <w:rPr>
          <w:rFonts w:hint="eastAsia" w:ascii="方正小标宋简体" w:hAnsi="方正小标宋简体" w:eastAsia="方正小标宋简体" w:cs="方正小标宋简体"/>
          <w:bCs/>
          <w:sz w:val="32"/>
          <w:highlight w:val="none"/>
        </w:rPr>
        <w:t xml:space="preserve">本（正本或副本） </w:t>
      </w:r>
    </w:p>
    <w:p w14:paraId="056186AE">
      <w:pPr>
        <w:jc w:val="center"/>
        <w:rPr>
          <w:rFonts w:ascii="宋体" w:hAnsi="宋体"/>
          <w:sz w:val="48"/>
          <w:highlight w:val="none"/>
        </w:rPr>
      </w:pPr>
    </w:p>
    <w:p w14:paraId="151D36D5">
      <w:pPr>
        <w:jc w:val="center"/>
        <w:rPr>
          <w:rFonts w:ascii="宋体" w:hAnsi="宋体"/>
          <w:sz w:val="48"/>
          <w:highlight w:val="none"/>
        </w:rPr>
      </w:pPr>
    </w:p>
    <w:p w14:paraId="4221A355">
      <w:pPr>
        <w:jc w:val="center"/>
        <w:rPr>
          <w:rFonts w:ascii="宋体" w:hAnsi="宋体"/>
          <w:sz w:val="48"/>
          <w:highlight w:val="none"/>
        </w:rPr>
      </w:pPr>
    </w:p>
    <w:p w14:paraId="19027EF7">
      <w:pPr>
        <w:jc w:val="center"/>
        <w:rPr>
          <w:rFonts w:ascii="宋体" w:hAnsi="宋体"/>
          <w:sz w:val="48"/>
          <w:highlight w:val="none"/>
        </w:rPr>
      </w:pPr>
    </w:p>
    <w:p w14:paraId="4BB0C398">
      <w:pPr>
        <w:jc w:val="center"/>
        <w:rPr>
          <w:rFonts w:ascii="宋体" w:hAnsi="宋体"/>
          <w:sz w:val="48"/>
          <w:highlight w:val="none"/>
        </w:rPr>
      </w:pPr>
    </w:p>
    <w:p w14:paraId="08898DB6">
      <w:pPr>
        <w:jc w:val="center"/>
        <w:rPr>
          <w:rFonts w:ascii="宋体" w:hAnsi="宋体"/>
          <w:sz w:val="48"/>
          <w:highlight w:val="none"/>
        </w:rPr>
      </w:pPr>
    </w:p>
    <w:p w14:paraId="25756880">
      <w:pPr>
        <w:ind w:left="1317" w:leftChars="627"/>
        <w:rPr>
          <w:rFonts w:ascii="方正小标宋简体" w:hAnsi="方正小标宋简体" w:eastAsia="方正小标宋简体" w:cs="方正小标宋简体"/>
          <w:sz w:val="28"/>
          <w:highlight w:val="none"/>
          <w:u w:val="single"/>
        </w:rPr>
      </w:pPr>
      <w:r>
        <w:rPr>
          <w:rFonts w:hint="eastAsia" w:ascii="方正小标宋简体" w:hAnsi="方正小标宋简体" w:eastAsia="方正小标宋简体" w:cs="方正小标宋简体"/>
          <w:sz w:val="28"/>
          <w:highlight w:val="none"/>
        </w:rPr>
        <w:t>投  标  人：</w:t>
      </w:r>
      <w:r>
        <w:rPr>
          <w:rFonts w:hint="eastAsia" w:ascii="方正小标宋简体" w:hAnsi="方正小标宋简体" w:eastAsia="方正小标宋简体" w:cs="方正小标宋简体"/>
          <w:sz w:val="28"/>
          <w:highlight w:val="none"/>
          <w:u w:val="single"/>
        </w:rPr>
        <w:t xml:space="preserve">               （公章）          </w:t>
      </w:r>
    </w:p>
    <w:p w14:paraId="239F86E1">
      <w:pPr>
        <w:ind w:left="1317" w:leftChars="627"/>
        <w:rPr>
          <w:rFonts w:ascii="方正小标宋简体" w:hAnsi="方正小标宋简体" w:eastAsia="方正小标宋简体" w:cs="方正小标宋简体"/>
          <w:sz w:val="28"/>
          <w:highlight w:val="none"/>
          <w:u w:val="single"/>
        </w:rPr>
      </w:pPr>
      <w:r>
        <w:rPr>
          <w:rFonts w:hint="eastAsia" w:ascii="方正小标宋简体" w:hAnsi="方正小标宋简体" w:eastAsia="方正小标宋简体" w:cs="方正小标宋简体"/>
          <w:sz w:val="28"/>
          <w:highlight w:val="none"/>
        </w:rPr>
        <w:t>法定代表人或授权委托人：</w:t>
      </w:r>
      <w:r>
        <w:rPr>
          <w:rFonts w:hint="eastAsia" w:ascii="方正小标宋简体" w:hAnsi="方正小标宋简体" w:eastAsia="方正小标宋简体" w:cs="方正小标宋简体"/>
          <w:sz w:val="28"/>
          <w:highlight w:val="none"/>
          <w:u w:val="single"/>
        </w:rPr>
        <w:t xml:space="preserve">    （签字）         </w:t>
      </w:r>
    </w:p>
    <w:p w14:paraId="37F589D0">
      <w:pPr>
        <w:ind w:left="1317" w:leftChars="627"/>
        <w:rPr>
          <w:rFonts w:ascii="方正小标宋简体" w:hAnsi="方正小标宋简体" w:eastAsia="方正小标宋简体" w:cs="方正小标宋简体"/>
          <w:sz w:val="28"/>
          <w:highlight w:val="none"/>
          <w:u w:val="single"/>
        </w:rPr>
      </w:pPr>
    </w:p>
    <w:p w14:paraId="1D4398D3">
      <w:pPr>
        <w:spacing w:line="600" w:lineRule="exact"/>
        <w:jc w:val="center"/>
        <w:rPr>
          <w:rFonts w:ascii="方正小标宋简体" w:hAnsi="方正小标宋简体" w:eastAsia="方正小标宋简体" w:cs="方正小标宋简体"/>
          <w:bCs/>
          <w:kern w:val="0"/>
          <w:sz w:val="32"/>
          <w:highlight w:val="none"/>
        </w:rPr>
      </w:pPr>
      <w:r>
        <w:rPr>
          <w:rFonts w:hint="eastAsia" w:ascii="方正小标宋简体" w:hAnsi="方正小标宋简体" w:eastAsia="方正小标宋简体" w:cs="方正小标宋简体"/>
          <w:bCs/>
          <w:kern w:val="0"/>
          <w:sz w:val="32"/>
          <w:highlight w:val="none"/>
        </w:rPr>
        <w:t>二〇二</w:t>
      </w:r>
      <w:r>
        <w:rPr>
          <w:rFonts w:hint="eastAsia" w:ascii="方正小标宋简体" w:hAnsi="方正小标宋简体" w:eastAsia="方正小标宋简体" w:cs="方正小标宋简体"/>
          <w:bCs/>
          <w:kern w:val="0"/>
          <w:sz w:val="32"/>
          <w:highlight w:val="none"/>
          <w:lang w:val="en-US" w:eastAsia="zh-CN"/>
        </w:rPr>
        <w:t>五</w:t>
      </w:r>
      <w:r>
        <w:rPr>
          <w:rFonts w:hint="eastAsia" w:ascii="方正小标宋简体" w:hAnsi="方正小标宋简体" w:eastAsia="方正小标宋简体" w:cs="方正小标宋简体"/>
          <w:bCs/>
          <w:kern w:val="0"/>
          <w:sz w:val="32"/>
          <w:highlight w:val="none"/>
        </w:rPr>
        <w:t>年</w:t>
      </w:r>
      <w:r>
        <w:rPr>
          <w:rFonts w:hint="eastAsia" w:ascii="方正小标宋简体" w:hAnsi="方正小标宋简体" w:eastAsia="方正小标宋简体" w:cs="方正小标宋简体"/>
          <w:bCs/>
          <w:kern w:val="0"/>
          <w:sz w:val="32"/>
          <w:highlight w:val="none"/>
          <w:lang w:val="en-US" w:eastAsia="zh-CN"/>
        </w:rPr>
        <w:t xml:space="preserve">  </w:t>
      </w:r>
      <w:r>
        <w:rPr>
          <w:rFonts w:hint="eastAsia" w:ascii="方正小标宋简体" w:hAnsi="方正小标宋简体" w:eastAsia="方正小标宋简体" w:cs="方正小标宋简体"/>
          <w:bCs/>
          <w:kern w:val="0"/>
          <w:sz w:val="32"/>
          <w:highlight w:val="none"/>
        </w:rPr>
        <w:t>月  日</w:t>
      </w:r>
    </w:p>
    <w:p w14:paraId="7ED94E3E">
      <w:pPr>
        <w:spacing w:line="360" w:lineRule="auto"/>
        <w:rPr>
          <w:rFonts w:ascii="仿宋_GB2312" w:hAnsi="仿宋_GB2312" w:eastAsia="仿宋_GB2312" w:cs="仿宋_GB2312"/>
          <w:sz w:val="28"/>
          <w:szCs w:val="21"/>
          <w:highlight w:val="none"/>
        </w:rPr>
      </w:pPr>
      <w:r>
        <w:rPr>
          <w:b/>
          <w:sz w:val="44"/>
          <w:szCs w:val="44"/>
          <w:highlight w:val="none"/>
        </w:rPr>
        <w:br w:type="page"/>
      </w:r>
      <w:r>
        <w:rPr>
          <w:rFonts w:hint="eastAsia" w:ascii="仿宋_GB2312" w:hAnsi="仿宋_GB2312" w:eastAsia="仿宋_GB2312" w:cs="仿宋_GB2312"/>
          <w:sz w:val="28"/>
          <w:szCs w:val="28"/>
          <w:highlight w:val="none"/>
        </w:rPr>
        <w:t xml:space="preserve">附件1.2 </w:t>
      </w:r>
      <w:r>
        <w:rPr>
          <w:rFonts w:hint="eastAsia" w:ascii="仿宋_GB2312" w:hAnsi="仿宋_GB2312" w:eastAsia="仿宋_GB2312" w:cs="仿宋_GB2312"/>
          <w:sz w:val="28"/>
          <w:szCs w:val="21"/>
          <w:highlight w:val="none"/>
        </w:rPr>
        <w:t>投标书（格式）</w:t>
      </w:r>
    </w:p>
    <w:p w14:paraId="3D5610ED">
      <w:pPr>
        <w:spacing w:line="360" w:lineRule="auto"/>
        <w:ind w:firstLine="480" w:firstLineChars="200"/>
        <w:rPr>
          <w:rFonts w:ascii="宋体" w:hAnsi="宋体"/>
          <w:sz w:val="24"/>
          <w:highlight w:val="none"/>
        </w:rPr>
      </w:pPr>
    </w:p>
    <w:p w14:paraId="3AE482DD">
      <w:pPr>
        <w:spacing w:line="500" w:lineRule="exact"/>
        <w:jc w:val="center"/>
        <w:outlineLvl w:val="0"/>
        <w:rPr>
          <w:rFonts w:ascii="方正小标宋简体" w:hAnsi="方正小标宋简体" w:eastAsia="方正小标宋简体" w:cs="方正小标宋简体"/>
          <w:b/>
          <w:bCs/>
          <w:sz w:val="36"/>
          <w:szCs w:val="36"/>
          <w:highlight w:val="none"/>
        </w:rPr>
      </w:pPr>
      <w:r>
        <w:rPr>
          <w:rFonts w:hint="eastAsia" w:ascii="方正小标宋简体" w:hAnsi="方正小标宋简体" w:eastAsia="方正小标宋简体" w:cs="方正小标宋简体"/>
          <w:b/>
          <w:bCs/>
          <w:sz w:val="36"/>
          <w:szCs w:val="36"/>
          <w:highlight w:val="none"/>
        </w:rPr>
        <w:t>投  标  书</w:t>
      </w:r>
    </w:p>
    <w:p w14:paraId="679E42C7">
      <w:pPr>
        <w:rPr>
          <w:rFonts w:ascii="宋体" w:hAnsi="宋体"/>
          <w:highlight w:val="none"/>
        </w:rPr>
      </w:pPr>
    </w:p>
    <w:p w14:paraId="2AE4BBDE">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致：广州南沙资产经营集团有限公司</w:t>
      </w:r>
    </w:p>
    <w:p w14:paraId="6E460498">
      <w:pPr>
        <w:spacing w:line="360" w:lineRule="auto"/>
        <w:ind w:firstLine="480"/>
        <w:rPr>
          <w:rFonts w:ascii="仿宋_GB2312" w:hAnsi="仿宋_GB2312" w:eastAsia="仿宋_GB2312" w:cs="仿宋_GB2312"/>
          <w:sz w:val="24"/>
          <w:szCs w:val="24"/>
          <w:highlight w:val="none"/>
        </w:rPr>
      </w:pPr>
    </w:p>
    <w:p w14:paraId="2BF84A4D">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1.我们了解贵方南沙资产经营集团战略规划及综合管理</w:t>
      </w:r>
      <w:r>
        <w:rPr>
          <w:rFonts w:hint="eastAsia" w:ascii="仿宋_GB2312" w:hAnsi="仿宋_GB2312" w:eastAsia="仿宋_GB2312" w:cs="仿宋_GB2312"/>
          <w:sz w:val="24"/>
          <w:szCs w:val="24"/>
          <w:highlight w:val="none"/>
          <w:lang w:val="en-US" w:eastAsia="zh-CN"/>
        </w:rPr>
        <w:t>咨询</w:t>
      </w:r>
      <w:r>
        <w:rPr>
          <w:rFonts w:hint="eastAsia" w:ascii="仿宋_GB2312" w:hAnsi="仿宋_GB2312" w:eastAsia="仿宋_GB2312" w:cs="仿宋_GB2312"/>
          <w:sz w:val="24"/>
          <w:szCs w:val="24"/>
          <w:highlight w:val="none"/>
        </w:rPr>
        <w:t>服务项目的招标文件后，经研究，愿以人民币（大写）</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元的总价，提供招标文件要求的</w:t>
      </w:r>
      <w:r>
        <w:rPr>
          <w:rFonts w:hint="eastAsia" w:ascii="仿宋_GB2312" w:hAnsi="仿宋_GB2312" w:eastAsia="仿宋_GB2312" w:cs="仿宋_GB2312"/>
          <w:sz w:val="24"/>
          <w:szCs w:val="24"/>
          <w:highlight w:val="none"/>
          <w:lang w:val="en-US" w:eastAsia="zh-CN"/>
        </w:rPr>
        <w:t>咨询</w:t>
      </w:r>
      <w:r>
        <w:rPr>
          <w:rFonts w:hint="eastAsia" w:ascii="仿宋_GB2312" w:hAnsi="仿宋_GB2312" w:eastAsia="仿宋_GB2312" w:cs="仿宋_GB2312"/>
          <w:sz w:val="24"/>
          <w:szCs w:val="24"/>
          <w:highlight w:val="none"/>
        </w:rPr>
        <w:t>服务工作，我方及为此项目提供服务的工作团队满足招标文件提出的各项规定和要求。</w:t>
      </w:r>
    </w:p>
    <w:p w14:paraId="27F3B9C5">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2、如果贵方接受我方投标，我方保证按招标文件的要求按时全部完成此项目</w:t>
      </w:r>
      <w:r>
        <w:rPr>
          <w:rFonts w:hint="eastAsia" w:ascii="仿宋_GB2312" w:hAnsi="仿宋_GB2312" w:eastAsia="仿宋_GB2312" w:cs="仿宋_GB2312"/>
          <w:sz w:val="24"/>
          <w:szCs w:val="24"/>
          <w:highlight w:val="none"/>
          <w:lang w:val="en-US" w:eastAsia="zh-CN"/>
        </w:rPr>
        <w:t>咨询</w:t>
      </w:r>
      <w:r>
        <w:rPr>
          <w:rFonts w:hint="eastAsia" w:ascii="仿宋_GB2312" w:hAnsi="仿宋_GB2312" w:eastAsia="仿宋_GB2312" w:cs="仿宋_GB2312"/>
          <w:sz w:val="24"/>
          <w:szCs w:val="24"/>
          <w:highlight w:val="none"/>
        </w:rPr>
        <w:t>服务工作。</w:t>
      </w:r>
    </w:p>
    <w:p w14:paraId="12990EEC">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3．如果我方在中标通知书写明的期限内未能或拒绝与你单位签订合同协议书，你单位有权另选中标单位。</w:t>
      </w:r>
    </w:p>
    <w:p w14:paraId="36281607">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4、一旦我方中标，我方将按照相关的法律法规和签订的合同来履行自己的责任和义务。除非另外达成协议并生效，贵方的招标文件和中标通知书以及本项目实施计划书将构成约束我们双方的合同。</w:t>
      </w:r>
    </w:p>
    <w:p w14:paraId="1ADC5DDC">
      <w:pPr>
        <w:spacing w:line="360" w:lineRule="auto"/>
        <w:ind w:firstLine="48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5、我方理解，贵方可选择任何部分或全部项目与投标人签约，也不一定接受最低标价的投标。同时也理解，你单位不负担我们的任何投标费用。</w:t>
      </w:r>
    </w:p>
    <w:p w14:paraId="0EEDF9E9">
      <w:pPr>
        <w:spacing w:line="360" w:lineRule="auto"/>
        <w:ind w:firstLine="480"/>
        <w:rPr>
          <w:rFonts w:ascii="仿宋_GB2312" w:hAnsi="仿宋_GB2312" w:eastAsia="仿宋_GB2312" w:cs="仿宋_GB2312"/>
          <w:sz w:val="24"/>
          <w:szCs w:val="24"/>
          <w:highlight w:val="none"/>
        </w:rPr>
      </w:pPr>
    </w:p>
    <w:p w14:paraId="67027D4A">
      <w:pPr>
        <w:spacing w:line="360" w:lineRule="auto"/>
        <w:ind w:firstLine="480"/>
        <w:rPr>
          <w:rFonts w:ascii="仿宋_GB2312" w:hAnsi="仿宋_GB2312" w:eastAsia="仿宋_GB2312" w:cs="仿宋_GB2312"/>
          <w:sz w:val="24"/>
          <w:szCs w:val="24"/>
          <w:highlight w:val="none"/>
        </w:rPr>
      </w:pPr>
    </w:p>
    <w:tbl>
      <w:tblPr>
        <w:tblStyle w:val="18"/>
        <w:tblW w:w="9287" w:type="dxa"/>
        <w:tblInd w:w="0" w:type="dxa"/>
        <w:tblLayout w:type="fixed"/>
        <w:tblCellMar>
          <w:top w:w="0" w:type="dxa"/>
          <w:left w:w="108" w:type="dxa"/>
          <w:bottom w:w="0" w:type="dxa"/>
          <w:right w:w="108" w:type="dxa"/>
        </w:tblCellMar>
      </w:tblPr>
      <w:tblGrid>
        <w:gridCol w:w="4643"/>
        <w:gridCol w:w="4644"/>
      </w:tblGrid>
      <w:tr w14:paraId="19F0807F">
        <w:tblPrEx>
          <w:tblCellMar>
            <w:top w:w="0" w:type="dxa"/>
            <w:left w:w="108" w:type="dxa"/>
            <w:bottom w:w="0" w:type="dxa"/>
            <w:right w:w="108" w:type="dxa"/>
          </w:tblCellMar>
        </w:tblPrEx>
        <w:tc>
          <w:tcPr>
            <w:tcW w:w="4643" w:type="dxa"/>
          </w:tcPr>
          <w:p w14:paraId="2891B342">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投标人地址：</w:t>
            </w:r>
            <w:r>
              <w:rPr>
                <w:rFonts w:hint="eastAsia" w:ascii="仿宋_GB2312" w:hAnsi="仿宋_GB2312" w:eastAsia="仿宋_GB2312" w:cs="仿宋_GB2312"/>
                <w:sz w:val="24"/>
                <w:szCs w:val="24"/>
                <w:highlight w:val="none"/>
                <w:u w:val="single"/>
              </w:rPr>
              <w:t xml:space="preserve">                      </w:t>
            </w:r>
          </w:p>
          <w:p w14:paraId="3AC89288">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电      话：</w:t>
            </w:r>
            <w:r>
              <w:rPr>
                <w:rFonts w:hint="eastAsia" w:ascii="仿宋_GB2312" w:hAnsi="仿宋_GB2312" w:eastAsia="仿宋_GB2312" w:cs="仿宋_GB2312"/>
                <w:sz w:val="24"/>
                <w:szCs w:val="24"/>
                <w:highlight w:val="none"/>
                <w:u w:val="single"/>
              </w:rPr>
              <w:t xml:space="preserve">                      </w:t>
            </w:r>
          </w:p>
          <w:p w14:paraId="567B5EE3">
            <w:pPr>
              <w:spacing w:line="360" w:lineRule="auto"/>
              <w:rPr>
                <w:rFonts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传      真：</w:t>
            </w:r>
            <w:r>
              <w:rPr>
                <w:rFonts w:hint="eastAsia" w:ascii="仿宋_GB2312" w:hAnsi="仿宋_GB2312" w:eastAsia="仿宋_GB2312" w:cs="仿宋_GB2312"/>
                <w:sz w:val="24"/>
                <w:szCs w:val="24"/>
                <w:highlight w:val="none"/>
                <w:u w:val="single"/>
              </w:rPr>
              <w:t xml:space="preserve">                     </w:t>
            </w:r>
          </w:p>
          <w:p w14:paraId="39FC3461">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pacing w:val="40"/>
                <w:kern w:val="0"/>
                <w:sz w:val="24"/>
                <w:szCs w:val="24"/>
                <w:highlight w:val="none"/>
              </w:rPr>
              <w:t>邮政编</w:t>
            </w:r>
            <w:r>
              <w:rPr>
                <w:rFonts w:hint="eastAsia" w:ascii="仿宋_GB2312" w:hAnsi="仿宋_GB2312" w:eastAsia="仿宋_GB2312" w:cs="仿宋_GB2312"/>
                <w:kern w:val="0"/>
                <w:sz w:val="24"/>
                <w:szCs w:val="24"/>
                <w:highlight w:val="none"/>
              </w:rPr>
              <w:t>码</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u w:val="single"/>
              </w:rPr>
              <w:t xml:space="preserve">                      </w:t>
            </w:r>
          </w:p>
        </w:tc>
        <w:tc>
          <w:tcPr>
            <w:tcW w:w="4644" w:type="dxa"/>
          </w:tcPr>
          <w:p w14:paraId="62975456">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投标人名称：</w:t>
            </w:r>
            <w:r>
              <w:rPr>
                <w:rFonts w:hint="eastAsia" w:ascii="仿宋_GB2312" w:hAnsi="仿宋_GB2312" w:eastAsia="仿宋_GB2312" w:cs="仿宋_GB2312"/>
                <w:sz w:val="24"/>
                <w:szCs w:val="24"/>
                <w:highlight w:val="none"/>
                <w:u w:val="single"/>
              </w:rPr>
              <w:t xml:space="preserve"> (盖章)               </w:t>
            </w:r>
          </w:p>
          <w:p w14:paraId="73676091">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法人代表或授权代表</w:t>
            </w:r>
          </w:p>
          <w:p w14:paraId="4FE1AABB">
            <w:pPr>
              <w:spacing w:line="360" w:lineRule="auto"/>
              <w:rPr>
                <w:rFonts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u w:val="single"/>
              </w:rPr>
              <w:t xml:space="preserve">     职务、姓名       （签字）  </w:t>
            </w:r>
          </w:p>
          <w:p w14:paraId="1A29C895">
            <w:pPr>
              <w:spacing w:line="360" w:lineRule="auto"/>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日      期：</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日</w:t>
            </w:r>
          </w:p>
        </w:tc>
      </w:tr>
    </w:tbl>
    <w:p w14:paraId="7D22A0C0">
      <w:pPr>
        <w:spacing w:line="360" w:lineRule="auto"/>
        <w:rPr>
          <w:rFonts w:ascii="仿宋_GB2312" w:hAnsi="仿宋_GB2312" w:eastAsia="仿宋_GB2312" w:cs="仿宋_GB2312"/>
          <w:sz w:val="28"/>
          <w:szCs w:val="28"/>
          <w:highlight w:val="none"/>
        </w:rPr>
      </w:pPr>
      <w:r>
        <w:rPr>
          <w:rFonts w:ascii="仿宋_GB2312" w:hAnsi="仿宋_GB2312" w:eastAsia="仿宋_GB2312" w:cs="仿宋_GB2312"/>
          <w:sz w:val="24"/>
          <w:szCs w:val="24"/>
          <w:highlight w:val="none"/>
        </w:rPr>
        <w:br w:type="page"/>
      </w:r>
      <w:r>
        <w:rPr>
          <w:rFonts w:hint="eastAsia" w:ascii="仿宋_GB2312" w:hAnsi="仿宋_GB2312" w:eastAsia="仿宋_GB2312" w:cs="仿宋_GB2312"/>
          <w:sz w:val="28"/>
          <w:szCs w:val="28"/>
          <w:highlight w:val="none"/>
        </w:rPr>
        <w:t>报价表（格式）</w:t>
      </w:r>
    </w:p>
    <w:p w14:paraId="4C22DBDD">
      <w:pPr>
        <w:jc w:val="center"/>
        <w:rPr>
          <w:rFonts w:ascii="方正小标宋简体" w:hAnsi="方正小标宋简体" w:eastAsia="方正小标宋简体" w:cs="方正小标宋简体"/>
          <w:bCs/>
          <w:spacing w:val="6"/>
          <w:sz w:val="36"/>
          <w:szCs w:val="36"/>
          <w:highlight w:val="none"/>
        </w:rPr>
      </w:pPr>
      <w:r>
        <w:rPr>
          <w:rFonts w:hint="eastAsia" w:ascii="方正小标宋简体" w:hAnsi="方正小标宋简体" w:eastAsia="方正小标宋简体" w:cs="方正小标宋简体"/>
          <w:bCs/>
          <w:spacing w:val="6"/>
          <w:sz w:val="36"/>
          <w:szCs w:val="36"/>
          <w:highlight w:val="none"/>
          <w:lang w:val="en-US" w:eastAsia="zh-CN"/>
        </w:rPr>
        <w:t>南沙资产经营集团战略规划及综合管理咨询</w:t>
      </w:r>
      <w:r>
        <w:rPr>
          <w:rFonts w:hint="eastAsia" w:ascii="方正小标宋简体" w:hAnsi="方正小标宋简体" w:eastAsia="方正小标宋简体" w:cs="方正小标宋简体"/>
          <w:bCs/>
          <w:spacing w:val="6"/>
          <w:sz w:val="36"/>
          <w:szCs w:val="36"/>
          <w:highlight w:val="none"/>
        </w:rPr>
        <w:t>服务项目</w:t>
      </w:r>
    </w:p>
    <w:p w14:paraId="078F8C1B">
      <w:pPr>
        <w:jc w:val="center"/>
        <w:rPr>
          <w:rFonts w:ascii="方正小标宋简体" w:hAnsi="华文仿宋" w:eastAsia="方正小标宋简体"/>
          <w:bCs/>
          <w:sz w:val="36"/>
          <w:szCs w:val="36"/>
          <w:highlight w:val="none"/>
        </w:rPr>
      </w:pPr>
      <w:r>
        <w:rPr>
          <w:rFonts w:hint="eastAsia" w:ascii="方正小标宋简体" w:hAnsi="方正小标宋简体" w:eastAsia="方正小标宋简体" w:cs="方正小标宋简体"/>
          <w:bCs/>
          <w:spacing w:val="6"/>
          <w:sz w:val="36"/>
          <w:szCs w:val="36"/>
          <w:highlight w:val="none"/>
        </w:rPr>
        <w:t>报价表</w:t>
      </w:r>
    </w:p>
    <w:p w14:paraId="42559392">
      <w:pPr>
        <w:widowControl/>
        <w:spacing w:line="360" w:lineRule="auto"/>
        <w:jc w:val="center"/>
        <w:rPr>
          <w:rFonts w:ascii="仿宋_GB2312" w:hAnsi="仿宋_GB2312" w:eastAsia="仿宋_GB2312" w:cs="仿宋_GB2312"/>
          <w:kern w:val="0"/>
          <w:sz w:val="28"/>
          <w:szCs w:val="28"/>
          <w:highlight w:val="none"/>
        </w:rPr>
      </w:pPr>
    </w:p>
    <w:tbl>
      <w:tblPr>
        <w:tblStyle w:val="18"/>
        <w:tblW w:w="9180" w:type="dxa"/>
        <w:tblInd w:w="0" w:type="dxa"/>
        <w:tblLayout w:type="fixed"/>
        <w:tblCellMar>
          <w:top w:w="0" w:type="dxa"/>
          <w:left w:w="108" w:type="dxa"/>
          <w:bottom w:w="0" w:type="dxa"/>
          <w:right w:w="108" w:type="dxa"/>
        </w:tblCellMar>
      </w:tblPr>
      <w:tblGrid>
        <w:gridCol w:w="1342"/>
        <w:gridCol w:w="3680"/>
        <w:gridCol w:w="1410"/>
        <w:gridCol w:w="2748"/>
      </w:tblGrid>
      <w:tr w14:paraId="681F42B7">
        <w:tblPrEx>
          <w:tblCellMar>
            <w:top w:w="0" w:type="dxa"/>
            <w:left w:w="108" w:type="dxa"/>
            <w:bottom w:w="0" w:type="dxa"/>
            <w:right w:w="108" w:type="dxa"/>
          </w:tblCellMar>
        </w:tblPrEx>
        <w:trPr>
          <w:trHeight w:val="1406" w:hRule="atLeast"/>
        </w:trPr>
        <w:tc>
          <w:tcPr>
            <w:tcW w:w="1342" w:type="dxa"/>
            <w:tcBorders>
              <w:top w:val="single" w:color="000000" w:sz="4" w:space="0"/>
              <w:left w:val="single" w:color="000000" w:sz="4" w:space="0"/>
              <w:bottom w:val="single" w:color="000000" w:sz="4" w:space="0"/>
              <w:right w:val="single" w:color="000000" w:sz="4" w:space="0"/>
            </w:tcBorders>
            <w:vAlign w:val="center"/>
          </w:tcPr>
          <w:p w14:paraId="10D0F7A5">
            <w:pPr>
              <w:widowControl/>
              <w:spacing w:line="360" w:lineRule="auto"/>
              <w:jc w:val="cente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项目名称</w:t>
            </w:r>
          </w:p>
        </w:tc>
        <w:tc>
          <w:tcPr>
            <w:tcW w:w="3680" w:type="dxa"/>
            <w:tcBorders>
              <w:top w:val="single" w:color="000000" w:sz="4" w:space="0"/>
              <w:left w:val="nil"/>
              <w:bottom w:val="single" w:color="000000" w:sz="4" w:space="0"/>
              <w:right w:val="single" w:color="000000" w:sz="4" w:space="0"/>
            </w:tcBorders>
            <w:vAlign w:val="center"/>
          </w:tcPr>
          <w:p w14:paraId="316FFD7F">
            <w:pPr>
              <w:widowControl/>
              <w:spacing w:line="360" w:lineRule="auto"/>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南沙资产经营集团战略规划及综合管理</w:t>
            </w:r>
            <w:r>
              <w:rPr>
                <w:rFonts w:hint="eastAsia" w:ascii="仿宋_GB2312" w:hAnsi="仿宋_GB2312" w:eastAsia="仿宋_GB2312" w:cs="仿宋_GB2312"/>
                <w:kern w:val="0"/>
                <w:sz w:val="28"/>
                <w:szCs w:val="28"/>
                <w:highlight w:val="none"/>
                <w:lang w:val="en-US" w:eastAsia="zh-CN"/>
              </w:rPr>
              <w:t>咨询</w:t>
            </w:r>
            <w:r>
              <w:rPr>
                <w:rFonts w:hint="eastAsia" w:ascii="仿宋_GB2312" w:hAnsi="仿宋_GB2312" w:eastAsia="仿宋_GB2312" w:cs="仿宋_GB2312"/>
                <w:kern w:val="0"/>
                <w:sz w:val="28"/>
                <w:szCs w:val="28"/>
                <w:highlight w:val="none"/>
              </w:rPr>
              <w:t>服务项目</w:t>
            </w:r>
          </w:p>
        </w:tc>
        <w:tc>
          <w:tcPr>
            <w:tcW w:w="1410" w:type="dxa"/>
            <w:tcBorders>
              <w:top w:val="single" w:color="000000" w:sz="4" w:space="0"/>
              <w:left w:val="nil"/>
              <w:bottom w:val="single" w:color="000000" w:sz="4" w:space="0"/>
              <w:right w:val="single" w:color="000000" w:sz="4" w:space="0"/>
            </w:tcBorders>
            <w:vAlign w:val="center"/>
          </w:tcPr>
          <w:p w14:paraId="52FECB88">
            <w:pPr>
              <w:widowControl/>
              <w:spacing w:line="360" w:lineRule="auto"/>
              <w:jc w:val="cente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项目报价</w:t>
            </w:r>
          </w:p>
        </w:tc>
        <w:tc>
          <w:tcPr>
            <w:tcW w:w="2748" w:type="dxa"/>
            <w:tcBorders>
              <w:top w:val="single" w:color="000000" w:sz="4" w:space="0"/>
              <w:left w:val="nil"/>
              <w:bottom w:val="single" w:color="000000" w:sz="4" w:space="0"/>
              <w:right w:val="single" w:color="000000" w:sz="4" w:space="0"/>
            </w:tcBorders>
            <w:vAlign w:val="center"/>
          </w:tcPr>
          <w:p w14:paraId="27CCD174">
            <w:pPr>
              <w:widowControl/>
              <w:spacing w:line="360" w:lineRule="auto"/>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w:t>
            </w:r>
            <w:r>
              <w:rPr>
                <w:rFonts w:hint="eastAsia" w:ascii="仿宋_GB2312" w:hAnsi="仿宋_GB2312" w:eastAsia="仿宋_GB2312" w:cs="仿宋_GB2312"/>
                <w:kern w:val="0"/>
                <w:sz w:val="28"/>
                <w:szCs w:val="28"/>
                <w:highlight w:val="none"/>
                <w:lang w:val="en-US" w:eastAsia="zh-CN"/>
              </w:rPr>
              <w:t>万</w:t>
            </w:r>
            <w:r>
              <w:rPr>
                <w:rFonts w:hint="eastAsia" w:ascii="仿宋_GB2312" w:hAnsi="仿宋_GB2312" w:eastAsia="仿宋_GB2312" w:cs="仿宋_GB2312"/>
                <w:kern w:val="0"/>
                <w:sz w:val="28"/>
                <w:szCs w:val="28"/>
                <w:highlight w:val="none"/>
              </w:rPr>
              <w:t>元</w:t>
            </w:r>
          </w:p>
          <w:p w14:paraId="74D60058">
            <w:pPr>
              <w:widowControl/>
              <w:spacing w:line="360" w:lineRule="auto"/>
              <w:jc w:val="center"/>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lang w:eastAsia="zh-CN"/>
              </w:rPr>
              <w:t>（不含税总价款</w:t>
            </w:r>
            <w:r>
              <w:rPr>
                <w:rFonts w:hint="eastAsia" w:ascii="仿宋_GB2312" w:hAnsi="仿宋_GB2312" w:eastAsia="仿宋_GB2312" w:cs="仿宋_GB2312"/>
                <w:kern w:val="0"/>
                <w:sz w:val="28"/>
                <w:szCs w:val="28"/>
                <w:highlight w:val="none"/>
                <w:lang w:val="en-US" w:eastAsia="zh-CN"/>
              </w:rPr>
              <w:t xml:space="preserve">为       万元，税率为   </w:t>
            </w:r>
            <w:r>
              <w:rPr>
                <w:rFonts w:hint="eastAsia" w:ascii="仿宋_GB2312" w:hAnsi="仿宋_GB2312" w:eastAsia="仿宋_GB2312" w:cs="仿宋_GB2312"/>
                <w:kern w:val="0"/>
                <w:sz w:val="28"/>
                <w:szCs w:val="28"/>
                <w:highlight w:val="none"/>
                <w:lang w:eastAsia="zh-CN"/>
              </w:rPr>
              <w:t>）</w:t>
            </w:r>
          </w:p>
        </w:tc>
      </w:tr>
      <w:tr w14:paraId="2C578821">
        <w:tblPrEx>
          <w:tblCellMar>
            <w:top w:w="0" w:type="dxa"/>
            <w:left w:w="108" w:type="dxa"/>
            <w:bottom w:w="0" w:type="dxa"/>
            <w:right w:w="108" w:type="dxa"/>
          </w:tblCellMar>
        </w:tblPrEx>
        <w:trPr>
          <w:trHeight w:val="1413" w:hRule="atLeast"/>
        </w:trPr>
        <w:tc>
          <w:tcPr>
            <w:tcW w:w="9180" w:type="dxa"/>
            <w:gridSpan w:val="4"/>
            <w:tcBorders>
              <w:top w:val="single" w:color="000000" w:sz="4" w:space="0"/>
              <w:left w:val="single" w:color="000000" w:sz="4" w:space="0"/>
              <w:bottom w:val="single" w:color="000000" w:sz="4" w:space="0"/>
              <w:right w:val="single" w:color="000000" w:sz="4" w:space="0"/>
            </w:tcBorders>
            <w:vAlign w:val="center"/>
          </w:tcPr>
          <w:p w14:paraId="21385BD6">
            <w:pPr>
              <w:widowControl/>
              <w:spacing w:line="360" w:lineRule="auto"/>
              <w:ind w:firstLine="0" w:firstLineChars="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大写人民币</w:t>
            </w:r>
            <w:r>
              <w:rPr>
                <w:rFonts w:hint="eastAsia" w:ascii="仿宋_GB2312" w:hAnsi="仿宋_GB2312" w:eastAsia="仿宋_GB2312" w:cs="仿宋_GB2312"/>
                <w:kern w:val="0"/>
                <w:sz w:val="28"/>
                <w:szCs w:val="28"/>
                <w:highlight w:val="none"/>
                <w:u w:val="single"/>
              </w:rPr>
              <w:t xml:space="preserve">                                   </w:t>
            </w:r>
            <w:r>
              <w:rPr>
                <w:rFonts w:hint="eastAsia" w:ascii="仿宋_GB2312" w:hAnsi="仿宋_GB2312" w:eastAsia="仿宋_GB2312" w:cs="仿宋_GB2312"/>
                <w:kern w:val="0"/>
                <w:sz w:val="28"/>
                <w:szCs w:val="28"/>
                <w:highlight w:val="none"/>
              </w:rPr>
              <w:t>元整</w:t>
            </w:r>
          </w:p>
          <w:p w14:paraId="53211A1B">
            <w:pPr>
              <w:widowControl/>
              <w:spacing w:line="360" w:lineRule="auto"/>
              <w:ind w:firstLine="0" w:firstLineChars="0"/>
              <w:jc w:val="center"/>
              <w:rPr>
                <w:rFonts w:hint="eastAsia" w:ascii="仿宋_GB2312" w:hAnsi="仿宋_GB2312" w:eastAsia="仿宋_GB2312" w:cs="仿宋_GB2312"/>
                <w:kern w:val="0"/>
                <w:sz w:val="28"/>
                <w:szCs w:val="28"/>
                <w:highlight w:val="none"/>
                <w:u w:val="single"/>
                <w:lang w:eastAsia="zh-CN"/>
              </w:rPr>
            </w:pPr>
            <w:r>
              <w:rPr>
                <w:rFonts w:hint="eastAsia" w:ascii="仿宋_GB2312" w:hAnsi="仿宋_GB2312" w:eastAsia="仿宋_GB2312" w:cs="仿宋_GB2312"/>
                <w:kern w:val="0"/>
                <w:sz w:val="28"/>
                <w:szCs w:val="28"/>
                <w:highlight w:val="none"/>
                <w:lang w:eastAsia="zh-CN"/>
              </w:rPr>
              <w:t>（不含税总价款</w:t>
            </w:r>
            <w:r>
              <w:rPr>
                <w:rFonts w:hint="eastAsia" w:ascii="仿宋_GB2312" w:hAnsi="仿宋_GB2312" w:eastAsia="仿宋_GB2312" w:cs="仿宋_GB2312"/>
                <w:kern w:val="0"/>
                <w:sz w:val="28"/>
                <w:szCs w:val="28"/>
                <w:highlight w:val="none"/>
                <w:lang w:val="en-US" w:eastAsia="zh-CN"/>
              </w:rPr>
              <w:t xml:space="preserve">为     万元，税率为   </w:t>
            </w:r>
            <w:r>
              <w:rPr>
                <w:rFonts w:hint="eastAsia" w:ascii="仿宋_GB2312" w:hAnsi="仿宋_GB2312" w:eastAsia="仿宋_GB2312" w:cs="仿宋_GB2312"/>
                <w:kern w:val="0"/>
                <w:sz w:val="28"/>
                <w:szCs w:val="28"/>
                <w:highlight w:val="none"/>
                <w:lang w:eastAsia="zh-CN"/>
              </w:rPr>
              <w:t>）</w:t>
            </w:r>
          </w:p>
        </w:tc>
      </w:tr>
    </w:tbl>
    <w:p w14:paraId="1C21C935">
      <w:pPr>
        <w:spacing w:line="440" w:lineRule="exact"/>
        <w:rPr>
          <w:rFonts w:ascii="宋体" w:hAnsi="宋体" w:cs="宋体"/>
          <w:szCs w:val="21"/>
          <w:highlight w:val="none"/>
        </w:rPr>
      </w:pPr>
      <w:r>
        <w:rPr>
          <w:rFonts w:hint="eastAsia" w:ascii="宋体" w:hAnsi="宋体" w:cs="宋体"/>
          <w:szCs w:val="21"/>
          <w:highlight w:val="none"/>
        </w:rPr>
        <w:t>注：（1）项目的报价，按照标书内容进行报价；投标人报价应具有合理性，禁止恶性杀价和不正当竞争；</w:t>
      </w:r>
    </w:p>
    <w:p w14:paraId="5286244F">
      <w:pPr>
        <w:numPr>
          <w:ilvl w:val="0"/>
          <w:numId w:val="14"/>
        </w:numPr>
        <w:spacing w:line="440" w:lineRule="exact"/>
        <w:ind w:firstLine="420" w:firstLineChars="200"/>
        <w:rPr>
          <w:rFonts w:ascii="宋体" w:hAnsi="宋体" w:cs="宋体"/>
          <w:szCs w:val="21"/>
          <w:highlight w:val="none"/>
        </w:rPr>
      </w:pPr>
      <w:r>
        <w:rPr>
          <w:rFonts w:hint="eastAsia" w:ascii="宋体" w:hAnsi="宋体" w:cs="宋体"/>
          <w:szCs w:val="21"/>
          <w:highlight w:val="none"/>
        </w:rPr>
        <w:t>投标报价货币：投标人提供的价格必须用人民币报价</w:t>
      </w:r>
      <w:r>
        <w:rPr>
          <w:rFonts w:hint="eastAsia" w:ascii="宋体" w:hAnsi="宋体" w:cs="宋体"/>
          <w:szCs w:val="21"/>
          <w:highlight w:val="none"/>
          <w:lang w:eastAsia="zh-CN"/>
        </w:rPr>
        <w:t>，</w:t>
      </w:r>
      <w:r>
        <w:rPr>
          <w:rFonts w:hint="eastAsia" w:ascii="宋体" w:hAnsi="宋体" w:cs="宋体"/>
          <w:szCs w:val="21"/>
          <w:highlight w:val="none"/>
          <w:lang w:val="en-US" w:eastAsia="zh-CN"/>
        </w:rPr>
        <w:t>不得提供多个报价</w:t>
      </w:r>
      <w:r>
        <w:rPr>
          <w:rFonts w:hint="eastAsia" w:ascii="宋体" w:hAnsi="宋体" w:cs="宋体"/>
          <w:szCs w:val="21"/>
          <w:highlight w:val="none"/>
        </w:rPr>
        <w:t>；</w:t>
      </w:r>
    </w:p>
    <w:p w14:paraId="2CD1D462">
      <w:pPr>
        <w:numPr>
          <w:ilvl w:val="0"/>
          <w:numId w:val="14"/>
        </w:numPr>
        <w:spacing w:line="440" w:lineRule="exact"/>
        <w:ind w:firstLine="420" w:firstLineChars="200"/>
        <w:rPr>
          <w:rFonts w:ascii="宋体" w:hAnsi="宋体" w:cs="宋体"/>
          <w:szCs w:val="21"/>
          <w:highlight w:val="none"/>
        </w:rPr>
      </w:pPr>
      <w:r>
        <w:rPr>
          <w:rFonts w:hint="eastAsia" w:ascii="宋体" w:hAnsi="宋体" w:cs="宋体"/>
          <w:szCs w:val="21"/>
          <w:highlight w:val="none"/>
        </w:rPr>
        <w:t>承接本合同项目需缴纳的一切费用包括但不限于服务费、税费、市内交通费、通讯费、住宿费、餐费以及投标人其它因本项目而产生的一切费用,包括合同实施过程中不可预见费用等。均由投标人承担，并包含在报价总额内；</w:t>
      </w:r>
    </w:p>
    <w:p w14:paraId="6CBD9681">
      <w:pPr>
        <w:numPr>
          <w:ilvl w:val="0"/>
          <w:numId w:val="14"/>
        </w:numPr>
        <w:spacing w:line="440" w:lineRule="exact"/>
        <w:ind w:firstLine="420" w:firstLineChars="200"/>
        <w:rPr>
          <w:highlight w:val="none"/>
        </w:rPr>
      </w:pPr>
      <w:r>
        <w:rPr>
          <w:rFonts w:hint="eastAsia" w:ascii="宋体" w:hAnsi="宋体" w:cs="宋体"/>
          <w:szCs w:val="21"/>
          <w:highlight w:val="none"/>
        </w:rPr>
        <w:t>最终报价应为综合总价，报价以人民币报价，最高报价不得超过</w:t>
      </w:r>
      <w:r>
        <w:rPr>
          <w:rFonts w:hint="eastAsia" w:ascii="宋体" w:hAnsi="宋体" w:cs="宋体"/>
          <w:szCs w:val="21"/>
          <w:highlight w:val="none"/>
          <w:lang w:val="en-US" w:eastAsia="zh-CN"/>
        </w:rPr>
        <w:t>190万元</w:t>
      </w:r>
      <w:r>
        <w:rPr>
          <w:rFonts w:hint="eastAsia" w:ascii="宋体" w:hAnsi="宋体" w:cs="宋体"/>
          <w:szCs w:val="21"/>
          <w:highlight w:val="none"/>
        </w:rPr>
        <w:t>（含税）</w:t>
      </w:r>
      <w:r>
        <w:rPr>
          <w:rFonts w:hint="eastAsia" w:ascii="宋体" w:hAnsi="宋体" w:cs="宋体"/>
          <w:szCs w:val="21"/>
          <w:highlight w:val="none"/>
          <w:lang w:val="en-US" w:eastAsia="zh-CN"/>
        </w:rPr>
        <w:t>且最低报价不得低于160万元</w:t>
      </w:r>
      <w:r>
        <w:rPr>
          <w:rFonts w:hint="eastAsia" w:ascii="宋体" w:hAnsi="宋体" w:cs="宋体"/>
          <w:szCs w:val="21"/>
          <w:highlight w:val="none"/>
        </w:rPr>
        <w:t>（含税）。</w:t>
      </w:r>
    </w:p>
    <w:p w14:paraId="7E41E29C">
      <w:pPr>
        <w:spacing w:line="360" w:lineRule="auto"/>
        <w:jc w:val="left"/>
        <w:rPr>
          <w:rFonts w:ascii="仿宋_GB2312" w:hAnsi="仿宋_GB2312" w:eastAsia="仿宋_GB2312" w:cs="仿宋_GB2312"/>
          <w:b/>
          <w:sz w:val="28"/>
          <w:szCs w:val="28"/>
          <w:highlight w:val="none"/>
        </w:rPr>
      </w:pPr>
    </w:p>
    <w:p w14:paraId="6E3AF12F">
      <w:pPr>
        <w:spacing w:line="360" w:lineRule="auto"/>
        <w:ind w:firstLine="3360" w:firstLineChars="1200"/>
        <w:jc w:val="lef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 xml:space="preserve">报价单位（公章）：                                        </w:t>
      </w:r>
    </w:p>
    <w:p w14:paraId="16B1601A">
      <w:pPr>
        <w:spacing w:line="360" w:lineRule="auto"/>
        <w:ind w:firstLine="3920" w:firstLineChars="1400"/>
        <w:jc w:val="lef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日期：</w:t>
      </w:r>
    </w:p>
    <w:p w14:paraId="57602D1E">
      <w:pPr>
        <w:spacing w:line="360" w:lineRule="auto"/>
        <w:jc w:val="left"/>
        <w:rPr>
          <w:rFonts w:ascii="仿宋_GB2312" w:hAnsi="仿宋_GB2312" w:eastAsia="仿宋_GB2312" w:cs="仿宋_GB2312"/>
          <w:sz w:val="28"/>
          <w:szCs w:val="28"/>
          <w:highlight w:val="none"/>
        </w:rPr>
      </w:pPr>
      <w:r>
        <w:rPr>
          <w:rFonts w:hint="eastAsia" w:ascii="仿宋_GB2312" w:hAnsi="仿宋_GB2312" w:eastAsia="仿宋_GB2312" w:cs="仿宋_GB2312"/>
          <w:bCs/>
          <w:sz w:val="28"/>
          <w:szCs w:val="28"/>
          <w:highlight w:val="none"/>
        </w:rPr>
        <w:br w:type="page"/>
      </w:r>
      <w:r>
        <w:rPr>
          <w:rFonts w:hint="eastAsia" w:ascii="仿宋_GB2312" w:hAnsi="仿宋_GB2312" w:eastAsia="仿宋_GB2312" w:cs="仿宋_GB2312"/>
          <w:sz w:val="28"/>
          <w:szCs w:val="28"/>
          <w:highlight w:val="none"/>
        </w:rPr>
        <w:t>附件1.3 法定代表人证明书</w:t>
      </w:r>
    </w:p>
    <w:p w14:paraId="6DABC740">
      <w:pPr>
        <w:spacing w:line="360" w:lineRule="auto"/>
        <w:jc w:val="center"/>
        <w:rPr>
          <w:rFonts w:ascii="宋体" w:hAnsi="宋体" w:cs="宋体"/>
          <w:b/>
          <w:sz w:val="32"/>
          <w:szCs w:val="32"/>
          <w:highlight w:val="none"/>
        </w:rPr>
      </w:pPr>
    </w:p>
    <w:p w14:paraId="77A40FBB">
      <w:pPr>
        <w:spacing w:line="360" w:lineRule="auto"/>
        <w:jc w:val="center"/>
        <w:rPr>
          <w:rFonts w:ascii="方正小标宋简体" w:hAnsi="方正小标宋简体" w:eastAsia="方正小标宋简体" w:cs="方正小标宋简体"/>
          <w:bCs/>
          <w:sz w:val="36"/>
          <w:szCs w:val="36"/>
          <w:highlight w:val="none"/>
        </w:rPr>
      </w:pPr>
      <w:r>
        <w:rPr>
          <w:rFonts w:hint="eastAsia" w:ascii="方正小标宋简体" w:hAnsi="方正小标宋简体" w:eastAsia="方正小标宋简体" w:cs="方正小标宋简体"/>
          <w:bCs/>
          <w:sz w:val="36"/>
          <w:szCs w:val="36"/>
          <w:highlight w:val="none"/>
        </w:rPr>
        <w:t>法定代表人证明书</w:t>
      </w:r>
    </w:p>
    <w:p w14:paraId="10F1B244">
      <w:pPr>
        <w:tabs>
          <w:tab w:val="left" w:pos="900"/>
        </w:tabs>
        <w:spacing w:line="360" w:lineRule="auto"/>
        <w:ind w:firstLine="990" w:firstLineChars="450"/>
        <w:rPr>
          <w:rFonts w:ascii="仿宋_GB2312" w:hAnsi="仿宋_GB2312" w:eastAsia="仿宋_GB2312" w:cs="仿宋_GB2312"/>
          <w:sz w:val="22"/>
          <w:szCs w:val="22"/>
          <w:highlight w:val="none"/>
        </w:rPr>
      </w:pPr>
      <w:r>
        <w:rPr>
          <w:rFonts w:hint="eastAsia" w:ascii="宋体" w:hAnsi="宋体" w:cs="宋体"/>
          <w:sz w:val="22"/>
          <w:szCs w:val="22"/>
          <w:highlight w:val="none"/>
        </w:rPr>
        <w:t>______________</w:t>
      </w:r>
      <w:r>
        <w:rPr>
          <w:rFonts w:hint="eastAsia" w:ascii="仿宋_GB2312" w:hAnsi="仿宋_GB2312" w:eastAsia="仿宋_GB2312" w:cs="仿宋_GB2312"/>
          <w:sz w:val="22"/>
          <w:szCs w:val="22"/>
          <w:highlight w:val="none"/>
        </w:rPr>
        <w:t>同志，现任我单位</w:t>
      </w:r>
      <w:r>
        <w:rPr>
          <w:rFonts w:hint="eastAsia" w:ascii="仿宋_GB2312" w:hAnsi="仿宋_GB2312" w:eastAsia="仿宋_GB2312" w:cs="仿宋_GB2312"/>
          <w:sz w:val="22"/>
          <w:szCs w:val="22"/>
          <w:highlight w:val="none"/>
          <w:u w:val="single"/>
        </w:rPr>
        <w:t xml:space="preserve">         </w:t>
      </w:r>
      <w:r>
        <w:rPr>
          <w:rFonts w:hint="eastAsia" w:ascii="仿宋_GB2312" w:hAnsi="仿宋_GB2312" w:eastAsia="仿宋_GB2312" w:cs="仿宋_GB2312"/>
          <w:sz w:val="22"/>
          <w:szCs w:val="22"/>
          <w:highlight w:val="none"/>
        </w:rPr>
        <w:t>职务，为法定代表人，特此证明。</w:t>
      </w:r>
    </w:p>
    <w:p w14:paraId="5BE92A29">
      <w:pPr>
        <w:spacing w:line="360" w:lineRule="auto"/>
        <w:ind w:firstLine="440" w:firstLineChars="200"/>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本证明书自签发之日起生效，有效期：</w:t>
      </w:r>
      <w:r>
        <w:rPr>
          <w:rFonts w:hint="eastAsia" w:ascii="仿宋_GB2312" w:hAnsi="仿宋_GB2312" w:eastAsia="仿宋_GB2312" w:cs="仿宋_GB2312"/>
          <w:sz w:val="22"/>
          <w:szCs w:val="22"/>
          <w:highlight w:val="none"/>
          <w:u w:val="single"/>
        </w:rPr>
        <w:t xml:space="preserve">                                    </w:t>
      </w:r>
      <w:r>
        <w:rPr>
          <w:rFonts w:hint="eastAsia" w:ascii="仿宋_GB2312" w:hAnsi="仿宋_GB2312" w:eastAsia="仿宋_GB2312" w:cs="仿宋_GB2312"/>
          <w:sz w:val="22"/>
          <w:szCs w:val="22"/>
          <w:highlight w:val="none"/>
        </w:rPr>
        <w:t>。</w:t>
      </w:r>
    </w:p>
    <w:p w14:paraId="2C099C8A">
      <w:pPr>
        <w:spacing w:line="360" w:lineRule="auto"/>
        <w:ind w:firstLine="440" w:firstLineChars="200"/>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 xml:space="preserve">       </w:t>
      </w:r>
    </w:p>
    <w:p w14:paraId="37BCC73E">
      <w:pPr>
        <w:spacing w:line="360" w:lineRule="auto"/>
        <w:ind w:firstLine="440" w:firstLineChars="200"/>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附：</w:t>
      </w:r>
    </w:p>
    <w:p w14:paraId="183F3405">
      <w:pPr>
        <w:spacing w:line="360" w:lineRule="auto"/>
        <w:ind w:firstLine="880" w:firstLineChars="400"/>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 xml:space="preserve">营业执照（注册号或统一社会信用代码）：  </w:t>
      </w:r>
      <w:r>
        <w:rPr>
          <w:rFonts w:hint="eastAsia" w:ascii="仿宋_GB2312" w:hAnsi="仿宋_GB2312" w:eastAsia="仿宋_GB2312" w:cs="仿宋_GB2312"/>
          <w:sz w:val="22"/>
          <w:szCs w:val="22"/>
          <w:highlight w:val="none"/>
          <w:u w:val="single"/>
        </w:rPr>
        <w:t xml:space="preserve">                </w:t>
      </w:r>
      <w:r>
        <w:rPr>
          <w:rFonts w:hint="eastAsia" w:ascii="仿宋_GB2312" w:hAnsi="仿宋_GB2312" w:eastAsia="仿宋_GB2312" w:cs="仿宋_GB2312"/>
          <w:sz w:val="22"/>
          <w:szCs w:val="22"/>
          <w:highlight w:val="none"/>
        </w:rPr>
        <w:t xml:space="preserve"> </w:t>
      </w:r>
    </w:p>
    <w:p w14:paraId="2B194A96">
      <w:pPr>
        <w:spacing w:line="360" w:lineRule="auto"/>
        <w:ind w:firstLine="880" w:firstLineChars="400"/>
        <w:rPr>
          <w:rFonts w:ascii="仿宋_GB2312" w:hAnsi="仿宋_GB2312" w:eastAsia="仿宋_GB2312" w:cs="仿宋_GB2312"/>
          <w:sz w:val="22"/>
          <w:szCs w:val="22"/>
          <w:highlight w:val="none"/>
          <w:u w:val="single"/>
        </w:rPr>
      </w:pPr>
      <w:r>
        <w:rPr>
          <w:rFonts w:hint="eastAsia" w:ascii="仿宋_GB2312" w:hAnsi="仿宋_GB2312" w:eastAsia="仿宋_GB2312" w:cs="仿宋_GB2312"/>
          <w:sz w:val="22"/>
          <w:szCs w:val="22"/>
          <w:highlight w:val="none"/>
        </w:rPr>
        <w:t>经济性质：</w:t>
      </w:r>
      <w:r>
        <w:rPr>
          <w:rFonts w:hint="eastAsia" w:ascii="仿宋_GB2312" w:hAnsi="仿宋_GB2312" w:eastAsia="仿宋_GB2312" w:cs="仿宋_GB2312"/>
          <w:sz w:val="22"/>
          <w:szCs w:val="22"/>
          <w:highlight w:val="none"/>
          <w:u w:val="single"/>
        </w:rPr>
        <w:t xml:space="preserve">                 </w:t>
      </w:r>
    </w:p>
    <w:p w14:paraId="7D772F8E">
      <w:pPr>
        <w:spacing w:line="360" w:lineRule="auto"/>
        <w:ind w:firstLine="880" w:firstLineChars="400"/>
        <w:rPr>
          <w:rFonts w:ascii="仿宋_GB2312" w:hAnsi="仿宋_GB2312" w:eastAsia="仿宋_GB2312" w:cs="仿宋_GB2312"/>
          <w:sz w:val="22"/>
          <w:szCs w:val="22"/>
          <w:highlight w:val="none"/>
          <w:u w:val="single"/>
        </w:rPr>
      </w:pPr>
      <w:r>
        <w:rPr>
          <w:rFonts w:hint="eastAsia" w:ascii="仿宋_GB2312" w:hAnsi="仿宋_GB2312" w:eastAsia="仿宋_GB2312" w:cs="仿宋_GB2312"/>
          <w:sz w:val="22"/>
          <w:szCs w:val="22"/>
          <w:highlight w:val="none"/>
        </w:rPr>
        <w:t xml:space="preserve">经营范围： </w:t>
      </w:r>
      <w:r>
        <w:rPr>
          <w:rFonts w:hint="eastAsia" w:ascii="仿宋_GB2312" w:hAnsi="仿宋_GB2312" w:eastAsia="仿宋_GB2312" w:cs="仿宋_GB2312"/>
          <w:sz w:val="22"/>
          <w:szCs w:val="22"/>
          <w:highlight w:val="none"/>
          <w:u w:val="single"/>
        </w:rPr>
        <w:t xml:space="preserve">                                                      </w:t>
      </w:r>
    </w:p>
    <w:p w14:paraId="728FC2B7">
      <w:pPr>
        <w:spacing w:line="360" w:lineRule="auto"/>
        <w:ind w:firstLine="840" w:firstLineChars="400"/>
        <w:rPr>
          <w:rFonts w:ascii="宋体" w:hAnsi="宋体" w:cs="宋体"/>
          <w:szCs w:val="21"/>
          <w:highlight w:val="none"/>
        </w:rPr>
      </w:pPr>
      <w:r>
        <w:rPr>
          <w:rFonts w:hint="eastAsia" w:ascii="宋体" w:hAnsi="宋体" w:cs="宋体"/>
          <w:szCs w:val="21"/>
          <w:highlight w:val="none"/>
        </w:rPr>
        <mc:AlternateContent>
          <mc:Choice Requires="wpg">
            <w:drawing>
              <wp:anchor distT="0" distB="0" distL="114300" distR="114300" simplePos="0" relativeHeight="251662336"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14:paraId="72F9E8EA">
                              <w:pPr>
                                <w:ind w:firstLine="960" w:firstLineChars="400"/>
                                <w:rPr>
                                  <w:rFonts w:ascii="仿宋_GB2312" w:hAnsi="仿宋_GB2312" w:eastAsia="仿宋_GB2312" w:cs="仿宋_GB2312"/>
                                  <w:sz w:val="24"/>
                                  <w:szCs w:val="24"/>
                                </w:rPr>
                              </w:pPr>
                            </w:p>
                            <w:p w14:paraId="5E71196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p w14:paraId="2131353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居民身份证复印件粘贴处</w:t>
                              </w:r>
                            </w:p>
                            <w:p w14:paraId="19FECD31">
                              <w:pPr>
                                <w:ind w:firstLine="1200" w:firstLineChars="500"/>
                                <w:jc w:val="center"/>
                                <w:rPr>
                                  <w:rFonts w:ascii="仿宋_GB2312" w:hAnsi="仿宋_GB2312" w:eastAsia="仿宋_GB2312" w:cs="仿宋_GB2312"/>
                                  <w:sz w:val="24"/>
                                  <w:szCs w:val="24"/>
                                </w:rPr>
                              </w:pPr>
                            </w:p>
                            <w:p w14:paraId="53C5969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（正面）</w:t>
                              </w:r>
                            </w:p>
                            <w:p w14:paraId="59D668D2">
                              <w:pPr>
                                <w:ind w:firstLine="1200" w:firstLineChars="500"/>
                                <w:rPr>
                                  <w:rFonts w:ascii="仿宋_GB2312" w:hAnsi="仿宋_GB2312" w:eastAsia="仿宋_GB2312" w:cs="仿宋_GB2312"/>
                                  <w:sz w:val="24"/>
                                  <w:szCs w:val="24"/>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14:paraId="66C6AC5C">
                              <w:pPr>
                                <w:ind w:firstLine="960" w:firstLineChars="400"/>
                                <w:jc w:val="left"/>
                                <w:rPr>
                                  <w:rFonts w:ascii="仿宋_GB2312" w:hAnsi="仿宋_GB2312" w:eastAsia="仿宋_GB2312" w:cs="仿宋_GB2312"/>
                                  <w:sz w:val="24"/>
                                  <w:szCs w:val="24"/>
                                </w:rPr>
                              </w:pPr>
                            </w:p>
                            <w:p w14:paraId="1027201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p w14:paraId="59D50BF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居民身份证复印件粘贴处</w:t>
                              </w:r>
                            </w:p>
                            <w:p w14:paraId="363BCDFE">
                              <w:pPr>
                                <w:ind w:firstLine="1200" w:firstLineChars="500"/>
                                <w:jc w:val="center"/>
                                <w:rPr>
                                  <w:rFonts w:ascii="仿宋_GB2312" w:hAnsi="仿宋_GB2312" w:eastAsia="仿宋_GB2312" w:cs="仿宋_GB2312"/>
                                  <w:sz w:val="24"/>
                                  <w:szCs w:val="24"/>
                                </w:rPr>
                              </w:pPr>
                            </w:p>
                            <w:p w14:paraId="04A9EB9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（反面）</w:t>
                              </w:r>
                            </w:p>
                            <w:p w14:paraId="205C17D7">
                              <w:pPr>
                                <w:ind w:firstLine="1050" w:firstLineChars="500"/>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2336;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4KsswNkAAAAJAQAADwAAAAAAAAABACAAAAAiAAAAZHJzL2Rvd25yZXYueG1sUEsB&#10;AhQAFAAAAAgAh07iQGdOIxzYAgAAeggAAA4AAAAAAAAAAQAgAAAAKAEAAGRycy9lMm9Eb2MueG1s&#10;UEsFBgAAAAAGAAYAWQEAAHIGA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72F9E8EA">
                        <w:pPr>
                          <w:ind w:firstLine="960" w:firstLineChars="400"/>
                          <w:rPr>
                            <w:rFonts w:ascii="仿宋_GB2312" w:hAnsi="仿宋_GB2312" w:eastAsia="仿宋_GB2312" w:cs="仿宋_GB2312"/>
                            <w:sz w:val="24"/>
                            <w:szCs w:val="24"/>
                          </w:rPr>
                        </w:pPr>
                      </w:p>
                      <w:p w14:paraId="5E71196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p w14:paraId="2131353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居民身份证复印件粘贴处</w:t>
                        </w:r>
                      </w:p>
                      <w:p w14:paraId="19FECD31">
                        <w:pPr>
                          <w:ind w:firstLine="1200" w:firstLineChars="500"/>
                          <w:jc w:val="center"/>
                          <w:rPr>
                            <w:rFonts w:ascii="仿宋_GB2312" w:hAnsi="仿宋_GB2312" w:eastAsia="仿宋_GB2312" w:cs="仿宋_GB2312"/>
                            <w:sz w:val="24"/>
                            <w:szCs w:val="24"/>
                          </w:rPr>
                        </w:pPr>
                      </w:p>
                      <w:p w14:paraId="53C5969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（正面）</w:t>
                        </w:r>
                      </w:p>
                      <w:p w14:paraId="59D668D2">
                        <w:pPr>
                          <w:ind w:firstLine="1200" w:firstLineChars="500"/>
                          <w:rPr>
                            <w:rFonts w:ascii="仿宋_GB2312" w:hAnsi="仿宋_GB2312" w:eastAsia="仿宋_GB2312" w:cs="仿宋_GB2312"/>
                            <w:sz w:val="24"/>
                            <w:szCs w:val="24"/>
                          </w:rPr>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66C6AC5C">
                        <w:pPr>
                          <w:ind w:firstLine="960" w:firstLineChars="400"/>
                          <w:jc w:val="left"/>
                          <w:rPr>
                            <w:rFonts w:ascii="仿宋_GB2312" w:hAnsi="仿宋_GB2312" w:eastAsia="仿宋_GB2312" w:cs="仿宋_GB2312"/>
                            <w:sz w:val="24"/>
                            <w:szCs w:val="24"/>
                          </w:rPr>
                        </w:pPr>
                      </w:p>
                      <w:p w14:paraId="1027201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p w14:paraId="59D50BF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居民身份证复印件粘贴处</w:t>
                        </w:r>
                      </w:p>
                      <w:p w14:paraId="363BCDFE">
                        <w:pPr>
                          <w:ind w:firstLine="1200" w:firstLineChars="500"/>
                          <w:jc w:val="center"/>
                          <w:rPr>
                            <w:rFonts w:ascii="仿宋_GB2312" w:hAnsi="仿宋_GB2312" w:eastAsia="仿宋_GB2312" w:cs="仿宋_GB2312"/>
                            <w:sz w:val="24"/>
                            <w:szCs w:val="24"/>
                          </w:rPr>
                        </w:pPr>
                      </w:p>
                      <w:p w14:paraId="04A9EB9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（反面）</w:t>
                        </w:r>
                      </w:p>
                      <w:p w14:paraId="205C17D7">
                        <w:pPr>
                          <w:ind w:firstLine="1050" w:firstLineChars="500"/>
                        </w:pPr>
                      </w:p>
                    </w:txbxContent>
                  </v:textbox>
                </v:rect>
              </v:group>
            </w:pict>
          </mc:Fallback>
        </mc:AlternateContent>
      </w:r>
    </w:p>
    <w:p w14:paraId="299B92EC">
      <w:pPr>
        <w:spacing w:line="360" w:lineRule="auto"/>
        <w:rPr>
          <w:rFonts w:ascii="宋体" w:hAnsi="宋体" w:cs="宋体"/>
          <w:b/>
          <w:bCs/>
          <w:szCs w:val="21"/>
          <w:highlight w:val="none"/>
        </w:rPr>
      </w:pPr>
    </w:p>
    <w:p w14:paraId="506BC481">
      <w:pPr>
        <w:spacing w:line="360" w:lineRule="auto"/>
        <w:rPr>
          <w:rFonts w:ascii="宋体" w:hAnsi="宋体" w:cs="宋体"/>
          <w:b/>
          <w:bCs/>
          <w:szCs w:val="21"/>
          <w:highlight w:val="none"/>
        </w:rPr>
      </w:pPr>
    </w:p>
    <w:p w14:paraId="2E1B0502">
      <w:pPr>
        <w:spacing w:line="360" w:lineRule="auto"/>
        <w:rPr>
          <w:rFonts w:ascii="宋体" w:hAnsi="宋体" w:cs="宋体"/>
          <w:b/>
          <w:bCs/>
          <w:szCs w:val="21"/>
          <w:highlight w:val="none"/>
        </w:rPr>
      </w:pPr>
    </w:p>
    <w:p w14:paraId="4952511A">
      <w:pPr>
        <w:spacing w:line="360" w:lineRule="auto"/>
        <w:rPr>
          <w:rFonts w:ascii="宋体" w:hAnsi="宋体" w:cs="宋体"/>
          <w:b/>
          <w:bCs/>
          <w:szCs w:val="21"/>
          <w:highlight w:val="none"/>
        </w:rPr>
      </w:pPr>
    </w:p>
    <w:p w14:paraId="27E467DC">
      <w:pPr>
        <w:spacing w:line="360" w:lineRule="auto"/>
        <w:rPr>
          <w:rFonts w:ascii="宋体" w:hAnsi="宋体" w:cs="宋体"/>
          <w:b/>
          <w:bCs/>
          <w:szCs w:val="21"/>
          <w:highlight w:val="none"/>
        </w:rPr>
      </w:pPr>
    </w:p>
    <w:p w14:paraId="1C1C3F70">
      <w:pPr>
        <w:spacing w:line="360" w:lineRule="auto"/>
        <w:rPr>
          <w:rFonts w:ascii="宋体" w:hAnsi="宋体" w:cs="宋体"/>
          <w:b/>
          <w:bCs/>
          <w:szCs w:val="21"/>
          <w:highlight w:val="none"/>
        </w:rPr>
      </w:pPr>
    </w:p>
    <w:p w14:paraId="11A505FE">
      <w:pPr>
        <w:spacing w:line="360" w:lineRule="auto"/>
        <w:rPr>
          <w:rFonts w:ascii="宋体" w:hAnsi="宋体" w:cs="宋体"/>
          <w:b/>
          <w:bCs/>
          <w:szCs w:val="21"/>
          <w:highlight w:val="none"/>
        </w:rPr>
      </w:pPr>
      <w:r>
        <w:rPr>
          <w:rFonts w:hint="eastAsia" w:ascii="宋体" w:hAnsi="宋体" w:cs="宋体"/>
          <w:b/>
          <w:bCs/>
          <w:szCs w:val="21"/>
          <w:highlight w:val="none"/>
        </w:rPr>
        <w:t xml:space="preserve">                         </w:t>
      </w:r>
    </w:p>
    <w:p w14:paraId="01D2655C">
      <w:pPr>
        <w:spacing w:line="360" w:lineRule="auto"/>
        <w:jc w:val="center"/>
        <w:rPr>
          <w:rFonts w:ascii="宋体" w:hAnsi="宋体" w:cs="宋体"/>
          <w:szCs w:val="21"/>
          <w:highlight w:val="none"/>
        </w:rPr>
      </w:pPr>
      <w:r>
        <w:rPr>
          <w:rFonts w:hint="eastAsia" w:ascii="宋体" w:hAnsi="宋体" w:cs="宋体"/>
          <w:szCs w:val="21"/>
          <w:highlight w:val="none"/>
        </w:rPr>
        <w:t xml:space="preserve">                   </w:t>
      </w:r>
    </w:p>
    <w:p w14:paraId="5B0AB00A">
      <w:pPr>
        <w:spacing w:line="360" w:lineRule="auto"/>
        <w:jc w:val="center"/>
        <w:rPr>
          <w:rFonts w:ascii="仿宋_GB2312" w:hAnsi="仿宋_GB2312" w:eastAsia="仿宋_GB2312" w:cs="仿宋_GB2312"/>
          <w:sz w:val="22"/>
          <w:szCs w:val="22"/>
          <w:highlight w:val="none"/>
        </w:rPr>
      </w:pPr>
      <w:r>
        <w:rPr>
          <w:rFonts w:hint="eastAsia" w:ascii="宋体" w:hAnsi="宋体" w:cs="宋体"/>
          <w:szCs w:val="21"/>
          <w:highlight w:val="none"/>
        </w:rPr>
        <w:t xml:space="preserve">                 </w:t>
      </w:r>
      <w:r>
        <w:rPr>
          <w:rFonts w:hint="eastAsia" w:ascii="仿宋_GB2312" w:hAnsi="仿宋_GB2312" w:eastAsia="仿宋_GB2312" w:cs="仿宋_GB2312"/>
          <w:sz w:val="22"/>
          <w:szCs w:val="22"/>
          <w:highlight w:val="none"/>
        </w:rPr>
        <w:t xml:space="preserve">    单位名称（盖公章）：</w:t>
      </w:r>
    </w:p>
    <w:p w14:paraId="516F4125">
      <w:pPr>
        <w:spacing w:line="360" w:lineRule="auto"/>
        <w:jc w:val="right"/>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 xml:space="preserve">                                          </w:t>
      </w:r>
    </w:p>
    <w:p w14:paraId="7E93CF2C">
      <w:pPr>
        <w:spacing w:line="360" w:lineRule="auto"/>
        <w:jc w:val="right"/>
        <w:rPr>
          <w:rFonts w:ascii="仿宋_GB2312" w:hAnsi="仿宋_GB2312" w:eastAsia="仿宋_GB2312" w:cs="仿宋_GB2312"/>
          <w:b/>
          <w:sz w:val="52"/>
          <w:szCs w:val="52"/>
          <w:highlight w:val="none"/>
        </w:rPr>
      </w:pPr>
      <w:r>
        <w:rPr>
          <w:rFonts w:hint="eastAsia" w:ascii="仿宋_GB2312" w:hAnsi="仿宋_GB2312" w:eastAsia="仿宋_GB2312" w:cs="仿宋_GB2312"/>
          <w:sz w:val="22"/>
          <w:szCs w:val="22"/>
          <w:highlight w:val="none"/>
        </w:rPr>
        <w:t xml:space="preserve">                                       日期：     年     月   日</w:t>
      </w:r>
    </w:p>
    <w:p w14:paraId="46308923">
      <w:pPr>
        <w:spacing w:line="360" w:lineRule="auto"/>
        <w:rPr>
          <w:rFonts w:ascii="楷体_GB2312" w:hAnsi="楷体_GB2312" w:eastAsia="楷体_GB2312" w:cs="楷体_GB2312"/>
          <w:sz w:val="28"/>
          <w:szCs w:val="28"/>
          <w:highlight w:val="none"/>
        </w:rPr>
      </w:pPr>
    </w:p>
    <w:p w14:paraId="299FF3A0">
      <w:pPr>
        <w:pStyle w:val="3"/>
        <w:rPr>
          <w:rFonts w:ascii="仿宋_GB2312" w:hAnsi="楷体_GB2312" w:eastAsia="仿宋_GB2312" w:cs="楷体_GB2312"/>
          <w:sz w:val="28"/>
          <w:szCs w:val="28"/>
          <w:highlight w:val="none"/>
        </w:rPr>
      </w:pPr>
      <w:r>
        <w:rPr>
          <w:highlight w:val="none"/>
        </w:rPr>
        <w:br w:type="page"/>
      </w:r>
      <w:r>
        <w:rPr>
          <w:rFonts w:hint="eastAsia" w:ascii="仿宋_GB2312" w:hAnsi="楷体_GB2312" w:eastAsia="仿宋_GB2312" w:cs="楷体_GB2312"/>
          <w:b w:val="0"/>
          <w:bCs w:val="0"/>
          <w:sz w:val="28"/>
          <w:szCs w:val="28"/>
          <w:highlight w:val="none"/>
        </w:rPr>
        <w:t>附件1.4 法定代表人授权委托书</w:t>
      </w:r>
    </w:p>
    <w:p w14:paraId="46632A07">
      <w:pPr>
        <w:spacing w:line="360" w:lineRule="auto"/>
        <w:jc w:val="center"/>
        <w:outlineLvl w:val="0"/>
        <w:rPr>
          <w:rFonts w:ascii="方正小标宋简体" w:hAnsi="方正小标宋简体" w:eastAsia="方正小标宋简体" w:cs="方正小标宋简体"/>
          <w:bCs/>
          <w:sz w:val="36"/>
          <w:szCs w:val="36"/>
          <w:highlight w:val="none"/>
        </w:rPr>
      </w:pPr>
      <w:r>
        <w:rPr>
          <w:rFonts w:hint="eastAsia" w:ascii="方正小标宋简体" w:hAnsi="方正小标宋简体" w:eastAsia="方正小标宋简体" w:cs="方正小标宋简体"/>
          <w:bCs/>
          <w:sz w:val="36"/>
          <w:szCs w:val="36"/>
          <w:highlight w:val="none"/>
        </w:rPr>
        <w:t>法定代表人授权委托书</w:t>
      </w:r>
    </w:p>
    <w:p w14:paraId="485A18CB">
      <w:pPr>
        <w:pStyle w:val="8"/>
        <w:rPr>
          <w:highlight w:val="none"/>
        </w:rPr>
      </w:pPr>
    </w:p>
    <w:p w14:paraId="1E370DBC">
      <w:pPr>
        <w:snapToGrid w:val="0"/>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本人        （姓名）是         （投标人名称）的法定代表人，现委托</w:t>
      </w:r>
    </w:p>
    <w:p w14:paraId="3C7F27F5">
      <w:pPr>
        <w:snapToGrid w:val="0"/>
        <w:spacing w:line="360" w:lineRule="auto"/>
        <w:ind w:firstLine="0" w:firstLineChars="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(姓名)为我方代理人。代理人根据授权，以我方名义签署、澄清、说明、补正、递交、撤回、修改 南沙资产经营集团战略规划及综合管理咨询服务项目 投标文件、签订合同和处理有关事宜，其法律后果由我方承担。</w:t>
      </w:r>
    </w:p>
    <w:p w14:paraId="5F726F02">
      <w:pPr>
        <w:spacing w:line="360" w:lineRule="auto"/>
        <w:ind w:firstLine="3684" w:firstLineChars="1535"/>
        <w:rPr>
          <w:rFonts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委托期限：</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w:t>
      </w:r>
    </w:p>
    <w:p w14:paraId="51DAC504">
      <w:pPr>
        <w:tabs>
          <w:tab w:val="left" w:pos="3780"/>
        </w:tabs>
        <w:spacing w:line="360" w:lineRule="auto"/>
        <w:ind w:firstLine="3684" w:firstLineChars="1535"/>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代理人无转委托权。</w:t>
      </w:r>
    </w:p>
    <w:p w14:paraId="32E2670F">
      <w:pPr>
        <w:tabs>
          <w:tab w:val="left" w:pos="3780"/>
        </w:tabs>
        <w:spacing w:line="360" w:lineRule="auto"/>
        <w:ind w:firstLine="3684" w:firstLineChars="1535"/>
        <w:rPr>
          <w:rFonts w:ascii="楷体_GB2312" w:hAnsi="楷体_GB2312" w:eastAsia="楷体_GB2312" w:cs="楷体_GB2312"/>
          <w:kern w:val="44"/>
          <w:sz w:val="24"/>
          <w:szCs w:val="24"/>
          <w:highlight w:val="none"/>
        </w:rPr>
      </w:pPr>
      <w:r>
        <w:rPr>
          <w:rFonts w:hint="eastAsia" w:ascii="楷体_GB2312" w:hAnsi="楷体_GB2312" w:eastAsia="楷体_GB2312" w:cs="楷体_GB2312"/>
          <w:kern w:val="44"/>
          <w:sz w:val="24"/>
          <w:szCs w:val="24"/>
          <w:highlight w:val="none"/>
        </w:rPr>
        <w:t>投标人：</w:t>
      </w:r>
      <w:r>
        <w:rPr>
          <w:rFonts w:hint="eastAsia" w:ascii="楷体_GB2312" w:hAnsi="楷体_GB2312" w:eastAsia="楷体_GB2312" w:cs="楷体_GB2312"/>
          <w:kern w:val="44"/>
          <w:sz w:val="24"/>
          <w:szCs w:val="24"/>
          <w:highlight w:val="none"/>
          <w:u w:val="single"/>
        </w:rPr>
        <w:t xml:space="preserve">                     </w:t>
      </w:r>
      <w:r>
        <w:rPr>
          <w:rFonts w:hint="eastAsia" w:ascii="楷体_GB2312" w:hAnsi="楷体_GB2312" w:eastAsia="楷体_GB2312" w:cs="楷体_GB2312"/>
          <w:kern w:val="44"/>
          <w:sz w:val="24"/>
          <w:szCs w:val="24"/>
          <w:highlight w:val="none"/>
        </w:rPr>
        <w:t xml:space="preserve"> （盖单位章）</w:t>
      </w:r>
    </w:p>
    <w:p w14:paraId="242C36D3">
      <w:pPr>
        <w:tabs>
          <w:tab w:val="left" w:pos="3780"/>
        </w:tabs>
        <w:spacing w:line="360" w:lineRule="auto"/>
        <w:jc w:val="left"/>
        <w:rPr>
          <w:rFonts w:ascii="楷体_GB2312" w:hAnsi="楷体_GB2312" w:eastAsia="楷体_GB2312" w:cs="楷体_GB2312"/>
          <w:kern w:val="44"/>
          <w:sz w:val="24"/>
          <w:szCs w:val="24"/>
          <w:highlight w:val="none"/>
        </w:rPr>
      </w:pPr>
      <w:r>
        <w:rPr>
          <w:rFonts w:hint="eastAsia" w:ascii="楷体_GB2312" w:hAnsi="楷体_GB2312" w:eastAsia="楷体_GB2312" w:cs="楷体_GB2312"/>
          <w:kern w:val="44"/>
          <w:sz w:val="24"/>
          <w:szCs w:val="24"/>
          <w:highlight w:val="none"/>
        </w:rPr>
        <w:t>法定代表人：                      （</w:t>
      </w:r>
      <w:r>
        <w:rPr>
          <w:rFonts w:hint="default" w:ascii="楷体_GB2312" w:hAnsi="楷体_GB2312" w:eastAsia="楷体_GB2312" w:cs="楷体_GB2312"/>
          <w:kern w:val="44"/>
          <w:sz w:val="24"/>
          <w:szCs w:val="24"/>
          <w:highlight w:val="none"/>
          <w:lang w:val="en-US"/>
        </w:rPr>
        <w:t>签字</w:t>
      </w:r>
      <w:r>
        <w:rPr>
          <w:rFonts w:hint="eastAsia" w:ascii="楷体_GB2312" w:hAnsi="楷体_GB2312" w:eastAsia="楷体_GB2312" w:cs="楷体_GB2312"/>
          <w:kern w:val="44"/>
          <w:sz w:val="24"/>
          <w:szCs w:val="24"/>
          <w:highlight w:val="none"/>
        </w:rPr>
        <w:t>）</w:t>
      </w:r>
    </w:p>
    <w:p w14:paraId="5808311F">
      <w:pPr>
        <w:tabs>
          <w:tab w:val="left" w:pos="3780"/>
        </w:tabs>
        <w:spacing w:line="360" w:lineRule="auto"/>
        <w:jc w:val="left"/>
        <w:rPr>
          <w:rFonts w:ascii="楷体_GB2312" w:hAnsi="楷体_GB2312" w:eastAsia="楷体_GB2312" w:cs="楷体_GB2312"/>
          <w:kern w:val="44"/>
          <w:sz w:val="24"/>
          <w:szCs w:val="24"/>
          <w:highlight w:val="none"/>
        </w:rPr>
      </w:pPr>
      <w:r>
        <w:rPr>
          <w:rFonts w:hint="eastAsia" w:ascii="楷体_GB2312" w:hAnsi="楷体_GB2312" w:eastAsia="楷体_GB2312" w:cs="楷体_GB2312"/>
          <w:kern w:val="44"/>
          <w:sz w:val="24"/>
          <w:szCs w:val="24"/>
          <w:highlight w:val="none"/>
        </w:rPr>
        <w:t xml:space="preserve">身份证号码：                      </w:t>
      </w:r>
    </w:p>
    <w:p w14:paraId="6BB3D32B">
      <w:pPr>
        <w:tabs>
          <w:tab w:val="left" w:pos="3780"/>
        </w:tabs>
        <w:spacing w:line="360" w:lineRule="auto"/>
        <w:jc w:val="left"/>
        <w:rPr>
          <w:rFonts w:ascii="楷体_GB2312" w:hAnsi="楷体_GB2312" w:eastAsia="楷体_GB2312" w:cs="楷体_GB2312"/>
          <w:kern w:val="44"/>
          <w:sz w:val="24"/>
          <w:szCs w:val="24"/>
          <w:highlight w:val="none"/>
        </w:rPr>
      </w:pPr>
      <w:r>
        <w:rPr>
          <w:rFonts w:hint="eastAsia" w:ascii="楷体_GB2312" w:hAnsi="楷体_GB2312" w:eastAsia="楷体_GB2312" w:cs="楷体_GB2312"/>
          <w:kern w:val="44"/>
          <w:sz w:val="24"/>
          <w:szCs w:val="24"/>
          <w:highlight w:val="none"/>
        </w:rPr>
        <w:t>委托代理人：                      （签字）</w:t>
      </w:r>
    </w:p>
    <w:p w14:paraId="6411421D">
      <w:pPr>
        <w:tabs>
          <w:tab w:val="left" w:pos="3780"/>
        </w:tabs>
        <w:spacing w:line="360" w:lineRule="auto"/>
        <w:jc w:val="left"/>
        <w:rPr>
          <w:rFonts w:ascii="楷体_GB2312" w:hAnsi="楷体_GB2312" w:eastAsia="楷体_GB2312" w:cs="楷体_GB2312"/>
          <w:kern w:val="44"/>
          <w:sz w:val="24"/>
          <w:szCs w:val="24"/>
          <w:highlight w:val="none"/>
        </w:rPr>
      </w:pPr>
      <w:r>
        <w:rPr>
          <w:rFonts w:hint="eastAsia" w:ascii="楷体_GB2312" w:hAnsi="楷体_GB2312" w:eastAsia="楷体_GB2312" w:cs="楷体_GB2312"/>
          <w:kern w:val="44"/>
          <w:sz w:val="24"/>
          <w:szCs w:val="24"/>
          <w:highlight w:val="none"/>
        </w:rPr>
        <w:t>身份证号码：                      附身份证复印件</w:t>
      </w:r>
    </w:p>
    <w:p w14:paraId="01270F99">
      <w:pPr>
        <w:spacing w:line="360" w:lineRule="auto"/>
        <w:rPr>
          <w:rFonts w:ascii="宋体" w:hAnsi="宋体" w:cs="宋体"/>
          <w:szCs w:val="21"/>
          <w:highlight w:val="none"/>
        </w:rPr>
      </w:pPr>
      <w:r>
        <w:rPr>
          <w:rFonts w:hint="eastAsia" w:ascii="宋体" w:hAnsi="宋体" w:cs="宋体"/>
          <w:szCs w:val="21"/>
          <w:highlight w:val="none"/>
        </w:rPr>
        <mc:AlternateContent>
          <mc:Choice Requires="wpg">
            <w:drawing>
              <wp:anchor distT="0" distB="0" distL="114300" distR="114300" simplePos="0" relativeHeight="251661312"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14:paraId="429FD944">
                              <w:pPr>
                                <w:ind w:left="-9" w:leftChars="-71" w:hanging="140" w:hangingChars="67"/>
                                <w:jc w:val="center"/>
                                <w:rPr>
                                  <w:rFonts w:ascii="仿宋_GB2312" w:hAnsi="仿宋_GB2312" w:eastAsia="仿宋_GB2312" w:cs="仿宋_GB2312"/>
                                  <w:szCs w:val="21"/>
                                </w:rPr>
                              </w:pPr>
                              <w:r>
                                <w:rPr>
                                  <w:rFonts w:hint="eastAsia" w:ascii="仿宋_GB2312" w:hAnsi="仿宋_GB2312" w:eastAsia="仿宋_GB2312" w:cs="仿宋_GB2312"/>
                                  <w:szCs w:val="21"/>
                                </w:rPr>
                                <w:t>委托代理人</w:t>
                              </w:r>
                            </w:p>
                            <w:p w14:paraId="3595BAE5">
                              <w:pPr>
                                <w:jc w:val="center"/>
                                <w:rPr>
                                  <w:rFonts w:ascii="仿宋_GB2312" w:hAnsi="仿宋_GB2312" w:eastAsia="仿宋_GB2312" w:cs="仿宋_GB2312"/>
                                </w:rPr>
                              </w:pPr>
                              <w:r>
                                <w:rPr>
                                  <w:rFonts w:hint="eastAsia" w:ascii="仿宋_GB2312" w:hAnsi="仿宋_GB2312" w:eastAsia="仿宋_GB2312" w:cs="仿宋_GB2312"/>
                                </w:rPr>
                                <w:t>居民身份证复印件粘贴处</w:t>
                              </w:r>
                            </w:p>
                            <w:p w14:paraId="0D0C4F42">
                              <w:pPr>
                                <w:ind w:firstLine="1050" w:firstLineChars="500"/>
                                <w:rPr>
                                  <w:rFonts w:ascii="仿宋_GB2312" w:hAnsi="仿宋_GB2312" w:eastAsia="仿宋_GB2312" w:cs="仿宋_GB2312"/>
                                </w:rPr>
                              </w:pPr>
                            </w:p>
                            <w:p w14:paraId="026E5F66">
                              <w:pPr>
                                <w:jc w:val="center"/>
                                <w:rPr>
                                  <w:rFonts w:ascii="仿宋_GB2312" w:hAnsi="仿宋_GB2312" w:eastAsia="仿宋_GB2312" w:cs="仿宋_GB2312"/>
                                </w:rPr>
                              </w:pPr>
                              <w:r>
                                <w:rPr>
                                  <w:rFonts w:hint="eastAsia" w:ascii="仿宋_GB2312" w:hAnsi="仿宋_GB2312" w:eastAsia="仿宋_GB2312" w:cs="仿宋_GB2312"/>
                                </w:rPr>
                                <w:t>（正面）</w:t>
                              </w:r>
                            </w:p>
                            <w:p w14:paraId="10B8CD08">
                              <w:pPr>
                                <w:ind w:firstLine="1050" w:firstLineChars="500"/>
                              </w:pPr>
                            </w:p>
                            <w:p w14:paraId="495D31D4"/>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14:paraId="10B5A968">
                              <w:pPr>
                                <w:jc w:val="center"/>
                                <w:rPr>
                                  <w:rFonts w:ascii="仿宋_GB2312" w:hAnsi="仿宋_GB2312" w:eastAsia="仿宋_GB2312" w:cs="仿宋_GB2312"/>
                                </w:rPr>
                              </w:pPr>
                              <w:r>
                                <w:rPr>
                                  <w:rFonts w:hint="eastAsia" w:ascii="仿宋_GB2312" w:hAnsi="仿宋_GB2312" w:eastAsia="仿宋_GB2312" w:cs="仿宋_GB2312"/>
                                  <w:szCs w:val="21"/>
                                </w:rPr>
                                <w:t>委托代理人</w:t>
                              </w:r>
                            </w:p>
                            <w:p w14:paraId="7C960065">
                              <w:pPr>
                                <w:jc w:val="center"/>
                                <w:rPr>
                                  <w:rFonts w:ascii="仿宋_GB2312" w:hAnsi="仿宋_GB2312" w:eastAsia="仿宋_GB2312" w:cs="仿宋_GB2312"/>
                                </w:rPr>
                              </w:pPr>
                              <w:r>
                                <w:rPr>
                                  <w:rFonts w:hint="eastAsia" w:ascii="仿宋_GB2312" w:hAnsi="仿宋_GB2312" w:eastAsia="仿宋_GB2312" w:cs="仿宋_GB2312"/>
                                </w:rPr>
                                <w:t>居民身份证复印件粘贴处</w:t>
                              </w:r>
                            </w:p>
                            <w:p w14:paraId="6EC4FF1C">
                              <w:pPr>
                                <w:ind w:firstLine="1050" w:firstLineChars="500"/>
                                <w:rPr>
                                  <w:rFonts w:ascii="仿宋_GB2312" w:hAnsi="仿宋_GB2312" w:eastAsia="仿宋_GB2312" w:cs="仿宋_GB2312"/>
                                </w:rPr>
                              </w:pPr>
                            </w:p>
                            <w:p w14:paraId="3A9E635D">
                              <w:pPr>
                                <w:jc w:val="center"/>
                                <w:rPr>
                                  <w:rFonts w:ascii="仿宋_GB2312" w:hAnsi="仿宋_GB2312" w:eastAsia="仿宋_GB2312" w:cs="仿宋_GB2312"/>
                                </w:rPr>
                              </w:pPr>
                              <w:r>
                                <w:rPr>
                                  <w:rFonts w:hint="eastAsia" w:ascii="仿宋_GB2312" w:hAnsi="仿宋_GB2312" w:eastAsia="仿宋_GB2312" w:cs="仿宋_GB2312"/>
                                </w:rPr>
                                <w:t>（反面）</w:t>
                              </w:r>
                            </w:p>
                            <w:p w14:paraId="6E80EFC3">
                              <w:pPr>
                                <w:ind w:firstLine="1050" w:firstLineChars="500"/>
                              </w:pPr>
                            </w:p>
                            <w:p w14:paraId="07191217"/>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1312;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uXxwPYAAAACQEAAA8AAAAAAAAAAQAgAAAAIgAAAGRycy9kb3ducmV2LnhtbFBLAQIU&#10;ABQAAAAIAIdO4kDo8LUA1wIAAHkIAAAOAAAAAAAAAAEAIAAAACcBAABkcnMvZTJvRG9jLnhtbFBL&#10;BQYAAAAABgAGAFkBAABwBg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429FD944">
                        <w:pPr>
                          <w:ind w:left="-9" w:leftChars="-71" w:hanging="140" w:hangingChars="67"/>
                          <w:jc w:val="center"/>
                          <w:rPr>
                            <w:rFonts w:ascii="仿宋_GB2312" w:hAnsi="仿宋_GB2312" w:eastAsia="仿宋_GB2312" w:cs="仿宋_GB2312"/>
                            <w:szCs w:val="21"/>
                          </w:rPr>
                        </w:pPr>
                        <w:r>
                          <w:rPr>
                            <w:rFonts w:hint="eastAsia" w:ascii="仿宋_GB2312" w:hAnsi="仿宋_GB2312" w:eastAsia="仿宋_GB2312" w:cs="仿宋_GB2312"/>
                            <w:szCs w:val="21"/>
                          </w:rPr>
                          <w:t>委托代理人</w:t>
                        </w:r>
                      </w:p>
                      <w:p w14:paraId="3595BAE5">
                        <w:pPr>
                          <w:jc w:val="center"/>
                          <w:rPr>
                            <w:rFonts w:ascii="仿宋_GB2312" w:hAnsi="仿宋_GB2312" w:eastAsia="仿宋_GB2312" w:cs="仿宋_GB2312"/>
                          </w:rPr>
                        </w:pPr>
                        <w:r>
                          <w:rPr>
                            <w:rFonts w:hint="eastAsia" w:ascii="仿宋_GB2312" w:hAnsi="仿宋_GB2312" w:eastAsia="仿宋_GB2312" w:cs="仿宋_GB2312"/>
                          </w:rPr>
                          <w:t>居民身份证复印件粘贴处</w:t>
                        </w:r>
                      </w:p>
                      <w:p w14:paraId="0D0C4F42">
                        <w:pPr>
                          <w:ind w:firstLine="1050" w:firstLineChars="500"/>
                          <w:rPr>
                            <w:rFonts w:ascii="仿宋_GB2312" w:hAnsi="仿宋_GB2312" w:eastAsia="仿宋_GB2312" w:cs="仿宋_GB2312"/>
                          </w:rPr>
                        </w:pPr>
                      </w:p>
                      <w:p w14:paraId="026E5F66">
                        <w:pPr>
                          <w:jc w:val="center"/>
                          <w:rPr>
                            <w:rFonts w:ascii="仿宋_GB2312" w:hAnsi="仿宋_GB2312" w:eastAsia="仿宋_GB2312" w:cs="仿宋_GB2312"/>
                          </w:rPr>
                        </w:pPr>
                        <w:r>
                          <w:rPr>
                            <w:rFonts w:hint="eastAsia" w:ascii="仿宋_GB2312" w:hAnsi="仿宋_GB2312" w:eastAsia="仿宋_GB2312" w:cs="仿宋_GB2312"/>
                          </w:rPr>
                          <w:t>（正面）</w:t>
                        </w:r>
                      </w:p>
                      <w:p w14:paraId="10B8CD08">
                        <w:pPr>
                          <w:ind w:firstLine="1050" w:firstLineChars="500"/>
                        </w:pPr>
                      </w:p>
                      <w:p w14:paraId="495D31D4"/>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10B5A968">
                        <w:pPr>
                          <w:jc w:val="center"/>
                          <w:rPr>
                            <w:rFonts w:ascii="仿宋_GB2312" w:hAnsi="仿宋_GB2312" w:eastAsia="仿宋_GB2312" w:cs="仿宋_GB2312"/>
                          </w:rPr>
                        </w:pPr>
                        <w:r>
                          <w:rPr>
                            <w:rFonts w:hint="eastAsia" w:ascii="仿宋_GB2312" w:hAnsi="仿宋_GB2312" w:eastAsia="仿宋_GB2312" w:cs="仿宋_GB2312"/>
                            <w:szCs w:val="21"/>
                          </w:rPr>
                          <w:t>委托代理人</w:t>
                        </w:r>
                      </w:p>
                      <w:p w14:paraId="7C960065">
                        <w:pPr>
                          <w:jc w:val="center"/>
                          <w:rPr>
                            <w:rFonts w:ascii="仿宋_GB2312" w:hAnsi="仿宋_GB2312" w:eastAsia="仿宋_GB2312" w:cs="仿宋_GB2312"/>
                          </w:rPr>
                        </w:pPr>
                        <w:r>
                          <w:rPr>
                            <w:rFonts w:hint="eastAsia" w:ascii="仿宋_GB2312" w:hAnsi="仿宋_GB2312" w:eastAsia="仿宋_GB2312" w:cs="仿宋_GB2312"/>
                          </w:rPr>
                          <w:t>居民身份证复印件粘贴处</w:t>
                        </w:r>
                      </w:p>
                      <w:p w14:paraId="6EC4FF1C">
                        <w:pPr>
                          <w:ind w:firstLine="1050" w:firstLineChars="500"/>
                          <w:rPr>
                            <w:rFonts w:ascii="仿宋_GB2312" w:hAnsi="仿宋_GB2312" w:eastAsia="仿宋_GB2312" w:cs="仿宋_GB2312"/>
                          </w:rPr>
                        </w:pPr>
                      </w:p>
                      <w:p w14:paraId="3A9E635D">
                        <w:pPr>
                          <w:jc w:val="center"/>
                          <w:rPr>
                            <w:rFonts w:ascii="仿宋_GB2312" w:hAnsi="仿宋_GB2312" w:eastAsia="仿宋_GB2312" w:cs="仿宋_GB2312"/>
                          </w:rPr>
                        </w:pPr>
                        <w:r>
                          <w:rPr>
                            <w:rFonts w:hint="eastAsia" w:ascii="仿宋_GB2312" w:hAnsi="仿宋_GB2312" w:eastAsia="仿宋_GB2312" w:cs="仿宋_GB2312"/>
                          </w:rPr>
                          <w:t>（反面）</w:t>
                        </w:r>
                      </w:p>
                      <w:p w14:paraId="6E80EFC3">
                        <w:pPr>
                          <w:ind w:firstLine="1050" w:firstLineChars="500"/>
                        </w:pPr>
                      </w:p>
                      <w:p w14:paraId="07191217"/>
                    </w:txbxContent>
                  </v:textbox>
                </v:rect>
              </v:group>
            </w:pict>
          </mc:Fallback>
        </mc:AlternateContent>
      </w:r>
    </w:p>
    <w:p w14:paraId="203245D3">
      <w:pPr>
        <w:spacing w:line="360" w:lineRule="auto"/>
        <w:rPr>
          <w:rFonts w:ascii="宋体" w:hAnsi="宋体" w:cs="宋体"/>
          <w:szCs w:val="21"/>
          <w:highlight w:val="none"/>
        </w:rPr>
      </w:pPr>
    </w:p>
    <w:p w14:paraId="7B9B1EC6">
      <w:pPr>
        <w:spacing w:line="360" w:lineRule="auto"/>
        <w:rPr>
          <w:rFonts w:ascii="宋体" w:hAnsi="宋体" w:cs="宋体"/>
          <w:szCs w:val="21"/>
          <w:highlight w:val="none"/>
        </w:rPr>
      </w:pPr>
    </w:p>
    <w:p w14:paraId="245939AF">
      <w:pPr>
        <w:spacing w:line="360" w:lineRule="auto"/>
        <w:rPr>
          <w:rFonts w:ascii="宋体" w:hAnsi="宋体" w:cs="宋体"/>
          <w:szCs w:val="21"/>
          <w:highlight w:val="none"/>
        </w:rPr>
      </w:pPr>
    </w:p>
    <w:p w14:paraId="4FD25DB1">
      <w:pPr>
        <w:spacing w:line="360" w:lineRule="auto"/>
        <w:rPr>
          <w:rFonts w:ascii="宋体" w:hAnsi="宋体" w:cs="宋体"/>
          <w:szCs w:val="21"/>
          <w:highlight w:val="none"/>
        </w:rPr>
      </w:pPr>
    </w:p>
    <w:p w14:paraId="74A75BDF">
      <w:pPr>
        <w:spacing w:line="360" w:lineRule="auto"/>
        <w:rPr>
          <w:rFonts w:ascii="宋体" w:hAnsi="宋体" w:cs="宋体"/>
          <w:szCs w:val="21"/>
          <w:highlight w:val="none"/>
        </w:rPr>
      </w:pPr>
    </w:p>
    <w:p w14:paraId="7D19F818">
      <w:pPr>
        <w:spacing w:line="360" w:lineRule="auto"/>
        <w:rPr>
          <w:rFonts w:ascii="宋体" w:hAnsi="宋体" w:cs="宋体"/>
          <w:szCs w:val="21"/>
          <w:highlight w:val="none"/>
        </w:rPr>
      </w:pPr>
    </w:p>
    <w:p w14:paraId="4487F894">
      <w:pPr>
        <w:spacing w:line="360" w:lineRule="auto"/>
        <w:jc w:val="center"/>
        <w:rPr>
          <w:rFonts w:ascii="宋体" w:hAnsi="宋体" w:cs="宋体"/>
          <w:szCs w:val="21"/>
          <w:highlight w:val="none"/>
          <w:u w:val="single"/>
        </w:rPr>
      </w:pPr>
    </w:p>
    <w:p w14:paraId="5DD08D84">
      <w:pPr>
        <w:spacing w:line="360" w:lineRule="auto"/>
        <w:jc w:val="right"/>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u w:val="single"/>
        </w:rPr>
        <w:t xml:space="preserve">        </w:t>
      </w:r>
      <w:r>
        <w:rPr>
          <w:rFonts w:hint="eastAsia" w:ascii="仿宋_GB2312" w:hAnsi="仿宋_GB2312" w:eastAsia="仿宋_GB2312" w:cs="仿宋_GB2312"/>
          <w:sz w:val="22"/>
          <w:szCs w:val="22"/>
          <w:highlight w:val="none"/>
        </w:rPr>
        <w:t>年</w:t>
      </w:r>
      <w:r>
        <w:rPr>
          <w:rFonts w:hint="eastAsia" w:ascii="仿宋_GB2312" w:hAnsi="仿宋_GB2312" w:eastAsia="仿宋_GB2312" w:cs="仿宋_GB2312"/>
          <w:sz w:val="22"/>
          <w:szCs w:val="22"/>
          <w:highlight w:val="none"/>
          <w:u w:val="single"/>
        </w:rPr>
        <w:t xml:space="preserve">    </w:t>
      </w:r>
      <w:r>
        <w:rPr>
          <w:rFonts w:hint="eastAsia" w:ascii="仿宋_GB2312" w:hAnsi="仿宋_GB2312" w:eastAsia="仿宋_GB2312" w:cs="仿宋_GB2312"/>
          <w:sz w:val="22"/>
          <w:szCs w:val="22"/>
          <w:highlight w:val="none"/>
        </w:rPr>
        <w:t>月</w:t>
      </w:r>
      <w:r>
        <w:rPr>
          <w:rFonts w:hint="eastAsia" w:ascii="仿宋_GB2312" w:hAnsi="仿宋_GB2312" w:eastAsia="仿宋_GB2312" w:cs="仿宋_GB2312"/>
          <w:sz w:val="22"/>
          <w:szCs w:val="22"/>
          <w:highlight w:val="none"/>
          <w:u w:val="single"/>
        </w:rPr>
        <w:t xml:space="preserve">    </w:t>
      </w:r>
      <w:r>
        <w:rPr>
          <w:rFonts w:hint="eastAsia" w:ascii="仿宋_GB2312" w:hAnsi="仿宋_GB2312" w:eastAsia="仿宋_GB2312" w:cs="仿宋_GB2312"/>
          <w:sz w:val="22"/>
          <w:szCs w:val="22"/>
          <w:highlight w:val="none"/>
        </w:rPr>
        <w:t>日</w:t>
      </w:r>
    </w:p>
    <w:p w14:paraId="6066506A">
      <w:pPr>
        <w:spacing w:line="360" w:lineRule="auto"/>
        <w:rPr>
          <w:rFonts w:ascii="仿宋_GB2312" w:hAnsi="仿宋_GB2312" w:eastAsia="仿宋_GB2312" w:cs="仿宋_GB2312"/>
          <w:sz w:val="22"/>
          <w:szCs w:val="22"/>
          <w:highlight w:val="none"/>
        </w:rPr>
        <w:sectPr>
          <w:headerReference r:id="rId7" w:type="first"/>
          <w:footerReference r:id="rId10" w:type="first"/>
          <w:headerReference r:id="rId6" w:type="default"/>
          <w:footerReference r:id="rId8" w:type="default"/>
          <w:footerReference r:id="rId9" w:type="even"/>
          <w:pgSz w:w="12242" w:h="15842"/>
          <w:pgMar w:top="1440" w:right="1800" w:bottom="1440" w:left="1800" w:header="851" w:footer="992" w:gutter="0"/>
          <w:pgNumType w:fmt="decimal" w:start="1"/>
          <w:cols w:space="720" w:num="1"/>
          <w:docGrid w:type="lines" w:linePitch="312" w:charSpace="0"/>
        </w:sectPr>
      </w:pPr>
    </w:p>
    <w:p w14:paraId="13B8C8D6">
      <w:pPr>
        <w:spacing w:line="360" w:lineRule="auto"/>
        <w:rPr>
          <w:rFonts w:ascii="仿宋_GB2312" w:eastAsia="仿宋_GB2312" w:cs="仿宋_GB2312"/>
          <w:sz w:val="28"/>
          <w:szCs w:val="28"/>
          <w:highlight w:val="none"/>
        </w:rPr>
      </w:pPr>
      <w:r>
        <w:rPr>
          <w:rFonts w:hint="eastAsia" w:ascii="仿宋_GB2312" w:hAnsi="仿宋_GB2312" w:eastAsia="仿宋_GB2312" w:cs="仿宋_GB2312"/>
          <w:sz w:val="28"/>
          <w:szCs w:val="28"/>
          <w:highlight w:val="none"/>
        </w:rPr>
        <w:t>附件1.5 企业经验能力</w:t>
      </w:r>
    </w:p>
    <w:p w14:paraId="707CBE09">
      <w:pPr>
        <w:snapToGrid w:val="0"/>
        <w:jc w:val="center"/>
        <w:rPr>
          <w:rFonts w:ascii="仿宋_GB2312" w:hAnsi="微软雅黑" w:eastAsia="仿宋_GB2312" w:cs="仿宋_GB2312"/>
          <w:sz w:val="28"/>
          <w:szCs w:val="28"/>
          <w:highlight w:val="none"/>
          <w:lang w:bidi="ar"/>
        </w:rPr>
      </w:pPr>
      <w:r>
        <w:rPr>
          <w:rFonts w:hint="eastAsia" w:ascii="仿宋_GB2312" w:hAnsi="仿宋_GB2312" w:eastAsia="仿宋_GB2312" w:cs="仿宋_GB2312"/>
          <w:kern w:val="0"/>
          <w:sz w:val="32"/>
          <w:szCs w:val="32"/>
          <w:highlight w:val="none"/>
          <w:shd w:val="clear" w:color="auto" w:fill="FFFFFF"/>
          <w:lang w:bidi="ar"/>
        </w:rPr>
        <w:t>XXXX</w:t>
      </w:r>
      <w:r>
        <w:rPr>
          <w:rFonts w:hint="eastAsia" w:ascii="仿宋_GB2312" w:hAnsi="微软雅黑" w:eastAsia="仿宋_GB2312" w:cs="仿宋_GB2312"/>
          <w:sz w:val="28"/>
          <w:szCs w:val="28"/>
          <w:highlight w:val="none"/>
          <w:lang w:bidi="ar"/>
        </w:rPr>
        <w:t>服务业绩表（参考格式）</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785"/>
        <w:gridCol w:w="1575"/>
        <w:gridCol w:w="1799"/>
        <w:gridCol w:w="1421"/>
        <w:gridCol w:w="1420"/>
      </w:tblGrid>
      <w:tr w14:paraId="08C7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14:paraId="019DA19D">
            <w:pPr>
              <w:pStyle w:val="13"/>
              <w:adjustRightInd w:val="0"/>
              <w:snapToGrid w:val="0"/>
              <w:spacing w:line="300" w:lineRule="auto"/>
              <w:jc w:val="center"/>
              <w:rPr>
                <w:rFonts w:hint="default" w:ascii="仿宋_GB2312" w:eastAsia="仿宋_GB2312" w:cs="仿宋_GB2312"/>
                <w:kern w:val="2"/>
                <w:szCs w:val="24"/>
                <w:highlight w:val="none"/>
              </w:rPr>
            </w:pPr>
            <w:r>
              <w:rPr>
                <w:rFonts w:ascii="仿宋_GB2312" w:eastAsia="仿宋_GB2312" w:cs="仿宋_GB2312"/>
                <w:kern w:val="2"/>
                <w:szCs w:val="24"/>
                <w:highlight w:val="none"/>
              </w:rPr>
              <w:t>序号</w:t>
            </w:r>
          </w:p>
        </w:tc>
        <w:tc>
          <w:tcPr>
            <w:tcW w:w="1785" w:type="dxa"/>
            <w:tcBorders>
              <w:top w:val="single" w:color="auto" w:sz="4" w:space="0"/>
              <w:left w:val="nil"/>
              <w:bottom w:val="single" w:color="auto" w:sz="4" w:space="0"/>
              <w:right w:val="single" w:color="auto" w:sz="4" w:space="0"/>
            </w:tcBorders>
            <w:vAlign w:val="center"/>
          </w:tcPr>
          <w:p w14:paraId="61A33745">
            <w:pPr>
              <w:pStyle w:val="13"/>
              <w:adjustRightInd w:val="0"/>
              <w:snapToGrid w:val="0"/>
              <w:spacing w:line="300" w:lineRule="auto"/>
              <w:jc w:val="center"/>
              <w:rPr>
                <w:rFonts w:hint="default" w:ascii="仿宋_GB2312" w:eastAsia="仿宋_GB2312" w:cs="仿宋_GB2312"/>
                <w:kern w:val="2"/>
                <w:szCs w:val="24"/>
                <w:highlight w:val="none"/>
              </w:rPr>
            </w:pPr>
            <w:r>
              <w:rPr>
                <w:rFonts w:ascii="仿宋_GB2312" w:eastAsia="仿宋_GB2312" w:cs="仿宋_GB2312"/>
                <w:kern w:val="2"/>
                <w:szCs w:val="24"/>
                <w:highlight w:val="none"/>
              </w:rPr>
              <w:t>项目名称</w:t>
            </w:r>
          </w:p>
        </w:tc>
        <w:tc>
          <w:tcPr>
            <w:tcW w:w="1575" w:type="dxa"/>
            <w:tcBorders>
              <w:top w:val="single" w:color="auto" w:sz="4" w:space="0"/>
              <w:left w:val="nil"/>
              <w:bottom w:val="single" w:color="auto" w:sz="4" w:space="0"/>
              <w:right w:val="single" w:color="auto" w:sz="4" w:space="0"/>
            </w:tcBorders>
            <w:vAlign w:val="center"/>
          </w:tcPr>
          <w:p w14:paraId="544675ED">
            <w:pPr>
              <w:pStyle w:val="13"/>
              <w:adjustRightInd w:val="0"/>
              <w:snapToGrid w:val="0"/>
              <w:spacing w:line="300" w:lineRule="auto"/>
              <w:jc w:val="center"/>
              <w:rPr>
                <w:rFonts w:hint="default" w:ascii="仿宋_GB2312" w:eastAsia="仿宋_GB2312" w:cs="仿宋_GB2312"/>
                <w:kern w:val="2"/>
                <w:szCs w:val="24"/>
                <w:highlight w:val="none"/>
              </w:rPr>
            </w:pPr>
            <w:r>
              <w:rPr>
                <w:rFonts w:ascii="仿宋_GB2312" w:eastAsia="仿宋_GB2312" w:cs="仿宋_GB2312"/>
                <w:kern w:val="2"/>
                <w:szCs w:val="24"/>
                <w:highlight w:val="none"/>
              </w:rPr>
              <w:t>项目介绍</w:t>
            </w:r>
          </w:p>
        </w:tc>
        <w:tc>
          <w:tcPr>
            <w:tcW w:w="1799" w:type="dxa"/>
            <w:tcBorders>
              <w:top w:val="single" w:color="auto" w:sz="4" w:space="0"/>
              <w:left w:val="nil"/>
              <w:bottom w:val="single" w:color="auto" w:sz="4" w:space="0"/>
              <w:right w:val="single" w:color="auto" w:sz="4" w:space="0"/>
            </w:tcBorders>
            <w:vAlign w:val="center"/>
          </w:tcPr>
          <w:p w14:paraId="7CD59F0E">
            <w:pPr>
              <w:pStyle w:val="13"/>
              <w:adjustRightInd w:val="0"/>
              <w:snapToGrid w:val="0"/>
              <w:spacing w:line="300" w:lineRule="auto"/>
              <w:jc w:val="center"/>
              <w:rPr>
                <w:rFonts w:hint="default" w:ascii="仿宋_GB2312" w:eastAsia="仿宋_GB2312" w:cs="仿宋_GB2312"/>
                <w:kern w:val="2"/>
                <w:szCs w:val="24"/>
                <w:highlight w:val="none"/>
              </w:rPr>
            </w:pPr>
            <w:r>
              <w:rPr>
                <w:rFonts w:ascii="仿宋_GB2312" w:eastAsia="仿宋_GB2312" w:cs="仿宋_GB2312"/>
                <w:kern w:val="2"/>
                <w:szCs w:val="24"/>
                <w:highlight w:val="none"/>
              </w:rPr>
              <w:t>合同签订时间</w:t>
            </w:r>
          </w:p>
        </w:tc>
        <w:tc>
          <w:tcPr>
            <w:tcW w:w="1421" w:type="dxa"/>
            <w:tcBorders>
              <w:top w:val="single" w:color="auto" w:sz="4" w:space="0"/>
              <w:left w:val="nil"/>
              <w:bottom w:val="single" w:color="auto" w:sz="4" w:space="0"/>
              <w:right w:val="single" w:color="auto" w:sz="4" w:space="0"/>
            </w:tcBorders>
            <w:vAlign w:val="center"/>
          </w:tcPr>
          <w:p w14:paraId="3E42B3E3">
            <w:pPr>
              <w:pStyle w:val="13"/>
              <w:adjustRightInd w:val="0"/>
              <w:snapToGrid w:val="0"/>
              <w:spacing w:line="300" w:lineRule="auto"/>
              <w:jc w:val="center"/>
              <w:rPr>
                <w:rFonts w:hint="default" w:ascii="仿宋_GB2312" w:eastAsia="仿宋_GB2312" w:cs="仿宋_GB2312"/>
                <w:kern w:val="2"/>
                <w:szCs w:val="24"/>
                <w:highlight w:val="none"/>
              </w:rPr>
            </w:pPr>
            <w:r>
              <w:rPr>
                <w:rFonts w:ascii="仿宋_GB2312" w:eastAsia="仿宋_GB2312" w:cs="仿宋_GB2312"/>
                <w:kern w:val="2"/>
                <w:szCs w:val="24"/>
                <w:highlight w:val="none"/>
              </w:rPr>
              <w:t>委托单位</w:t>
            </w:r>
          </w:p>
        </w:tc>
        <w:tc>
          <w:tcPr>
            <w:tcW w:w="1420" w:type="dxa"/>
            <w:tcBorders>
              <w:top w:val="single" w:color="auto" w:sz="4" w:space="0"/>
              <w:left w:val="nil"/>
              <w:bottom w:val="single" w:color="auto" w:sz="4" w:space="0"/>
              <w:right w:val="single" w:color="auto" w:sz="4" w:space="0"/>
            </w:tcBorders>
            <w:vAlign w:val="center"/>
          </w:tcPr>
          <w:p w14:paraId="51E6386F">
            <w:pPr>
              <w:pStyle w:val="13"/>
              <w:adjustRightInd w:val="0"/>
              <w:snapToGrid w:val="0"/>
              <w:spacing w:line="300" w:lineRule="auto"/>
              <w:jc w:val="center"/>
              <w:rPr>
                <w:rFonts w:hint="default" w:ascii="仿宋_GB2312" w:eastAsia="仿宋_GB2312" w:cs="仿宋_GB2312"/>
                <w:kern w:val="2"/>
                <w:szCs w:val="24"/>
                <w:highlight w:val="none"/>
              </w:rPr>
            </w:pPr>
            <w:r>
              <w:rPr>
                <w:rFonts w:ascii="仿宋_GB2312" w:eastAsia="仿宋_GB2312" w:cs="仿宋_GB2312"/>
                <w:kern w:val="2"/>
                <w:szCs w:val="24"/>
                <w:highlight w:val="none"/>
              </w:rPr>
              <w:t>用户联系</w:t>
            </w:r>
          </w:p>
          <w:p w14:paraId="211A3C69">
            <w:pPr>
              <w:pStyle w:val="13"/>
              <w:adjustRightInd w:val="0"/>
              <w:snapToGrid w:val="0"/>
              <w:spacing w:line="300" w:lineRule="auto"/>
              <w:jc w:val="center"/>
              <w:rPr>
                <w:rFonts w:hint="default" w:ascii="仿宋_GB2312" w:eastAsia="仿宋_GB2312" w:cs="仿宋_GB2312"/>
                <w:kern w:val="2"/>
                <w:szCs w:val="24"/>
                <w:highlight w:val="none"/>
              </w:rPr>
            </w:pPr>
            <w:r>
              <w:rPr>
                <w:rFonts w:ascii="仿宋_GB2312" w:eastAsia="仿宋_GB2312" w:cs="仿宋_GB2312"/>
                <w:kern w:val="2"/>
                <w:szCs w:val="24"/>
                <w:highlight w:val="none"/>
              </w:rPr>
              <w:t>人及电话</w:t>
            </w:r>
          </w:p>
        </w:tc>
      </w:tr>
      <w:tr w14:paraId="1E813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14:paraId="1E36BE97">
            <w:pPr>
              <w:pStyle w:val="13"/>
              <w:adjustRightInd w:val="0"/>
              <w:snapToGrid w:val="0"/>
              <w:spacing w:line="300" w:lineRule="auto"/>
              <w:jc w:val="center"/>
              <w:rPr>
                <w:rFonts w:hint="default" w:ascii="宋体" w:hAnsi="宋体" w:eastAsia="宋体" w:cs="宋体"/>
                <w:b/>
                <w:bCs/>
                <w:kern w:val="2"/>
                <w:sz w:val="21"/>
                <w:szCs w:val="21"/>
                <w:highlight w:val="none"/>
              </w:rPr>
            </w:pPr>
          </w:p>
        </w:tc>
        <w:tc>
          <w:tcPr>
            <w:tcW w:w="1785" w:type="dxa"/>
            <w:tcBorders>
              <w:top w:val="single" w:color="auto" w:sz="4" w:space="0"/>
              <w:left w:val="nil"/>
              <w:bottom w:val="single" w:color="auto" w:sz="4" w:space="0"/>
              <w:right w:val="single" w:color="auto" w:sz="4" w:space="0"/>
            </w:tcBorders>
          </w:tcPr>
          <w:p w14:paraId="217D9800">
            <w:pPr>
              <w:pStyle w:val="13"/>
              <w:widowControl/>
              <w:kinsoku w:val="0"/>
              <w:overflowPunct w:val="0"/>
              <w:spacing w:before="100" w:beforeAutospacing="1" w:after="100" w:afterAutospacing="1"/>
              <w:jc w:val="both"/>
              <w:textAlignment w:val="baseline"/>
              <w:rPr>
                <w:rFonts w:hint="default" w:ascii="Arial" w:hAnsi="Arial" w:cs="Arial"/>
                <w:sz w:val="21"/>
                <w:szCs w:val="21"/>
                <w:highlight w:val="none"/>
              </w:rPr>
            </w:pPr>
          </w:p>
        </w:tc>
        <w:tc>
          <w:tcPr>
            <w:tcW w:w="1575" w:type="dxa"/>
            <w:tcBorders>
              <w:top w:val="single" w:color="auto" w:sz="4" w:space="0"/>
              <w:left w:val="nil"/>
              <w:bottom w:val="single" w:color="auto" w:sz="4" w:space="0"/>
              <w:right w:val="single" w:color="auto" w:sz="4" w:space="0"/>
            </w:tcBorders>
          </w:tcPr>
          <w:p w14:paraId="548C3707">
            <w:pPr>
              <w:pStyle w:val="13"/>
              <w:widowControl/>
              <w:kinsoku w:val="0"/>
              <w:overflowPunct w:val="0"/>
              <w:spacing w:before="100" w:beforeAutospacing="1" w:after="100" w:afterAutospacing="1"/>
              <w:jc w:val="both"/>
              <w:textAlignment w:val="baseline"/>
              <w:rPr>
                <w:rFonts w:hint="default" w:ascii="Arial" w:hAnsi="Arial" w:cs="Arial"/>
                <w:sz w:val="21"/>
                <w:szCs w:val="21"/>
                <w:highlight w:val="none"/>
              </w:rPr>
            </w:pPr>
          </w:p>
        </w:tc>
        <w:tc>
          <w:tcPr>
            <w:tcW w:w="1799" w:type="dxa"/>
            <w:tcBorders>
              <w:top w:val="single" w:color="auto" w:sz="4" w:space="0"/>
              <w:left w:val="nil"/>
              <w:bottom w:val="single" w:color="auto" w:sz="4" w:space="0"/>
              <w:right w:val="single" w:color="auto" w:sz="4" w:space="0"/>
            </w:tcBorders>
            <w:vAlign w:val="center"/>
          </w:tcPr>
          <w:p w14:paraId="27C9AB55">
            <w:pPr>
              <w:pStyle w:val="13"/>
              <w:adjustRightInd w:val="0"/>
              <w:snapToGrid w:val="0"/>
              <w:spacing w:line="300" w:lineRule="auto"/>
              <w:jc w:val="center"/>
              <w:rPr>
                <w:rFonts w:hint="default" w:ascii="宋体" w:hAnsi="宋体" w:eastAsia="宋体" w:cs="宋体"/>
                <w:kern w:val="2"/>
                <w:sz w:val="21"/>
                <w:szCs w:val="21"/>
                <w:highlight w:val="none"/>
              </w:rPr>
            </w:pPr>
          </w:p>
        </w:tc>
        <w:tc>
          <w:tcPr>
            <w:tcW w:w="1421" w:type="dxa"/>
            <w:tcBorders>
              <w:top w:val="single" w:color="auto" w:sz="4" w:space="0"/>
              <w:left w:val="nil"/>
              <w:bottom w:val="single" w:color="auto" w:sz="4" w:space="0"/>
              <w:right w:val="single" w:color="auto" w:sz="4" w:space="0"/>
            </w:tcBorders>
            <w:vAlign w:val="center"/>
          </w:tcPr>
          <w:p w14:paraId="208F9D2C">
            <w:pPr>
              <w:pStyle w:val="13"/>
              <w:adjustRightInd w:val="0"/>
              <w:snapToGrid w:val="0"/>
              <w:spacing w:line="300" w:lineRule="auto"/>
              <w:jc w:val="center"/>
              <w:rPr>
                <w:rFonts w:hint="default" w:ascii="宋体" w:hAnsi="宋体" w:eastAsia="宋体" w:cs="宋体"/>
                <w:b/>
                <w:bCs/>
                <w:kern w:val="2"/>
                <w:sz w:val="21"/>
                <w:szCs w:val="21"/>
                <w:highlight w:val="none"/>
              </w:rPr>
            </w:pPr>
          </w:p>
        </w:tc>
        <w:tc>
          <w:tcPr>
            <w:tcW w:w="1420" w:type="dxa"/>
            <w:tcBorders>
              <w:top w:val="single" w:color="auto" w:sz="4" w:space="0"/>
              <w:left w:val="nil"/>
              <w:bottom w:val="single" w:color="auto" w:sz="4" w:space="0"/>
              <w:right w:val="single" w:color="auto" w:sz="4" w:space="0"/>
            </w:tcBorders>
            <w:vAlign w:val="center"/>
          </w:tcPr>
          <w:p w14:paraId="235617B7">
            <w:pPr>
              <w:pStyle w:val="13"/>
              <w:adjustRightInd w:val="0"/>
              <w:snapToGrid w:val="0"/>
              <w:spacing w:line="300" w:lineRule="auto"/>
              <w:jc w:val="center"/>
              <w:rPr>
                <w:rFonts w:hint="default" w:ascii="宋体" w:hAnsi="宋体" w:eastAsia="宋体" w:cs="宋体"/>
                <w:b/>
                <w:bCs/>
                <w:kern w:val="2"/>
                <w:sz w:val="21"/>
                <w:szCs w:val="21"/>
                <w:highlight w:val="none"/>
              </w:rPr>
            </w:pPr>
          </w:p>
        </w:tc>
      </w:tr>
      <w:tr w14:paraId="7CEC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14:paraId="0ABA3E9A">
            <w:pPr>
              <w:pStyle w:val="13"/>
              <w:adjustRightInd w:val="0"/>
              <w:snapToGrid w:val="0"/>
              <w:spacing w:line="300" w:lineRule="auto"/>
              <w:jc w:val="center"/>
              <w:rPr>
                <w:rFonts w:hint="default" w:ascii="宋体" w:hAnsi="宋体" w:eastAsia="宋体" w:cs="宋体"/>
                <w:kern w:val="2"/>
                <w:sz w:val="21"/>
                <w:szCs w:val="21"/>
                <w:highlight w:val="none"/>
              </w:rPr>
            </w:pPr>
          </w:p>
        </w:tc>
        <w:tc>
          <w:tcPr>
            <w:tcW w:w="1785" w:type="dxa"/>
            <w:tcBorders>
              <w:top w:val="single" w:color="auto" w:sz="4" w:space="0"/>
              <w:left w:val="nil"/>
              <w:bottom w:val="single" w:color="auto" w:sz="4" w:space="0"/>
              <w:right w:val="single" w:color="auto" w:sz="4" w:space="0"/>
            </w:tcBorders>
          </w:tcPr>
          <w:p w14:paraId="171FD726">
            <w:pPr>
              <w:pStyle w:val="13"/>
              <w:widowControl/>
              <w:kinsoku w:val="0"/>
              <w:overflowPunct w:val="0"/>
              <w:spacing w:before="100" w:beforeAutospacing="1" w:after="100" w:afterAutospacing="1"/>
              <w:jc w:val="both"/>
              <w:textAlignment w:val="baseline"/>
              <w:rPr>
                <w:rFonts w:hint="default" w:ascii="Arial" w:hAnsi="Arial" w:cs="Arial"/>
                <w:sz w:val="21"/>
                <w:szCs w:val="21"/>
                <w:highlight w:val="none"/>
              </w:rPr>
            </w:pPr>
          </w:p>
        </w:tc>
        <w:tc>
          <w:tcPr>
            <w:tcW w:w="1575" w:type="dxa"/>
            <w:tcBorders>
              <w:top w:val="single" w:color="auto" w:sz="4" w:space="0"/>
              <w:left w:val="nil"/>
              <w:bottom w:val="single" w:color="auto" w:sz="4" w:space="0"/>
              <w:right w:val="single" w:color="auto" w:sz="4" w:space="0"/>
            </w:tcBorders>
          </w:tcPr>
          <w:p w14:paraId="45326B58">
            <w:pPr>
              <w:pStyle w:val="13"/>
              <w:widowControl/>
              <w:kinsoku w:val="0"/>
              <w:overflowPunct w:val="0"/>
              <w:spacing w:before="100" w:beforeAutospacing="1" w:after="100" w:afterAutospacing="1"/>
              <w:jc w:val="both"/>
              <w:textAlignment w:val="baseline"/>
              <w:rPr>
                <w:rFonts w:hint="default" w:ascii="Arial" w:hAnsi="Arial" w:cs="Arial"/>
                <w:sz w:val="21"/>
                <w:szCs w:val="21"/>
                <w:highlight w:val="none"/>
              </w:rPr>
            </w:pPr>
          </w:p>
        </w:tc>
        <w:tc>
          <w:tcPr>
            <w:tcW w:w="1799" w:type="dxa"/>
            <w:tcBorders>
              <w:top w:val="single" w:color="auto" w:sz="4" w:space="0"/>
              <w:left w:val="nil"/>
              <w:bottom w:val="single" w:color="auto" w:sz="4" w:space="0"/>
              <w:right w:val="single" w:color="auto" w:sz="4" w:space="0"/>
            </w:tcBorders>
            <w:vAlign w:val="center"/>
          </w:tcPr>
          <w:p w14:paraId="7F3662F7">
            <w:pPr>
              <w:pStyle w:val="13"/>
              <w:adjustRightInd w:val="0"/>
              <w:snapToGrid w:val="0"/>
              <w:spacing w:line="300" w:lineRule="auto"/>
              <w:jc w:val="center"/>
              <w:rPr>
                <w:rFonts w:hint="default" w:ascii="宋体" w:hAnsi="宋体" w:eastAsia="宋体" w:cs="宋体"/>
                <w:kern w:val="2"/>
                <w:sz w:val="21"/>
                <w:szCs w:val="21"/>
                <w:highlight w:val="none"/>
              </w:rPr>
            </w:pPr>
          </w:p>
        </w:tc>
        <w:tc>
          <w:tcPr>
            <w:tcW w:w="1421" w:type="dxa"/>
            <w:tcBorders>
              <w:top w:val="single" w:color="auto" w:sz="4" w:space="0"/>
              <w:left w:val="nil"/>
              <w:bottom w:val="single" w:color="auto" w:sz="4" w:space="0"/>
              <w:right w:val="single" w:color="auto" w:sz="4" w:space="0"/>
            </w:tcBorders>
            <w:vAlign w:val="center"/>
          </w:tcPr>
          <w:p w14:paraId="43E5AD24">
            <w:pPr>
              <w:pStyle w:val="13"/>
              <w:adjustRightInd w:val="0"/>
              <w:snapToGrid w:val="0"/>
              <w:spacing w:line="300" w:lineRule="auto"/>
              <w:jc w:val="center"/>
              <w:rPr>
                <w:rFonts w:hint="default" w:ascii="宋体" w:hAnsi="宋体" w:eastAsia="宋体" w:cs="宋体"/>
                <w:kern w:val="2"/>
                <w:sz w:val="21"/>
                <w:szCs w:val="21"/>
                <w:highlight w:val="none"/>
              </w:rPr>
            </w:pPr>
          </w:p>
        </w:tc>
        <w:tc>
          <w:tcPr>
            <w:tcW w:w="1420" w:type="dxa"/>
            <w:tcBorders>
              <w:top w:val="single" w:color="auto" w:sz="4" w:space="0"/>
              <w:left w:val="nil"/>
              <w:bottom w:val="single" w:color="auto" w:sz="4" w:space="0"/>
              <w:right w:val="single" w:color="auto" w:sz="4" w:space="0"/>
            </w:tcBorders>
            <w:vAlign w:val="center"/>
          </w:tcPr>
          <w:p w14:paraId="0739CE03">
            <w:pPr>
              <w:pStyle w:val="13"/>
              <w:adjustRightInd w:val="0"/>
              <w:snapToGrid w:val="0"/>
              <w:spacing w:line="300" w:lineRule="auto"/>
              <w:jc w:val="center"/>
              <w:rPr>
                <w:rFonts w:hint="default" w:ascii="宋体" w:hAnsi="宋体" w:eastAsia="宋体" w:cs="宋体"/>
                <w:kern w:val="2"/>
                <w:sz w:val="21"/>
                <w:szCs w:val="21"/>
                <w:highlight w:val="none"/>
              </w:rPr>
            </w:pPr>
          </w:p>
        </w:tc>
      </w:tr>
      <w:tr w14:paraId="0707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14:paraId="7572D521">
            <w:pPr>
              <w:pStyle w:val="13"/>
              <w:adjustRightInd w:val="0"/>
              <w:snapToGrid w:val="0"/>
              <w:spacing w:line="300" w:lineRule="auto"/>
              <w:jc w:val="center"/>
              <w:rPr>
                <w:rFonts w:hint="default" w:ascii="宋体" w:hAnsi="宋体" w:eastAsia="宋体" w:cs="宋体"/>
                <w:kern w:val="2"/>
                <w:sz w:val="21"/>
                <w:szCs w:val="21"/>
                <w:highlight w:val="none"/>
              </w:rPr>
            </w:pPr>
          </w:p>
        </w:tc>
        <w:tc>
          <w:tcPr>
            <w:tcW w:w="1785" w:type="dxa"/>
            <w:tcBorders>
              <w:top w:val="single" w:color="auto" w:sz="4" w:space="0"/>
              <w:left w:val="nil"/>
              <w:bottom w:val="single" w:color="auto" w:sz="4" w:space="0"/>
              <w:right w:val="single" w:color="auto" w:sz="4" w:space="0"/>
            </w:tcBorders>
          </w:tcPr>
          <w:p w14:paraId="1FAB82D2">
            <w:pPr>
              <w:pStyle w:val="13"/>
              <w:widowControl/>
              <w:kinsoku w:val="0"/>
              <w:overflowPunct w:val="0"/>
              <w:spacing w:before="100" w:beforeAutospacing="1" w:after="100" w:afterAutospacing="1"/>
              <w:jc w:val="both"/>
              <w:textAlignment w:val="baseline"/>
              <w:rPr>
                <w:rFonts w:hint="default" w:ascii="Arial" w:hAnsi="Arial" w:cs="Arial"/>
                <w:sz w:val="21"/>
                <w:szCs w:val="21"/>
                <w:highlight w:val="none"/>
              </w:rPr>
            </w:pPr>
          </w:p>
        </w:tc>
        <w:tc>
          <w:tcPr>
            <w:tcW w:w="1575" w:type="dxa"/>
            <w:tcBorders>
              <w:top w:val="single" w:color="auto" w:sz="4" w:space="0"/>
              <w:left w:val="nil"/>
              <w:bottom w:val="single" w:color="auto" w:sz="4" w:space="0"/>
              <w:right w:val="single" w:color="auto" w:sz="4" w:space="0"/>
            </w:tcBorders>
          </w:tcPr>
          <w:p w14:paraId="74F7C203">
            <w:pPr>
              <w:pStyle w:val="13"/>
              <w:widowControl/>
              <w:kinsoku w:val="0"/>
              <w:overflowPunct w:val="0"/>
              <w:spacing w:before="100" w:beforeAutospacing="1" w:after="100" w:afterAutospacing="1"/>
              <w:jc w:val="both"/>
              <w:textAlignment w:val="baseline"/>
              <w:rPr>
                <w:rFonts w:hint="default" w:ascii="Arial" w:hAnsi="Arial" w:cs="Arial"/>
                <w:sz w:val="21"/>
                <w:szCs w:val="21"/>
                <w:highlight w:val="none"/>
              </w:rPr>
            </w:pPr>
          </w:p>
        </w:tc>
        <w:tc>
          <w:tcPr>
            <w:tcW w:w="1799" w:type="dxa"/>
            <w:tcBorders>
              <w:top w:val="single" w:color="auto" w:sz="4" w:space="0"/>
              <w:left w:val="nil"/>
              <w:bottom w:val="single" w:color="auto" w:sz="4" w:space="0"/>
              <w:right w:val="single" w:color="auto" w:sz="4" w:space="0"/>
            </w:tcBorders>
            <w:vAlign w:val="center"/>
          </w:tcPr>
          <w:p w14:paraId="1224CB88">
            <w:pPr>
              <w:pStyle w:val="13"/>
              <w:adjustRightInd w:val="0"/>
              <w:snapToGrid w:val="0"/>
              <w:spacing w:line="300" w:lineRule="auto"/>
              <w:jc w:val="center"/>
              <w:rPr>
                <w:rFonts w:hint="default" w:ascii="宋体" w:hAnsi="宋体" w:eastAsia="宋体" w:cs="宋体"/>
                <w:kern w:val="2"/>
                <w:sz w:val="21"/>
                <w:szCs w:val="21"/>
                <w:highlight w:val="none"/>
              </w:rPr>
            </w:pPr>
          </w:p>
        </w:tc>
        <w:tc>
          <w:tcPr>
            <w:tcW w:w="1421" w:type="dxa"/>
            <w:tcBorders>
              <w:top w:val="single" w:color="auto" w:sz="4" w:space="0"/>
              <w:left w:val="nil"/>
              <w:bottom w:val="single" w:color="auto" w:sz="4" w:space="0"/>
              <w:right w:val="single" w:color="auto" w:sz="4" w:space="0"/>
            </w:tcBorders>
            <w:vAlign w:val="center"/>
          </w:tcPr>
          <w:p w14:paraId="4FC88505">
            <w:pPr>
              <w:pStyle w:val="13"/>
              <w:adjustRightInd w:val="0"/>
              <w:snapToGrid w:val="0"/>
              <w:spacing w:line="300" w:lineRule="auto"/>
              <w:jc w:val="center"/>
              <w:rPr>
                <w:rFonts w:hint="default" w:ascii="宋体" w:hAnsi="宋体" w:eastAsia="宋体" w:cs="宋体"/>
                <w:kern w:val="2"/>
                <w:sz w:val="21"/>
                <w:szCs w:val="21"/>
                <w:highlight w:val="none"/>
              </w:rPr>
            </w:pPr>
          </w:p>
        </w:tc>
        <w:tc>
          <w:tcPr>
            <w:tcW w:w="1420" w:type="dxa"/>
            <w:tcBorders>
              <w:top w:val="single" w:color="auto" w:sz="4" w:space="0"/>
              <w:left w:val="nil"/>
              <w:bottom w:val="single" w:color="auto" w:sz="4" w:space="0"/>
              <w:right w:val="single" w:color="auto" w:sz="4" w:space="0"/>
            </w:tcBorders>
            <w:vAlign w:val="center"/>
          </w:tcPr>
          <w:p w14:paraId="5D91C99A">
            <w:pPr>
              <w:pStyle w:val="13"/>
              <w:adjustRightInd w:val="0"/>
              <w:snapToGrid w:val="0"/>
              <w:spacing w:line="300" w:lineRule="auto"/>
              <w:jc w:val="center"/>
              <w:rPr>
                <w:rFonts w:hint="default" w:ascii="宋体" w:hAnsi="宋体" w:eastAsia="宋体" w:cs="宋体"/>
                <w:kern w:val="2"/>
                <w:sz w:val="21"/>
                <w:szCs w:val="21"/>
                <w:highlight w:val="none"/>
              </w:rPr>
            </w:pPr>
          </w:p>
        </w:tc>
      </w:tr>
      <w:tr w14:paraId="2DF5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14:paraId="026854B5">
            <w:pPr>
              <w:pStyle w:val="13"/>
              <w:adjustRightInd w:val="0"/>
              <w:snapToGrid w:val="0"/>
              <w:spacing w:line="300" w:lineRule="auto"/>
              <w:jc w:val="center"/>
              <w:rPr>
                <w:rFonts w:hint="default" w:ascii="宋体" w:hAnsi="宋体" w:eastAsia="宋体" w:cs="宋体"/>
                <w:kern w:val="2"/>
                <w:sz w:val="21"/>
                <w:szCs w:val="21"/>
                <w:highlight w:val="none"/>
              </w:rPr>
            </w:pPr>
          </w:p>
        </w:tc>
        <w:tc>
          <w:tcPr>
            <w:tcW w:w="1785" w:type="dxa"/>
            <w:tcBorders>
              <w:top w:val="single" w:color="auto" w:sz="4" w:space="0"/>
              <w:left w:val="nil"/>
              <w:bottom w:val="single" w:color="auto" w:sz="4" w:space="0"/>
              <w:right w:val="single" w:color="auto" w:sz="4" w:space="0"/>
            </w:tcBorders>
          </w:tcPr>
          <w:p w14:paraId="0C1780A0">
            <w:pPr>
              <w:pStyle w:val="13"/>
              <w:widowControl/>
              <w:kinsoku w:val="0"/>
              <w:overflowPunct w:val="0"/>
              <w:spacing w:before="100" w:beforeAutospacing="1" w:after="100" w:afterAutospacing="1"/>
              <w:jc w:val="both"/>
              <w:textAlignment w:val="baseline"/>
              <w:rPr>
                <w:rFonts w:hint="default" w:ascii="Arial" w:hAnsi="Arial" w:cs="Arial"/>
                <w:sz w:val="21"/>
                <w:szCs w:val="21"/>
                <w:highlight w:val="none"/>
              </w:rPr>
            </w:pPr>
          </w:p>
        </w:tc>
        <w:tc>
          <w:tcPr>
            <w:tcW w:w="1575" w:type="dxa"/>
            <w:tcBorders>
              <w:top w:val="single" w:color="auto" w:sz="4" w:space="0"/>
              <w:left w:val="nil"/>
              <w:bottom w:val="single" w:color="auto" w:sz="4" w:space="0"/>
              <w:right w:val="single" w:color="auto" w:sz="4" w:space="0"/>
            </w:tcBorders>
          </w:tcPr>
          <w:p w14:paraId="30A872CE">
            <w:pPr>
              <w:pStyle w:val="13"/>
              <w:widowControl/>
              <w:kinsoku w:val="0"/>
              <w:overflowPunct w:val="0"/>
              <w:spacing w:before="100" w:beforeAutospacing="1" w:after="100" w:afterAutospacing="1"/>
              <w:jc w:val="both"/>
              <w:textAlignment w:val="baseline"/>
              <w:rPr>
                <w:rFonts w:hint="default" w:ascii="Arial" w:hAnsi="Arial" w:cs="Arial"/>
                <w:sz w:val="21"/>
                <w:szCs w:val="21"/>
                <w:highlight w:val="none"/>
              </w:rPr>
            </w:pPr>
          </w:p>
        </w:tc>
        <w:tc>
          <w:tcPr>
            <w:tcW w:w="1799" w:type="dxa"/>
            <w:tcBorders>
              <w:top w:val="single" w:color="auto" w:sz="4" w:space="0"/>
              <w:left w:val="nil"/>
              <w:bottom w:val="single" w:color="auto" w:sz="4" w:space="0"/>
              <w:right w:val="single" w:color="auto" w:sz="4" w:space="0"/>
            </w:tcBorders>
            <w:vAlign w:val="center"/>
          </w:tcPr>
          <w:p w14:paraId="23121AB1">
            <w:pPr>
              <w:pStyle w:val="13"/>
              <w:adjustRightInd w:val="0"/>
              <w:snapToGrid w:val="0"/>
              <w:spacing w:line="300" w:lineRule="auto"/>
              <w:jc w:val="center"/>
              <w:rPr>
                <w:rFonts w:hint="default" w:ascii="宋体" w:hAnsi="宋体" w:eastAsia="宋体" w:cs="宋体"/>
                <w:kern w:val="2"/>
                <w:sz w:val="21"/>
                <w:szCs w:val="21"/>
                <w:highlight w:val="none"/>
              </w:rPr>
            </w:pPr>
          </w:p>
        </w:tc>
        <w:tc>
          <w:tcPr>
            <w:tcW w:w="1421" w:type="dxa"/>
            <w:tcBorders>
              <w:top w:val="single" w:color="auto" w:sz="4" w:space="0"/>
              <w:left w:val="nil"/>
              <w:bottom w:val="single" w:color="auto" w:sz="4" w:space="0"/>
              <w:right w:val="single" w:color="auto" w:sz="4" w:space="0"/>
            </w:tcBorders>
            <w:vAlign w:val="center"/>
          </w:tcPr>
          <w:p w14:paraId="1F4807EF">
            <w:pPr>
              <w:pStyle w:val="13"/>
              <w:adjustRightInd w:val="0"/>
              <w:snapToGrid w:val="0"/>
              <w:spacing w:line="300" w:lineRule="auto"/>
              <w:jc w:val="center"/>
              <w:rPr>
                <w:rFonts w:hint="default" w:ascii="宋体" w:hAnsi="宋体" w:eastAsia="宋体" w:cs="宋体"/>
                <w:kern w:val="2"/>
                <w:sz w:val="21"/>
                <w:szCs w:val="21"/>
                <w:highlight w:val="none"/>
              </w:rPr>
            </w:pPr>
          </w:p>
        </w:tc>
        <w:tc>
          <w:tcPr>
            <w:tcW w:w="1420" w:type="dxa"/>
            <w:tcBorders>
              <w:top w:val="single" w:color="auto" w:sz="4" w:space="0"/>
              <w:left w:val="nil"/>
              <w:bottom w:val="single" w:color="auto" w:sz="4" w:space="0"/>
              <w:right w:val="single" w:color="auto" w:sz="4" w:space="0"/>
            </w:tcBorders>
            <w:vAlign w:val="center"/>
          </w:tcPr>
          <w:p w14:paraId="56408D2E">
            <w:pPr>
              <w:pStyle w:val="13"/>
              <w:adjustRightInd w:val="0"/>
              <w:snapToGrid w:val="0"/>
              <w:spacing w:line="300" w:lineRule="auto"/>
              <w:jc w:val="center"/>
              <w:rPr>
                <w:rFonts w:hint="default" w:ascii="宋体" w:hAnsi="宋体" w:eastAsia="宋体" w:cs="宋体"/>
                <w:kern w:val="2"/>
                <w:sz w:val="21"/>
                <w:szCs w:val="21"/>
                <w:highlight w:val="none"/>
              </w:rPr>
            </w:pPr>
          </w:p>
        </w:tc>
      </w:tr>
      <w:tr w14:paraId="0BCC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22" w:type="dxa"/>
            <w:tcBorders>
              <w:top w:val="single" w:color="auto" w:sz="4" w:space="0"/>
              <w:left w:val="single" w:color="auto" w:sz="4" w:space="0"/>
              <w:bottom w:val="single" w:color="auto" w:sz="4" w:space="0"/>
              <w:right w:val="single" w:color="auto" w:sz="4" w:space="0"/>
            </w:tcBorders>
            <w:vAlign w:val="center"/>
          </w:tcPr>
          <w:p w14:paraId="1AE4E3E1">
            <w:pPr>
              <w:pStyle w:val="13"/>
              <w:adjustRightInd w:val="0"/>
              <w:snapToGrid w:val="0"/>
              <w:spacing w:line="300" w:lineRule="auto"/>
              <w:jc w:val="center"/>
              <w:rPr>
                <w:rFonts w:hint="default" w:ascii="宋体" w:hAnsi="宋体" w:eastAsia="宋体" w:cs="宋体"/>
                <w:kern w:val="2"/>
                <w:sz w:val="21"/>
                <w:szCs w:val="21"/>
                <w:highlight w:val="none"/>
              </w:rPr>
            </w:pPr>
          </w:p>
        </w:tc>
        <w:tc>
          <w:tcPr>
            <w:tcW w:w="1785" w:type="dxa"/>
            <w:tcBorders>
              <w:top w:val="single" w:color="auto" w:sz="4" w:space="0"/>
              <w:left w:val="nil"/>
              <w:bottom w:val="single" w:color="auto" w:sz="4" w:space="0"/>
              <w:right w:val="single" w:color="auto" w:sz="4" w:space="0"/>
            </w:tcBorders>
          </w:tcPr>
          <w:p w14:paraId="7FC97758">
            <w:pPr>
              <w:pStyle w:val="13"/>
              <w:widowControl/>
              <w:kinsoku w:val="0"/>
              <w:overflowPunct w:val="0"/>
              <w:spacing w:before="100" w:beforeAutospacing="1" w:after="100" w:afterAutospacing="1"/>
              <w:jc w:val="both"/>
              <w:textAlignment w:val="baseline"/>
              <w:rPr>
                <w:rFonts w:hint="default" w:ascii="Arial" w:hAnsi="Arial" w:cs="Arial"/>
                <w:sz w:val="21"/>
                <w:szCs w:val="21"/>
                <w:highlight w:val="none"/>
              </w:rPr>
            </w:pPr>
          </w:p>
        </w:tc>
        <w:tc>
          <w:tcPr>
            <w:tcW w:w="1575" w:type="dxa"/>
            <w:tcBorders>
              <w:top w:val="single" w:color="auto" w:sz="4" w:space="0"/>
              <w:left w:val="nil"/>
              <w:bottom w:val="single" w:color="auto" w:sz="4" w:space="0"/>
              <w:right w:val="single" w:color="auto" w:sz="4" w:space="0"/>
            </w:tcBorders>
          </w:tcPr>
          <w:p w14:paraId="7801A73D">
            <w:pPr>
              <w:pStyle w:val="13"/>
              <w:widowControl/>
              <w:kinsoku w:val="0"/>
              <w:overflowPunct w:val="0"/>
              <w:spacing w:before="100" w:beforeAutospacing="1" w:after="100" w:afterAutospacing="1"/>
              <w:jc w:val="both"/>
              <w:textAlignment w:val="baseline"/>
              <w:rPr>
                <w:rFonts w:hint="default" w:ascii="Arial" w:hAnsi="Arial" w:cs="Arial"/>
                <w:sz w:val="21"/>
                <w:szCs w:val="21"/>
                <w:highlight w:val="none"/>
              </w:rPr>
            </w:pPr>
          </w:p>
        </w:tc>
        <w:tc>
          <w:tcPr>
            <w:tcW w:w="1799" w:type="dxa"/>
            <w:tcBorders>
              <w:top w:val="single" w:color="auto" w:sz="4" w:space="0"/>
              <w:left w:val="nil"/>
              <w:bottom w:val="single" w:color="auto" w:sz="4" w:space="0"/>
              <w:right w:val="single" w:color="auto" w:sz="4" w:space="0"/>
            </w:tcBorders>
            <w:vAlign w:val="center"/>
          </w:tcPr>
          <w:p w14:paraId="21B70D75">
            <w:pPr>
              <w:pStyle w:val="13"/>
              <w:adjustRightInd w:val="0"/>
              <w:snapToGrid w:val="0"/>
              <w:spacing w:line="300" w:lineRule="auto"/>
              <w:jc w:val="center"/>
              <w:rPr>
                <w:rFonts w:hint="default" w:ascii="宋体" w:hAnsi="宋体" w:eastAsia="宋体" w:cs="宋体"/>
                <w:kern w:val="2"/>
                <w:sz w:val="21"/>
                <w:szCs w:val="21"/>
                <w:highlight w:val="none"/>
              </w:rPr>
            </w:pPr>
          </w:p>
        </w:tc>
        <w:tc>
          <w:tcPr>
            <w:tcW w:w="1421" w:type="dxa"/>
            <w:tcBorders>
              <w:top w:val="single" w:color="auto" w:sz="4" w:space="0"/>
              <w:left w:val="nil"/>
              <w:bottom w:val="single" w:color="auto" w:sz="4" w:space="0"/>
              <w:right w:val="single" w:color="auto" w:sz="4" w:space="0"/>
            </w:tcBorders>
            <w:vAlign w:val="center"/>
          </w:tcPr>
          <w:p w14:paraId="72593DC9">
            <w:pPr>
              <w:pStyle w:val="13"/>
              <w:adjustRightInd w:val="0"/>
              <w:snapToGrid w:val="0"/>
              <w:spacing w:line="300" w:lineRule="auto"/>
              <w:jc w:val="center"/>
              <w:rPr>
                <w:rFonts w:hint="default" w:ascii="宋体" w:hAnsi="宋体" w:eastAsia="宋体" w:cs="宋体"/>
                <w:kern w:val="2"/>
                <w:sz w:val="21"/>
                <w:szCs w:val="21"/>
                <w:highlight w:val="none"/>
              </w:rPr>
            </w:pPr>
          </w:p>
        </w:tc>
        <w:tc>
          <w:tcPr>
            <w:tcW w:w="1420" w:type="dxa"/>
            <w:tcBorders>
              <w:top w:val="single" w:color="auto" w:sz="4" w:space="0"/>
              <w:left w:val="nil"/>
              <w:bottom w:val="single" w:color="auto" w:sz="4" w:space="0"/>
              <w:right w:val="single" w:color="auto" w:sz="4" w:space="0"/>
            </w:tcBorders>
            <w:vAlign w:val="center"/>
          </w:tcPr>
          <w:p w14:paraId="2E13F089">
            <w:pPr>
              <w:pStyle w:val="13"/>
              <w:adjustRightInd w:val="0"/>
              <w:snapToGrid w:val="0"/>
              <w:spacing w:line="300" w:lineRule="auto"/>
              <w:jc w:val="center"/>
              <w:rPr>
                <w:rFonts w:hint="default" w:ascii="宋体" w:hAnsi="宋体" w:eastAsia="宋体" w:cs="宋体"/>
                <w:kern w:val="2"/>
                <w:sz w:val="21"/>
                <w:szCs w:val="21"/>
                <w:highlight w:val="none"/>
              </w:rPr>
            </w:pPr>
          </w:p>
        </w:tc>
      </w:tr>
    </w:tbl>
    <w:p w14:paraId="00AC4DCF">
      <w:pPr>
        <w:spacing w:line="360" w:lineRule="auto"/>
        <w:ind w:firstLine="359" w:firstLineChars="171"/>
        <w:rPr>
          <w:rFonts w:ascii="仿宋" w:hAnsi="仿宋" w:eastAsia="仿宋" w:cs="仿宋"/>
          <w:szCs w:val="21"/>
          <w:highlight w:val="none"/>
          <w:lang w:bidi="ar"/>
        </w:rPr>
      </w:pPr>
      <w:r>
        <w:rPr>
          <w:rFonts w:hint="eastAsia" w:ascii="仿宋" w:hAnsi="仿宋" w:eastAsia="仿宋" w:cs="仿宋"/>
          <w:szCs w:val="21"/>
          <w:highlight w:val="none"/>
          <w:lang w:bidi="ar"/>
        </w:rPr>
        <w:t>注：投标人提供的类似业绩证明资料（如委托函、中标通知书、合同、获奖证书等）附于该表后面。业绩证明资料须提供：合同或相关证明资料必须能反映出评标所需内容，否则相应子项不予计分；时间以合同文件签订时间为准。</w:t>
      </w:r>
    </w:p>
    <w:p w14:paraId="61F90719">
      <w:pPr>
        <w:pStyle w:val="17"/>
        <w:ind w:firstLine="480"/>
        <w:rPr>
          <w:rFonts w:ascii="仿宋" w:hAnsi="仿宋" w:eastAsia="仿宋" w:cs="仿宋"/>
          <w:szCs w:val="21"/>
          <w:highlight w:val="none"/>
          <w:lang w:bidi="ar"/>
        </w:rPr>
      </w:pPr>
    </w:p>
    <w:p w14:paraId="564C2B39">
      <w:pPr>
        <w:rPr>
          <w:rFonts w:ascii="仿宋" w:hAnsi="仿宋" w:eastAsia="仿宋" w:cs="仿宋"/>
          <w:szCs w:val="21"/>
          <w:highlight w:val="none"/>
          <w:lang w:bidi="ar"/>
        </w:rPr>
      </w:pPr>
      <w:r>
        <w:rPr>
          <w:rFonts w:hint="eastAsia" w:ascii="仿宋" w:hAnsi="仿宋" w:eastAsia="仿宋" w:cs="仿宋"/>
          <w:szCs w:val="21"/>
          <w:highlight w:val="none"/>
          <w:lang w:bidi="ar"/>
        </w:rPr>
        <w:br w:type="page"/>
      </w:r>
    </w:p>
    <w:p w14:paraId="74AAB8FF">
      <w:pP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附件1.6 项目服务人员名单及综合能力经验文件</w:t>
      </w:r>
    </w:p>
    <w:tbl>
      <w:tblPr>
        <w:tblStyle w:val="18"/>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1250"/>
        <w:gridCol w:w="775"/>
        <w:gridCol w:w="1190"/>
        <w:gridCol w:w="980"/>
        <w:gridCol w:w="2720"/>
        <w:gridCol w:w="2275"/>
      </w:tblGrid>
      <w:tr w14:paraId="3F29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490" w:type="dxa"/>
            <w:vAlign w:val="center"/>
          </w:tcPr>
          <w:p w14:paraId="27A31565">
            <w:pPr>
              <w:rPr>
                <w:rFonts w:ascii="仿宋_GB2312" w:hAnsi="微软雅黑" w:eastAsia="仿宋_GB2312" w:cs="仿宋_GB2312"/>
                <w:sz w:val="24"/>
                <w:szCs w:val="24"/>
                <w:highlight w:val="none"/>
                <w:lang w:bidi="ar"/>
              </w:rPr>
            </w:pPr>
            <w:r>
              <w:rPr>
                <w:rFonts w:hint="eastAsia" w:ascii="仿宋_GB2312" w:hAnsi="微软雅黑" w:eastAsia="仿宋_GB2312" w:cs="仿宋_GB2312"/>
                <w:sz w:val="24"/>
                <w:szCs w:val="24"/>
                <w:highlight w:val="none"/>
                <w:lang w:bidi="ar"/>
              </w:rPr>
              <w:t>序号</w:t>
            </w:r>
          </w:p>
        </w:tc>
        <w:tc>
          <w:tcPr>
            <w:tcW w:w="1250" w:type="dxa"/>
            <w:vAlign w:val="center"/>
          </w:tcPr>
          <w:p w14:paraId="34AD1CF3">
            <w:pPr>
              <w:rPr>
                <w:rFonts w:ascii="仿宋_GB2312" w:hAnsi="微软雅黑" w:eastAsia="仿宋_GB2312" w:cs="仿宋_GB2312"/>
                <w:sz w:val="24"/>
                <w:szCs w:val="24"/>
                <w:highlight w:val="none"/>
                <w:lang w:bidi="ar"/>
              </w:rPr>
            </w:pPr>
            <w:r>
              <w:rPr>
                <w:rFonts w:hint="eastAsia" w:ascii="仿宋_GB2312" w:hAnsi="微软雅黑" w:eastAsia="仿宋_GB2312" w:cs="仿宋_GB2312"/>
                <w:sz w:val="24"/>
                <w:szCs w:val="24"/>
                <w:highlight w:val="none"/>
                <w:lang w:bidi="ar"/>
              </w:rPr>
              <w:t>姓名</w:t>
            </w:r>
          </w:p>
        </w:tc>
        <w:tc>
          <w:tcPr>
            <w:tcW w:w="775" w:type="dxa"/>
            <w:vAlign w:val="center"/>
          </w:tcPr>
          <w:p w14:paraId="0FE12528">
            <w:pPr>
              <w:rPr>
                <w:rFonts w:ascii="仿宋_GB2312" w:hAnsi="微软雅黑" w:eastAsia="仿宋_GB2312" w:cs="仿宋_GB2312"/>
                <w:sz w:val="24"/>
                <w:szCs w:val="24"/>
                <w:highlight w:val="none"/>
                <w:lang w:bidi="ar"/>
              </w:rPr>
            </w:pPr>
            <w:r>
              <w:rPr>
                <w:rFonts w:hint="eastAsia" w:ascii="仿宋_GB2312" w:hAnsi="微软雅黑" w:eastAsia="仿宋_GB2312" w:cs="仿宋_GB2312"/>
                <w:sz w:val="24"/>
                <w:szCs w:val="24"/>
                <w:highlight w:val="none"/>
                <w:lang w:bidi="ar"/>
              </w:rPr>
              <w:t>性别</w:t>
            </w:r>
          </w:p>
        </w:tc>
        <w:tc>
          <w:tcPr>
            <w:tcW w:w="1190" w:type="dxa"/>
            <w:vAlign w:val="center"/>
          </w:tcPr>
          <w:p w14:paraId="3A26AADD">
            <w:pPr>
              <w:rPr>
                <w:rFonts w:ascii="仿宋_GB2312" w:hAnsi="微软雅黑" w:eastAsia="仿宋_GB2312" w:cs="仿宋_GB2312"/>
                <w:sz w:val="24"/>
                <w:szCs w:val="24"/>
                <w:highlight w:val="none"/>
                <w:lang w:bidi="ar"/>
              </w:rPr>
            </w:pPr>
            <w:r>
              <w:rPr>
                <w:rFonts w:hint="eastAsia" w:ascii="仿宋_GB2312" w:hAnsi="微软雅黑" w:eastAsia="仿宋_GB2312" w:cs="仿宋_GB2312"/>
                <w:sz w:val="24"/>
                <w:szCs w:val="24"/>
                <w:highlight w:val="none"/>
                <w:lang w:val="en-US" w:eastAsia="zh-CN" w:bidi="ar"/>
              </w:rPr>
              <w:t>本行业</w:t>
            </w:r>
            <w:r>
              <w:rPr>
                <w:rFonts w:hint="eastAsia" w:ascii="仿宋_GB2312" w:hAnsi="微软雅黑" w:eastAsia="仿宋_GB2312" w:cs="仿宋_GB2312"/>
                <w:sz w:val="24"/>
                <w:szCs w:val="24"/>
                <w:highlight w:val="none"/>
                <w:lang w:bidi="ar"/>
              </w:rPr>
              <w:t>工作年限</w:t>
            </w:r>
          </w:p>
        </w:tc>
        <w:tc>
          <w:tcPr>
            <w:tcW w:w="980" w:type="dxa"/>
            <w:vAlign w:val="center"/>
          </w:tcPr>
          <w:p w14:paraId="4B9D2C45">
            <w:pPr>
              <w:rPr>
                <w:rFonts w:ascii="仿宋_GB2312" w:hAnsi="微软雅黑" w:eastAsia="仿宋_GB2312" w:cs="仿宋_GB2312"/>
                <w:sz w:val="24"/>
                <w:szCs w:val="24"/>
                <w:highlight w:val="none"/>
                <w:lang w:bidi="ar"/>
              </w:rPr>
            </w:pPr>
            <w:r>
              <w:rPr>
                <w:rFonts w:hint="eastAsia" w:ascii="仿宋_GB2312" w:hAnsi="微软雅黑" w:eastAsia="仿宋_GB2312" w:cs="仿宋_GB2312"/>
                <w:sz w:val="24"/>
                <w:szCs w:val="24"/>
                <w:highlight w:val="none"/>
                <w:lang w:bidi="ar"/>
              </w:rPr>
              <w:t>在本项目拟任工作</w:t>
            </w:r>
          </w:p>
        </w:tc>
        <w:tc>
          <w:tcPr>
            <w:tcW w:w="2720" w:type="dxa"/>
            <w:vAlign w:val="center"/>
          </w:tcPr>
          <w:p w14:paraId="0B5BB50E">
            <w:pPr>
              <w:rPr>
                <w:rFonts w:hint="eastAsia" w:ascii="仿宋_GB2312" w:hAnsi="微软雅黑" w:eastAsia="仿宋_GB2312" w:cs="仿宋_GB2312"/>
                <w:color w:val="auto"/>
                <w:sz w:val="24"/>
                <w:szCs w:val="24"/>
                <w:highlight w:val="none"/>
                <w:lang w:val="en-US" w:eastAsia="zh-CN" w:bidi="ar"/>
              </w:rPr>
            </w:pPr>
            <w:r>
              <w:rPr>
                <w:rFonts w:hint="eastAsia" w:ascii="仿宋_GB2312" w:hAnsi="微软雅黑" w:eastAsia="仿宋_GB2312" w:cs="仿宋_GB2312"/>
                <w:color w:val="auto"/>
                <w:sz w:val="24"/>
                <w:szCs w:val="24"/>
                <w:highlight w:val="none"/>
                <w:lang w:bidi="ar"/>
              </w:rPr>
              <w:t>曾参与项目名称</w:t>
            </w:r>
            <w:r>
              <w:rPr>
                <w:rFonts w:hint="eastAsia" w:ascii="仿宋_GB2312" w:hAnsi="微软雅黑" w:eastAsia="仿宋_GB2312" w:cs="仿宋_GB2312"/>
                <w:color w:val="auto"/>
                <w:sz w:val="24"/>
                <w:szCs w:val="24"/>
                <w:highlight w:val="none"/>
                <w:lang w:val="en-US" w:eastAsia="zh-CN" w:bidi="ar"/>
              </w:rPr>
              <w:t>及项目经验</w:t>
            </w:r>
          </w:p>
        </w:tc>
        <w:tc>
          <w:tcPr>
            <w:tcW w:w="2275" w:type="dxa"/>
            <w:vAlign w:val="center"/>
          </w:tcPr>
          <w:p w14:paraId="0D4CBBCF">
            <w:pPr>
              <w:rPr>
                <w:rFonts w:hint="default" w:ascii="仿宋_GB2312" w:hAnsi="微软雅黑" w:eastAsia="仿宋_GB2312" w:cs="仿宋_GB2312"/>
                <w:color w:val="auto"/>
                <w:sz w:val="24"/>
                <w:szCs w:val="24"/>
                <w:highlight w:val="none"/>
                <w:lang w:val="en-US" w:eastAsia="zh-CN" w:bidi="ar"/>
              </w:rPr>
            </w:pPr>
            <w:r>
              <w:rPr>
                <w:rFonts w:hint="eastAsia" w:ascii="仿宋_GB2312" w:hAnsi="微软雅黑" w:eastAsia="仿宋_GB2312" w:cs="仿宋_GB2312"/>
                <w:color w:val="auto"/>
                <w:sz w:val="24"/>
                <w:szCs w:val="24"/>
                <w:highlight w:val="none"/>
                <w:lang w:val="en-US" w:eastAsia="zh-CN" w:bidi="ar"/>
              </w:rPr>
              <w:t>毕业院校及专业</w:t>
            </w:r>
          </w:p>
        </w:tc>
      </w:tr>
      <w:tr w14:paraId="077F9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tcPr>
          <w:p w14:paraId="0D7512CC">
            <w:pPr>
              <w:rPr>
                <w:rFonts w:ascii="仿宋_GB2312" w:hAnsi="仿宋_GB2312" w:eastAsia="仿宋_GB2312" w:cs="仿宋_GB2312"/>
                <w:sz w:val="28"/>
                <w:szCs w:val="28"/>
                <w:highlight w:val="none"/>
              </w:rPr>
            </w:pPr>
          </w:p>
        </w:tc>
        <w:tc>
          <w:tcPr>
            <w:tcW w:w="1250" w:type="dxa"/>
          </w:tcPr>
          <w:p w14:paraId="7D54F799">
            <w:pPr>
              <w:rPr>
                <w:rFonts w:ascii="仿宋_GB2312" w:hAnsi="仿宋_GB2312" w:eastAsia="仿宋_GB2312" w:cs="仿宋_GB2312"/>
                <w:sz w:val="28"/>
                <w:szCs w:val="28"/>
                <w:highlight w:val="none"/>
              </w:rPr>
            </w:pPr>
          </w:p>
        </w:tc>
        <w:tc>
          <w:tcPr>
            <w:tcW w:w="775" w:type="dxa"/>
          </w:tcPr>
          <w:p w14:paraId="00598305">
            <w:pPr>
              <w:rPr>
                <w:rFonts w:ascii="仿宋_GB2312" w:hAnsi="仿宋_GB2312" w:eastAsia="仿宋_GB2312" w:cs="仿宋_GB2312"/>
                <w:sz w:val="28"/>
                <w:szCs w:val="28"/>
                <w:highlight w:val="none"/>
              </w:rPr>
            </w:pPr>
          </w:p>
        </w:tc>
        <w:tc>
          <w:tcPr>
            <w:tcW w:w="1190" w:type="dxa"/>
          </w:tcPr>
          <w:p w14:paraId="2A1ADB7C">
            <w:pPr>
              <w:rPr>
                <w:rFonts w:ascii="仿宋_GB2312" w:hAnsi="仿宋_GB2312" w:eastAsia="仿宋_GB2312" w:cs="仿宋_GB2312"/>
                <w:sz w:val="28"/>
                <w:szCs w:val="28"/>
                <w:highlight w:val="none"/>
              </w:rPr>
            </w:pPr>
          </w:p>
        </w:tc>
        <w:tc>
          <w:tcPr>
            <w:tcW w:w="980" w:type="dxa"/>
          </w:tcPr>
          <w:p w14:paraId="6F189BB9">
            <w:pPr>
              <w:rPr>
                <w:rFonts w:ascii="仿宋_GB2312" w:hAnsi="仿宋_GB2312" w:eastAsia="仿宋_GB2312" w:cs="仿宋_GB2312"/>
                <w:sz w:val="28"/>
                <w:szCs w:val="28"/>
                <w:highlight w:val="none"/>
              </w:rPr>
            </w:pPr>
          </w:p>
        </w:tc>
        <w:tc>
          <w:tcPr>
            <w:tcW w:w="2720" w:type="dxa"/>
          </w:tcPr>
          <w:p w14:paraId="4C814490">
            <w:pPr>
              <w:rPr>
                <w:rFonts w:ascii="仿宋_GB2312" w:hAnsi="仿宋_GB2312" w:eastAsia="仿宋_GB2312" w:cs="仿宋_GB2312"/>
                <w:sz w:val="28"/>
                <w:szCs w:val="28"/>
                <w:highlight w:val="none"/>
              </w:rPr>
            </w:pPr>
          </w:p>
        </w:tc>
        <w:tc>
          <w:tcPr>
            <w:tcW w:w="2275" w:type="dxa"/>
          </w:tcPr>
          <w:p w14:paraId="5DF7876D">
            <w:pPr>
              <w:rPr>
                <w:rFonts w:ascii="仿宋_GB2312" w:hAnsi="仿宋_GB2312" w:eastAsia="仿宋_GB2312" w:cs="仿宋_GB2312"/>
                <w:sz w:val="28"/>
                <w:szCs w:val="28"/>
                <w:highlight w:val="none"/>
              </w:rPr>
            </w:pPr>
          </w:p>
        </w:tc>
      </w:tr>
      <w:tr w14:paraId="460EA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tcPr>
          <w:p w14:paraId="75435BBF">
            <w:pPr>
              <w:rPr>
                <w:rFonts w:ascii="仿宋_GB2312" w:hAnsi="仿宋_GB2312" w:eastAsia="仿宋_GB2312" w:cs="仿宋_GB2312"/>
                <w:sz w:val="28"/>
                <w:szCs w:val="28"/>
                <w:highlight w:val="none"/>
              </w:rPr>
            </w:pPr>
          </w:p>
        </w:tc>
        <w:tc>
          <w:tcPr>
            <w:tcW w:w="1250" w:type="dxa"/>
          </w:tcPr>
          <w:p w14:paraId="1CDAB1AE">
            <w:pPr>
              <w:rPr>
                <w:rFonts w:ascii="仿宋_GB2312" w:hAnsi="仿宋_GB2312" w:eastAsia="仿宋_GB2312" w:cs="仿宋_GB2312"/>
                <w:sz w:val="28"/>
                <w:szCs w:val="28"/>
                <w:highlight w:val="none"/>
              </w:rPr>
            </w:pPr>
          </w:p>
        </w:tc>
        <w:tc>
          <w:tcPr>
            <w:tcW w:w="775" w:type="dxa"/>
          </w:tcPr>
          <w:p w14:paraId="2C329C16">
            <w:pPr>
              <w:rPr>
                <w:rFonts w:ascii="仿宋_GB2312" w:hAnsi="仿宋_GB2312" w:eastAsia="仿宋_GB2312" w:cs="仿宋_GB2312"/>
                <w:sz w:val="28"/>
                <w:szCs w:val="28"/>
                <w:highlight w:val="none"/>
              </w:rPr>
            </w:pPr>
          </w:p>
        </w:tc>
        <w:tc>
          <w:tcPr>
            <w:tcW w:w="1190" w:type="dxa"/>
          </w:tcPr>
          <w:p w14:paraId="2080DA93">
            <w:pPr>
              <w:rPr>
                <w:rFonts w:ascii="仿宋_GB2312" w:hAnsi="仿宋_GB2312" w:eastAsia="仿宋_GB2312" w:cs="仿宋_GB2312"/>
                <w:sz w:val="28"/>
                <w:szCs w:val="28"/>
                <w:highlight w:val="none"/>
              </w:rPr>
            </w:pPr>
          </w:p>
        </w:tc>
        <w:tc>
          <w:tcPr>
            <w:tcW w:w="980" w:type="dxa"/>
          </w:tcPr>
          <w:p w14:paraId="1D3A261F">
            <w:pPr>
              <w:rPr>
                <w:rFonts w:ascii="仿宋_GB2312" w:hAnsi="仿宋_GB2312" w:eastAsia="仿宋_GB2312" w:cs="仿宋_GB2312"/>
                <w:sz w:val="28"/>
                <w:szCs w:val="28"/>
                <w:highlight w:val="none"/>
              </w:rPr>
            </w:pPr>
          </w:p>
        </w:tc>
        <w:tc>
          <w:tcPr>
            <w:tcW w:w="2720" w:type="dxa"/>
          </w:tcPr>
          <w:p w14:paraId="5191D187">
            <w:pPr>
              <w:rPr>
                <w:rFonts w:ascii="仿宋_GB2312" w:hAnsi="仿宋_GB2312" w:eastAsia="仿宋_GB2312" w:cs="仿宋_GB2312"/>
                <w:sz w:val="28"/>
                <w:szCs w:val="28"/>
                <w:highlight w:val="none"/>
              </w:rPr>
            </w:pPr>
          </w:p>
        </w:tc>
        <w:tc>
          <w:tcPr>
            <w:tcW w:w="2275" w:type="dxa"/>
          </w:tcPr>
          <w:p w14:paraId="42DAE6D1">
            <w:pPr>
              <w:rPr>
                <w:rFonts w:ascii="仿宋_GB2312" w:hAnsi="仿宋_GB2312" w:eastAsia="仿宋_GB2312" w:cs="仿宋_GB2312"/>
                <w:sz w:val="28"/>
                <w:szCs w:val="28"/>
                <w:highlight w:val="none"/>
              </w:rPr>
            </w:pPr>
          </w:p>
        </w:tc>
      </w:tr>
      <w:tr w14:paraId="2476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tcPr>
          <w:p w14:paraId="5A4BB857">
            <w:pPr>
              <w:rPr>
                <w:rFonts w:ascii="仿宋_GB2312" w:hAnsi="仿宋_GB2312" w:eastAsia="仿宋_GB2312" w:cs="仿宋_GB2312"/>
                <w:sz w:val="28"/>
                <w:szCs w:val="28"/>
                <w:highlight w:val="none"/>
              </w:rPr>
            </w:pPr>
          </w:p>
        </w:tc>
        <w:tc>
          <w:tcPr>
            <w:tcW w:w="1250" w:type="dxa"/>
          </w:tcPr>
          <w:p w14:paraId="7382EE33">
            <w:pPr>
              <w:rPr>
                <w:rFonts w:ascii="仿宋_GB2312" w:hAnsi="仿宋_GB2312" w:eastAsia="仿宋_GB2312" w:cs="仿宋_GB2312"/>
                <w:sz w:val="28"/>
                <w:szCs w:val="28"/>
                <w:highlight w:val="none"/>
              </w:rPr>
            </w:pPr>
          </w:p>
        </w:tc>
        <w:tc>
          <w:tcPr>
            <w:tcW w:w="775" w:type="dxa"/>
          </w:tcPr>
          <w:p w14:paraId="0A1DAFDA">
            <w:pPr>
              <w:rPr>
                <w:rFonts w:ascii="仿宋_GB2312" w:hAnsi="仿宋_GB2312" w:eastAsia="仿宋_GB2312" w:cs="仿宋_GB2312"/>
                <w:sz w:val="28"/>
                <w:szCs w:val="28"/>
                <w:highlight w:val="none"/>
              </w:rPr>
            </w:pPr>
          </w:p>
        </w:tc>
        <w:tc>
          <w:tcPr>
            <w:tcW w:w="1190" w:type="dxa"/>
          </w:tcPr>
          <w:p w14:paraId="71E1363E">
            <w:pPr>
              <w:rPr>
                <w:rFonts w:ascii="仿宋_GB2312" w:hAnsi="仿宋_GB2312" w:eastAsia="仿宋_GB2312" w:cs="仿宋_GB2312"/>
                <w:sz w:val="28"/>
                <w:szCs w:val="28"/>
                <w:highlight w:val="none"/>
              </w:rPr>
            </w:pPr>
          </w:p>
        </w:tc>
        <w:tc>
          <w:tcPr>
            <w:tcW w:w="980" w:type="dxa"/>
          </w:tcPr>
          <w:p w14:paraId="7C4D55D9">
            <w:pPr>
              <w:rPr>
                <w:rFonts w:ascii="仿宋_GB2312" w:hAnsi="仿宋_GB2312" w:eastAsia="仿宋_GB2312" w:cs="仿宋_GB2312"/>
                <w:sz w:val="28"/>
                <w:szCs w:val="28"/>
                <w:highlight w:val="none"/>
              </w:rPr>
            </w:pPr>
          </w:p>
        </w:tc>
        <w:tc>
          <w:tcPr>
            <w:tcW w:w="2720" w:type="dxa"/>
          </w:tcPr>
          <w:p w14:paraId="3F46EB28">
            <w:pPr>
              <w:rPr>
                <w:rFonts w:ascii="仿宋_GB2312" w:hAnsi="仿宋_GB2312" w:eastAsia="仿宋_GB2312" w:cs="仿宋_GB2312"/>
                <w:sz w:val="28"/>
                <w:szCs w:val="28"/>
                <w:highlight w:val="none"/>
              </w:rPr>
            </w:pPr>
          </w:p>
        </w:tc>
        <w:tc>
          <w:tcPr>
            <w:tcW w:w="2275" w:type="dxa"/>
          </w:tcPr>
          <w:p w14:paraId="7E8E8D5B">
            <w:pPr>
              <w:rPr>
                <w:rFonts w:ascii="仿宋_GB2312" w:hAnsi="仿宋_GB2312" w:eastAsia="仿宋_GB2312" w:cs="仿宋_GB2312"/>
                <w:sz w:val="28"/>
                <w:szCs w:val="28"/>
                <w:highlight w:val="none"/>
              </w:rPr>
            </w:pPr>
          </w:p>
        </w:tc>
      </w:tr>
      <w:tr w14:paraId="498A7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tcPr>
          <w:p w14:paraId="45BA9186">
            <w:pPr>
              <w:rPr>
                <w:rFonts w:ascii="仿宋_GB2312" w:hAnsi="仿宋_GB2312" w:eastAsia="仿宋_GB2312" w:cs="仿宋_GB2312"/>
                <w:sz w:val="28"/>
                <w:szCs w:val="28"/>
                <w:highlight w:val="none"/>
              </w:rPr>
            </w:pPr>
          </w:p>
        </w:tc>
        <w:tc>
          <w:tcPr>
            <w:tcW w:w="1250" w:type="dxa"/>
          </w:tcPr>
          <w:p w14:paraId="7A2068F7">
            <w:pPr>
              <w:rPr>
                <w:rFonts w:ascii="仿宋_GB2312" w:hAnsi="仿宋_GB2312" w:eastAsia="仿宋_GB2312" w:cs="仿宋_GB2312"/>
                <w:sz w:val="28"/>
                <w:szCs w:val="28"/>
                <w:highlight w:val="none"/>
              </w:rPr>
            </w:pPr>
          </w:p>
        </w:tc>
        <w:tc>
          <w:tcPr>
            <w:tcW w:w="775" w:type="dxa"/>
          </w:tcPr>
          <w:p w14:paraId="7D55950B">
            <w:pPr>
              <w:rPr>
                <w:rFonts w:ascii="仿宋_GB2312" w:hAnsi="仿宋_GB2312" w:eastAsia="仿宋_GB2312" w:cs="仿宋_GB2312"/>
                <w:sz w:val="28"/>
                <w:szCs w:val="28"/>
                <w:highlight w:val="none"/>
              </w:rPr>
            </w:pPr>
          </w:p>
        </w:tc>
        <w:tc>
          <w:tcPr>
            <w:tcW w:w="1190" w:type="dxa"/>
          </w:tcPr>
          <w:p w14:paraId="41436E08">
            <w:pPr>
              <w:rPr>
                <w:rFonts w:ascii="仿宋_GB2312" w:hAnsi="仿宋_GB2312" w:eastAsia="仿宋_GB2312" w:cs="仿宋_GB2312"/>
                <w:sz w:val="28"/>
                <w:szCs w:val="28"/>
                <w:highlight w:val="none"/>
              </w:rPr>
            </w:pPr>
          </w:p>
        </w:tc>
        <w:tc>
          <w:tcPr>
            <w:tcW w:w="980" w:type="dxa"/>
          </w:tcPr>
          <w:p w14:paraId="261D47BB">
            <w:pPr>
              <w:rPr>
                <w:rFonts w:ascii="仿宋_GB2312" w:hAnsi="仿宋_GB2312" w:eastAsia="仿宋_GB2312" w:cs="仿宋_GB2312"/>
                <w:sz w:val="28"/>
                <w:szCs w:val="28"/>
                <w:highlight w:val="none"/>
              </w:rPr>
            </w:pPr>
          </w:p>
        </w:tc>
        <w:tc>
          <w:tcPr>
            <w:tcW w:w="2720" w:type="dxa"/>
          </w:tcPr>
          <w:p w14:paraId="33059948">
            <w:pPr>
              <w:rPr>
                <w:rFonts w:ascii="仿宋_GB2312" w:hAnsi="仿宋_GB2312" w:eastAsia="仿宋_GB2312" w:cs="仿宋_GB2312"/>
                <w:sz w:val="28"/>
                <w:szCs w:val="28"/>
                <w:highlight w:val="none"/>
              </w:rPr>
            </w:pPr>
          </w:p>
        </w:tc>
        <w:tc>
          <w:tcPr>
            <w:tcW w:w="2275" w:type="dxa"/>
          </w:tcPr>
          <w:p w14:paraId="4F7B91CC">
            <w:pPr>
              <w:rPr>
                <w:rFonts w:ascii="仿宋_GB2312" w:hAnsi="仿宋_GB2312" w:eastAsia="仿宋_GB2312" w:cs="仿宋_GB2312"/>
                <w:sz w:val="28"/>
                <w:szCs w:val="28"/>
                <w:highlight w:val="none"/>
              </w:rPr>
            </w:pPr>
          </w:p>
        </w:tc>
      </w:tr>
      <w:tr w14:paraId="66E8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tcPr>
          <w:p w14:paraId="4AC63CDD">
            <w:pPr>
              <w:rPr>
                <w:rFonts w:ascii="仿宋_GB2312" w:hAnsi="仿宋_GB2312" w:eastAsia="仿宋_GB2312" w:cs="仿宋_GB2312"/>
                <w:sz w:val="28"/>
                <w:szCs w:val="28"/>
                <w:highlight w:val="none"/>
              </w:rPr>
            </w:pPr>
          </w:p>
        </w:tc>
        <w:tc>
          <w:tcPr>
            <w:tcW w:w="1250" w:type="dxa"/>
          </w:tcPr>
          <w:p w14:paraId="31A4E3F4">
            <w:pPr>
              <w:rPr>
                <w:rFonts w:ascii="仿宋_GB2312" w:hAnsi="仿宋_GB2312" w:eastAsia="仿宋_GB2312" w:cs="仿宋_GB2312"/>
                <w:sz w:val="28"/>
                <w:szCs w:val="28"/>
                <w:highlight w:val="none"/>
              </w:rPr>
            </w:pPr>
          </w:p>
        </w:tc>
        <w:tc>
          <w:tcPr>
            <w:tcW w:w="775" w:type="dxa"/>
          </w:tcPr>
          <w:p w14:paraId="2B797358">
            <w:pPr>
              <w:rPr>
                <w:rFonts w:ascii="仿宋_GB2312" w:hAnsi="仿宋_GB2312" w:eastAsia="仿宋_GB2312" w:cs="仿宋_GB2312"/>
                <w:sz w:val="28"/>
                <w:szCs w:val="28"/>
                <w:highlight w:val="none"/>
              </w:rPr>
            </w:pPr>
          </w:p>
        </w:tc>
        <w:tc>
          <w:tcPr>
            <w:tcW w:w="1190" w:type="dxa"/>
          </w:tcPr>
          <w:p w14:paraId="4DA22027">
            <w:pPr>
              <w:rPr>
                <w:rFonts w:ascii="仿宋_GB2312" w:hAnsi="仿宋_GB2312" w:eastAsia="仿宋_GB2312" w:cs="仿宋_GB2312"/>
                <w:sz w:val="28"/>
                <w:szCs w:val="28"/>
                <w:highlight w:val="none"/>
              </w:rPr>
            </w:pPr>
          </w:p>
        </w:tc>
        <w:tc>
          <w:tcPr>
            <w:tcW w:w="980" w:type="dxa"/>
          </w:tcPr>
          <w:p w14:paraId="03328766">
            <w:pPr>
              <w:rPr>
                <w:rFonts w:ascii="仿宋_GB2312" w:hAnsi="仿宋_GB2312" w:eastAsia="仿宋_GB2312" w:cs="仿宋_GB2312"/>
                <w:sz w:val="28"/>
                <w:szCs w:val="28"/>
                <w:highlight w:val="none"/>
              </w:rPr>
            </w:pPr>
          </w:p>
        </w:tc>
        <w:tc>
          <w:tcPr>
            <w:tcW w:w="2720" w:type="dxa"/>
          </w:tcPr>
          <w:p w14:paraId="2D2CC4F3">
            <w:pPr>
              <w:rPr>
                <w:rFonts w:ascii="仿宋_GB2312" w:hAnsi="仿宋_GB2312" w:eastAsia="仿宋_GB2312" w:cs="仿宋_GB2312"/>
                <w:sz w:val="28"/>
                <w:szCs w:val="28"/>
                <w:highlight w:val="none"/>
              </w:rPr>
            </w:pPr>
          </w:p>
        </w:tc>
        <w:tc>
          <w:tcPr>
            <w:tcW w:w="2275" w:type="dxa"/>
          </w:tcPr>
          <w:p w14:paraId="76B3EB87">
            <w:pPr>
              <w:rPr>
                <w:rFonts w:ascii="仿宋_GB2312" w:hAnsi="仿宋_GB2312" w:eastAsia="仿宋_GB2312" w:cs="仿宋_GB2312"/>
                <w:sz w:val="28"/>
                <w:szCs w:val="28"/>
                <w:highlight w:val="none"/>
              </w:rPr>
            </w:pPr>
          </w:p>
        </w:tc>
      </w:tr>
      <w:tr w14:paraId="67B5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tcPr>
          <w:p w14:paraId="1DA327A9">
            <w:pPr>
              <w:rPr>
                <w:rFonts w:ascii="仿宋_GB2312" w:hAnsi="仿宋_GB2312" w:eastAsia="仿宋_GB2312" w:cs="仿宋_GB2312"/>
                <w:sz w:val="28"/>
                <w:szCs w:val="28"/>
                <w:highlight w:val="none"/>
              </w:rPr>
            </w:pPr>
          </w:p>
        </w:tc>
        <w:tc>
          <w:tcPr>
            <w:tcW w:w="1250" w:type="dxa"/>
          </w:tcPr>
          <w:p w14:paraId="02451228">
            <w:pPr>
              <w:rPr>
                <w:rFonts w:ascii="仿宋_GB2312" w:hAnsi="仿宋_GB2312" w:eastAsia="仿宋_GB2312" w:cs="仿宋_GB2312"/>
                <w:sz w:val="28"/>
                <w:szCs w:val="28"/>
                <w:highlight w:val="none"/>
              </w:rPr>
            </w:pPr>
          </w:p>
        </w:tc>
        <w:tc>
          <w:tcPr>
            <w:tcW w:w="775" w:type="dxa"/>
          </w:tcPr>
          <w:p w14:paraId="48B15226">
            <w:pPr>
              <w:rPr>
                <w:rFonts w:ascii="仿宋_GB2312" w:hAnsi="仿宋_GB2312" w:eastAsia="仿宋_GB2312" w:cs="仿宋_GB2312"/>
                <w:sz w:val="28"/>
                <w:szCs w:val="28"/>
                <w:highlight w:val="none"/>
              </w:rPr>
            </w:pPr>
          </w:p>
        </w:tc>
        <w:tc>
          <w:tcPr>
            <w:tcW w:w="1190" w:type="dxa"/>
          </w:tcPr>
          <w:p w14:paraId="1515DC3E">
            <w:pPr>
              <w:rPr>
                <w:rFonts w:ascii="仿宋_GB2312" w:hAnsi="仿宋_GB2312" w:eastAsia="仿宋_GB2312" w:cs="仿宋_GB2312"/>
                <w:sz w:val="28"/>
                <w:szCs w:val="28"/>
                <w:highlight w:val="none"/>
              </w:rPr>
            </w:pPr>
          </w:p>
        </w:tc>
        <w:tc>
          <w:tcPr>
            <w:tcW w:w="980" w:type="dxa"/>
          </w:tcPr>
          <w:p w14:paraId="30A4C062">
            <w:pPr>
              <w:rPr>
                <w:rFonts w:ascii="仿宋_GB2312" w:hAnsi="仿宋_GB2312" w:eastAsia="仿宋_GB2312" w:cs="仿宋_GB2312"/>
                <w:sz w:val="28"/>
                <w:szCs w:val="28"/>
                <w:highlight w:val="none"/>
              </w:rPr>
            </w:pPr>
          </w:p>
        </w:tc>
        <w:tc>
          <w:tcPr>
            <w:tcW w:w="2720" w:type="dxa"/>
          </w:tcPr>
          <w:p w14:paraId="3CEFF55A">
            <w:pPr>
              <w:rPr>
                <w:rFonts w:ascii="仿宋_GB2312" w:hAnsi="仿宋_GB2312" w:eastAsia="仿宋_GB2312" w:cs="仿宋_GB2312"/>
                <w:sz w:val="28"/>
                <w:szCs w:val="28"/>
                <w:highlight w:val="none"/>
              </w:rPr>
            </w:pPr>
          </w:p>
        </w:tc>
        <w:tc>
          <w:tcPr>
            <w:tcW w:w="2275" w:type="dxa"/>
          </w:tcPr>
          <w:p w14:paraId="4D41AEB3">
            <w:pPr>
              <w:rPr>
                <w:rFonts w:ascii="仿宋_GB2312" w:hAnsi="仿宋_GB2312" w:eastAsia="仿宋_GB2312" w:cs="仿宋_GB2312"/>
                <w:sz w:val="28"/>
                <w:szCs w:val="28"/>
                <w:highlight w:val="none"/>
              </w:rPr>
            </w:pPr>
          </w:p>
        </w:tc>
      </w:tr>
      <w:tr w14:paraId="349F4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tcPr>
          <w:p w14:paraId="4D88B912">
            <w:pPr>
              <w:rPr>
                <w:rFonts w:ascii="仿宋_GB2312" w:hAnsi="仿宋_GB2312" w:eastAsia="仿宋_GB2312" w:cs="仿宋_GB2312"/>
                <w:sz w:val="28"/>
                <w:szCs w:val="28"/>
                <w:highlight w:val="none"/>
              </w:rPr>
            </w:pPr>
          </w:p>
        </w:tc>
        <w:tc>
          <w:tcPr>
            <w:tcW w:w="1250" w:type="dxa"/>
          </w:tcPr>
          <w:p w14:paraId="098961E7">
            <w:pPr>
              <w:rPr>
                <w:rFonts w:ascii="仿宋_GB2312" w:hAnsi="仿宋_GB2312" w:eastAsia="仿宋_GB2312" w:cs="仿宋_GB2312"/>
                <w:sz w:val="28"/>
                <w:szCs w:val="28"/>
                <w:highlight w:val="none"/>
              </w:rPr>
            </w:pPr>
          </w:p>
        </w:tc>
        <w:tc>
          <w:tcPr>
            <w:tcW w:w="775" w:type="dxa"/>
          </w:tcPr>
          <w:p w14:paraId="6B0B18E1">
            <w:pPr>
              <w:rPr>
                <w:rFonts w:ascii="仿宋_GB2312" w:hAnsi="仿宋_GB2312" w:eastAsia="仿宋_GB2312" w:cs="仿宋_GB2312"/>
                <w:sz w:val="28"/>
                <w:szCs w:val="28"/>
                <w:highlight w:val="none"/>
              </w:rPr>
            </w:pPr>
          </w:p>
        </w:tc>
        <w:tc>
          <w:tcPr>
            <w:tcW w:w="1190" w:type="dxa"/>
          </w:tcPr>
          <w:p w14:paraId="5A2F5750">
            <w:pPr>
              <w:rPr>
                <w:rFonts w:ascii="仿宋_GB2312" w:hAnsi="仿宋_GB2312" w:eastAsia="仿宋_GB2312" w:cs="仿宋_GB2312"/>
                <w:sz w:val="28"/>
                <w:szCs w:val="28"/>
                <w:highlight w:val="none"/>
              </w:rPr>
            </w:pPr>
          </w:p>
        </w:tc>
        <w:tc>
          <w:tcPr>
            <w:tcW w:w="980" w:type="dxa"/>
          </w:tcPr>
          <w:p w14:paraId="0BFB845F">
            <w:pPr>
              <w:rPr>
                <w:rFonts w:ascii="仿宋_GB2312" w:hAnsi="仿宋_GB2312" w:eastAsia="仿宋_GB2312" w:cs="仿宋_GB2312"/>
                <w:sz w:val="28"/>
                <w:szCs w:val="28"/>
                <w:highlight w:val="none"/>
              </w:rPr>
            </w:pPr>
          </w:p>
        </w:tc>
        <w:tc>
          <w:tcPr>
            <w:tcW w:w="2720" w:type="dxa"/>
          </w:tcPr>
          <w:p w14:paraId="2CC39A87">
            <w:pPr>
              <w:rPr>
                <w:rFonts w:ascii="仿宋_GB2312" w:hAnsi="仿宋_GB2312" w:eastAsia="仿宋_GB2312" w:cs="仿宋_GB2312"/>
                <w:sz w:val="28"/>
                <w:szCs w:val="28"/>
                <w:highlight w:val="none"/>
              </w:rPr>
            </w:pPr>
          </w:p>
        </w:tc>
        <w:tc>
          <w:tcPr>
            <w:tcW w:w="2275" w:type="dxa"/>
          </w:tcPr>
          <w:p w14:paraId="7EC251E3">
            <w:pPr>
              <w:rPr>
                <w:rFonts w:ascii="仿宋_GB2312" w:hAnsi="仿宋_GB2312" w:eastAsia="仿宋_GB2312" w:cs="仿宋_GB2312"/>
                <w:sz w:val="28"/>
                <w:szCs w:val="28"/>
                <w:highlight w:val="none"/>
              </w:rPr>
            </w:pPr>
          </w:p>
        </w:tc>
      </w:tr>
      <w:tr w14:paraId="2B1FB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tcPr>
          <w:p w14:paraId="71031E0D">
            <w:pPr>
              <w:rPr>
                <w:rFonts w:ascii="仿宋_GB2312" w:hAnsi="仿宋_GB2312" w:eastAsia="仿宋_GB2312" w:cs="仿宋_GB2312"/>
                <w:sz w:val="28"/>
                <w:szCs w:val="28"/>
                <w:highlight w:val="none"/>
              </w:rPr>
            </w:pPr>
          </w:p>
        </w:tc>
        <w:tc>
          <w:tcPr>
            <w:tcW w:w="1250" w:type="dxa"/>
          </w:tcPr>
          <w:p w14:paraId="63F16A6B">
            <w:pPr>
              <w:rPr>
                <w:rFonts w:ascii="仿宋_GB2312" w:hAnsi="仿宋_GB2312" w:eastAsia="仿宋_GB2312" w:cs="仿宋_GB2312"/>
                <w:sz w:val="28"/>
                <w:szCs w:val="28"/>
                <w:highlight w:val="none"/>
              </w:rPr>
            </w:pPr>
          </w:p>
        </w:tc>
        <w:tc>
          <w:tcPr>
            <w:tcW w:w="775" w:type="dxa"/>
          </w:tcPr>
          <w:p w14:paraId="5B5B0C93">
            <w:pPr>
              <w:rPr>
                <w:rFonts w:ascii="仿宋_GB2312" w:hAnsi="仿宋_GB2312" w:eastAsia="仿宋_GB2312" w:cs="仿宋_GB2312"/>
                <w:sz w:val="28"/>
                <w:szCs w:val="28"/>
                <w:highlight w:val="none"/>
              </w:rPr>
            </w:pPr>
          </w:p>
        </w:tc>
        <w:tc>
          <w:tcPr>
            <w:tcW w:w="1190" w:type="dxa"/>
          </w:tcPr>
          <w:p w14:paraId="243C8B1B">
            <w:pPr>
              <w:rPr>
                <w:rFonts w:ascii="仿宋_GB2312" w:hAnsi="仿宋_GB2312" w:eastAsia="仿宋_GB2312" w:cs="仿宋_GB2312"/>
                <w:sz w:val="28"/>
                <w:szCs w:val="28"/>
                <w:highlight w:val="none"/>
              </w:rPr>
            </w:pPr>
          </w:p>
        </w:tc>
        <w:tc>
          <w:tcPr>
            <w:tcW w:w="980" w:type="dxa"/>
          </w:tcPr>
          <w:p w14:paraId="642CE4F8">
            <w:pPr>
              <w:rPr>
                <w:rFonts w:ascii="仿宋_GB2312" w:hAnsi="仿宋_GB2312" w:eastAsia="仿宋_GB2312" w:cs="仿宋_GB2312"/>
                <w:sz w:val="28"/>
                <w:szCs w:val="28"/>
                <w:highlight w:val="none"/>
              </w:rPr>
            </w:pPr>
          </w:p>
        </w:tc>
        <w:tc>
          <w:tcPr>
            <w:tcW w:w="2720" w:type="dxa"/>
          </w:tcPr>
          <w:p w14:paraId="23F70B27">
            <w:pPr>
              <w:rPr>
                <w:rFonts w:ascii="仿宋_GB2312" w:hAnsi="仿宋_GB2312" w:eastAsia="仿宋_GB2312" w:cs="仿宋_GB2312"/>
                <w:sz w:val="28"/>
                <w:szCs w:val="28"/>
                <w:highlight w:val="none"/>
              </w:rPr>
            </w:pPr>
          </w:p>
        </w:tc>
        <w:tc>
          <w:tcPr>
            <w:tcW w:w="2275" w:type="dxa"/>
          </w:tcPr>
          <w:p w14:paraId="27CA9B01">
            <w:pPr>
              <w:rPr>
                <w:rFonts w:ascii="仿宋_GB2312" w:hAnsi="仿宋_GB2312" w:eastAsia="仿宋_GB2312" w:cs="仿宋_GB2312"/>
                <w:sz w:val="28"/>
                <w:szCs w:val="28"/>
                <w:highlight w:val="none"/>
              </w:rPr>
            </w:pPr>
          </w:p>
        </w:tc>
      </w:tr>
      <w:tr w14:paraId="4C73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tcPr>
          <w:p w14:paraId="4D53B9B5">
            <w:pPr>
              <w:rPr>
                <w:rFonts w:ascii="仿宋_GB2312" w:hAnsi="仿宋_GB2312" w:eastAsia="仿宋_GB2312" w:cs="仿宋_GB2312"/>
                <w:sz w:val="28"/>
                <w:szCs w:val="28"/>
                <w:highlight w:val="none"/>
              </w:rPr>
            </w:pPr>
          </w:p>
        </w:tc>
        <w:tc>
          <w:tcPr>
            <w:tcW w:w="1250" w:type="dxa"/>
          </w:tcPr>
          <w:p w14:paraId="4F254200">
            <w:pPr>
              <w:rPr>
                <w:rFonts w:ascii="仿宋_GB2312" w:hAnsi="仿宋_GB2312" w:eastAsia="仿宋_GB2312" w:cs="仿宋_GB2312"/>
                <w:sz w:val="28"/>
                <w:szCs w:val="28"/>
                <w:highlight w:val="none"/>
              </w:rPr>
            </w:pPr>
          </w:p>
        </w:tc>
        <w:tc>
          <w:tcPr>
            <w:tcW w:w="775" w:type="dxa"/>
          </w:tcPr>
          <w:p w14:paraId="744D3925">
            <w:pPr>
              <w:rPr>
                <w:rFonts w:ascii="仿宋_GB2312" w:hAnsi="仿宋_GB2312" w:eastAsia="仿宋_GB2312" w:cs="仿宋_GB2312"/>
                <w:sz w:val="28"/>
                <w:szCs w:val="28"/>
                <w:highlight w:val="none"/>
              </w:rPr>
            </w:pPr>
          </w:p>
        </w:tc>
        <w:tc>
          <w:tcPr>
            <w:tcW w:w="1190" w:type="dxa"/>
          </w:tcPr>
          <w:p w14:paraId="735A2B2C">
            <w:pPr>
              <w:rPr>
                <w:rFonts w:ascii="仿宋_GB2312" w:hAnsi="仿宋_GB2312" w:eastAsia="仿宋_GB2312" w:cs="仿宋_GB2312"/>
                <w:sz w:val="28"/>
                <w:szCs w:val="28"/>
                <w:highlight w:val="none"/>
              </w:rPr>
            </w:pPr>
          </w:p>
        </w:tc>
        <w:tc>
          <w:tcPr>
            <w:tcW w:w="980" w:type="dxa"/>
          </w:tcPr>
          <w:p w14:paraId="6590A0C0">
            <w:pPr>
              <w:rPr>
                <w:rFonts w:ascii="仿宋_GB2312" w:hAnsi="仿宋_GB2312" w:eastAsia="仿宋_GB2312" w:cs="仿宋_GB2312"/>
                <w:sz w:val="28"/>
                <w:szCs w:val="28"/>
                <w:highlight w:val="none"/>
              </w:rPr>
            </w:pPr>
          </w:p>
        </w:tc>
        <w:tc>
          <w:tcPr>
            <w:tcW w:w="2720" w:type="dxa"/>
          </w:tcPr>
          <w:p w14:paraId="68FDCD08">
            <w:pPr>
              <w:rPr>
                <w:rFonts w:ascii="仿宋_GB2312" w:hAnsi="仿宋_GB2312" w:eastAsia="仿宋_GB2312" w:cs="仿宋_GB2312"/>
                <w:sz w:val="28"/>
                <w:szCs w:val="28"/>
                <w:highlight w:val="none"/>
              </w:rPr>
            </w:pPr>
          </w:p>
        </w:tc>
        <w:tc>
          <w:tcPr>
            <w:tcW w:w="2275" w:type="dxa"/>
          </w:tcPr>
          <w:p w14:paraId="341A7C7D">
            <w:pPr>
              <w:rPr>
                <w:rFonts w:ascii="仿宋_GB2312" w:hAnsi="仿宋_GB2312" w:eastAsia="仿宋_GB2312" w:cs="仿宋_GB2312"/>
                <w:sz w:val="28"/>
                <w:szCs w:val="28"/>
                <w:highlight w:val="none"/>
              </w:rPr>
            </w:pPr>
          </w:p>
        </w:tc>
      </w:tr>
      <w:tr w14:paraId="1B00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tcPr>
          <w:p w14:paraId="7793411C">
            <w:pPr>
              <w:rPr>
                <w:rFonts w:ascii="仿宋_GB2312" w:hAnsi="仿宋_GB2312" w:eastAsia="仿宋_GB2312" w:cs="仿宋_GB2312"/>
                <w:sz w:val="28"/>
                <w:szCs w:val="28"/>
                <w:highlight w:val="none"/>
              </w:rPr>
            </w:pPr>
          </w:p>
        </w:tc>
        <w:tc>
          <w:tcPr>
            <w:tcW w:w="1250" w:type="dxa"/>
          </w:tcPr>
          <w:p w14:paraId="38B673C7">
            <w:pPr>
              <w:rPr>
                <w:rFonts w:ascii="仿宋_GB2312" w:hAnsi="仿宋_GB2312" w:eastAsia="仿宋_GB2312" w:cs="仿宋_GB2312"/>
                <w:sz w:val="28"/>
                <w:szCs w:val="28"/>
                <w:highlight w:val="none"/>
              </w:rPr>
            </w:pPr>
          </w:p>
        </w:tc>
        <w:tc>
          <w:tcPr>
            <w:tcW w:w="775" w:type="dxa"/>
          </w:tcPr>
          <w:p w14:paraId="4CEE055E">
            <w:pPr>
              <w:rPr>
                <w:rFonts w:ascii="仿宋_GB2312" w:hAnsi="仿宋_GB2312" w:eastAsia="仿宋_GB2312" w:cs="仿宋_GB2312"/>
                <w:sz w:val="28"/>
                <w:szCs w:val="28"/>
                <w:highlight w:val="none"/>
              </w:rPr>
            </w:pPr>
          </w:p>
        </w:tc>
        <w:tc>
          <w:tcPr>
            <w:tcW w:w="1190" w:type="dxa"/>
          </w:tcPr>
          <w:p w14:paraId="33329D6B">
            <w:pPr>
              <w:rPr>
                <w:rFonts w:ascii="仿宋_GB2312" w:hAnsi="仿宋_GB2312" w:eastAsia="仿宋_GB2312" w:cs="仿宋_GB2312"/>
                <w:sz w:val="28"/>
                <w:szCs w:val="28"/>
                <w:highlight w:val="none"/>
              </w:rPr>
            </w:pPr>
          </w:p>
        </w:tc>
        <w:tc>
          <w:tcPr>
            <w:tcW w:w="980" w:type="dxa"/>
          </w:tcPr>
          <w:p w14:paraId="4AD12200">
            <w:pPr>
              <w:rPr>
                <w:rFonts w:ascii="仿宋_GB2312" w:hAnsi="仿宋_GB2312" w:eastAsia="仿宋_GB2312" w:cs="仿宋_GB2312"/>
                <w:sz w:val="28"/>
                <w:szCs w:val="28"/>
                <w:highlight w:val="none"/>
              </w:rPr>
            </w:pPr>
          </w:p>
        </w:tc>
        <w:tc>
          <w:tcPr>
            <w:tcW w:w="2720" w:type="dxa"/>
          </w:tcPr>
          <w:p w14:paraId="3C4967DD">
            <w:pPr>
              <w:rPr>
                <w:rFonts w:ascii="仿宋_GB2312" w:hAnsi="仿宋_GB2312" w:eastAsia="仿宋_GB2312" w:cs="仿宋_GB2312"/>
                <w:sz w:val="28"/>
                <w:szCs w:val="28"/>
                <w:highlight w:val="none"/>
              </w:rPr>
            </w:pPr>
          </w:p>
        </w:tc>
        <w:tc>
          <w:tcPr>
            <w:tcW w:w="2275" w:type="dxa"/>
          </w:tcPr>
          <w:p w14:paraId="6B2D36E7">
            <w:pPr>
              <w:rPr>
                <w:rFonts w:ascii="仿宋_GB2312" w:hAnsi="仿宋_GB2312" w:eastAsia="仿宋_GB2312" w:cs="仿宋_GB2312"/>
                <w:sz w:val="28"/>
                <w:szCs w:val="28"/>
                <w:highlight w:val="none"/>
              </w:rPr>
            </w:pPr>
          </w:p>
        </w:tc>
      </w:tr>
      <w:tr w14:paraId="7A48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tcPr>
          <w:p w14:paraId="0B4DF605">
            <w:pPr>
              <w:rPr>
                <w:rFonts w:ascii="仿宋_GB2312" w:hAnsi="仿宋_GB2312" w:eastAsia="仿宋_GB2312" w:cs="仿宋_GB2312"/>
                <w:sz w:val="28"/>
                <w:szCs w:val="28"/>
                <w:highlight w:val="none"/>
              </w:rPr>
            </w:pPr>
          </w:p>
        </w:tc>
        <w:tc>
          <w:tcPr>
            <w:tcW w:w="1250" w:type="dxa"/>
          </w:tcPr>
          <w:p w14:paraId="47AA5C1E">
            <w:pPr>
              <w:rPr>
                <w:rFonts w:ascii="仿宋_GB2312" w:hAnsi="仿宋_GB2312" w:eastAsia="仿宋_GB2312" w:cs="仿宋_GB2312"/>
                <w:sz w:val="28"/>
                <w:szCs w:val="28"/>
                <w:highlight w:val="none"/>
              </w:rPr>
            </w:pPr>
          </w:p>
        </w:tc>
        <w:tc>
          <w:tcPr>
            <w:tcW w:w="775" w:type="dxa"/>
          </w:tcPr>
          <w:p w14:paraId="74105CB6">
            <w:pPr>
              <w:rPr>
                <w:rFonts w:ascii="仿宋_GB2312" w:hAnsi="仿宋_GB2312" w:eastAsia="仿宋_GB2312" w:cs="仿宋_GB2312"/>
                <w:sz w:val="28"/>
                <w:szCs w:val="28"/>
                <w:highlight w:val="none"/>
              </w:rPr>
            </w:pPr>
          </w:p>
        </w:tc>
        <w:tc>
          <w:tcPr>
            <w:tcW w:w="1190" w:type="dxa"/>
          </w:tcPr>
          <w:p w14:paraId="5CACF14F">
            <w:pPr>
              <w:rPr>
                <w:rFonts w:ascii="仿宋_GB2312" w:hAnsi="仿宋_GB2312" w:eastAsia="仿宋_GB2312" w:cs="仿宋_GB2312"/>
                <w:sz w:val="28"/>
                <w:szCs w:val="28"/>
                <w:highlight w:val="none"/>
              </w:rPr>
            </w:pPr>
          </w:p>
        </w:tc>
        <w:tc>
          <w:tcPr>
            <w:tcW w:w="980" w:type="dxa"/>
          </w:tcPr>
          <w:p w14:paraId="6DE30093">
            <w:pPr>
              <w:rPr>
                <w:rFonts w:ascii="仿宋_GB2312" w:hAnsi="仿宋_GB2312" w:eastAsia="仿宋_GB2312" w:cs="仿宋_GB2312"/>
                <w:sz w:val="28"/>
                <w:szCs w:val="28"/>
                <w:highlight w:val="none"/>
              </w:rPr>
            </w:pPr>
          </w:p>
        </w:tc>
        <w:tc>
          <w:tcPr>
            <w:tcW w:w="2720" w:type="dxa"/>
          </w:tcPr>
          <w:p w14:paraId="5A9CE8EE">
            <w:pPr>
              <w:rPr>
                <w:rFonts w:ascii="仿宋_GB2312" w:hAnsi="仿宋_GB2312" w:eastAsia="仿宋_GB2312" w:cs="仿宋_GB2312"/>
                <w:sz w:val="28"/>
                <w:szCs w:val="28"/>
                <w:highlight w:val="none"/>
              </w:rPr>
            </w:pPr>
          </w:p>
        </w:tc>
        <w:tc>
          <w:tcPr>
            <w:tcW w:w="2275" w:type="dxa"/>
          </w:tcPr>
          <w:p w14:paraId="51E4FB9D">
            <w:pPr>
              <w:rPr>
                <w:rFonts w:ascii="仿宋_GB2312" w:hAnsi="仿宋_GB2312" w:eastAsia="仿宋_GB2312" w:cs="仿宋_GB2312"/>
                <w:sz w:val="28"/>
                <w:szCs w:val="28"/>
                <w:highlight w:val="none"/>
              </w:rPr>
            </w:pPr>
          </w:p>
        </w:tc>
      </w:tr>
      <w:tr w14:paraId="7493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tcPr>
          <w:p w14:paraId="4D31A86A">
            <w:pPr>
              <w:rPr>
                <w:rFonts w:ascii="仿宋_GB2312" w:hAnsi="仿宋_GB2312" w:eastAsia="仿宋_GB2312" w:cs="仿宋_GB2312"/>
                <w:sz w:val="28"/>
                <w:szCs w:val="28"/>
                <w:highlight w:val="none"/>
              </w:rPr>
            </w:pPr>
          </w:p>
        </w:tc>
        <w:tc>
          <w:tcPr>
            <w:tcW w:w="1250" w:type="dxa"/>
          </w:tcPr>
          <w:p w14:paraId="763F528F">
            <w:pPr>
              <w:rPr>
                <w:rFonts w:ascii="仿宋_GB2312" w:hAnsi="仿宋_GB2312" w:eastAsia="仿宋_GB2312" w:cs="仿宋_GB2312"/>
                <w:sz w:val="28"/>
                <w:szCs w:val="28"/>
                <w:highlight w:val="none"/>
              </w:rPr>
            </w:pPr>
          </w:p>
        </w:tc>
        <w:tc>
          <w:tcPr>
            <w:tcW w:w="775" w:type="dxa"/>
          </w:tcPr>
          <w:p w14:paraId="3B0A8AFA">
            <w:pPr>
              <w:rPr>
                <w:rFonts w:ascii="仿宋_GB2312" w:hAnsi="仿宋_GB2312" w:eastAsia="仿宋_GB2312" w:cs="仿宋_GB2312"/>
                <w:sz w:val="28"/>
                <w:szCs w:val="28"/>
                <w:highlight w:val="none"/>
              </w:rPr>
            </w:pPr>
          </w:p>
        </w:tc>
        <w:tc>
          <w:tcPr>
            <w:tcW w:w="1190" w:type="dxa"/>
          </w:tcPr>
          <w:p w14:paraId="4BC08D2C">
            <w:pPr>
              <w:rPr>
                <w:rFonts w:ascii="仿宋_GB2312" w:hAnsi="仿宋_GB2312" w:eastAsia="仿宋_GB2312" w:cs="仿宋_GB2312"/>
                <w:sz w:val="28"/>
                <w:szCs w:val="28"/>
                <w:highlight w:val="none"/>
              </w:rPr>
            </w:pPr>
          </w:p>
        </w:tc>
        <w:tc>
          <w:tcPr>
            <w:tcW w:w="980" w:type="dxa"/>
          </w:tcPr>
          <w:p w14:paraId="30D5C1B4">
            <w:pPr>
              <w:rPr>
                <w:rFonts w:ascii="仿宋_GB2312" w:hAnsi="仿宋_GB2312" w:eastAsia="仿宋_GB2312" w:cs="仿宋_GB2312"/>
                <w:sz w:val="28"/>
                <w:szCs w:val="28"/>
                <w:highlight w:val="none"/>
              </w:rPr>
            </w:pPr>
          </w:p>
        </w:tc>
        <w:tc>
          <w:tcPr>
            <w:tcW w:w="2720" w:type="dxa"/>
          </w:tcPr>
          <w:p w14:paraId="35CAD680">
            <w:pPr>
              <w:rPr>
                <w:rFonts w:ascii="仿宋_GB2312" w:hAnsi="仿宋_GB2312" w:eastAsia="仿宋_GB2312" w:cs="仿宋_GB2312"/>
                <w:sz w:val="28"/>
                <w:szCs w:val="28"/>
                <w:highlight w:val="none"/>
              </w:rPr>
            </w:pPr>
          </w:p>
        </w:tc>
        <w:tc>
          <w:tcPr>
            <w:tcW w:w="2275" w:type="dxa"/>
          </w:tcPr>
          <w:p w14:paraId="6A120CC9">
            <w:pPr>
              <w:rPr>
                <w:rFonts w:ascii="仿宋_GB2312" w:hAnsi="仿宋_GB2312" w:eastAsia="仿宋_GB2312" w:cs="仿宋_GB2312"/>
                <w:sz w:val="28"/>
                <w:szCs w:val="28"/>
                <w:highlight w:val="none"/>
              </w:rPr>
            </w:pPr>
          </w:p>
        </w:tc>
      </w:tr>
      <w:tr w14:paraId="7B64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tcPr>
          <w:p w14:paraId="713EDA2E">
            <w:pPr>
              <w:rPr>
                <w:rFonts w:ascii="仿宋_GB2312" w:hAnsi="仿宋_GB2312" w:eastAsia="仿宋_GB2312" w:cs="仿宋_GB2312"/>
                <w:sz w:val="28"/>
                <w:szCs w:val="28"/>
                <w:highlight w:val="none"/>
              </w:rPr>
            </w:pPr>
          </w:p>
        </w:tc>
        <w:tc>
          <w:tcPr>
            <w:tcW w:w="1250" w:type="dxa"/>
          </w:tcPr>
          <w:p w14:paraId="004C9C08">
            <w:pPr>
              <w:rPr>
                <w:rFonts w:ascii="仿宋_GB2312" w:hAnsi="仿宋_GB2312" w:eastAsia="仿宋_GB2312" w:cs="仿宋_GB2312"/>
                <w:sz w:val="28"/>
                <w:szCs w:val="28"/>
                <w:highlight w:val="none"/>
              </w:rPr>
            </w:pPr>
          </w:p>
        </w:tc>
        <w:tc>
          <w:tcPr>
            <w:tcW w:w="775" w:type="dxa"/>
          </w:tcPr>
          <w:p w14:paraId="6727E7F0">
            <w:pPr>
              <w:rPr>
                <w:rFonts w:ascii="仿宋_GB2312" w:hAnsi="仿宋_GB2312" w:eastAsia="仿宋_GB2312" w:cs="仿宋_GB2312"/>
                <w:sz w:val="28"/>
                <w:szCs w:val="28"/>
                <w:highlight w:val="none"/>
              </w:rPr>
            </w:pPr>
          </w:p>
        </w:tc>
        <w:tc>
          <w:tcPr>
            <w:tcW w:w="1190" w:type="dxa"/>
          </w:tcPr>
          <w:p w14:paraId="73065361">
            <w:pPr>
              <w:rPr>
                <w:rFonts w:ascii="仿宋_GB2312" w:hAnsi="仿宋_GB2312" w:eastAsia="仿宋_GB2312" w:cs="仿宋_GB2312"/>
                <w:sz w:val="28"/>
                <w:szCs w:val="28"/>
                <w:highlight w:val="none"/>
              </w:rPr>
            </w:pPr>
          </w:p>
        </w:tc>
        <w:tc>
          <w:tcPr>
            <w:tcW w:w="980" w:type="dxa"/>
          </w:tcPr>
          <w:p w14:paraId="6FFDD703">
            <w:pPr>
              <w:rPr>
                <w:rFonts w:ascii="仿宋_GB2312" w:hAnsi="仿宋_GB2312" w:eastAsia="仿宋_GB2312" w:cs="仿宋_GB2312"/>
                <w:sz w:val="28"/>
                <w:szCs w:val="28"/>
                <w:highlight w:val="none"/>
              </w:rPr>
            </w:pPr>
          </w:p>
        </w:tc>
        <w:tc>
          <w:tcPr>
            <w:tcW w:w="2720" w:type="dxa"/>
          </w:tcPr>
          <w:p w14:paraId="0B6577E9">
            <w:pPr>
              <w:rPr>
                <w:rFonts w:ascii="仿宋_GB2312" w:hAnsi="仿宋_GB2312" w:eastAsia="仿宋_GB2312" w:cs="仿宋_GB2312"/>
                <w:sz w:val="28"/>
                <w:szCs w:val="28"/>
                <w:highlight w:val="none"/>
              </w:rPr>
            </w:pPr>
          </w:p>
        </w:tc>
        <w:tc>
          <w:tcPr>
            <w:tcW w:w="2275" w:type="dxa"/>
          </w:tcPr>
          <w:p w14:paraId="744A3C46">
            <w:pPr>
              <w:rPr>
                <w:rFonts w:ascii="仿宋_GB2312" w:hAnsi="仿宋_GB2312" w:eastAsia="仿宋_GB2312" w:cs="仿宋_GB2312"/>
                <w:sz w:val="28"/>
                <w:szCs w:val="28"/>
                <w:highlight w:val="none"/>
              </w:rPr>
            </w:pPr>
          </w:p>
        </w:tc>
      </w:tr>
    </w:tbl>
    <w:p w14:paraId="4D75174D">
      <w:pPr>
        <w:spacing w:line="360" w:lineRule="auto"/>
        <w:ind w:firstLine="359" w:firstLineChars="171"/>
        <w:rPr>
          <w:rFonts w:ascii="仿宋" w:hAnsi="仿宋" w:eastAsia="仿宋" w:cs="仿宋"/>
          <w:szCs w:val="21"/>
          <w:highlight w:val="none"/>
          <w:lang w:bidi="ar"/>
        </w:rPr>
      </w:pPr>
      <w:r>
        <w:rPr>
          <w:rFonts w:hint="eastAsia" w:ascii="仿宋" w:hAnsi="仿宋" w:eastAsia="仿宋" w:cs="仿宋"/>
          <w:szCs w:val="21"/>
          <w:highlight w:val="none"/>
          <w:lang w:bidi="ar"/>
        </w:rPr>
        <w:t>公司声明：表中所提供的资料是真实、准确的。</w:t>
      </w:r>
    </w:p>
    <w:p w14:paraId="62BF1BC8">
      <w:pPr>
        <w:jc w:val="right"/>
        <w:rPr>
          <w:highlight w:val="none"/>
        </w:rPr>
      </w:pPr>
      <w:r>
        <w:rPr>
          <w:rFonts w:hint="eastAsia"/>
          <w:highlight w:val="none"/>
        </w:rPr>
        <w:t xml:space="preserve">   </w:t>
      </w:r>
    </w:p>
    <w:p w14:paraId="75717924">
      <w:pPr>
        <w:rPr>
          <w:highlight w:val="none"/>
        </w:rPr>
        <w:sectPr>
          <w:pgSz w:w="12242" w:h="15842"/>
          <w:pgMar w:top="1440" w:right="1800" w:bottom="1440" w:left="1800" w:header="851" w:footer="992" w:gutter="0"/>
          <w:pgNumType w:fmt="decimal"/>
          <w:cols w:space="720" w:num="1"/>
          <w:docGrid w:type="lines" w:linePitch="312" w:charSpace="0"/>
        </w:sectPr>
      </w:pPr>
    </w:p>
    <w:p w14:paraId="28D03509">
      <w:pPr>
        <w:jc w:val="left"/>
        <w:rPr>
          <w:rFonts w:ascii="方正小标宋简体" w:hAnsi="方正小标宋简体" w:eastAsia="方正小标宋简体" w:cs="方正小标宋简体"/>
          <w:sz w:val="36"/>
          <w:szCs w:val="36"/>
          <w:highlight w:val="none"/>
        </w:rPr>
      </w:pPr>
      <w:r>
        <w:rPr>
          <w:rFonts w:hint="eastAsia" w:ascii="仿宋_GB2312" w:hAnsi="仿宋_GB2312" w:eastAsia="仿宋_GB2312" w:cs="仿宋_GB2312"/>
          <w:sz w:val="28"/>
          <w:szCs w:val="28"/>
          <w:highlight w:val="none"/>
        </w:rPr>
        <w:t>附件1.</w:t>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 xml:space="preserve"> 承诺函（格式）</w:t>
      </w:r>
    </w:p>
    <w:p w14:paraId="4AF10C4F">
      <w:pPr>
        <w:jc w:val="center"/>
        <w:rPr>
          <w:rFonts w:ascii="方正小标宋简体" w:hAnsi="方正小标宋简体" w:eastAsia="方正小标宋简体" w:cs="方正小标宋简体"/>
          <w:sz w:val="44"/>
          <w:szCs w:val="44"/>
          <w:highlight w:val="none"/>
        </w:rPr>
      </w:pPr>
      <w:bookmarkStart w:id="2" w:name="承诺函"/>
      <w:r>
        <w:rPr>
          <w:rFonts w:hint="eastAsia" w:ascii="方正小标宋简体" w:hAnsi="方正小标宋简体" w:eastAsia="方正小标宋简体" w:cs="方正小标宋简体"/>
          <w:sz w:val="44"/>
          <w:szCs w:val="44"/>
          <w:highlight w:val="none"/>
        </w:rPr>
        <w:t>承诺函</w:t>
      </w:r>
    </w:p>
    <w:bookmarkEnd w:id="2"/>
    <w:p w14:paraId="0D389254">
      <w:pPr>
        <w:spacing w:line="360" w:lineRule="auto"/>
        <w:ind w:firstLine="480" w:firstLineChars="200"/>
        <w:rPr>
          <w:rFonts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致：</w:t>
      </w:r>
      <w:r>
        <w:rPr>
          <w:rFonts w:hint="eastAsia" w:ascii="仿宋_GB2312" w:hAnsi="仿宋_GB2312" w:eastAsia="仿宋_GB2312" w:cs="仿宋_GB2312"/>
          <w:sz w:val="24"/>
          <w:szCs w:val="24"/>
          <w:highlight w:val="none"/>
          <w:u w:val="single"/>
        </w:rPr>
        <w:t xml:space="preserve">                  </w:t>
      </w:r>
    </w:p>
    <w:p w14:paraId="2321B207">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我司近三年内（202</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日至202</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30</w:t>
      </w:r>
      <w:r>
        <w:rPr>
          <w:rFonts w:hint="eastAsia" w:ascii="仿宋_GB2312" w:hAnsi="仿宋_GB2312" w:eastAsia="仿宋_GB2312" w:cs="仿宋_GB2312"/>
          <w:sz w:val="24"/>
          <w:szCs w:val="24"/>
          <w:highlight w:val="none"/>
        </w:rPr>
        <w:t>日）</w:t>
      </w:r>
      <w:r>
        <w:rPr>
          <w:rFonts w:hint="eastAsia" w:ascii="仿宋_GB2312" w:hAnsi="仿宋_GB2312" w:eastAsia="仿宋_GB2312" w:cs="仿宋_GB2312"/>
          <w:sz w:val="24"/>
          <w:szCs w:val="24"/>
          <w:highlight w:val="none"/>
          <w:lang w:val="en-US" w:eastAsia="zh-CN"/>
        </w:rPr>
        <w:t>财务状况良好，</w:t>
      </w:r>
      <w:r>
        <w:rPr>
          <w:rFonts w:hint="eastAsia" w:ascii="仿宋_GB2312" w:hAnsi="仿宋_GB2312" w:eastAsia="仿宋_GB2312" w:cs="仿宋_GB2312"/>
          <w:sz w:val="24"/>
          <w:szCs w:val="24"/>
          <w:highlight w:val="none"/>
        </w:rPr>
        <w:t>没有重大违法记录，</w:t>
      </w:r>
      <w:r>
        <w:rPr>
          <w:rFonts w:hint="eastAsia" w:ascii="仿宋_GB2312" w:hAnsi="仿宋_GB2312" w:eastAsia="仿宋_GB2312" w:cs="仿宋_GB2312"/>
          <w:sz w:val="24"/>
          <w:szCs w:val="24"/>
          <w:highlight w:val="none"/>
          <w:lang w:val="en-US" w:eastAsia="zh-CN"/>
        </w:rPr>
        <w:t>不存在骗取中标、严重违约等情况，</w:t>
      </w:r>
      <w:r>
        <w:rPr>
          <w:rFonts w:hint="eastAsia" w:ascii="仿宋_GB2312" w:hAnsi="仿宋_GB2312" w:eastAsia="仿宋_GB2312" w:cs="仿宋_GB2312"/>
          <w:sz w:val="24"/>
          <w:szCs w:val="24"/>
          <w:highlight w:val="none"/>
        </w:rPr>
        <w:t>有依法缴纳税收和社会保障资金的良好记录，</w:t>
      </w:r>
      <w:r>
        <w:rPr>
          <w:rFonts w:hint="eastAsia" w:ascii="仿宋_GB2312" w:hAnsi="仿宋_GB2312" w:eastAsia="仿宋_GB2312" w:cs="仿宋_GB2312"/>
          <w:sz w:val="24"/>
          <w:szCs w:val="24"/>
          <w:highlight w:val="none"/>
          <w:lang w:val="en-US" w:eastAsia="zh-CN"/>
        </w:rPr>
        <w:t>不采取不正当手段谋取成交，决不与其他供应商恶意串通，决不向贵方工作人员进行商业贿赂，决不拒绝有关部门监督检查、决不提供虚假文件及材料，不以他人名义进行投标，不与其他投标人存在影响招标公平性、公正性的关联关系，不损害贵方合法利益和社会公共利益，且</w:t>
      </w:r>
      <w:r>
        <w:rPr>
          <w:rFonts w:hint="eastAsia" w:ascii="仿宋_GB2312" w:hAnsi="仿宋_GB2312" w:eastAsia="仿宋_GB2312" w:cs="仿宋_GB2312"/>
          <w:sz w:val="24"/>
          <w:szCs w:val="24"/>
          <w:highlight w:val="none"/>
        </w:rPr>
        <w:t>服务团队成员为投标人员工并未受过行业处罚或涉及行业相关的法律诉讼事项。</w:t>
      </w:r>
      <w:r>
        <w:rPr>
          <w:rFonts w:hint="eastAsia" w:ascii="仿宋_GB2312" w:hAnsi="仿宋_GB2312" w:eastAsia="仿宋_GB2312" w:cs="仿宋_GB2312"/>
          <w:sz w:val="24"/>
          <w:szCs w:val="24"/>
          <w:highlight w:val="none"/>
          <w:lang w:val="en-US" w:eastAsia="zh-CN"/>
        </w:rPr>
        <w:t>如有违反，无条件接受贵方的责任追究及相关管理部门的处罚。</w:t>
      </w:r>
      <w:r>
        <w:rPr>
          <w:rFonts w:hint="eastAsia" w:ascii="仿宋_GB2312" w:hAnsi="仿宋_GB2312" w:eastAsia="仿宋_GB2312" w:cs="仿宋_GB2312"/>
          <w:sz w:val="24"/>
          <w:szCs w:val="24"/>
          <w:highlight w:val="none"/>
        </w:rPr>
        <w:t>特此承诺。</w:t>
      </w:r>
    </w:p>
    <w:p w14:paraId="61B7AD8B">
      <w:pPr>
        <w:spacing w:line="360" w:lineRule="auto"/>
        <w:ind w:firstLine="480" w:firstLineChars="200"/>
        <w:jc w:val="center"/>
        <w:rPr>
          <w:rFonts w:ascii="仿宋_GB2312" w:hAnsi="仿宋_GB2312" w:eastAsia="仿宋_GB2312" w:cs="仿宋_GB2312"/>
          <w:sz w:val="24"/>
          <w:szCs w:val="24"/>
          <w:highlight w:val="none"/>
        </w:rPr>
      </w:pPr>
    </w:p>
    <w:p w14:paraId="6F4267CF">
      <w:pPr>
        <w:spacing w:line="360" w:lineRule="auto"/>
        <w:ind w:firstLine="480" w:firstLineChars="200"/>
        <w:jc w:val="center"/>
        <w:rPr>
          <w:rFonts w:ascii="仿宋_GB2312" w:hAnsi="仿宋_GB2312" w:eastAsia="仿宋_GB2312" w:cs="仿宋_GB2312"/>
          <w:sz w:val="24"/>
          <w:szCs w:val="24"/>
          <w:highlight w:val="none"/>
        </w:rPr>
      </w:pPr>
    </w:p>
    <w:p w14:paraId="37247AEF">
      <w:pPr>
        <w:spacing w:line="360" w:lineRule="auto"/>
        <w:ind w:firstLine="480" w:firstLineChars="200"/>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承诺单位：</w:t>
      </w:r>
    </w:p>
    <w:p w14:paraId="5DB83101">
      <w:pPr>
        <w:spacing w:line="360" w:lineRule="auto"/>
        <w:ind w:firstLine="4080" w:firstLineChars="17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4"/>
          <w:szCs w:val="24"/>
          <w:highlight w:val="none"/>
        </w:rPr>
        <w:t>日期：</w:t>
      </w:r>
      <w:r>
        <w:rPr>
          <w:rFonts w:hint="eastAsia"/>
          <w:highlight w:val="none"/>
        </w:rPr>
        <w:br w:type="page"/>
      </w:r>
      <w:r>
        <w:rPr>
          <w:rFonts w:hint="eastAsia" w:ascii="仿宋_GB2312" w:hAnsi="仿宋_GB2312" w:eastAsia="仿宋_GB2312" w:cs="仿宋_GB2312"/>
          <w:sz w:val="28"/>
          <w:szCs w:val="28"/>
          <w:highlight w:val="none"/>
        </w:rPr>
        <w:t>附件2.资格符合性审查表</w:t>
      </w:r>
    </w:p>
    <w:p w14:paraId="5B0B4C10">
      <w:pPr>
        <w:pStyle w:val="16"/>
        <w:spacing w:after="0" w:line="360" w:lineRule="auto"/>
        <w:ind w:firstLine="360"/>
        <w:jc w:val="center"/>
        <w:rPr>
          <w:rFonts w:ascii="黑体" w:eastAsia="黑体"/>
          <w:sz w:val="36"/>
          <w:szCs w:val="36"/>
          <w:highlight w:val="none"/>
        </w:rPr>
      </w:pPr>
      <w:r>
        <w:rPr>
          <w:rFonts w:hint="eastAsia" w:ascii="方正小标宋简体" w:hAnsi="方正小标宋简体" w:eastAsia="方正小标宋简体" w:cs="方正小标宋简体"/>
          <w:sz w:val="36"/>
          <w:szCs w:val="36"/>
          <w:highlight w:val="none"/>
        </w:rPr>
        <w:t>《资格符合性审查表》</w:t>
      </w:r>
    </w:p>
    <w:p w14:paraId="66794B63">
      <w:pPr>
        <w:rPr>
          <w:rFonts w:ascii="仿宋_GB2312" w:hAnsi="仿宋_GB2312" w:eastAsia="仿宋_GB2312" w:cs="仿宋_GB2312"/>
          <w:b/>
          <w:bCs/>
          <w:sz w:val="22"/>
          <w:szCs w:val="22"/>
          <w:highlight w:val="none"/>
        </w:rPr>
      </w:pPr>
    </w:p>
    <w:p w14:paraId="71180F69">
      <w:pPr>
        <w:rPr>
          <w:rFonts w:ascii="仿宋_GB2312" w:hAnsi="仿宋_GB2312" w:eastAsia="仿宋_GB2312" w:cs="仿宋_GB2312"/>
          <w:b/>
          <w:bCs/>
          <w:sz w:val="22"/>
          <w:szCs w:val="22"/>
          <w:highlight w:val="none"/>
        </w:rPr>
      </w:pPr>
      <w:r>
        <w:rPr>
          <w:rFonts w:hint="eastAsia" w:ascii="仿宋_GB2312" w:hAnsi="仿宋_GB2312" w:eastAsia="仿宋_GB2312" w:cs="仿宋_GB2312"/>
          <w:b/>
          <w:bCs/>
          <w:sz w:val="22"/>
          <w:szCs w:val="22"/>
          <w:highlight w:val="none"/>
        </w:rPr>
        <w:t>项目名称：南沙资产经营集团战略规划及综合管理咨询服务项目</w:t>
      </w:r>
    </w:p>
    <w:tbl>
      <w:tblPr>
        <w:tblStyle w:val="18"/>
        <w:tblpPr w:leftFromText="180" w:rightFromText="180" w:vertAnchor="text" w:horzAnchor="page" w:tblpX="1870" w:tblpY="75"/>
        <w:tblOverlap w:val="never"/>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561"/>
        <w:gridCol w:w="727"/>
        <w:gridCol w:w="728"/>
        <w:gridCol w:w="728"/>
        <w:gridCol w:w="728"/>
        <w:gridCol w:w="727"/>
        <w:gridCol w:w="728"/>
        <w:gridCol w:w="728"/>
        <w:gridCol w:w="728"/>
      </w:tblGrid>
      <w:tr w14:paraId="1F021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27" w:type="dxa"/>
            <w:vAlign w:val="center"/>
          </w:tcPr>
          <w:p w14:paraId="670AABA5">
            <w:pPr>
              <w:tabs>
                <w:tab w:val="left" w:pos="720"/>
              </w:tabs>
              <w:snapToGrid w:val="0"/>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编号</w:t>
            </w:r>
          </w:p>
        </w:tc>
        <w:tc>
          <w:tcPr>
            <w:tcW w:w="2561" w:type="dxa"/>
            <w:tcBorders>
              <w:tl2br w:val="single" w:color="auto" w:sz="4" w:space="0"/>
            </w:tcBorders>
            <w:vAlign w:val="center"/>
          </w:tcPr>
          <w:p w14:paraId="4EB6D44B">
            <w:pPr>
              <w:tabs>
                <w:tab w:val="left" w:pos="720"/>
              </w:tabs>
              <w:snapToGrid w:val="0"/>
              <w:ind w:firstLine="840" w:firstLineChars="4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投标人名称</w:t>
            </w:r>
          </w:p>
          <w:p w14:paraId="3D27FFB9">
            <w:pPr>
              <w:tabs>
                <w:tab w:val="left" w:pos="720"/>
              </w:tabs>
              <w:snapToGrid w:val="0"/>
              <w:rPr>
                <w:rFonts w:ascii="仿宋_GB2312" w:hAnsi="仿宋_GB2312" w:eastAsia="仿宋_GB2312" w:cs="仿宋_GB2312"/>
                <w:szCs w:val="21"/>
                <w:highlight w:val="none"/>
              </w:rPr>
            </w:pPr>
          </w:p>
          <w:p w14:paraId="31124565">
            <w:pPr>
              <w:tabs>
                <w:tab w:val="left" w:pos="720"/>
              </w:tabs>
              <w:snapToGrid w:val="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审查项目</w:t>
            </w:r>
          </w:p>
        </w:tc>
        <w:tc>
          <w:tcPr>
            <w:tcW w:w="727" w:type="dxa"/>
            <w:vAlign w:val="center"/>
          </w:tcPr>
          <w:p w14:paraId="7C229100">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4B56FB0B">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0C397EC4">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17447284">
            <w:pPr>
              <w:tabs>
                <w:tab w:val="left" w:pos="720"/>
              </w:tabs>
              <w:snapToGrid w:val="0"/>
              <w:jc w:val="center"/>
              <w:rPr>
                <w:rFonts w:ascii="仿宋_GB2312" w:hAnsi="仿宋_GB2312" w:eastAsia="仿宋_GB2312" w:cs="仿宋_GB2312"/>
                <w:szCs w:val="21"/>
                <w:highlight w:val="none"/>
              </w:rPr>
            </w:pPr>
          </w:p>
        </w:tc>
        <w:tc>
          <w:tcPr>
            <w:tcW w:w="727" w:type="dxa"/>
            <w:vAlign w:val="center"/>
          </w:tcPr>
          <w:p w14:paraId="4CA0D727">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3A204CCF">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5E4C4F94">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654CF4AF">
            <w:pPr>
              <w:tabs>
                <w:tab w:val="left" w:pos="720"/>
              </w:tabs>
              <w:snapToGrid w:val="0"/>
              <w:jc w:val="center"/>
              <w:rPr>
                <w:rFonts w:ascii="仿宋_GB2312" w:hAnsi="仿宋_GB2312" w:eastAsia="仿宋_GB2312" w:cs="仿宋_GB2312"/>
                <w:szCs w:val="21"/>
                <w:highlight w:val="none"/>
              </w:rPr>
            </w:pPr>
          </w:p>
        </w:tc>
      </w:tr>
      <w:tr w14:paraId="6B40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427" w:type="dxa"/>
            <w:vAlign w:val="center"/>
          </w:tcPr>
          <w:p w14:paraId="6889C5C5">
            <w:pPr>
              <w:tabs>
                <w:tab w:val="left" w:pos="720"/>
              </w:tabs>
              <w:snapToGrid w:val="0"/>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2561" w:type="dxa"/>
            <w:vAlign w:val="center"/>
          </w:tcPr>
          <w:p w14:paraId="3A4C4506">
            <w:pPr>
              <w:tabs>
                <w:tab w:val="left" w:pos="720"/>
              </w:tabs>
              <w:snapToGrid w:val="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投标文件中有有效的营业执照复印件、法定代表人证明书原件，</w:t>
            </w:r>
            <w:r>
              <w:rPr>
                <w:rFonts w:hint="eastAsia" w:ascii="仿宋_GB2312" w:hAnsi="仿宋_GB2312" w:eastAsia="仿宋_GB2312" w:cs="仿宋_GB2312"/>
                <w:szCs w:val="21"/>
                <w:highlight w:val="none"/>
                <w:lang w:val="en-US" w:eastAsia="zh-CN"/>
              </w:rPr>
              <w:t>如有授权委托人，应有</w:t>
            </w:r>
            <w:r>
              <w:rPr>
                <w:rFonts w:hint="eastAsia" w:ascii="仿宋_GB2312" w:hAnsi="仿宋_GB2312" w:eastAsia="仿宋_GB2312" w:cs="仿宋_GB2312"/>
                <w:szCs w:val="21"/>
                <w:highlight w:val="none"/>
              </w:rPr>
              <w:t>及法定代表人授权书</w:t>
            </w:r>
            <w:r>
              <w:rPr>
                <w:rFonts w:hint="eastAsia" w:ascii="仿宋_GB2312" w:hAnsi="仿宋_GB2312" w:eastAsia="仿宋_GB2312" w:cs="仿宋_GB2312"/>
                <w:highlight w:val="none"/>
              </w:rPr>
              <w:t>原件</w:t>
            </w:r>
            <w:r>
              <w:rPr>
                <w:rFonts w:hint="eastAsia" w:ascii="仿宋_GB2312" w:hAnsi="仿宋_GB2312" w:eastAsia="仿宋_GB2312" w:cs="仿宋_GB2312"/>
                <w:szCs w:val="21"/>
                <w:highlight w:val="none"/>
              </w:rPr>
              <w:t>；</w:t>
            </w:r>
          </w:p>
        </w:tc>
        <w:tc>
          <w:tcPr>
            <w:tcW w:w="727" w:type="dxa"/>
            <w:vAlign w:val="center"/>
          </w:tcPr>
          <w:p w14:paraId="59CF3F97">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03139B1E">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498739B5">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62B849D1">
            <w:pPr>
              <w:tabs>
                <w:tab w:val="left" w:pos="720"/>
              </w:tabs>
              <w:snapToGrid w:val="0"/>
              <w:jc w:val="center"/>
              <w:rPr>
                <w:rFonts w:ascii="仿宋_GB2312" w:hAnsi="仿宋_GB2312" w:eastAsia="仿宋_GB2312" w:cs="仿宋_GB2312"/>
                <w:szCs w:val="21"/>
                <w:highlight w:val="none"/>
              </w:rPr>
            </w:pPr>
          </w:p>
        </w:tc>
        <w:tc>
          <w:tcPr>
            <w:tcW w:w="727" w:type="dxa"/>
            <w:vAlign w:val="center"/>
          </w:tcPr>
          <w:p w14:paraId="6E1DEBE3">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77BD4BC4">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4E99ACFF">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2288E4A4">
            <w:pPr>
              <w:tabs>
                <w:tab w:val="left" w:pos="720"/>
              </w:tabs>
              <w:snapToGrid w:val="0"/>
              <w:jc w:val="center"/>
              <w:rPr>
                <w:rFonts w:ascii="仿宋_GB2312" w:hAnsi="仿宋_GB2312" w:eastAsia="仿宋_GB2312" w:cs="仿宋_GB2312"/>
                <w:szCs w:val="21"/>
                <w:highlight w:val="none"/>
              </w:rPr>
            </w:pPr>
          </w:p>
        </w:tc>
      </w:tr>
      <w:tr w14:paraId="7915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427" w:type="dxa"/>
            <w:vAlign w:val="center"/>
          </w:tcPr>
          <w:p w14:paraId="551897F6">
            <w:pPr>
              <w:tabs>
                <w:tab w:val="left" w:pos="720"/>
              </w:tabs>
              <w:snapToGrid w:val="0"/>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2561" w:type="dxa"/>
            <w:vAlign w:val="center"/>
          </w:tcPr>
          <w:p w14:paraId="66F53D23">
            <w:pPr>
              <w:tabs>
                <w:tab w:val="left" w:pos="720"/>
              </w:tabs>
              <w:snapToGrid w:val="0"/>
              <w:rPr>
                <w:rFonts w:ascii="仿宋_GB2312" w:hAnsi="仿宋_GB2312" w:eastAsia="仿宋_GB2312" w:cs="仿宋_GB2312"/>
                <w:highlight w:val="none"/>
              </w:rPr>
            </w:pPr>
            <w:r>
              <w:rPr>
                <w:rFonts w:hint="eastAsia" w:ascii="仿宋_GB2312" w:hAnsi="仿宋_GB2312" w:eastAsia="仿宋_GB2312" w:cs="仿宋_GB2312"/>
                <w:highlight w:val="none"/>
              </w:rPr>
              <w:t>投标文件的封面加盖投标人的法定印章；</w:t>
            </w:r>
          </w:p>
        </w:tc>
        <w:tc>
          <w:tcPr>
            <w:tcW w:w="727" w:type="dxa"/>
            <w:vAlign w:val="center"/>
          </w:tcPr>
          <w:p w14:paraId="2CE409DF">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5F4744CD">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7C1F1984">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1A3679CA">
            <w:pPr>
              <w:tabs>
                <w:tab w:val="left" w:pos="720"/>
              </w:tabs>
              <w:snapToGrid w:val="0"/>
              <w:jc w:val="center"/>
              <w:rPr>
                <w:rFonts w:ascii="仿宋_GB2312" w:hAnsi="仿宋_GB2312" w:eastAsia="仿宋_GB2312" w:cs="仿宋_GB2312"/>
                <w:szCs w:val="21"/>
                <w:highlight w:val="none"/>
              </w:rPr>
            </w:pPr>
          </w:p>
        </w:tc>
        <w:tc>
          <w:tcPr>
            <w:tcW w:w="727" w:type="dxa"/>
            <w:vAlign w:val="center"/>
          </w:tcPr>
          <w:p w14:paraId="21C49A3D">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516AE232">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2D47AEE6">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737CB2E6">
            <w:pPr>
              <w:tabs>
                <w:tab w:val="left" w:pos="720"/>
              </w:tabs>
              <w:snapToGrid w:val="0"/>
              <w:jc w:val="center"/>
              <w:rPr>
                <w:rFonts w:ascii="仿宋_GB2312" w:hAnsi="仿宋_GB2312" w:eastAsia="仿宋_GB2312" w:cs="仿宋_GB2312"/>
                <w:szCs w:val="21"/>
                <w:highlight w:val="none"/>
              </w:rPr>
            </w:pPr>
          </w:p>
        </w:tc>
      </w:tr>
      <w:tr w14:paraId="7F72B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27" w:type="dxa"/>
            <w:vAlign w:val="center"/>
          </w:tcPr>
          <w:p w14:paraId="7AD4D84D">
            <w:pPr>
              <w:tabs>
                <w:tab w:val="left" w:pos="720"/>
              </w:tabs>
              <w:snapToGrid w:val="0"/>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c>
          <w:tcPr>
            <w:tcW w:w="2561" w:type="dxa"/>
            <w:vAlign w:val="center"/>
          </w:tcPr>
          <w:p w14:paraId="6A67C1C7">
            <w:pPr>
              <w:tabs>
                <w:tab w:val="left" w:pos="720"/>
              </w:tabs>
              <w:snapToGrid w:val="0"/>
              <w:rPr>
                <w:rFonts w:ascii="仿宋_GB2312" w:hAnsi="仿宋_GB2312" w:eastAsia="仿宋_GB2312" w:cs="仿宋_GB2312"/>
                <w:highlight w:val="none"/>
              </w:rPr>
            </w:pPr>
            <w:r>
              <w:rPr>
                <w:rFonts w:hint="eastAsia" w:ascii="仿宋_GB2312" w:hAnsi="仿宋_GB2312" w:eastAsia="仿宋_GB2312" w:cs="仿宋_GB2312"/>
                <w:highlight w:val="none"/>
              </w:rPr>
              <w:t>投标文件按规定的格式填写，内容齐全或关键字清晰可辩；</w:t>
            </w:r>
          </w:p>
        </w:tc>
        <w:tc>
          <w:tcPr>
            <w:tcW w:w="727" w:type="dxa"/>
            <w:vAlign w:val="center"/>
          </w:tcPr>
          <w:p w14:paraId="4A5B59C6">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0072A550">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6E4FEE1B">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4FE6BEAC">
            <w:pPr>
              <w:tabs>
                <w:tab w:val="left" w:pos="720"/>
              </w:tabs>
              <w:snapToGrid w:val="0"/>
              <w:jc w:val="center"/>
              <w:rPr>
                <w:rFonts w:ascii="仿宋_GB2312" w:hAnsi="仿宋_GB2312" w:eastAsia="仿宋_GB2312" w:cs="仿宋_GB2312"/>
                <w:szCs w:val="21"/>
                <w:highlight w:val="none"/>
              </w:rPr>
            </w:pPr>
          </w:p>
        </w:tc>
        <w:tc>
          <w:tcPr>
            <w:tcW w:w="727" w:type="dxa"/>
            <w:vAlign w:val="center"/>
          </w:tcPr>
          <w:p w14:paraId="0D455656">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7649CF17">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6DD7D6B0">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1A1100CC">
            <w:pPr>
              <w:tabs>
                <w:tab w:val="left" w:pos="720"/>
              </w:tabs>
              <w:snapToGrid w:val="0"/>
              <w:jc w:val="center"/>
              <w:rPr>
                <w:rFonts w:ascii="仿宋_GB2312" w:hAnsi="仿宋_GB2312" w:eastAsia="仿宋_GB2312" w:cs="仿宋_GB2312"/>
                <w:szCs w:val="21"/>
                <w:highlight w:val="none"/>
              </w:rPr>
            </w:pPr>
          </w:p>
        </w:tc>
      </w:tr>
      <w:tr w14:paraId="2325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27" w:type="dxa"/>
            <w:vAlign w:val="center"/>
          </w:tcPr>
          <w:p w14:paraId="4FE1584B">
            <w:pPr>
              <w:tabs>
                <w:tab w:val="left" w:pos="720"/>
              </w:tabs>
              <w:snapToGrid w:val="0"/>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4</w:t>
            </w:r>
          </w:p>
        </w:tc>
        <w:tc>
          <w:tcPr>
            <w:tcW w:w="2561" w:type="dxa"/>
            <w:vAlign w:val="center"/>
          </w:tcPr>
          <w:p w14:paraId="45961328">
            <w:pPr>
              <w:tabs>
                <w:tab w:val="left" w:pos="720"/>
              </w:tabs>
              <w:snapToGrid w:val="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lang w:val="zh-CN"/>
              </w:rPr>
              <w:t>符合本</w:t>
            </w:r>
            <w:r>
              <w:rPr>
                <w:rFonts w:hint="eastAsia" w:ascii="仿宋_GB2312" w:hAnsi="仿宋_GB2312" w:eastAsia="仿宋_GB2312" w:cs="仿宋_GB2312"/>
                <w:szCs w:val="21"/>
                <w:highlight w:val="none"/>
              </w:rPr>
              <w:t>招标</w:t>
            </w:r>
            <w:r>
              <w:rPr>
                <w:rFonts w:hint="eastAsia" w:ascii="仿宋_GB2312" w:hAnsi="仿宋_GB2312" w:eastAsia="仿宋_GB2312" w:cs="仿宋_GB2312"/>
                <w:szCs w:val="21"/>
                <w:highlight w:val="none"/>
                <w:lang w:val="zh-CN"/>
              </w:rPr>
              <w:t>文件第三条“投标人资格要求”</w:t>
            </w:r>
            <w:r>
              <w:rPr>
                <w:rFonts w:hint="eastAsia" w:ascii="仿宋_GB2312" w:hAnsi="仿宋_GB2312" w:eastAsia="仿宋_GB2312" w:cs="仿宋_GB2312"/>
                <w:szCs w:val="21"/>
                <w:highlight w:val="none"/>
              </w:rPr>
              <w:t>；</w:t>
            </w:r>
          </w:p>
        </w:tc>
        <w:tc>
          <w:tcPr>
            <w:tcW w:w="727" w:type="dxa"/>
            <w:vAlign w:val="center"/>
          </w:tcPr>
          <w:p w14:paraId="5E15EDA0">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1E16D3B6">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1FEA4DA4">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6ED69353">
            <w:pPr>
              <w:tabs>
                <w:tab w:val="left" w:pos="720"/>
              </w:tabs>
              <w:snapToGrid w:val="0"/>
              <w:jc w:val="center"/>
              <w:rPr>
                <w:rFonts w:ascii="仿宋_GB2312" w:hAnsi="仿宋_GB2312" w:eastAsia="仿宋_GB2312" w:cs="仿宋_GB2312"/>
                <w:szCs w:val="21"/>
                <w:highlight w:val="none"/>
              </w:rPr>
            </w:pPr>
          </w:p>
        </w:tc>
        <w:tc>
          <w:tcPr>
            <w:tcW w:w="727" w:type="dxa"/>
            <w:vAlign w:val="center"/>
          </w:tcPr>
          <w:p w14:paraId="489F47CF">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6B38D0B3">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19B927D2">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51A2AA7A">
            <w:pPr>
              <w:tabs>
                <w:tab w:val="left" w:pos="720"/>
              </w:tabs>
              <w:snapToGrid w:val="0"/>
              <w:jc w:val="center"/>
              <w:rPr>
                <w:rFonts w:ascii="仿宋_GB2312" w:hAnsi="仿宋_GB2312" w:eastAsia="仿宋_GB2312" w:cs="仿宋_GB2312"/>
                <w:szCs w:val="21"/>
                <w:highlight w:val="none"/>
              </w:rPr>
            </w:pPr>
          </w:p>
        </w:tc>
      </w:tr>
      <w:tr w14:paraId="1F61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427" w:type="dxa"/>
            <w:vAlign w:val="center"/>
          </w:tcPr>
          <w:p w14:paraId="27057211">
            <w:pPr>
              <w:tabs>
                <w:tab w:val="left" w:pos="720"/>
              </w:tabs>
              <w:snapToGrid w:val="0"/>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5</w:t>
            </w:r>
          </w:p>
        </w:tc>
        <w:tc>
          <w:tcPr>
            <w:tcW w:w="2561" w:type="dxa"/>
            <w:vAlign w:val="center"/>
          </w:tcPr>
          <w:p w14:paraId="71CCE764">
            <w:pPr>
              <w:tabs>
                <w:tab w:val="left" w:pos="720"/>
              </w:tabs>
              <w:snapToGrid w:val="0"/>
              <w:rPr>
                <w:rFonts w:ascii="仿宋_GB2312" w:hAnsi="仿宋_GB2312" w:eastAsia="仿宋_GB2312" w:cs="仿宋_GB2312"/>
                <w:highlight w:val="none"/>
              </w:rPr>
            </w:pPr>
            <w:r>
              <w:rPr>
                <w:rFonts w:hint="eastAsia" w:ascii="仿宋_GB2312" w:hAnsi="仿宋_GB2312" w:eastAsia="仿宋_GB2312" w:cs="仿宋_GB2312"/>
                <w:highlight w:val="none"/>
              </w:rPr>
              <w:t>投标报价不高于最高限价。</w:t>
            </w:r>
          </w:p>
        </w:tc>
        <w:tc>
          <w:tcPr>
            <w:tcW w:w="727" w:type="dxa"/>
            <w:vAlign w:val="center"/>
          </w:tcPr>
          <w:p w14:paraId="5060D978">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3FCE73C6">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3AB124AE">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42DBCB2D">
            <w:pPr>
              <w:tabs>
                <w:tab w:val="left" w:pos="720"/>
              </w:tabs>
              <w:snapToGrid w:val="0"/>
              <w:jc w:val="center"/>
              <w:rPr>
                <w:rFonts w:ascii="仿宋_GB2312" w:hAnsi="仿宋_GB2312" w:eastAsia="仿宋_GB2312" w:cs="仿宋_GB2312"/>
                <w:szCs w:val="21"/>
                <w:highlight w:val="none"/>
              </w:rPr>
            </w:pPr>
          </w:p>
        </w:tc>
        <w:tc>
          <w:tcPr>
            <w:tcW w:w="727" w:type="dxa"/>
            <w:vAlign w:val="center"/>
          </w:tcPr>
          <w:p w14:paraId="5D641535">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6F1F9B0C">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3173A161">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4A7DAE55">
            <w:pPr>
              <w:tabs>
                <w:tab w:val="left" w:pos="720"/>
              </w:tabs>
              <w:snapToGrid w:val="0"/>
              <w:jc w:val="center"/>
              <w:rPr>
                <w:rFonts w:ascii="仿宋_GB2312" w:hAnsi="仿宋_GB2312" w:eastAsia="仿宋_GB2312" w:cs="仿宋_GB2312"/>
                <w:szCs w:val="21"/>
                <w:highlight w:val="none"/>
              </w:rPr>
            </w:pPr>
          </w:p>
        </w:tc>
      </w:tr>
      <w:tr w14:paraId="5A85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27" w:type="dxa"/>
            <w:vAlign w:val="center"/>
          </w:tcPr>
          <w:p w14:paraId="4B8979BC">
            <w:pPr>
              <w:tabs>
                <w:tab w:val="left" w:pos="720"/>
              </w:tabs>
              <w:snapToGrid w:val="0"/>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结论</w:t>
            </w:r>
          </w:p>
        </w:tc>
        <w:tc>
          <w:tcPr>
            <w:tcW w:w="2561" w:type="dxa"/>
            <w:vAlign w:val="center"/>
          </w:tcPr>
          <w:p w14:paraId="5DE69F31">
            <w:pPr>
              <w:tabs>
                <w:tab w:val="left" w:pos="720"/>
              </w:tabs>
              <w:snapToGrid w:val="0"/>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rPr>
              <w:t>是否通过并进入下一阶段评审</w:t>
            </w:r>
          </w:p>
        </w:tc>
        <w:tc>
          <w:tcPr>
            <w:tcW w:w="727" w:type="dxa"/>
            <w:vAlign w:val="center"/>
          </w:tcPr>
          <w:p w14:paraId="1F19AADB">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128983EE">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5FC9A487">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09311AD9">
            <w:pPr>
              <w:tabs>
                <w:tab w:val="left" w:pos="720"/>
              </w:tabs>
              <w:snapToGrid w:val="0"/>
              <w:jc w:val="center"/>
              <w:rPr>
                <w:rFonts w:ascii="仿宋_GB2312" w:hAnsi="仿宋_GB2312" w:eastAsia="仿宋_GB2312" w:cs="仿宋_GB2312"/>
                <w:szCs w:val="21"/>
                <w:highlight w:val="none"/>
              </w:rPr>
            </w:pPr>
          </w:p>
        </w:tc>
        <w:tc>
          <w:tcPr>
            <w:tcW w:w="727" w:type="dxa"/>
            <w:vAlign w:val="center"/>
          </w:tcPr>
          <w:p w14:paraId="0D5938DE">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33A2FA72">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5D81B0DC">
            <w:pPr>
              <w:tabs>
                <w:tab w:val="left" w:pos="720"/>
              </w:tabs>
              <w:snapToGrid w:val="0"/>
              <w:jc w:val="center"/>
              <w:rPr>
                <w:rFonts w:ascii="仿宋_GB2312" w:hAnsi="仿宋_GB2312" w:eastAsia="仿宋_GB2312" w:cs="仿宋_GB2312"/>
                <w:szCs w:val="21"/>
                <w:highlight w:val="none"/>
              </w:rPr>
            </w:pPr>
          </w:p>
        </w:tc>
        <w:tc>
          <w:tcPr>
            <w:tcW w:w="728" w:type="dxa"/>
            <w:vAlign w:val="center"/>
          </w:tcPr>
          <w:p w14:paraId="01ADE5B3">
            <w:pPr>
              <w:tabs>
                <w:tab w:val="left" w:pos="720"/>
              </w:tabs>
              <w:snapToGrid w:val="0"/>
              <w:jc w:val="center"/>
              <w:rPr>
                <w:rFonts w:ascii="仿宋_GB2312" w:hAnsi="仿宋_GB2312" w:eastAsia="仿宋_GB2312" w:cs="仿宋_GB2312"/>
                <w:szCs w:val="21"/>
                <w:highlight w:val="none"/>
              </w:rPr>
            </w:pPr>
          </w:p>
        </w:tc>
      </w:tr>
    </w:tbl>
    <w:p w14:paraId="0F0BB405">
      <w:pPr>
        <w:tabs>
          <w:tab w:val="left" w:pos="720"/>
        </w:tabs>
        <w:snapToGrid w:val="0"/>
        <w:spacing w:before="156" w:beforeLines="50"/>
        <w:rPr>
          <w:rFonts w:ascii="楷体_GB2312" w:hAnsi="楷体_GB2312" w:eastAsia="楷体_GB2312" w:cs="楷体_GB2312"/>
          <w:szCs w:val="21"/>
          <w:highlight w:val="none"/>
        </w:rPr>
      </w:pPr>
      <w:r>
        <w:rPr>
          <w:rFonts w:hint="eastAsia" w:ascii="楷体_GB2312" w:hAnsi="楷体_GB2312" w:eastAsia="楷体_GB2312" w:cs="楷体_GB2312"/>
          <w:szCs w:val="21"/>
          <w:highlight w:val="none"/>
        </w:rPr>
        <w:t>备注：1、“是否通过并进入下一阶段评审”一栏应写“通过”“不通过”。</w:t>
      </w:r>
    </w:p>
    <w:p w14:paraId="5C3452CB">
      <w:pPr>
        <w:tabs>
          <w:tab w:val="left" w:pos="720"/>
        </w:tabs>
        <w:snapToGrid w:val="0"/>
        <w:spacing w:before="156" w:beforeLines="50"/>
        <w:ind w:firstLine="630" w:firstLineChars="300"/>
        <w:rPr>
          <w:rFonts w:ascii="楷体_GB2312" w:hAnsi="楷体_GB2312" w:eastAsia="楷体_GB2312" w:cs="楷体_GB2312"/>
          <w:szCs w:val="21"/>
          <w:highlight w:val="none"/>
        </w:rPr>
      </w:pPr>
      <w:r>
        <w:rPr>
          <w:rFonts w:hint="eastAsia" w:ascii="楷体_GB2312" w:hAnsi="楷体_GB2312" w:eastAsia="楷体_GB2312" w:cs="楷体_GB2312"/>
          <w:szCs w:val="21"/>
          <w:highlight w:val="none"/>
        </w:rPr>
        <w:t>2、符合上述情况的打“○”，不符合的打“×”。</w:t>
      </w:r>
    </w:p>
    <w:p w14:paraId="3A240F67">
      <w:pPr>
        <w:tabs>
          <w:tab w:val="left" w:pos="720"/>
        </w:tabs>
        <w:snapToGrid w:val="0"/>
        <w:spacing w:before="156" w:beforeLines="50"/>
        <w:ind w:firstLine="630" w:firstLineChars="300"/>
        <w:rPr>
          <w:rFonts w:ascii="楷体_GB2312" w:hAnsi="楷体_GB2312" w:eastAsia="楷体_GB2312" w:cs="楷体_GB2312"/>
          <w:szCs w:val="21"/>
          <w:highlight w:val="none"/>
        </w:rPr>
      </w:pPr>
      <w:r>
        <w:rPr>
          <w:rFonts w:hint="eastAsia" w:ascii="楷体_GB2312" w:hAnsi="楷体_GB2312" w:eastAsia="楷体_GB2312" w:cs="楷体_GB2312"/>
          <w:szCs w:val="21"/>
          <w:highlight w:val="none"/>
        </w:rPr>
        <w:t>3、出现一个“×”的结论为“不通过”全部为“○”的结论为“通过”。</w:t>
      </w:r>
    </w:p>
    <w:p w14:paraId="3A14E5E5">
      <w:pPr>
        <w:tabs>
          <w:tab w:val="left" w:pos="720"/>
        </w:tabs>
        <w:snapToGrid w:val="0"/>
        <w:spacing w:before="156" w:beforeLines="50"/>
        <w:rPr>
          <w:rFonts w:ascii="楷体_GB2312" w:hAnsi="楷体_GB2312" w:eastAsia="楷体_GB2312" w:cs="楷体_GB2312"/>
          <w:szCs w:val="21"/>
          <w:highlight w:val="none"/>
        </w:rPr>
      </w:pPr>
      <w:r>
        <w:rPr>
          <w:rFonts w:hint="eastAsia" w:ascii="楷体_GB2312" w:hAnsi="楷体_GB2312" w:eastAsia="楷体_GB2312" w:cs="楷体_GB2312"/>
          <w:szCs w:val="21"/>
          <w:highlight w:val="none"/>
        </w:rPr>
        <w:t xml:space="preserve">     </w:t>
      </w:r>
    </w:p>
    <w:p w14:paraId="5E10AC77">
      <w:pPr>
        <w:tabs>
          <w:tab w:val="left" w:pos="720"/>
        </w:tabs>
        <w:snapToGrid w:val="0"/>
        <w:rPr>
          <w:rFonts w:ascii="楷体_GB2312" w:hAnsi="楷体_GB2312" w:eastAsia="楷体_GB2312" w:cs="楷体_GB2312"/>
          <w:sz w:val="18"/>
          <w:szCs w:val="18"/>
          <w:highlight w:val="none"/>
        </w:rPr>
      </w:pPr>
    </w:p>
    <w:p w14:paraId="4552AE10">
      <w:pPr>
        <w:tabs>
          <w:tab w:val="left" w:pos="720"/>
        </w:tabs>
        <w:snapToGrid w:val="0"/>
        <w:ind w:firstLine="3780" w:firstLineChars="1800"/>
        <w:rPr>
          <w:rFonts w:ascii="楷体_GB2312" w:hAnsi="楷体_GB2312" w:eastAsia="楷体_GB2312" w:cs="楷体_GB2312"/>
          <w:szCs w:val="21"/>
          <w:highlight w:val="none"/>
        </w:rPr>
      </w:pPr>
      <w:r>
        <w:rPr>
          <w:rFonts w:hint="eastAsia" w:ascii="楷体_GB2312" w:hAnsi="楷体_GB2312" w:eastAsia="楷体_GB2312" w:cs="楷体_GB2312"/>
          <w:szCs w:val="21"/>
          <w:highlight w:val="none"/>
        </w:rPr>
        <w:t>评审专家签名：                     日期：</w:t>
      </w:r>
    </w:p>
    <w:p w14:paraId="7710B767">
      <w:pPr>
        <w:rPr>
          <w:rFonts w:ascii="楷体_GB2312" w:hAnsi="楷体_GB2312" w:eastAsia="楷体_GB2312" w:cs="楷体_GB2312"/>
          <w:szCs w:val="21"/>
          <w:highlight w:val="none"/>
        </w:rPr>
      </w:pPr>
    </w:p>
    <w:p w14:paraId="1C86CE5C">
      <w:pPr>
        <w:spacing w:line="360" w:lineRule="auto"/>
        <w:rPr>
          <w:rFonts w:ascii="楷体_GB2312" w:hAnsi="楷体_GB2312" w:eastAsia="楷体_GB2312" w:cs="楷体_GB2312"/>
          <w:sz w:val="28"/>
          <w:szCs w:val="28"/>
          <w:highlight w:val="none"/>
        </w:rPr>
        <w:sectPr>
          <w:pgSz w:w="12242" w:h="15842"/>
          <w:pgMar w:top="1440" w:right="1800" w:bottom="1440" w:left="1800" w:header="851" w:footer="992" w:gutter="0"/>
          <w:pgNumType w:fmt="decimal"/>
          <w:cols w:space="720" w:num="1"/>
          <w:docGrid w:type="lines" w:linePitch="312" w:charSpace="0"/>
        </w:sectPr>
      </w:pPr>
    </w:p>
    <w:p w14:paraId="5DD64B16">
      <w:pPr>
        <w:snapToGrid w:val="0"/>
        <w:rPr>
          <w:rFonts w:ascii="楷体_GB2312" w:hAnsi="楷体_GB2312" w:eastAsia="楷体_GB2312" w:cs="楷体_GB2312"/>
          <w:sz w:val="28"/>
          <w:szCs w:val="28"/>
          <w:highlight w:val="none"/>
        </w:rPr>
      </w:pPr>
      <w:r>
        <w:rPr>
          <w:rFonts w:hint="eastAsia" w:ascii="仿宋_GB2312" w:hAnsi="仿宋_GB2312" w:eastAsia="仿宋_GB2312" w:cs="仿宋_GB2312"/>
          <w:sz w:val="28"/>
          <w:szCs w:val="28"/>
          <w:highlight w:val="none"/>
        </w:rPr>
        <w:t xml:space="preserve">附件3.综合评分表 </w:t>
      </w:r>
      <w:r>
        <w:rPr>
          <w:rFonts w:hint="eastAsia" w:ascii="楷体_GB2312" w:hAnsi="楷体_GB2312" w:eastAsia="楷体_GB2312" w:cs="楷体_GB2312"/>
          <w:sz w:val="28"/>
          <w:szCs w:val="28"/>
          <w:highlight w:val="none"/>
        </w:rPr>
        <w:t xml:space="preserve">                    </w:t>
      </w:r>
    </w:p>
    <w:p w14:paraId="28EA8CF5">
      <w:pPr>
        <w:spacing w:line="360" w:lineRule="auto"/>
        <w:jc w:val="center"/>
        <w:rPr>
          <w:rFonts w:ascii="方正小标宋简体" w:hAnsi="宋体" w:eastAsia="方正小标宋简体" w:cs="宋体"/>
          <w:sz w:val="36"/>
          <w:szCs w:val="36"/>
          <w:highlight w:val="none"/>
        </w:rPr>
      </w:pPr>
      <w:r>
        <w:rPr>
          <w:rFonts w:hint="eastAsia" w:ascii="方正小标宋简体" w:hAnsi="方正小标宋简体" w:eastAsia="方正小标宋简体" w:cs="方正小标宋简体"/>
          <w:sz w:val="36"/>
          <w:szCs w:val="36"/>
          <w:highlight w:val="none"/>
          <w:lang w:bidi="ar"/>
        </w:rPr>
        <w:t>综合评分表</w:t>
      </w:r>
    </w:p>
    <w:p w14:paraId="66C6162D">
      <w:pPr>
        <w:rPr>
          <w:rFonts w:ascii="仿宋_GB2312" w:hAnsi="仿宋_GB2312" w:eastAsia="仿宋_GB2312" w:cs="仿宋_GB2312"/>
          <w:b/>
          <w:bCs/>
          <w:sz w:val="22"/>
          <w:szCs w:val="22"/>
          <w:highlight w:val="none"/>
        </w:rPr>
      </w:pPr>
      <w:r>
        <w:rPr>
          <w:rFonts w:hint="eastAsia" w:ascii="仿宋_GB2312" w:hAnsi="仿宋_GB2312" w:eastAsia="仿宋_GB2312" w:cs="仿宋_GB2312"/>
          <w:b/>
          <w:bCs/>
          <w:sz w:val="22"/>
          <w:szCs w:val="22"/>
          <w:highlight w:val="none"/>
        </w:rPr>
        <w:t>项目名称：南沙资产经营集团战略规划及综合管理咨询服务项目</w:t>
      </w:r>
    </w:p>
    <w:tbl>
      <w:tblPr>
        <w:tblStyle w:val="18"/>
        <w:tblpPr w:leftFromText="180" w:rightFromText="180" w:vertAnchor="text" w:horzAnchor="page" w:tblpXSpec="center" w:tblpY="45"/>
        <w:tblOverlap w:val="never"/>
        <w:tblW w:w="15559" w:type="dxa"/>
        <w:jc w:val="center"/>
        <w:tblLayout w:type="fixed"/>
        <w:tblCellMar>
          <w:top w:w="0" w:type="dxa"/>
          <w:left w:w="108" w:type="dxa"/>
          <w:bottom w:w="0" w:type="dxa"/>
          <w:right w:w="108" w:type="dxa"/>
        </w:tblCellMar>
      </w:tblPr>
      <w:tblGrid>
        <w:gridCol w:w="424"/>
        <w:gridCol w:w="960"/>
        <w:gridCol w:w="1239"/>
        <w:gridCol w:w="4998"/>
        <w:gridCol w:w="2977"/>
        <w:gridCol w:w="709"/>
        <w:gridCol w:w="4252"/>
      </w:tblGrid>
      <w:tr w14:paraId="166866FD">
        <w:tblPrEx>
          <w:tblCellMar>
            <w:top w:w="0" w:type="dxa"/>
            <w:left w:w="108" w:type="dxa"/>
            <w:bottom w:w="0" w:type="dxa"/>
            <w:right w:w="108" w:type="dxa"/>
          </w:tblCellMar>
        </w:tblPrEx>
        <w:trPr>
          <w:trHeight w:val="90" w:hRule="atLeast"/>
          <w:jc w:val="center"/>
        </w:trPr>
        <w:tc>
          <w:tcPr>
            <w:tcW w:w="424" w:type="dxa"/>
            <w:tcBorders>
              <w:top w:val="single" w:color="auto" w:sz="4" w:space="0"/>
              <w:left w:val="single" w:color="auto" w:sz="4" w:space="0"/>
              <w:bottom w:val="single" w:color="auto" w:sz="4" w:space="0"/>
              <w:right w:val="single" w:color="auto" w:sz="4" w:space="0"/>
            </w:tcBorders>
            <w:vAlign w:val="center"/>
          </w:tcPr>
          <w:p w14:paraId="3BBC6A46">
            <w:pPr>
              <w:widowControl/>
              <w:ind w:firstLine="0" w:firstLineChars="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960" w:type="dxa"/>
            <w:tcBorders>
              <w:top w:val="single" w:color="auto" w:sz="4" w:space="0"/>
              <w:left w:val="nil"/>
              <w:bottom w:val="single" w:color="auto" w:sz="4" w:space="0"/>
              <w:right w:val="single" w:color="auto" w:sz="4" w:space="0"/>
            </w:tcBorders>
            <w:vAlign w:val="center"/>
          </w:tcPr>
          <w:p w14:paraId="4645E628">
            <w:pPr>
              <w:widowControl/>
              <w:ind w:firstLine="0" w:firstLineChars="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类别</w:t>
            </w:r>
          </w:p>
        </w:tc>
        <w:tc>
          <w:tcPr>
            <w:tcW w:w="1239" w:type="dxa"/>
            <w:tcBorders>
              <w:top w:val="single" w:color="auto" w:sz="4" w:space="0"/>
              <w:left w:val="nil"/>
              <w:bottom w:val="single" w:color="auto" w:sz="4" w:space="0"/>
              <w:right w:val="single" w:color="auto" w:sz="4" w:space="0"/>
            </w:tcBorders>
            <w:vAlign w:val="center"/>
          </w:tcPr>
          <w:p w14:paraId="029B6780">
            <w:pPr>
              <w:widowControl/>
              <w:ind w:firstLine="0" w:firstLineChars="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评分类别</w:t>
            </w:r>
          </w:p>
        </w:tc>
        <w:tc>
          <w:tcPr>
            <w:tcW w:w="4998" w:type="dxa"/>
            <w:tcBorders>
              <w:top w:val="single" w:color="auto" w:sz="4" w:space="0"/>
              <w:left w:val="nil"/>
              <w:bottom w:val="nil"/>
              <w:right w:val="single" w:color="auto" w:sz="4" w:space="0"/>
            </w:tcBorders>
            <w:vAlign w:val="center"/>
          </w:tcPr>
          <w:p w14:paraId="1EDE3A3F">
            <w:pPr>
              <w:widowControl/>
              <w:ind w:firstLine="0" w:firstLineChars="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评分内容</w:t>
            </w:r>
          </w:p>
        </w:tc>
        <w:tc>
          <w:tcPr>
            <w:tcW w:w="2977" w:type="dxa"/>
            <w:tcBorders>
              <w:top w:val="single" w:color="auto" w:sz="4" w:space="0"/>
              <w:left w:val="nil"/>
              <w:bottom w:val="nil"/>
              <w:right w:val="single" w:color="auto" w:sz="4" w:space="0"/>
            </w:tcBorders>
            <w:vAlign w:val="center"/>
          </w:tcPr>
          <w:p w14:paraId="4E6D44D3">
            <w:pPr>
              <w:widowControl/>
              <w:ind w:firstLine="0" w:firstLineChars="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评分标准</w:t>
            </w:r>
          </w:p>
        </w:tc>
        <w:tc>
          <w:tcPr>
            <w:tcW w:w="709" w:type="dxa"/>
            <w:tcBorders>
              <w:top w:val="single" w:color="auto" w:sz="4" w:space="0"/>
              <w:left w:val="nil"/>
              <w:bottom w:val="single" w:color="auto" w:sz="4" w:space="0"/>
              <w:right w:val="single" w:color="auto" w:sz="4" w:space="0"/>
            </w:tcBorders>
            <w:vAlign w:val="center"/>
          </w:tcPr>
          <w:p w14:paraId="50F63D80">
            <w:pPr>
              <w:spacing w:line="240" w:lineRule="auto"/>
              <w:ind w:firstLine="0" w:firstLineChars="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满分分值</w:t>
            </w:r>
          </w:p>
        </w:tc>
        <w:tc>
          <w:tcPr>
            <w:tcW w:w="4252" w:type="dxa"/>
            <w:tcBorders>
              <w:top w:val="single" w:color="auto" w:sz="4" w:space="0"/>
              <w:left w:val="single" w:color="auto" w:sz="4" w:space="0"/>
              <w:bottom w:val="single" w:color="auto" w:sz="4" w:space="0"/>
              <w:right w:val="single" w:color="auto" w:sz="4" w:space="0"/>
            </w:tcBorders>
            <w:vAlign w:val="center"/>
          </w:tcPr>
          <w:p w14:paraId="11A23217">
            <w:pPr>
              <w:widowControl/>
              <w:ind w:firstLine="0" w:firstLineChars="0"/>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备注</w:t>
            </w:r>
          </w:p>
        </w:tc>
      </w:tr>
      <w:tr w14:paraId="6E356A5D">
        <w:tblPrEx>
          <w:tblCellMar>
            <w:top w:w="0" w:type="dxa"/>
            <w:left w:w="108" w:type="dxa"/>
            <w:bottom w:w="0" w:type="dxa"/>
            <w:right w:w="108" w:type="dxa"/>
          </w:tblCellMar>
        </w:tblPrEx>
        <w:trPr>
          <w:trHeight w:val="649" w:hRule="exact"/>
          <w:jc w:val="center"/>
        </w:trPr>
        <w:tc>
          <w:tcPr>
            <w:tcW w:w="424" w:type="dxa"/>
            <w:tcBorders>
              <w:top w:val="nil"/>
              <w:left w:val="single" w:color="auto" w:sz="4" w:space="0"/>
              <w:bottom w:val="single" w:color="auto" w:sz="4" w:space="0"/>
              <w:right w:val="single" w:color="auto" w:sz="4" w:space="0"/>
            </w:tcBorders>
            <w:vAlign w:val="center"/>
          </w:tcPr>
          <w:p w14:paraId="3E43A817">
            <w:pPr>
              <w:widowControl/>
              <w:ind w:firstLine="0"/>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960" w:type="dxa"/>
            <w:vMerge w:val="restart"/>
            <w:tcBorders>
              <w:left w:val="single" w:color="auto" w:sz="4" w:space="0"/>
              <w:right w:val="nil"/>
            </w:tcBorders>
            <w:vAlign w:val="center"/>
          </w:tcPr>
          <w:p w14:paraId="5E2FA738">
            <w:pPr>
              <w:widowControl/>
              <w:spacing w:line="240" w:lineRule="auto"/>
              <w:ind w:firstLine="0" w:firstLineChars="0"/>
              <w:rPr>
                <w:rFonts w:hint="eastAsia"/>
                <w:b/>
                <w:bCs/>
                <w:sz w:val="18"/>
                <w:szCs w:val="18"/>
                <w:lang w:val="en-US" w:eastAsia="zh-CN"/>
              </w:rPr>
            </w:pPr>
            <w:r>
              <w:rPr>
                <w:rFonts w:hint="eastAsia"/>
                <w:b/>
                <w:bCs/>
                <w:sz w:val="18"/>
                <w:szCs w:val="18"/>
                <w:lang w:val="en-US" w:eastAsia="zh-CN"/>
              </w:rPr>
              <w:t>综合能力得分</w:t>
            </w:r>
          </w:p>
          <w:p w14:paraId="44944C54">
            <w:pPr>
              <w:widowControl/>
              <w:spacing w:line="240" w:lineRule="auto"/>
              <w:ind w:firstLine="0" w:firstLineChars="0"/>
              <w:rPr>
                <w:rFonts w:hint="eastAsia" w:ascii="宋体" w:hAnsi="宋体" w:cs="宋体"/>
                <w:kern w:val="0"/>
                <w:sz w:val="18"/>
                <w:szCs w:val="18"/>
              </w:rPr>
            </w:pPr>
            <w:r>
              <w:rPr>
                <w:rFonts w:hint="eastAsia" w:ascii="宋体" w:hAnsi="宋体" w:cs="宋体"/>
                <w:kern w:val="0"/>
                <w:sz w:val="18"/>
                <w:szCs w:val="18"/>
              </w:rPr>
              <w:t>（满分</w:t>
            </w:r>
            <w:r>
              <w:rPr>
                <w:rFonts w:hint="eastAsia" w:ascii="宋体" w:hAnsi="宋体" w:cs="宋体"/>
                <w:kern w:val="0"/>
                <w:sz w:val="18"/>
                <w:szCs w:val="18"/>
                <w:lang w:val="en-US" w:eastAsia="zh-CN"/>
              </w:rPr>
              <w:t>30</w:t>
            </w:r>
            <w:r>
              <w:rPr>
                <w:rFonts w:hint="eastAsia" w:ascii="宋体" w:hAnsi="宋体" w:cs="宋体"/>
                <w:kern w:val="0"/>
                <w:sz w:val="18"/>
                <w:szCs w:val="18"/>
              </w:rPr>
              <w:t>分)</w:t>
            </w:r>
          </w:p>
        </w:tc>
        <w:tc>
          <w:tcPr>
            <w:tcW w:w="1239" w:type="dxa"/>
            <w:tcBorders>
              <w:left w:val="single" w:color="auto" w:sz="4" w:space="0"/>
              <w:right w:val="single" w:color="auto" w:sz="4" w:space="0"/>
            </w:tcBorders>
            <w:vAlign w:val="center"/>
          </w:tcPr>
          <w:p w14:paraId="40E0239D">
            <w:pPr>
              <w:pStyle w:val="60"/>
              <w:rPr>
                <w:rFonts w:hint="eastAsia"/>
                <w:b/>
                <w:bCs/>
                <w:sz w:val="18"/>
                <w:szCs w:val="18"/>
              </w:rPr>
            </w:pPr>
            <w:r>
              <w:rPr>
                <w:rFonts w:hint="eastAsia"/>
                <w:b/>
                <w:bCs/>
                <w:sz w:val="18"/>
                <w:szCs w:val="18"/>
              </w:rPr>
              <w:t>投标人</w:t>
            </w:r>
            <w:r>
              <w:rPr>
                <w:rFonts w:hint="eastAsia"/>
                <w:b/>
                <w:bCs/>
                <w:sz w:val="18"/>
                <w:szCs w:val="18"/>
                <w:lang w:val="en-US" w:eastAsia="zh-CN"/>
              </w:rPr>
              <w:t>体系认证</w:t>
            </w:r>
            <w:r>
              <w:rPr>
                <w:rFonts w:hint="eastAsia"/>
                <w:b/>
                <w:bCs/>
                <w:sz w:val="18"/>
                <w:szCs w:val="18"/>
              </w:rPr>
              <w:t>情况</w:t>
            </w:r>
          </w:p>
        </w:tc>
        <w:tc>
          <w:tcPr>
            <w:tcW w:w="4998" w:type="dxa"/>
            <w:tcBorders>
              <w:top w:val="single" w:color="auto" w:sz="4" w:space="0"/>
              <w:left w:val="nil"/>
              <w:bottom w:val="single" w:color="auto" w:sz="4" w:space="0"/>
              <w:right w:val="single" w:color="auto" w:sz="4" w:space="0"/>
            </w:tcBorders>
            <w:vAlign w:val="center"/>
          </w:tcPr>
          <w:p w14:paraId="71C30B49">
            <w:pPr>
              <w:numPr>
                <w:ilvl w:val="255"/>
                <w:numId w:val="0"/>
              </w:numPr>
              <w:spacing w:line="240" w:lineRule="auto"/>
              <w:rPr>
                <w:rFonts w:ascii="仿宋_GB2312"/>
                <w:sz w:val="18"/>
                <w:szCs w:val="18"/>
              </w:rPr>
            </w:pPr>
            <w:r>
              <w:rPr>
                <w:rFonts w:hint="eastAsia" w:ascii="仿宋_GB2312"/>
                <w:sz w:val="18"/>
                <w:szCs w:val="18"/>
              </w:rPr>
              <w:t>投标人具备ISO质量管理体系认证证书。</w:t>
            </w:r>
          </w:p>
        </w:tc>
        <w:tc>
          <w:tcPr>
            <w:tcW w:w="2977" w:type="dxa"/>
            <w:tcBorders>
              <w:top w:val="single" w:color="auto" w:sz="4" w:space="0"/>
              <w:left w:val="nil"/>
              <w:bottom w:val="single" w:color="auto" w:sz="4" w:space="0"/>
              <w:right w:val="single" w:color="auto" w:sz="4" w:space="0"/>
            </w:tcBorders>
            <w:vAlign w:val="center"/>
          </w:tcPr>
          <w:p w14:paraId="6294D3C6">
            <w:pPr>
              <w:spacing w:line="240" w:lineRule="auto"/>
              <w:ind w:firstLine="0" w:firstLineChars="0"/>
              <w:rPr>
                <w:rFonts w:ascii="仿宋_GB2312"/>
                <w:sz w:val="18"/>
                <w:szCs w:val="18"/>
              </w:rPr>
            </w:pPr>
            <w:r>
              <w:rPr>
                <w:rFonts w:hint="eastAsia" w:ascii="仿宋_GB2312"/>
                <w:sz w:val="18"/>
                <w:szCs w:val="18"/>
              </w:rPr>
              <w:t>得</w:t>
            </w:r>
            <w:r>
              <w:rPr>
                <w:rFonts w:hint="eastAsia" w:ascii="仿宋_GB2312"/>
                <w:sz w:val="18"/>
                <w:szCs w:val="18"/>
                <w:lang w:val="en-US" w:eastAsia="zh-CN"/>
              </w:rPr>
              <w:t>2</w:t>
            </w:r>
            <w:r>
              <w:rPr>
                <w:rFonts w:hint="eastAsia" w:ascii="仿宋_GB2312"/>
                <w:sz w:val="18"/>
                <w:szCs w:val="18"/>
              </w:rPr>
              <w:t>分</w:t>
            </w:r>
            <w:r>
              <w:rPr>
                <w:rFonts w:hint="eastAsia" w:ascii="仿宋_GB2312"/>
                <w:sz w:val="18"/>
                <w:szCs w:val="18"/>
                <w:lang w:eastAsia="zh-CN"/>
              </w:rPr>
              <w:t>；没有则不得分</w:t>
            </w:r>
            <w:r>
              <w:rPr>
                <w:rFonts w:hint="eastAsia" w:ascii="仿宋_GB2312"/>
                <w:sz w:val="18"/>
                <w:szCs w:val="18"/>
              </w:rPr>
              <w:t>。</w:t>
            </w:r>
          </w:p>
        </w:tc>
        <w:tc>
          <w:tcPr>
            <w:tcW w:w="709" w:type="dxa"/>
            <w:tcBorders>
              <w:left w:val="single" w:color="auto" w:sz="4" w:space="0"/>
              <w:bottom w:val="single" w:color="auto" w:sz="4" w:space="0"/>
              <w:right w:val="single" w:color="auto" w:sz="4" w:space="0"/>
            </w:tcBorders>
            <w:vAlign w:val="center"/>
          </w:tcPr>
          <w:p w14:paraId="028D2E45">
            <w:pPr>
              <w:spacing w:line="240" w:lineRule="auto"/>
              <w:ind w:firstLine="0" w:firstLineChars="0"/>
              <w:jc w:val="center"/>
              <w:rPr>
                <w:rFonts w:ascii="仿宋_GB2312"/>
                <w:sz w:val="18"/>
                <w:szCs w:val="18"/>
              </w:rPr>
            </w:pPr>
            <w:r>
              <w:rPr>
                <w:rFonts w:hint="eastAsia" w:ascii="仿宋_GB2312"/>
                <w:sz w:val="18"/>
                <w:szCs w:val="18"/>
                <w:lang w:val="en-US" w:eastAsia="zh-CN"/>
              </w:rPr>
              <w:t>2</w:t>
            </w:r>
            <w:r>
              <w:rPr>
                <w:rFonts w:hint="eastAsia" w:ascii="仿宋_GB2312"/>
                <w:sz w:val="18"/>
                <w:szCs w:val="18"/>
              </w:rPr>
              <w:t>分</w:t>
            </w:r>
          </w:p>
        </w:tc>
        <w:tc>
          <w:tcPr>
            <w:tcW w:w="4252" w:type="dxa"/>
            <w:tcBorders>
              <w:left w:val="single" w:color="auto" w:sz="4" w:space="0"/>
              <w:right w:val="single" w:color="auto" w:sz="4" w:space="0"/>
            </w:tcBorders>
            <w:vAlign w:val="center"/>
          </w:tcPr>
          <w:p w14:paraId="7D34D0A6">
            <w:pPr>
              <w:spacing w:line="240" w:lineRule="auto"/>
              <w:ind w:firstLine="0" w:firstLineChars="0"/>
              <w:rPr>
                <w:rFonts w:ascii="仿宋_GB2312"/>
                <w:sz w:val="18"/>
                <w:szCs w:val="18"/>
              </w:rPr>
            </w:pPr>
            <w:r>
              <w:rPr>
                <w:rFonts w:hint="eastAsia" w:ascii="仿宋_GB2312"/>
                <w:sz w:val="18"/>
                <w:szCs w:val="18"/>
              </w:rPr>
              <w:t>需提供证书的扫描件或复印件，并加盖公章。</w:t>
            </w:r>
          </w:p>
        </w:tc>
      </w:tr>
      <w:tr w14:paraId="0750DF93">
        <w:tblPrEx>
          <w:tblCellMar>
            <w:top w:w="0" w:type="dxa"/>
            <w:left w:w="108" w:type="dxa"/>
            <w:bottom w:w="0" w:type="dxa"/>
            <w:right w:w="108" w:type="dxa"/>
          </w:tblCellMar>
        </w:tblPrEx>
        <w:trPr>
          <w:trHeight w:val="269" w:hRule="atLeast"/>
          <w:jc w:val="center"/>
        </w:trPr>
        <w:tc>
          <w:tcPr>
            <w:tcW w:w="424" w:type="dxa"/>
            <w:tcBorders>
              <w:top w:val="nil"/>
              <w:left w:val="single" w:color="auto" w:sz="4" w:space="0"/>
              <w:bottom w:val="single" w:color="auto" w:sz="4" w:space="0"/>
              <w:right w:val="single" w:color="auto" w:sz="4" w:space="0"/>
            </w:tcBorders>
            <w:vAlign w:val="center"/>
          </w:tcPr>
          <w:p w14:paraId="78F5BBD6">
            <w:pPr>
              <w:widowControl/>
              <w:ind w:firstLine="0"/>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p>
        </w:tc>
        <w:tc>
          <w:tcPr>
            <w:tcW w:w="960" w:type="dxa"/>
            <w:vMerge w:val="continue"/>
            <w:tcBorders>
              <w:left w:val="single" w:color="auto" w:sz="4" w:space="0"/>
              <w:right w:val="nil"/>
            </w:tcBorders>
            <w:vAlign w:val="center"/>
          </w:tcPr>
          <w:p w14:paraId="0633EFDD">
            <w:pPr>
              <w:spacing w:line="240" w:lineRule="auto"/>
              <w:ind w:firstLine="360"/>
              <w:rPr>
                <w:rFonts w:hint="eastAsia" w:ascii="宋体" w:hAnsi="宋体" w:cs="宋体"/>
                <w:kern w:val="0"/>
                <w:sz w:val="18"/>
                <w:szCs w:val="18"/>
              </w:rPr>
            </w:pPr>
          </w:p>
        </w:tc>
        <w:tc>
          <w:tcPr>
            <w:tcW w:w="1239" w:type="dxa"/>
            <w:vMerge w:val="restart"/>
            <w:tcBorders>
              <w:top w:val="single" w:color="auto" w:sz="4" w:space="0"/>
              <w:left w:val="single" w:color="auto" w:sz="4" w:space="0"/>
              <w:right w:val="single" w:color="auto" w:sz="4" w:space="0"/>
            </w:tcBorders>
            <w:vAlign w:val="center"/>
          </w:tcPr>
          <w:p w14:paraId="1185B326">
            <w:pPr>
              <w:pStyle w:val="60"/>
              <w:rPr>
                <w:rFonts w:hint="eastAsia" w:ascii="宋体" w:hAnsi="宋体"/>
                <w:b/>
                <w:bCs/>
                <w:sz w:val="18"/>
                <w:szCs w:val="18"/>
              </w:rPr>
            </w:pPr>
            <w:r>
              <w:rPr>
                <w:rFonts w:hint="eastAsia"/>
                <w:b/>
                <w:bCs/>
                <w:sz w:val="18"/>
                <w:szCs w:val="18"/>
              </w:rPr>
              <w:t>投标人业绩经验</w:t>
            </w:r>
          </w:p>
        </w:tc>
        <w:tc>
          <w:tcPr>
            <w:tcW w:w="4998" w:type="dxa"/>
            <w:tcBorders>
              <w:top w:val="nil"/>
              <w:left w:val="nil"/>
              <w:bottom w:val="single" w:color="auto" w:sz="4" w:space="0"/>
              <w:right w:val="single" w:color="auto" w:sz="4" w:space="0"/>
            </w:tcBorders>
            <w:vAlign w:val="center"/>
          </w:tcPr>
          <w:p w14:paraId="513685AE">
            <w:pPr>
              <w:numPr>
                <w:ilvl w:val="255"/>
                <w:numId w:val="0"/>
              </w:numPr>
              <w:spacing w:line="240" w:lineRule="auto"/>
              <w:rPr>
                <w:rFonts w:hint="default" w:ascii="仿宋_GB2312" w:eastAsia="宋体"/>
                <w:sz w:val="18"/>
                <w:szCs w:val="18"/>
                <w:lang w:val="en-US" w:eastAsia="zh-CN"/>
              </w:rPr>
            </w:pPr>
            <w:r>
              <w:rPr>
                <w:rFonts w:hint="eastAsia" w:ascii="仿宋_GB2312"/>
                <w:sz w:val="18"/>
                <w:szCs w:val="18"/>
              </w:rPr>
              <w:t>投标人具有</w:t>
            </w:r>
            <w:r>
              <w:rPr>
                <w:rFonts w:hint="eastAsia" w:ascii="仿宋_GB2312"/>
                <w:sz w:val="18"/>
                <w:szCs w:val="18"/>
                <w:lang w:val="en-US" w:eastAsia="zh-CN"/>
              </w:rPr>
              <w:t>2020年1月1日后</w:t>
            </w:r>
            <w:r>
              <w:rPr>
                <w:rFonts w:hint="eastAsia" w:ascii="仿宋_GB2312"/>
                <w:sz w:val="18"/>
                <w:szCs w:val="18"/>
              </w:rPr>
              <w:t>全国范围内</w:t>
            </w:r>
            <w:r>
              <w:rPr>
                <w:rFonts w:hint="eastAsia" w:ascii="仿宋_GB2312"/>
                <w:sz w:val="18"/>
                <w:szCs w:val="18"/>
                <w:lang w:val="en-US" w:eastAsia="zh-CN"/>
              </w:rPr>
              <w:t>综合型</w:t>
            </w:r>
            <w:r>
              <w:rPr>
                <w:rFonts w:hint="eastAsia" w:ascii="仿宋_GB2312"/>
                <w:sz w:val="18"/>
                <w:szCs w:val="18"/>
              </w:rPr>
              <w:t>咨询项目服务经验</w:t>
            </w:r>
            <w:r>
              <w:rPr>
                <w:rFonts w:hint="eastAsia" w:ascii="仿宋_GB2312"/>
                <w:sz w:val="18"/>
                <w:szCs w:val="18"/>
                <w:lang w:eastAsia="zh-CN"/>
              </w:rPr>
              <w:t>，</w:t>
            </w:r>
            <w:r>
              <w:rPr>
                <w:rFonts w:hint="eastAsia" w:ascii="仿宋_GB2312"/>
                <w:sz w:val="18"/>
                <w:szCs w:val="18"/>
                <w:lang w:val="en-US" w:eastAsia="zh-CN"/>
              </w:rPr>
              <w:t>单个项目须同时具备</w:t>
            </w:r>
            <w:r>
              <w:rPr>
                <w:rFonts w:hint="eastAsia" w:ascii="仿宋_GB2312"/>
                <w:sz w:val="18"/>
                <w:szCs w:val="18"/>
              </w:rPr>
              <w:t>战略规划、组织管控、人力资源方面</w:t>
            </w:r>
            <w:r>
              <w:rPr>
                <w:rFonts w:hint="eastAsia" w:ascii="仿宋_GB2312"/>
                <w:sz w:val="18"/>
                <w:szCs w:val="18"/>
                <w:lang w:val="en-US" w:eastAsia="zh-CN"/>
              </w:rPr>
              <w:t>服务内容</w:t>
            </w:r>
            <w:r>
              <w:rPr>
                <w:rFonts w:hint="eastAsia" w:ascii="仿宋_GB2312"/>
                <w:sz w:val="18"/>
                <w:szCs w:val="18"/>
                <w:lang w:eastAsia="zh-CN"/>
              </w:rPr>
              <w:t>。</w:t>
            </w:r>
          </w:p>
        </w:tc>
        <w:tc>
          <w:tcPr>
            <w:tcW w:w="2977" w:type="dxa"/>
            <w:tcBorders>
              <w:top w:val="nil"/>
              <w:left w:val="nil"/>
              <w:bottom w:val="single" w:color="auto" w:sz="4" w:space="0"/>
              <w:right w:val="single" w:color="auto" w:sz="4" w:space="0"/>
            </w:tcBorders>
            <w:vAlign w:val="center"/>
          </w:tcPr>
          <w:p w14:paraId="33B34BFD">
            <w:pPr>
              <w:spacing w:line="240" w:lineRule="auto"/>
              <w:ind w:firstLine="0" w:firstLineChars="0"/>
              <w:rPr>
                <w:rFonts w:hint="eastAsia" w:ascii="仿宋_GB2312" w:eastAsia="宋体"/>
                <w:sz w:val="18"/>
                <w:szCs w:val="18"/>
                <w:lang w:eastAsia="zh-CN"/>
              </w:rPr>
            </w:pPr>
            <w:r>
              <w:rPr>
                <w:rFonts w:hint="eastAsia" w:ascii="仿宋_GB2312"/>
                <w:sz w:val="18"/>
                <w:szCs w:val="18"/>
                <w:lang w:val="en-US" w:eastAsia="zh-CN"/>
              </w:rPr>
              <w:t>符合要求的项目3分/个，最高得9分，不提供项目不得分。</w:t>
            </w:r>
          </w:p>
        </w:tc>
        <w:tc>
          <w:tcPr>
            <w:tcW w:w="709" w:type="dxa"/>
            <w:vMerge w:val="restart"/>
            <w:tcBorders>
              <w:top w:val="single" w:color="auto" w:sz="4" w:space="0"/>
              <w:left w:val="single" w:color="auto" w:sz="4" w:space="0"/>
              <w:right w:val="single" w:color="auto" w:sz="4" w:space="0"/>
            </w:tcBorders>
            <w:vAlign w:val="center"/>
          </w:tcPr>
          <w:p w14:paraId="0076F258">
            <w:pPr>
              <w:spacing w:line="240" w:lineRule="auto"/>
              <w:ind w:firstLine="0" w:firstLineChars="0"/>
              <w:jc w:val="center"/>
              <w:rPr>
                <w:rFonts w:ascii="仿宋_GB2312"/>
                <w:sz w:val="18"/>
                <w:szCs w:val="18"/>
              </w:rPr>
            </w:pPr>
            <w:r>
              <w:rPr>
                <w:rFonts w:hint="eastAsia" w:ascii="仿宋_GB2312"/>
                <w:sz w:val="18"/>
                <w:szCs w:val="18"/>
                <w:lang w:val="en-US" w:eastAsia="zh-CN"/>
              </w:rPr>
              <w:t>15</w:t>
            </w:r>
            <w:r>
              <w:rPr>
                <w:rFonts w:hint="eastAsia" w:ascii="仿宋_GB2312"/>
                <w:sz w:val="18"/>
                <w:szCs w:val="18"/>
              </w:rPr>
              <w:t>分</w:t>
            </w:r>
          </w:p>
        </w:tc>
        <w:tc>
          <w:tcPr>
            <w:tcW w:w="4252" w:type="dxa"/>
            <w:vMerge w:val="restart"/>
            <w:tcBorders>
              <w:top w:val="single" w:color="auto" w:sz="4" w:space="0"/>
              <w:left w:val="single" w:color="auto" w:sz="4" w:space="0"/>
              <w:right w:val="single" w:color="auto" w:sz="4" w:space="0"/>
            </w:tcBorders>
            <w:vAlign w:val="center"/>
          </w:tcPr>
          <w:p w14:paraId="6E3BCDBE">
            <w:pPr>
              <w:widowControl/>
              <w:spacing w:line="240" w:lineRule="auto"/>
              <w:ind w:firstLine="0" w:firstLineChars="0"/>
              <w:rPr>
                <w:rFonts w:hint="default" w:ascii="仿宋_GB2312" w:eastAsia="宋体"/>
                <w:sz w:val="18"/>
                <w:szCs w:val="18"/>
                <w:lang w:val="en-US" w:eastAsia="zh-CN"/>
              </w:rPr>
            </w:pPr>
            <w:r>
              <w:rPr>
                <w:rFonts w:hint="eastAsia" w:ascii="仿宋_GB2312"/>
                <w:sz w:val="18"/>
                <w:szCs w:val="18"/>
              </w:rPr>
              <w:t>提供所参与项目合同关键页复印件或过往投标文件关键页及中标通知书复印件</w:t>
            </w:r>
            <w:r>
              <w:rPr>
                <w:rFonts w:hint="eastAsia" w:ascii="仿宋_GB2312"/>
                <w:sz w:val="18"/>
                <w:szCs w:val="18"/>
                <w:lang w:val="en-US" w:eastAsia="zh-CN"/>
              </w:rPr>
              <w:t>等证明文件</w:t>
            </w:r>
            <w:r>
              <w:rPr>
                <w:rFonts w:hint="eastAsia" w:ascii="仿宋_GB2312"/>
                <w:sz w:val="18"/>
                <w:szCs w:val="18"/>
              </w:rPr>
              <w:t>，并加盖公章。</w:t>
            </w:r>
            <w:r>
              <w:rPr>
                <w:rFonts w:hint="eastAsia" w:ascii="仿宋_GB2312"/>
                <w:sz w:val="18"/>
                <w:szCs w:val="18"/>
                <w:lang w:val="en-US" w:eastAsia="zh-CN"/>
              </w:rPr>
              <w:t>项目同时满足综合型服务及特定行业要求的，可重复计分。</w:t>
            </w:r>
          </w:p>
        </w:tc>
      </w:tr>
      <w:tr w14:paraId="604467F2">
        <w:tblPrEx>
          <w:tblCellMar>
            <w:top w:w="0" w:type="dxa"/>
            <w:left w:w="108" w:type="dxa"/>
            <w:bottom w:w="0" w:type="dxa"/>
            <w:right w:w="108" w:type="dxa"/>
          </w:tblCellMar>
        </w:tblPrEx>
        <w:trPr>
          <w:trHeight w:val="638" w:hRule="atLeast"/>
          <w:jc w:val="center"/>
        </w:trPr>
        <w:tc>
          <w:tcPr>
            <w:tcW w:w="424" w:type="dxa"/>
            <w:tcBorders>
              <w:top w:val="single" w:color="auto" w:sz="4" w:space="0"/>
              <w:left w:val="single" w:color="auto" w:sz="4" w:space="0"/>
              <w:bottom w:val="single" w:color="auto" w:sz="4" w:space="0"/>
              <w:right w:val="single" w:color="auto" w:sz="4" w:space="0"/>
            </w:tcBorders>
            <w:vAlign w:val="center"/>
          </w:tcPr>
          <w:p w14:paraId="46C68CCF">
            <w:pPr>
              <w:widowControl/>
              <w:ind w:firstLine="0"/>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960" w:type="dxa"/>
            <w:vMerge w:val="continue"/>
            <w:tcBorders>
              <w:left w:val="single" w:color="auto" w:sz="4" w:space="0"/>
              <w:right w:val="nil"/>
            </w:tcBorders>
            <w:vAlign w:val="center"/>
          </w:tcPr>
          <w:p w14:paraId="6A0D0E94">
            <w:pPr>
              <w:spacing w:line="240" w:lineRule="auto"/>
              <w:ind w:firstLine="360"/>
              <w:rPr>
                <w:rFonts w:hint="eastAsia" w:ascii="宋体" w:hAnsi="宋体" w:cs="宋体"/>
                <w:kern w:val="0"/>
                <w:sz w:val="18"/>
                <w:szCs w:val="18"/>
              </w:rPr>
            </w:pPr>
          </w:p>
        </w:tc>
        <w:tc>
          <w:tcPr>
            <w:tcW w:w="1239" w:type="dxa"/>
            <w:vMerge w:val="continue"/>
            <w:tcBorders>
              <w:left w:val="single" w:color="auto" w:sz="4" w:space="0"/>
              <w:right w:val="single" w:color="auto" w:sz="4" w:space="0"/>
            </w:tcBorders>
            <w:vAlign w:val="center"/>
          </w:tcPr>
          <w:p w14:paraId="2ED433D7">
            <w:pPr>
              <w:pStyle w:val="60"/>
              <w:rPr>
                <w:rFonts w:hint="eastAsia" w:ascii="宋体" w:hAnsi="宋体"/>
                <w:b/>
                <w:bCs/>
                <w:sz w:val="18"/>
                <w:szCs w:val="18"/>
              </w:rPr>
            </w:pPr>
          </w:p>
        </w:tc>
        <w:tc>
          <w:tcPr>
            <w:tcW w:w="4998" w:type="dxa"/>
            <w:tcBorders>
              <w:top w:val="single" w:color="auto" w:sz="4" w:space="0"/>
              <w:left w:val="single" w:color="auto" w:sz="4" w:space="0"/>
              <w:right w:val="single" w:color="auto" w:sz="4" w:space="0"/>
            </w:tcBorders>
            <w:vAlign w:val="center"/>
          </w:tcPr>
          <w:p w14:paraId="0F9C398A">
            <w:pPr>
              <w:pStyle w:val="60"/>
              <w:rPr>
                <w:rFonts w:hint="default" w:hAnsi="Times New Roman"/>
                <w:strike/>
                <w:color w:val="auto"/>
                <w:kern w:val="2"/>
                <w:sz w:val="18"/>
                <w:szCs w:val="18"/>
                <w:lang w:val="en-US" w:eastAsia="zh-CN"/>
              </w:rPr>
            </w:pPr>
            <w:r>
              <w:rPr>
                <w:rFonts w:hint="eastAsia" w:hAnsi="Times New Roman"/>
                <w:strike w:val="0"/>
                <w:color w:val="auto"/>
                <w:kern w:val="2"/>
                <w:sz w:val="18"/>
                <w:szCs w:val="18"/>
                <w:lang w:val="en-US" w:eastAsia="zh-CN"/>
              </w:rPr>
              <w:t>投标人具有</w:t>
            </w:r>
            <w:r>
              <w:rPr>
                <w:rFonts w:hint="eastAsia" w:ascii="仿宋_GB2312"/>
                <w:sz w:val="18"/>
                <w:szCs w:val="18"/>
                <w:lang w:val="en-US" w:eastAsia="zh-CN"/>
              </w:rPr>
              <w:t>2020年1月1日后</w:t>
            </w:r>
            <w:r>
              <w:rPr>
                <w:rFonts w:hint="eastAsia" w:ascii="仿宋_GB2312"/>
                <w:sz w:val="18"/>
                <w:szCs w:val="18"/>
              </w:rPr>
              <w:t>全国范围内</w:t>
            </w:r>
            <w:r>
              <w:rPr>
                <w:rFonts w:hint="eastAsia" w:hAnsi="Times New Roman"/>
                <w:strike w:val="0"/>
                <w:color w:val="auto"/>
                <w:kern w:val="2"/>
                <w:sz w:val="18"/>
                <w:szCs w:val="18"/>
                <w:lang w:val="en-US" w:eastAsia="zh-CN"/>
              </w:rPr>
              <w:t>数字经济、文旅、港航物流任一行业咨询项目服务经验。</w:t>
            </w:r>
          </w:p>
        </w:tc>
        <w:tc>
          <w:tcPr>
            <w:tcW w:w="2977" w:type="dxa"/>
            <w:tcBorders>
              <w:top w:val="single" w:color="auto" w:sz="4" w:space="0"/>
              <w:left w:val="single" w:color="auto" w:sz="4" w:space="0"/>
              <w:right w:val="single" w:color="auto" w:sz="4" w:space="0"/>
            </w:tcBorders>
            <w:vAlign w:val="center"/>
          </w:tcPr>
          <w:p w14:paraId="79B131BA">
            <w:pPr>
              <w:pStyle w:val="2"/>
              <w:widowControl w:val="0"/>
              <w:numPr>
                <w:ilvl w:val="-1"/>
                <w:numId w:val="0"/>
              </w:numPr>
              <w:rPr>
                <w:rFonts w:hint="eastAsia" w:ascii="仿宋_GB2312" w:hAnsi="仿宋_GB2312" w:cs="仿宋_GB2312"/>
                <w:kern w:val="0"/>
                <w:sz w:val="18"/>
                <w:szCs w:val="18"/>
                <w:lang w:val="en-US" w:eastAsia="zh-CN"/>
              </w:rPr>
            </w:pPr>
            <w:r>
              <w:rPr>
                <w:rFonts w:hint="eastAsia" w:ascii="仿宋_GB2312"/>
                <w:sz w:val="18"/>
                <w:szCs w:val="18"/>
                <w:lang w:val="en-US" w:eastAsia="zh-CN"/>
              </w:rPr>
              <w:t>符合要求的项目3分/个，最高得6分，不提供项目不得分。</w:t>
            </w:r>
          </w:p>
        </w:tc>
        <w:tc>
          <w:tcPr>
            <w:tcW w:w="709" w:type="dxa"/>
            <w:vMerge w:val="continue"/>
            <w:tcBorders>
              <w:left w:val="single" w:color="auto" w:sz="4" w:space="0"/>
              <w:right w:val="single" w:color="auto" w:sz="4" w:space="0"/>
            </w:tcBorders>
            <w:vAlign w:val="center"/>
          </w:tcPr>
          <w:p w14:paraId="7F3E9717">
            <w:pPr>
              <w:spacing w:line="240" w:lineRule="auto"/>
              <w:ind w:firstLine="0" w:firstLineChars="0"/>
              <w:jc w:val="center"/>
              <w:rPr>
                <w:rFonts w:hint="eastAsia" w:ascii="仿宋_GB2312" w:hAnsi="仿宋_GB2312" w:cs="仿宋_GB2312"/>
                <w:kern w:val="0"/>
                <w:sz w:val="18"/>
                <w:szCs w:val="18"/>
                <w:lang w:val="en-US" w:eastAsia="zh-CN"/>
              </w:rPr>
            </w:pPr>
          </w:p>
        </w:tc>
        <w:tc>
          <w:tcPr>
            <w:tcW w:w="4252" w:type="dxa"/>
            <w:vMerge w:val="continue"/>
            <w:tcBorders>
              <w:left w:val="single" w:color="auto" w:sz="4" w:space="0"/>
              <w:right w:val="single" w:color="auto" w:sz="4" w:space="0"/>
            </w:tcBorders>
            <w:vAlign w:val="center"/>
          </w:tcPr>
          <w:p w14:paraId="1E154AD2">
            <w:pPr>
              <w:spacing w:line="240" w:lineRule="auto"/>
              <w:ind w:firstLine="0" w:firstLineChars="0"/>
              <w:rPr>
                <w:rFonts w:hint="eastAsia" w:ascii="仿宋_GB2312" w:hAnsi="仿宋_GB2312" w:cs="仿宋_GB2312"/>
                <w:kern w:val="0"/>
                <w:sz w:val="18"/>
                <w:szCs w:val="18"/>
              </w:rPr>
            </w:pPr>
          </w:p>
        </w:tc>
      </w:tr>
      <w:tr w14:paraId="5DF96821">
        <w:tblPrEx>
          <w:tblCellMar>
            <w:top w:w="0" w:type="dxa"/>
            <w:left w:w="108" w:type="dxa"/>
            <w:bottom w:w="0" w:type="dxa"/>
            <w:right w:w="108" w:type="dxa"/>
          </w:tblCellMar>
        </w:tblPrEx>
        <w:trPr>
          <w:trHeight w:val="2456" w:hRule="atLeast"/>
          <w:jc w:val="center"/>
        </w:trPr>
        <w:tc>
          <w:tcPr>
            <w:tcW w:w="424" w:type="dxa"/>
            <w:tcBorders>
              <w:top w:val="single" w:color="auto" w:sz="4" w:space="0"/>
              <w:left w:val="single" w:color="auto" w:sz="4" w:space="0"/>
              <w:bottom w:val="single" w:color="auto" w:sz="4" w:space="0"/>
              <w:right w:val="single" w:color="auto" w:sz="4" w:space="0"/>
            </w:tcBorders>
            <w:vAlign w:val="center"/>
          </w:tcPr>
          <w:p w14:paraId="449DB87C">
            <w:pPr>
              <w:widowControl/>
              <w:ind w:firstLine="0"/>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p>
        </w:tc>
        <w:tc>
          <w:tcPr>
            <w:tcW w:w="960" w:type="dxa"/>
            <w:vMerge w:val="continue"/>
            <w:tcBorders>
              <w:left w:val="single" w:color="auto" w:sz="4" w:space="0"/>
              <w:right w:val="nil"/>
            </w:tcBorders>
            <w:vAlign w:val="center"/>
          </w:tcPr>
          <w:p w14:paraId="71BB3BB8">
            <w:pPr>
              <w:spacing w:line="240" w:lineRule="auto"/>
              <w:ind w:firstLine="360"/>
              <w:rPr>
                <w:rFonts w:hint="eastAsia" w:ascii="宋体" w:hAnsi="宋体" w:cs="宋体"/>
                <w:kern w:val="0"/>
                <w:sz w:val="18"/>
                <w:szCs w:val="18"/>
              </w:rPr>
            </w:pPr>
          </w:p>
        </w:tc>
        <w:tc>
          <w:tcPr>
            <w:tcW w:w="1239" w:type="dxa"/>
            <w:tcBorders>
              <w:top w:val="single" w:color="auto" w:sz="4" w:space="0"/>
              <w:left w:val="single" w:color="auto" w:sz="4" w:space="0"/>
              <w:right w:val="single" w:color="auto" w:sz="4" w:space="0"/>
            </w:tcBorders>
            <w:vAlign w:val="center"/>
          </w:tcPr>
          <w:p w14:paraId="36EEF768">
            <w:pPr>
              <w:pStyle w:val="60"/>
              <w:rPr>
                <w:rFonts w:hint="eastAsia" w:ascii="宋体" w:hAnsi="宋体"/>
                <w:b/>
                <w:bCs/>
                <w:sz w:val="18"/>
                <w:szCs w:val="18"/>
              </w:rPr>
            </w:pPr>
            <w:r>
              <w:rPr>
                <w:rFonts w:hint="eastAsia" w:ascii="宋体" w:hAnsi="宋体"/>
                <w:b/>
                <w:bCs/>
                <w:sz w:val="18"/>
                <w:szCs w:val="18"/>
              </w:rPr>
              <w:t>项目负责人</w:t>
            </w:r>
          </w:p>
        </w:tc>
        <w:tc>
          <w:tcPr>
            <w:tcW w:w="4998" w:type="dxa"/>
            <w:tcBorders>
              <w:top w:val="single" w:color="auto" w:sz="4" w:space="0"/>
              <w:left w:val="single" w:color="auto" w:sz="4" w:space="0"/>
              <w:right w:val="single" w:color="auto" w:sz="4" w:space="0"/>
            </w:tcBorders>
            <w:vAlign w:val="center"/>
          </w:tcPr>
          <w:p w14:paraId="08962A79">
            <w:pPr>
              <w:pStyle w:val="60"/>
              <w:numPr>
                <w:ilvl w:val="-1"/>
                <w:numId w:val="0"/>
              </w:numPr>
              <w:tabs>
                <w:tab w:val="clear" w:pos="312"/>
              </w:tabs>
              <w:rPr>
                <w:rFonts w:hint="eastAsia" w:hAnsi="Times New Roman"/>
                <w:color w:val="auto"/>
                <w:kern w:val="2"/>
                <w:sz w:val="18"/>
                <w:szCs w:val="18"/>
                <w:lang w:eastAsia="zh-CN"/>
              </w:rPr>
            </w:pPr>
            <w:r>
              <w:rPr>
                <w:rFonts w:hint="eastAsia" w:hAnsi="Times New Roman"/>
                <w:color w:val="auto"/>
                <w:kern w:val="2"/>
                <w:sz w:val="18"/>
                <w:szCs w:val="18"/>
                <w:lang w:val="en-US" w:eastAsia="zh-CN"/>
              </w:rPr>
              <w:t>1.项目负责人具有10年及以上管理咨询工作经验</w:t>
            </w:r>
            <w:r>
              <w:rPr>
                <w:rFonts w:hint="eastAsia" w:hAnsi="Times New Roman"/>
                <w:color w:val="auto"/>
                <w:kern w:val="2"/>
                <w:sz w:val="18"/>
                <w:szCs w:val="18"/>
                <w:lang w:eastAsia="zh-CN"/>
              </w:rPr>
              <w:t>；</w:t>
            </w:r>
          </w:p>
          <w:p w14:paraId="184872C6">
            <w:pPr>
              <w:pStyle w:val="60"/>
              <w:numPr>
                <w:ilvl w:val="0"/>
                <w:numId w:val="0"/>
              </w:numPr>
              <w:tabs>
                <w:tab w:val="clear" w:pos="312"/>
              </w:tabs>
              <w:rPr>
                <w:rFonts w:ascii="仿宋_GB2312"/>
                <w:sz w:val="18"/>
                <w:szCs w:val="18"/>
              </w:rPr>
            </w:pPr>
            <w:r>
              <w:rPr>
                <w:rFonts w:hint="eastAsia" w:hAnsi="Times New Roman"/>
                <w:color w:val="auto"/>
                <w:kern w:val="2"/>
                <w:sz w:val="18"/>
                <w:szCs w:val="18"/>
                <w:lang w:val="en-US" w:eastAsia="zh-CN"/>
              </w:rPr>
              <w:t>2.</w:t>
            </w:r>
            <w:r>
              <w:rPr>
                <w:rFonts w:hint="eastAsia" w:hAnsi="Times New Roman"/>
                <w:color w:val="auto"/>
                <w:kern w:val="2"/>
                <w:sz w:val="18"/>
                <w:szCs w:val="18"/>
              </w:rPr>
              <w:t>项目负责人担任过</w:t>
            </w:r>
            <w:r>
              <w:rPr>
                <w:rFonts w:hAnsi="Times New Roman"/>
                <w:color w:val="auto"/>
                <w:kern w:val="2"/>
                <w:sz w:val="18"/>
                <w:szCs w:val="18"/>
              </w:rPr>
              <w:t>5</w:t>
            </w:r>
            <w:r>
              <w:rPr>
                <w:rFonts w:hint="eastAsia" w:hAnsi="Times New Roman"/>
                <w:color w:val="auto"/>
                <w:kern w:val="2"/>
                <w:sz w:val="18"/>
                <w:szCs w:val="18"/>
              </w:rPr>
              <w:t>个以上战略规划</w:t>
            </w:r>
            <w:r>
              <w:rPr>
                <w:rFonts w:hint="eastAsia" w:hAnsi="Times New Roman"/>
                <w:color w:val="auto"/>
                <w:kern w:val="2"/>
                <w:sz w:val="18"/>
                <w:szCs w:val="18"/>
                <w:lang w:eastAsia="zh-CN"/>
              </w:rPr>
              <w:t>、</w:t>
            </w:r>
            <w:r>
              <w:rPr>
                <w:rFonts w:hint="eastAsia" w:hAnsi="Times New Roman"/>
                <w:color w:val="auto"/>
                <w:kern w:val="2"/>
                <w:sz w:val="18"/>
                <w:szCs w:val="18"/>
              </w:rPr>
              <w:t>组织</w:t>
            </w:r>
            <w:r>
              <w:rPr>
                <w:rFonts w:hint="eastAsia" w:hAnsi="Times New Roman"/>
                <w:color w:val="auto"/>
                <w:kern w:val="2"/>
                <w:sz w:val="18"/>
                <w:szCs w:val="18"/>
                <w:lang w:val="en-US" w:eastAsia="zh-CN"/>
              </w:rPr>
              <w:t>管控</w:t>
            </w:r>
            <w:r>
              <w:rPr>
                <w:rFonts w:hint="eastAsia" w:hAnsi="Times New Roman"/>
                <w:color w:val="auto"/>
                <w:kern w:val="2"/>
                <w:sz w:val="18"/>
                <w:szCs w:val="18"/>
                <w:lang w:eastAsia="zh-CN"/>
              </w:rPr>
              <w:t>、</w:t>
            </w:r>
            <w:r>
              <w:rPr>
                <w:rFonts w:hint="eastAsia" w:hAnsi="Times New Roman"/>
                <w:color w:val="auto"/>
                <w:kern w:val="2"/>
                <w:sz w:val="18"/>
                <w:szCs w:val="18"/>
              </w:rPr>
              <w:t>人力资源</w:t>
            </w:r>
            <w:r>
              <w:rPr>
                <w:rFonts w:hint="eastAsia" w:hAnsi="Times New Roman"/>
                <w:color w:val="auto"/>
                <w:kern w:val="2"/>
                <w:sz w:val="18"/>
                <w:szCs w:val="18"/>
                <w:lang w:val="en-US" w:eastAsia="zh-CN"/>
              </w:rPr>
              <w:t>任一方面咨询</w:t>
            </w:r>
            <w:r>
              <w:rPr>
                <w:rFonts w:hint="eastAsia" w:hAnsi="Times New Roman"/>
                <w:color w:val="auto"/>
                <w:kern w:val="2"/>
                <w:sz w:val="18"/>
                <w:szCs w:val="18"/>
              </w:rPr>
              <w:t>项目的项目负责人，</w:t>
            </w:r>
            <w:r>
              <w:rPr>
                <w:rFonts w:hint="eastAsia" w:hAnsi="Times New Roman"/>
                <w:color w:val="auto"/>
                <w:kern w:val="2"/>
                <w:sz w:val="18"/>
                <w:szCs w:val="18"/>
                <w:lang w:val="en-US" w:eastAsia="zh-CN"/>
              </w:rPr>
              <w:t>由</w:t>
            </w:r>
            <w:r>
              <w:rPr>
                <w:rFonts w:hint="eastAsia" w:hAnsi="Times New Roman"/>
                <w:color w:val="auto"/>
                <w:kern w:val="2"/>
                <w:sz w:val="18"/>
                <w:szCs w:val="18"/>
              </w:rPr>
              <w:t>甲方出具证明或合同注明</w:t>
            </w:r>
            <w:r>
              <w:rPr>
                <w:rFonts w:hint="eastAsia" w:hAnsi="Times New Roman"/>
                <w:color w:val="auto"/>
                <w:kern w:val="2"/>
                <w:sz w:val="18"/>
                <w:szCs w:val="18"/>
                <w:lang w:val="en-US" w:eastAsia="zh-CN"/>
              </w:rPr>
              <w:t>。</w:t>
            </w:r>
          </w:p>
        </w:tc>
        <w:tc>
          <w:tcPr>
            <w:tcW w:w="2977" w:type="dxa"/>
            <w:tcBorders>
              <w:top w:val="single" w:color="auto" w:sz="4" w:space="0"/>
              <w:left w:val="single" w:color="auto" w:sz="4" w:space="0"/>
              <w:right w:val="single" w:color="auto" w:sz="4" w:space="0"/>
            </w:tcBorders>
            <w:vAlign w:val="center"/>
          </w:tcPr>
          <w:p w14:paraId="6EEFB504">
            <w:pPr>
              <w:pStyle w:val="2"/>
              <w:widowControl w:val="0"/>
              <w:numPr>
                <w:ilvl w:val="-1"/>
                <w:numId w:val="0"/>
              </w:numPr>
              <w:spacing w:after="0"/>
              <w:rPr>
                <w:rFonts w:hint="eastAsia" w:ascii="仿宋_GB2312" w:hAnsi="仿宋_GB2312" w:eastAsia="宋体" w:cs="仿宋_GB2312"/>
                <w:kern w:val="0"/>
                <w:sz w:val="18"/>
                <w:szCs w:val="18"/>
                <w:lang w:eastAsia="zh-CN"/>
              </w:rPr>
            </w:pPr>
            <w:r>
              <w:rPr>
                <w:rFonts w:hint="eastAsia" w:ascii="仿宋_GB2312" w:hAnsi="仿宋_GB2312" w:cs="仿宋_GB2312"/>
                <w:kern w:val="0"/>
                <w:sz w:val="18"/>
                <w:szCs w:val="18"/>
                <w:lang w:val="en-US" w:eastAsia="zh-CN"/>
              </w:rPr>
              <w:t>1.</w:t>
            </w:r>
            <w:r>
              <w:rPr>
                <w:rFonts w:hint="eastAsia" w:ascii="仿宋_GB2312" w:hAnsi="仿宋_GB2312" w:cs="仿宋_GB2312"/>
                <w:kern w:val="0"/>
                <w:sz w:val="18"/>
                <w:szCs w:val="18"/>
              </w:rPr>
              <w:t>项目负责人具有13年及以上管理咨询工作经验，得5分；10-12年管理咨询工作经验</w:t>
            </w:r>
            <w:r>
              <w:rPr>
                <w:rFonts w:hint="eastAsia" w:ascii="仿宋_GB2312" w:hAnsi="仿宋_GB2312" w:cs="仿宋_GB2312"/>
                <w:kern w:val="0"/>
                <w:sz w:val="18"/>
                <w:szCs w:val="18"/>
                <w:lang w:val="en-US" w:eastAsia="zh-CN"/>
              </w:rPr>
              <w:t>得</w:t>
            </w:r>
            <w:r>
              <w:rPr>
                <w:rFonts w:hint="eastAsia" w:ascii="仿宋_GB2312" w:hAnsi="仿宋_GB2312" w:cs="仿宋_GB2312"/>
                <w:kern w:val="0"/>
                <w:sz w:val="18"/>
                <w:szCs w:val="18"/>
              </w:rPr>
              <w:t>2分；不足10年管理咨询工作经验不得分</w:t>
            </w:r>
            <w:r>
              <w:rPr>
                <w:rFonts w:hint="eastAsia" w:ascii="仿宋_GB2312" w:hAnsi="仿宋_GB2312" w:cs="仿宋_GB2312"/>
                <w:kern w:val="0"/>
                <w:sz w:val="18"/>
                <w:szCs w:val="18"/>
                <w:lang w:eastAsia="zh-CN"/>
              </w:rPr>
              <w:t>。</w:t>
            </w:r>
          </w:p>
          <w:p w14:paraId="7E9C0E03">
            <w:pPr>
              <w:pStyle w:val="2"/>
              <w:widowControl w:val="0"/>
              <w:numPr>
                <w:ilvl w:val="-1"/>
                <w:numId w:val="0"/>
              </w:numPr>
              <w:rPr>
                <w:rFonts w:hint="eastAsia" w:ascii="仿宋_GB2312" w:hAnsi="仿宋_GB2312" w:cs="仿宋_GB2312"/>
                <w:kern w:val="0"/>
                <w:sz w:val="18"/>
                <w:szCs w:val="18"/>
              </w:rPr>
            </w:pPr>
            <w:r>
              <w:rPr>
                <w:rFonts w:hint="eastAsia" w:ascii="仿宋_GB2312" w:hAnsi="仿宋_GB2312" w:cs="仿宋_GB2312"/>
                <w:kern w:val="0"/>
                <w:sz w:val="18"/>
                <w:szCs w:val="18"/>
                <w:lang w:val="en-US" w:eastAsia="zh-CN"/>
              </w:rPr>
              <w:t>2.项目负责人担任过10个及以上战略规划、组织管理、人力资源相关项目的项目负责人，得3分；5-9个的得1分；不足5个不得分。</w:t>
            </w:r>
          </w:p>
        </w:tc>
        <w:tc>
          <w:tcPr>
            <w:tcW w:w="709" w:type="dxa"/>
            <w:tcBorders>
              <w:top w:val="single" w:color="auto" w:sz="4" w:space="0"/>
              <w:left w:val="single" w:color="auto" w:sz="4" w:space="0"/>
              <w:right w:val="single" w:color="auto" w:sz="4" w:space="0"/>
            </w:tcBorders>
            <w:vAlign w:val="center"/>
          </w:tcPr>
          <w:p w14:paraId="60DCA84C">
            <w:pPr>
              <w:spacing w:line="240" w:lineRule="auto"/>
              <w:ind w:firstLine="0" w:firstLineChars="0"/>
              <w:jc w:val="center"/>
              <w:rPr>
                <w:rFonts w:hint="eastAsia" w:ascii="仿宋_GB2312" w:hAnsi="仿宋_GB2312" w:cs="仿宋_GB2312"/>
                <w:kern w:val="0"/>
                <w:sz w:val="18"/>
                <w:szCs w:val="18"/>
              </w:rPr>
            </w:pPr>
            <w:r>
              <w:rPr>
                <w:rFonts w:hint="eastAsia" w:ascii="仿宋_GB2312" w:hAnsi="仿宋_GB2312" w:cs="仿宋_GB2312"/>
                <w:kern w:val="0"/>
                <w:sz w:val="18"/>
                <w:szCs w:val="18"/>
                <w:lang w:val="en-US" w:eastAsia="zh-CN"/>
              </w:rPr>
              <w:t>8</w:t>
            </w:r>
            <w:r>
              <w:rPr>
                <w:rFonts w:hint="eastAsia" w:ascii="仿宋_GB2312" w:hAnsi="仿宋_GB2312" w:cs="仿宋_GB2312"/>
                <w:kern w:val="0"/>
                <w:sz w:val="18"/>
                <w:szCs w:val="18"/>
              </w:rPr>
              <w:t>分</w:t>
            </w:r>
          </w:p>
        </w:tc>
        <w:tc>
          <w:tcPr>
            <w:tcW w:w="4252" w:type="dxa"/>
            <w:tcBorders>
              <w:top w:val="single" w:color="auto" w:sz="4" w:space="0"/>
              <w:left w:val="single" w:color="auto" w:sz="4" w:space="0"/>
              <w:right w:val="single" w:color="auto" w:sz="4" w:space="0"/>
            </w:tcBorders>
            <w:vAlign w:val="center"/>
          </w:tcPr>
          <w:p w14:paraId="5FF93487">
            <w:pPr>
              <w:pStyle w:val="2"/>
              <w:rPr>
                <w:rFonts w:hint="eastAsia" w:ascii="仿宋_GB2312" w:hAnsi="仿宋_GB2312" w:eastAsia="宋体" w:cs="仿宋_GB2312"/>
                <w:kern w:val="0"/>
                <w:sz w:val="18"/>
                <w:szCs w:val="18"/>
                <w:lang w:val="en-US" w:eastAsia="zh-CN"/>
              </w:rPr>
            </w:pPr>
            <w:r>
              <w:rPr>
                <w:rFonts w:hint="eastAsia" w:ascii="仿宋_GB2312" w:hAnsi="仿宋_GB2312" w:cs="仿宋_GB2312"/>
                <w:kern w:val="0"/>
                <w:sz w:val="18"/>
                <w:szCs w:val="18"/>
                <w:lang w:val="en-US" w:eastAsia="zh-CN"/>
              </w:rPr>
              <w:t>1.</w:t>
            </w:r>
            <w:r>
              <w:rPr>
                <w:rFonts w:hint="eastAsia" w:ascii="仿宋_GB2312" w:hAnsi="仿宋_GB2312" w:cs="仿宋_GB2312"/>
                <w:kern w:val="0"/>
                <w:sz w:val="18"/>
                <w:szCs w:val="18"/>
              </w:rPr>
              <w:t>需提供可反映工作经验时长的简历、劳动合同及社保证明等</w:t>
            </w:r>
            <w:r>
              <w:rPr>
                <w:rFonts w:hint="eastAsia" w:ascii="仿宋_GB2312" w:hAnsi="仿宋_GB2312" w:cs="仿宋_GB2312"/>
                <w:kern w:val="0"/>
                <w:sz w:val="18"/>
                <w:szCs w:val="18"/>
                <w:lang w:eastAsia="zh-CN"/>
              </w:rPr>
              <w:t>，</w:t>
            </w:r>
            <w:r>
              <w:rPr>
                <w:rFonts w:hint="eastAsia" w:ascii="仿宋_GB2312" w:hAnsi="仿宋_GB2312" w:cs="仿宋_GB2312"/>
                <w:kern w:val="0"/>
                <w:sz w:val="18"/>
                <w:szCs w:val="18"/>
                <w:lang w:val="en-US" w:eastAsia="zh-CN"/>
              </w:rPr>
              <w:t>并</w:t>
            </w:r>
            <w:r>
              <w:rPr>
                <w:rFonts w:hint="eastAsia" w:ascii="仿宋_GB2312" w:hAnsi="仿宋_GB2312" w:cs="仿宋_GB2312"/>
                <w:kern w:val="0"/>
                <w:sz w:val="18"/>
                <w:szCs w:val="18"/>
              </w:rPr>
              <w:t>加盖公章</w:t>
            </w:r>
            <w:r>
              <w:rPr>
                <w:rFonts w:hint="eastAsia" w:ascii="仿宋_GB2312" w:hAnsi="仿宋_GB2312" w:cs="仿宋_GB2312"/>
                <w:kern w:val="0"/>
                <w:sz w:val="18"/>
                <w:szCs w:val="18"/>
                <w:lang w:eastAsia="zh-CN"/>
              </w:rPr>
              <w:t>。</w:t>
            </w:r>
          </w:p>
          <w:p w14:paraId="6CD98A24">
            <w:pPr>
              <w:pStyle w:val="2"/>
              <w:numPr>
                <w:ilvl w:val="0"/>
                <w:numId w:val="0"/>
              </w:numPr>
              <w:rPr>
                <w:rFonts w:hint="eastAsia" w:ascii="仿宋_GB2312" w:hAnsi="仿宋_GB2312" w:cs="仿宋_GB2312"/>
                <w:kern w:val="0"/>
                <w:sz w:val="18"/>
                <w:szCs w:val="18"/>
              </w:rPr>
            </w:pPr>
            <w:r>
              <w:rPr>
                <w:rFonts w:hint="eastAsia" w:ascii="仿宋_GB2312" w:hAnsi="仿宋_GB2312" w:cs="仿宋_GB2312"/>
                <w:kern w:val="0"/>
                <w:sz w:val="18"/>
                <w:szCs w:val="18"/>
                <w:lang w:val="en-US" w:eastAsia="zh-CN"/>
              </w:rPr>
              <w:t>2.需提供可以体现项目负责人相关项目经验的案例合同、甲方出具的证明文件等，并加盖公章。</w:t>
            </w:r>
          </w:p>
        </w:tc>
      </w:tr>
      <w:tr w14:paraId="07DDB68E">
        <w:tblPrEx>
          <w:tblCellMar>
            <w:top w:w="0" w:type="dxa"/>
            <w:left w:w="108" w:type="dxa"/>
            <w:bottom w:w="0" w:type="dxa"/>
            <w:right w:w="108" w:type="dxa"/>
          </w:tblCellMar>
        </w:tblPrEx>
        <w:trPr>
          <w:trHeight w:val="60" w:hRule="atLeast"/>
          <w:jc w:val="center"/>
        </w:trPr>
        <w:tc>
          <w:tcPr>
            <w:tcW w:w="424" w:type="dxa"/>
            <w:tcBorders>
              <w:top w:val="single" w:color="auto" w:sz="4" w:space="0"/>
              <w:left w:val="single" w:color="auto" w:sz="4" w:space="0"/>
              <w:bottom w:val="single" w:color="auto" w:sz="4" w:space="0"/>
              <w:right w:val="single" w:color="auto" w:sz="4" w:space="0"/>
            </w:tcBorders>
            <w:vAlign w:val="center"/>
          </w:tcPr>
          <w:p w14:paraId="356BA426">
            <w:pPr>
              <w:widowControl/>
              <w:ind w:firstLine="0"/>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960" w:type="dxa"/>
            <w:vMerge w:val="continue"/>
            <w:tcBorders>
              <w:left w:val="single" w:color="auto" w:sz="4" w:space="0"/>
              <w:right w:val="nil"/>
            </w:tcBorders>
            <w:vAlign w:val="center"/>
          </w:tcPr>
          <w:p w14:paraId="66A6719B">
            <w:pPr>
              <w:widowControl/>
              <w:spacing w:line="240" w:lineRule="auto"/>
              <w:ind w:firstLine="360"/>
              <w:rPr>
                <w:rFonts w:hint="eastAsia" w:ascii="宋体" w:hAnsi="宋体" w:cs="宋体"/>
                <w:kern w:val="0"/>
                <w:sz w:val="18"/>
                <w:szCs w:val="18"/>
              </w:rPr>
            </w:pPr>
          </w:p>
        </w:tc>
        <w:tc>
          <w:tcPr>
            <w:tcW w:w="1239" w:type="dxa"/>
            <w:vMerge w:val="restart"/>
            <w:tcBorders>
              <w:left w:val="single" w:color="auto" w:sz="4" w:space="0"/>
              <w:right w:val="single" w:color="auto" w:sz="4" w:space="0"/>
            </w:tcBorders>
            <w:vAlign w:val="center"/>
          </w:tcPr>
          <w:p w14:paraId="474CC2CA">
            <w:pPr>
              <w:spacing w:line="240" w:lineRule="auto"/>
              <w:ind w:firstLine="0"/>
              <w:jc w:val="both"/>
              <w:rPr>
                <w:rFonts w:hint="default" w:ascii="宋体" w:hAnsi="宋体" w:eastAsia="宋体"/>
                <w:b/>
                <w:bCs/>
                <w:sz w:val="18"/>
                <w:szCs w:val="18"/>
                <w:lang w:val="en-US" w:eastAsia="zh-CN"/>
              </w:rPr>
            </w:pPr>
            <w:r>
              <w:rPr>
                <w:rFonts w:hint="eastAsia" w:ascii="宋体" w:hAnsi="宋体"/>
                <w:b/>
                <w:bCs/>
                <w:sz w:val="18"/>
                <w:szCs w:val="18"/>
                <w:lang w:val="en-US" w:eastAsia="zh-CN"/>
              </w:rPr>
              <w:t>项目团队</w:t>
            </w:r>
          </w:p>
        </w:tc>
        <w:tc>
          <w:tcPr>
            <w:tcW w:w="4998" w:type="dxa"/>
            <w:tcBorders>
              <w:left w:val="single" w:color="auto" w:sz="4" w:space="0"/>
              <w:bottom w:val="single" w:color="auto" w:sz="4" w:space="0"/>
              <w:right w:val="single" w:color="auto" w:sz="4" w:space="0"/>
            </w:tcBorders>
            <w:vAlign w:val="center"/>
          </w:tcPr>
          <w:p w14:paraId="2DDF3BF5">
            <w:pPr>
              <w:widowControl/>
              <w:spacing w:line="240" w:lineRule="auto"/>
              <w:rPr>
                <w:rFonts w:hint="default" w:ascii="仿宋_GB2312" w:eastAsia="宋体"/>
                <w:sz w:val="18"/>
                <w:szCs w:val="18"/>
                <w:lang w:val="en-US" w:eastAsia="zh-CN"/>
              </w:rPr>
            </w:pPr>
            <w:r>
              <w:rPr>
                <w:rFonts w:hint="eastAsia" w:ascii="仿宋_GB2312"/>
                <w:sz w:val="18"/>
                <w:szCs w:val="18"/>
              </w:rPr>
              <w:t>团队成员不少于5人</w:t>
            </w:r>
            <w:r>
              <w:rPr>
                <w:rFonts w:hint="eastAsia" w:ascii="仿宋_GB2312"/>
                <w:sz w:val="18"/>
                <w:szCs w:val="18"/>
                <w:lang w:val="en-US" w:eastAsia="zh-CN"/>
              </w:rPr>
              <w:t>。</w:t>
            </w:r>
          </w:p>
        </w:tc>
        <w:tc>
          <w:tcPr>
            <w:tcW w:w="2977" w:type="dxa"/>
            <w:tcBorders>
              <w:left w:val="single" w:color="auto" w:sz="4" w:space="0"/>
              <w:bottom w:val="single" w:color="auto" w:sz="4" w:space="0"/>
              <w:right w:val="single" w:color="auto" w:sz="4" w:space="0"/>
            </w:tcBorders>
            <w:vAlign w:val="center"/>
          </w:tcPr>
          <w:p w14:paraId="3C7FAFB0">
            <w:pPr>
              <w:widowControl/>
              <w:spacing w:line="240" w:lineRule="auto"/>
              <w:ind w:firstLine="0"/>
              <w:rPr>
                <w:rFonts w:hint="default" w:ascii="仿宋_GB2312" w:hAnsi="仿宋_GB2312" w:eastAsia="宋体" w:cs="仿宋_GB2312"/>
                <w:sz w:val="18"/>
                <w:szCs w:val="18"/>
                <w:lang w:val="en-US" w:eastAsia="zh-CN"/>
              </w:rPr>
            </w:pPr>
            <w:r>
              <w:rPr>
                <w:rFonts w:hint="eastAsia" w:ascii="仿宋_GB2312" w:hAnsi="仿宋_GB2312" w:cs="仿宋_GB2312"/>
                <w:sz w:val="18"/>
                <w:szCs w:val="18"/>
                <w:lang w:val="en-US" w:eastAsia="zh-CN"/>
              </w:rPr>
              <w:t>得2分；少于5人则不得分。</w:t>
            </w:r>
          </w:p>
        </w:tc>
        <w:tc>
          <w:tcPr>
            <w:tcW w:w="709" w:type="dxa"/>
            <w:vMerge w:val="restart"/>
            <w:tcBorders>
              <w:left w:val="single" w:color="auto" w:sz="4" w:space="0"/>
              <w:right w:val="single" w:color="auto" w:sz="4" w:space="0"/>
            </w:tcBorders>
            <w:vAlign w:val="center"/>
          </w:tcPr>
          <w:p w14:paraId="1FA7293D">
            <w:pPr>
              <w:widowControl/>
              <w:spacing w:line="240" w:lineRule="auto"/>
              <w:jc w:val="center"/>
              <w:rPr>
                <w:rFonts w:hint="eastAsia" w:ascii="仿宋_GB2312" w:hAnsi="仿宋_GB2312" w:cs="仿宋_GB2312"/>
                <w:kern w:val="0"/>
                <w:sz w:val="18"/>
                <w:szCs w:val="18"/>
              </w:rPr>
            </w:pPr>
            <w:r>
              <w:rPr>
                <w:rFonts w:hint="eastAsia" w:ascii="仿宋_GB2312" w:hAnsi="仿宋_GB2312" w:cs="仿宋_GB2312"/>
                <w:kern w:val="0"/>
                <w:sz w:val="18"/>
                <w:szCs w:val="18"/>
                <w:lang w:val="en-US" w:eastAsia="zh-CN"/>
              </w:rPr>
              <w:t>5</w:t>
            </w:r>
            <w:r>
              <w:rPr>
                <w:rFonts w:hint="eastAsia" w:ascii="仿宋_GB2312" w:hAnsi="仿宋_GB2312" w:cs="仿宋_GB2312"/>
                <w:kern w:val="0"/>
                <w:sz w:val="18"/>
                <w:szCs w:val="18"/>
              </w:rPr>
              <w:t>分</w:t>
            </w:r>
          </w:p>
        </w:tc>
        <w:tc>
          <w:tcPr>
            <w:tcW w:w="4252" w:type="dxa"/>
            <w:vMerge w:val="restart"/>
            <w:tcBorders>
              <w:left w:val="single" w:color="auto" w:sz="4" w:space="0"/>
              <w:right w:val="single" w:color="auto" w:sz="4" w:space="0"/>
            </w:tcBorders>
            <w:vAlign w:val="center"/>
          </w:tcPr>
          <w:p w14:paraId="31118515">
            <w:pPr>
              <w:widowControl/>
              <w:numPr>
                <w:ilvl w:val="-1"/>
                <w:numId w:val="0"/>
              </w:numPr>
              <w:spacing w:line="240" w:lineRule="auto"/>
              <w:ind w:firstLine="0"/>
              <w:rPr>
                <w:rFonts w:hint="eastAsia" w:ascii="仿宋_GB2312"/>
                <w:sz w:val="18"/>
                <w:szCs w:val="18"/>
              </w:rPr>
            </w:pPr>
            <w:r>
              <w:rPr>
                <w:rFonts w:hint="eastAsia" w:ascii="仿宋_GB2312" w:hAnsi="仿宋_GB2312" w:cs="仿宋_GB2312"/>
                <w:kern w:val="0"/>
                <w:sz w:val="18"/>
                <w:szCs w:val="18"/>
                <w:lang w:val="en-US" w:eastAsia="zh-CN"/>
              </w:rPr>
              <w:t>1.需</w:t>
            </w:r>
            <w:r>
              <w:rPr>
                <w:rFonts w:hint="eastAsia" w:ascii="仿宋_GB2312" w:hAnsi="仿宋_GB2312" w:cs="仿宋_GB2312"/>
                <w:kern w:val="0"/>
                <w:sz w:val="18"/>
                <w:szCs w:val="18"/>
              </w:rPr>
              <w:t>提供团队人员名单</w:t>
            </w:r>
            <w:r>
              <w:rPr>
                <w:rFonts w:hint="eastAsia" w:ascii="仿宋_GB2312" w:hAnsi="仿宋_GB2312" w:cs="仿宋_GB2312"/>
                <w:kern w:val="0"/>
                <w:sz w:val="18"/>
                <w:szCs w:val="18"/>
                <w:lang w:val="en-US" w:eastAsia="zh-CN"/>
              </w:rPr>
              <w:t>及团队人员</w:t>
            </w:r>
            <w:r>
              <w:rPr>
                <w:rFonts w:hint="eastAsia" w:ascii="仿宋_GB2312"/>
                <w:sz w:val="18"/>
                <w:szCs w:val="18"/>
              </w:rPr>
              <w:t>近6个月（202</w:t>
            </w:r>
            <w:r>
              <w:rPr>
                <w:rFonts w:hint="eastAsia" w:ascii="仿宋_GB2312"/>
                <w:sz w:val="18"/>
                <w:szCs w:val="18"/>
                <w:lang w:val="en-US" w:eastAsia="zh-CN"/>
              </w:rPr>
              <w:t>5</w:t>
            </w:r>
            <w:r>
              <w:rPr>
                <w:rFonts w:hint="eastAsia" w:ascii="仿宋_GB2312"/>
                <w:sz w:val="18"/>
                <w:szCs w:val="18"/>
              </w:rPr>
              <w:t>年</w:t>
            </w:r>
            <w:r>
              <w:rPr>
                <w:rFonts w:hint="eastAsia" w:ascii="仿宋_GB2312"/>
                <w:sz w:val="18"/>
                <w:szCs w:val="18"/>
                <w:lang w:val="en-US" w:eastAsia="zh-CN"/>
              </w:rPr>
              <w:t>1</w:t>
            </w:r>
            <w:r>
              <w:rPr>
                <w:rFonts w:hint="eastAsia" w:ascii="仿宋_GB2312"/>
                <w:sz w:val="18"/>
                <w:szCs w:val="18"/>
              </w:rPr>
              <w:t>月至202</w:t>
            </w:r>
            <w:r>
              <w:rPr>
                <w:rFonts w:hint="eastAsia" w:ascii="仿宋_GB2312"/>
                <w:sz w:val="18"/>
                <w:szCs w:val="18"/>
                <w:lang w:val="en-US" w:eastAsia="zh-CN"/>
              </w:rPr>
              <w:t>5</w:t>
            </w:r>
            <w:r>
              <w:rPr>
                <w:rFonts w:hint="eastAsia" w:ascii="仿宋_GB2312"/>
                <w:sz w:val="18"/>
                <w:szCs w:val="18"/>
              </w:rPr>
              <w:t>年</w:t>
            </w:r>
            <w:r>
              <w:rPr>
                <w:rFonts w:hint="eastAsia" w:ascii="仿宋_GB2312"/>
                <w:sz w:val="18"/>
                <w:szCs w:val="18"/>
                <w:lang w:val="en-US" w:eastAsia="zh-CN"/>
              </w:rPr>
              <w:t>6</w:t>
            </w:r>
            <w:r>
              <w:rPr>
                <w:rFonts w:hint="eastAsia" w:ascii="仿宋_GB2312"/>
                <w:sz w:val="18"/>
                <w:szCs w:val="18"/>
              </w:rPr>
              <w:t>月）由本单位缴纳的社保证明以及</w:t>
            </w:r>
            <w:r>
              <w:rPr>
                <w:rFonts w:hint="eastAsia" w:ascii="仿宋_GB2312" w:hAnsi="仿宋_GB2312" w:cs="仿宋_GB2312"/>
                <w:kern w:val="0"/>
                <w:sz w:val="18"/>
                <w:szCs w:val="18"/>
              </w:rPr>
              <w:t>身份证、学历学位证复印件</w:t>
            </w:r>
            <w:r>
              <w:rPr>
                <w:rFonts w:hint="eastAsia" w:ascii="仿宋_GB2312"/>
                <w:sz w:val="18"/>
                <w:szCs w:val="18"/>
              </w:rPr>
              <w:t>，并加盖公章。</w:t>
            </w:r>
          </w:p>
          <w:p w14:paraId="12E0C9B3">
            <w:pPr>
              <w:pStyle w:val="2"/>
              <w:numPr>
                <w:ilvl w:val="-1"/>
                <w:numId w:val="0"/>
              </w:numPr>
              <w:rPr>
                <w:rFonts w:hint="default"/>
                <w:lang w:val="en-US" w:eastAsia="zh-CN"/>
              </w:rPr>
            </w:pPr>
            <w:r>
              <w:rPr>
                <w:rFonts w:hint="eastAsia" w:asciiTheme="minorEastAsia" w:hAnsiTheme="minorEastAsia" w:eastAsiaTheme="minorEastAsia" w:cstheme="minorEastAsia"/>
                <w:sz w:val="18"/>
                <w:szCs w:val="18"/>
                <w:lang w:val="en-US" w:eastAsia="zh-CN"/>
              </w:rPr>
              <w:t>2.需提供可以体现项目经理相关项目经验的案例合同、甲方出具的证明文件等，并加盖公章。</w:t>
            </w:r>
          </w:p>
        </w:tc>
      </w:tr>
      <w:tr w14:paraId="308D3A6E">
        <w:tblPrEx>
          <w:tblCellMar>
            <w:top w:w="0" w:type="dxa"/>
            <w:left w:w="108" w:type="dxa"/>
            <w:bottom w:w="0" w:type="dxa"/>
            <w:right w:w="108" w:type="dxa"/>
          </w:tblCellMar>
        </w:tblPrEx>
        <w:trPr>
          <w:trHeight w:val="286" w:hRule="atLeast"/>
          <w:jc w:val="center"/>
        </w:trPr>
        <w:tc>
          <w:tcPr>
            <w:tcW w:w="424" w:type="dxa"/>
            <w:tcBorders>
              <w:top w:val="single" w:color="auto" w:sz="4" w:space="0"/>
              <w:left w:val="single" w:color="auto" w:sz="4" w:space="0"/>
              <w:bottom w:val="single" w:color="auto" w:sz="4" w:space="0"/>
              <w:right w:val="single" w:color="auto" w:sz="4" w:space="0"/>
            </w:tcBorders>
            <w:vAlign w:val="center"/>
          </w:tcPr>
          <w:p w14:paraId="6D11E60F">
            <w:pPr>
              <w:widowControl/>
              <w:ind w:firstLine="0"/>
              <w:jc w:val="center"/>
              <w:rPr>
                <w:rFonts w:hint="eastAsia" w:ascii="宋体" w:hAnsi="宋体" w:cs="宋体"/>
                <w:color w:val="000000"/>
                <w:kern w:val="0"/>
                <w:sz w:val="18"/>
                <w:szCs w:val="18"/>
                <w:lang w:val="en-US" w:eastAsia="zh-CN"/>
              </w:rPr>
            </w:pPr>
          </w:p>
        </w:tc>
        <w:tc>
          <w:tcPr>
            <w:tcW w:w="960" w:type="dxa"/>
            <w:vMerge w:val="continue"/>
            <w:tcBorders>
              <w:left w:val="single" w:color="auto" w:sz="4" w:space="0"/>
              <w:bottom w:val="single" w:color="auto" w:sz="4" w:space="0"/>
              <w:right w:val="nil"/>
            </w:tcBorders>
            <w:vAlign w:val="center"/>
          </w:tcPr>
          <w:p w14:paraId="06F6396A">
            <w:pPr>
              <w:widowControl/>
              <w:spacing w:line="240" w:lineRule="auto"/>
              <w:ind w:firstLine="360"/>
              <w:rPr>
                <w:rFonts w:hint="eastAsia" w:ascii="宋体" w:hAnsi="宋体" w:cs="宋体"/>
                <w:kern w:val="0"/>
                <w:sz w:val="18"/>
                <w:szCs w:val="18"/>
              </w:rPr>
            </w:pPr>
          </w:p>
        </w:tc>
        <w:tc>
          <w:tcPr>
            <w:tcW w:w="1239" w:type="dxa"/>
            <w:vMerge w:val="continue"/>
            <w:tcBorders>
              <w:left w:val="single" w:color="auto" w:sz="4" w:space="0"/>
              <w:bottom w:val="single" w:color="auto" w:sz="4" w:space="0"/>
              <w:right w:val="single" w:color="auto" w:sz="4" w:space="0"/>
            </w:tcBorders>
            <w:vAlign w:val="center"/>
          </w:tcPr>
          <w:p w14:paraId="5C2AE9B4">
            <w:pPr>
              <w:spacing w:line="240" w:lineRule="auto"/>
              <w:ind w:firstLine="0"/>
              <w:jc w:val="both"/>
              <w:rPr>
                <w:rFonts w:hint="eastAsia" w:ascii="宋体" w:hAnsi="宋体"/>
                <w:b/>
                <w:bCs/>
                <w:sz w:val="18"/>
                <w:szCs w:val="18"/>
                <w:lang w:val="en-US" w:eastAsia="zh-CN"/>
              </w:rPr>
            </w:pPr>
          </w:p>
        </w:tc>
        <w:tc>
          <w:tcPr>
            <w:tcW w:w="4998" w:type="dxa"/>
            <w:tcBorders>
              <w:left w:val="single" w:color="auto" w:sz="4" w:space="0"/>
              <w:bottom w:val="single" w:color="auto" w:sz="4" w:space="0"/>
              <w:right w:val="single" w:color="auto" w:sz="4" w:space="0"/>
            </w:tcBorders>
            <w:vAlign w:val="center"/>
          </w:tcPr>
          <w:p w14:paraId="367F71C4">
            <w:pPr>
              <w:widowControl/>
              <w:spacing w:line="240" w:lineRule="auto"/>
              <w:rPr>
                <w:rFonts w:hint="eastAsia" w:ascii="仿宋_GB2312"/>
                <w:sz w:val="18"/>
                <w:szCs w:val="18"/>
                <w:lang w:val="en-US" w:eastAsia="zh-CN"/>
              </w:rPr>
            </w:pPr>
            <w:r>
              <w:rPr>
                <w:rFonts w:hint="eastAsia" w:ascii="仿宋_GB2312"/>
                <w:sz w:val="18"/>
                <w:szCs w:val="18"/>
                <w:lang w:val="en-US" w:eastAsia="zh-CN"/>
              </w:rPr>
              <w:t>项目经理担任过3个及以上战略规划、组织管理、人力资源</w:t>
            </w:r>
            <w:r>
              <w:rPr>
                <w:rFonts w:hint="eastAsia" w:hAnsi="Times New Roman"/>
                <w:color w:val="auto"/>
                <w:kern w:val="2"/>
                <w:sz w:val="18"/>
                <w:szCs w:val="18"/>
                <w:lang w:val="en-US" w:eastAsia="zh-CN"/>
              </w:rPr>
              <w:t>任一方面</w:t>
            </w:r>
            <w:r>
              <w:rPr>
                <w:rFonts w:hint="eastAsia" w:ascii="仿宋_GB2312"/>
                <w:sz w:val="18"/>
                <w:szCs w:val="18"/>
                <w:lang w:val="en-US" w:eastAsia="zh-CN"/>
              </w:rPr>
              <w:t>咨询项目的项目经理。</w:t>
            </w:r>
          </w:p>
        </w:tc>
        <w:tc>
          <w:tcPr>
            <w:tcW w:w="2977" w:type="dxa"/>
            <w:tcBorders>
              <w:left w:val="single" w:color="auto" w:sz="4" w:space="0"/>
              <w:bottom w:val="single" w:color="auto" w:sz="4" w:space="0"/>
              <w:right w:val="single" w:color="auto" w:sz="4" w:space="0"/>
            </w:tcBorders>
            <w:vAlign w:val="center"/>
          </w:tcPr>
          <w:p w14:paraId="0110751A">
            <w:pPr>
              <w:widowControl/>
              <w:spacing w:line="240" w:lineRule="auto"/>
              <w:ind w:firstLine="0"/>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得3分；不满足条件则不得分。</w:t>
            </w:r>
          </w:p>
        </w:tc>
        <w:tc>
          <w:tcPr>
            <w:tcW w:w="709" w:type="dxa"/>
            <w:vMerge w:val="continue"/>
            <w:tcBorders>
              <w:left w:val="single" w:color="auto" w:sz="4" w:space="0"/>
              <w:bottom w:val="single" w:color="auto" w:sz="4" w:space="0"/>
              <w:right w:val="single" w:color="auto" w:sz="4" w:space="0"/>
            </w:tcBorders>
            <w:vAlign w:val="center"/>
          </w:tcPr>
          <w:p w14:paraId="31392785">
            <w:pPr>
              <w:widowControl/>
              <w:spacing w:line="240" w:lineRule="auto"/>
              <w:jc w:val="center"/>
              <w:rPr>
                <w:rFonts w:hint="eastAsia" w:ascii="仿宋_GB2312" w:hAnsi="仿宋_GB2312" w:cs="仿宋_GB2312"/>
                <w:kern w:val="0"/>
                <w:sz w:val="18"/>
                <w:szCs w:val="18"/>
                <w:lang w:val="en-US" w:eastAsia="zh-CN"/>
              </w:rPr>
            </w:pPr>
          </w:p>
        </w:tc>
        <w:tc>
          <w:tcPr>
            <w:tcW w:w="4252" w:type="dxa"/>
            <w:vMerge w:val="continue"/>
            <w:tcBorders>
              <w:left w:val="single" w:color="auto" w:sz="4" w:space="0"/>
              <w:bottom w:val="single" w:color="auto" w:sz="4" w:space="0"/>
              <w:right w:val="single" w:color="auto" w:sz="4" w:space="0"/>
            </w:tcBorders>
            <w:vAlign w:val="center"/>
          </w:tcPr>
          <w:p w14:paraId="42CC6447">
            <w:pPr>
              <w:widowControl/>
              <w:spacing w:line="240" w:lineRule="auto"/>
              <w:ind w:firstLine="0"/>
              <w:rPr>
                <w:rFonts w:hint="eastAsia" w:ascii="仿宋_GB2312" w:hAnsi="仿宋_GB2312" w:cs="仿宋_GB2312"/>
                <w:kern w:val="0"/>
                <w:sz w:val="18"/>
                <w:szCs w:val="18"/>
                <w:lang w:val="en-US" w:eastAsia="zh-CN"/>
              </w:rPr>
            </w:pPr>
          </w:p>
        </w:tc>
      </w:tr>
      <w:tr w14:paraId="74306097">
        <w:tblPrEx>
          <w:tblCellMar>
            <w:top w:w="0" w:type="dxa"/>
            <w:left w:w="108" w:type="dxa"/>
            <w:bottom w:w="0" w:type="dxa"/>
            <w:right w:w="108" w:type="dxa"/>
          </w:tblCellMar>
        </w:tblPrEx>
        <w:trPr>
          <w:trHeight w:val="90" w:hRule="atLeast"/>
          <w:jc w:val="center"/>
        </w:trPr>
        <w:tc>
          <w:tcPr>
            <w:tcW w:w="424" w:type="dxa"/>
            <w:tcBorders>
              <w:top w:val="single" w:color="auto" w:sz="4" w:space="0"/>
              <w:left w:val="single" w:color="auto" w:sz="4" w:space="0"/>
              <w:bottom w:val="single" w:color="auto" w:sz="4" w:space="0"/>
              <w:right w:val="single" w:color="auto" w:sz="4" w:space="0"/>
            </w:tcBorders>
            <w:vAlign w:val="center"/>
          </w:tcPr>
          <w:p w14:paraId="34F40FC8">
            <w:pPr>
              <w:widowControl/>
              <w:ind w:firstLine="0"/>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6</w:t>
            </w:r>
          </w:p>
        </w:tc>
        <w:tc>
          <w:tcPr>
            <w:tcW w:w="960" w:type="dxa"/>
            <w:vMerge w:val="restart"/>
            <w:tcBorders>
              <w:top w:val="single" w:color="auto" w:sz="4" w:space="0"/>
              <w:left w:val="single" w:color="auto" w:sz="4" w:space="0"/>
              <w:right w:val="nil"/>
            </w:tcBorders>
            <w:vAlign w:val="center"/>
          </w:tcPr>
          <w:p w14:paraId="10ED6D67">
            <w:pPr>
              <w:spacing w:line="240" w:lineRule="auto"/>
              <w:ind w:firstLine="0" w:firstLineChars="0"/>
              <w:jc w:val="left"/>
              <w:rPr>
                <w:rFonts w:hint="eastAsia"/>
                <w:b/>
                <w:bCs/>
                <w:sz w:val="18"/>
                <w:szCs w:val="18"/>
                <w:lang w:val="en-US" w:eastAsia="zh-CN"/>
              </w:rPr>
            </w:pPr>
            <w:r>
              <w:rPr>
                <w:rFonts w:hint="eastAsia"/>
                <w:b/>
                <w:bCs/>
                <w:sz w:val="18"/>
                <w:szCs w:val="18"/>
              </w:rPr>
              <w:t>技术</w:t>
            </w:r>
            <w:r>
              <w:rPr>
                <w:rFonts w:hint="eastAsia"/>
                <w:b/>
                <w:bCs/>
                <w:sz w:val="18"/>
                <w:szCs w:val="18"/>
                <w:lang w:val="en-US" w:eastAsia="zh-CN"/>
              </w:rPr>
              <w:t>能力得分</w:t>
            </w:r>
          </w:p>
          <w:p w14:paraId="120E450D">
            <w:pPr>
              <w:spacing w:line="240" w:lineRule="auto"/>
              <w:ind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（满分</w:t>
            </w:r>
            <w:r>
              <w:rPr>
                <w:rFonts w:hint="eastAsia" w:ascii="宋体" w:hAnsi="宋体" w:cs="宋体"/>
                <w:color w:val="000000"/>
                <w:kern w:val="0"/>
                <w:sz w:val="18"/>
                <w:szCs w:val="18"/>
                <w:lang w:val="en-US" w:eastAsia="zh-CN"/>
              </w:rPr>
              <w:t>40</w:t>
            </w:r>
            <w:r>
              <w:rPr>
                <w:rFonts w:hint="eastAsia" w:ascii="宋体" w:hAnsi="宋体" w:cs="宋体"/>
                <w:color w:val="000000"/>
                <w:kern w:val="0"/>
                <w:sz w:val="18"/>
                <w:szCs w:val="18"/>
              </w:rPr>
              <w:t>分）</w:t>
            </w:r>
          </w:p>
        </w:tc>
        <w:tc>
          <w:tcPr>
            <w:tcW w:w="1239" w:type="dxa"/>
            <w:tcBorders>
              <w:top w:val="single" w:color="auto" w:sz="4" w:space="0"/>
              <w:left w:val="single" w:color="auto" w:sz="4" w:space="0"/>
              <w:bottom w:val="single" w:color="auto" w:sz="4" w:space="0"/>
              <w:right w:val="single" w:color="auto" w:sz="4" w:space="0"/>
            </w:tcBorders>
            <w:vAlign w:val="center"/>
          </w:tcPr>
          <w:p w14:paraId="09A4CDBF">
            <w:pPr>
              <w:pStyle w:val="60"/>
              <w:rPr>
                <w:rFonts w:hint="eastAsia" w:ascii="宋体" w:hAnsi="宋体"/>
                <w:b/>
                <w:bCs/>
                <w:sz w:val="18"/>
                <w:szCs w:val="18"/>
              </w:rPr>
            </w:pPr>
            <w:r>
              <w:rPr>
                <w:rFonts w:hint="eastAsia" w:ascii="宋体" w:hAnsi="宋体"/>
                <w:b/>
                <w:bCs/>
                <w:sz w:val="18"/>
                <w:szCs w:val="18"/>
              </w:rPr>
              <w:t>发展诊断</w:t>
            </w:r>
          </w:p>
          <w:p w14:paraId="487BAB96">
            <w:pPr>
              <w:pStyle w:val="60"/>
              <w:rPr>
                <w:rFonts w:hint="eastAsia" w:ascii="宋体" w:hAnsi="宋体"/>
                <w:b/>
                <w:bCs/>
                <w:sz w:val="18"/>
                <w:szCs w:val="18"/>
              </w:rPr>
            </w:pPr>
            <w:r>
              <w:rPr>
                <w:rFonts w:hint="eastAsia" w:ascii="宋体" w:hAnsi="宋体"/>
                <w:b/>
                <w:bCs/>
                <w:sz w:val="18"/>
                <w:szCs w:val="18"/>
              </w:rPr>
              <w:t>分析</w:t>
            </w:r>
          </w:p>
        </w:tc>
        <w:tc>
          <w:tcPr>
            <w:tcW w:w="4998" w:type="dxa"/>
            <w:tcBorders>
              <w:top w:val="single" w:color="auto" w:sz="4" w:space="0"/>
              <w:left w:val="single" w:color="auto" w:sz="4" w:space="0"/>
              <w:bottom w:val="single" w:color="auto" w:sz="4" w:space="0"/>
              <w:right w:val="single" w:color="auto" w:sz="4" w:space="0"/>
            </w:tcBorders>
            <w:vAlign w:val="center"/>
          </w:tcPr>
          <w:p w14:paraId="4B72653F">
            <w:pPr>
              <w:spacing w:line="240" w:lineRule="auto"/>
              <w:ind w:firstLine="0" w:firstLineChars="0"/>
              <w:rPr>
                <w:rFonts w:hint="eastAsia" w:ascii="仿宋_GB2312" w:eastAsia="宋体"/>
                <w:sz w:val="18"/>
                <w:szCs w:val="18"/>
                <w:lang w:eastAsia="zh-CN"/>
              </w:rPr>
            </w:pPr>
            <w:r>
              <w:rPr>
                <w:rFonts w:hint="eastAsia" w:ascii="仿宋_GB2312"/>
                <w:sz w:val="18"/>
                <w:szCs w:val="18"/>
              </w:rPr>
              <w:t>深入了解招标人的实际发展情况，包括但不限于从以下方面科学诊断并分析招标人“十四五”期间发展的成绩和存在的问题：发展目标实现情况、业务布局情况、重点项目情况、管理体系建设情况、人力资源建设情况</w:t>
            </w:r>
            <w:r>
              <w:rPr>
                <w:rFonts w:hint="eastAsia" w:ascii="仿宋_GB2312"/>
                <w:sz w:val="18"/>
                <w:szCs w:val="18"/>
                <w:lang w:eastAsia="zh-CN"/>
              </w:rPr>
              <w:t>。</w:t>
            </w:r>
          </w:p>
        </w:tc>
        <w:tc>
          <w:tcPr>
            <w:tcW w:w="2977" w:type="dxa"/>
            <w:tcBorders>
              <w:top w:val="single" w:color="auto" w:sz="4" w:space="0"/>
              <w:left w:val="single" w:color="auto" w:sz="4" w:space="0"/>
              <w:bottom w:val="single" w:color="auto" w:sz="4" w:space="0"/>
              <w:right w:val="single" w:color="auto" w:sz="4" w:space="0"/>
            </w:tcBorders>
            <w:vAlign w:val="center"/>
          </w:tcPr>
          <w:p w14:paraId="7EA2EDDC">
            <w:pPr>
              <w:spacing w:line="240" w:lineRule="auto"/>
              <w:ind w:firstLine="0" w:firstLineChars="0"/>
              <w:rPr>
                <w:rFonts w:hint="eastAsia" w:ascii="仿宋_GB2312" w:hAnsi="仿宋_GB2312" w:cs="仿宋_GB2312"/>
                <w:sz w:val="18"/>
                <w:szCs w:val="18"/>
              </w:rPr>
            </w:pPr>
            <w:r>
              <w:rPr>
                <w:rFonts w:hint="eastAsia" w:ascii="仿宋_GB2312" w:hAnsi="仿宋_GB2312" w:cs="仿宋_GB2312"/>
                <w:sz w:val="18"/>
                <w:szCs w:val="18"/>
              </w:rPr>
              <w:t>分析内容科学完整，对</w:t>
            </w:r>
            <w:r>
              <w:rPr>
                <w:rFonts w:hint="eastAsia" w:ascii="仿宋_GB2312" w:hAnsi="仿宋_GB2312" w:cs="仿宋_GB2312"/>
                <w:sz w:val="18"/>
                <w:szCs w:val="18"/>
                <w:lang w:val="en-US" w:eastAsia="zh-CN"/>
              </w:rPr>
              <w:t>招标</w:t>
            </w:r>
            <w:r>
              <w:rPr>
                <w:rFonts w:hint="eastAsia" w:ascii="仿宋_GB2312" w:hAnsi="仿宋_GB2312" w:cs="仿宋_GB2312"/>
                <w:sz w:val="18"/>
                <w:szCs w:val="18"/>
              </w:rPr>
              <w:t>人的实际情况掌握较好，对发展成绩和存在问题诊断精准，得12-15分；分析内容基本完整、框架基本合理，能一定程度上掌握</w:t>
            </w:r>
            <w:r>
              <w:rPr>
                <w:rFonts w:hint="eastAsia" w:ascii="仿宋_GB2312" w:hAnsi="仿宋_GB2312" w:cs="仿宋_GB2312"/>
                <w:sz w:val="18"/>
                <w:szCs w:val="18"/>
                <w:lang w:val="en-US" w:eastAsia="zh-CN"/>
              </w:rPr>
              <w:t>招标</w:t>
            </w:r>
            <w:r>
              <w:rPr>
                <w:rFonts w:hint="eastAsia" w:ascii="仿宋_GB2312" w:hAnsi="仿宋_GB2312" w:cs="仿宋_GB2312"/>
                <w:sz w:val="18"/>
                <w:szCs w:val="18"/>
              </w:rPr>
              <w:t>人的实际情况</w:t>
            </w:r>
            <w:r>
              <w:rPr>
                <w:rFonts w:hint="eastAsia" w:ascii="仿宋_GB2312" w:hAnsi="仿宋_GB2312" w:cs="仿宋_GB2312"/>
                <w:sz w:val="18"/>
                <w:szCs w:val="18"/>
                <w:lang w:eastAsia="zh-CN"/>
              </w:rPr>
              <w:t>，</w:t>
            </w:r>
            <w:r>
              <w:rPr>
                <w:rFonts w:hint="eastAsia" w:ascii="仿宋_GB2312" w:hAnsi="仿宋_GB2312" w:cs="仿宋_GB2312"/>
                <w:sz w:val="18"/>
                <w:szCs w:val="18"/>
              </w:rPr>
              <w:t>诊断较为精准，得8-11分；分析内容基本完整、框架基本合理，但不熟悉采购人实际情况，诊断结论针对性较差，得4-7分；分析内容有所缺失，或框架不合理，不熟悉</w:t>
            </w:r>
            <w:r>
              <w:rPr>
                <w:rFonts w:hint="eastAsia" w:ascii="仿宋_GB2312" w:hAnsi="仿宋_GB2312" w:cs="仿宋_GB2312"/>
                <w:sz w:val="18"/>
                <w:szCs w:val="18"/>
                <w:lang w:val="en-US" w:eastAsia="zh-CN"/>
              </w:rPr>
              <w:t>招标</w:t>
            </w:r>
            <w:r>
              <w:rPr>
                <w:rFonts w:hint="eastAsia" w:ascii="仿宋_GB2312" w:hAnsi="仿宋_GB2312" w:cs="仿宋_GB2312"/>
                <w:sz w:val="18"/>
                <w:szCs w:val="18"/>
              </w:rPr>
              <w:t>人实际情况，诊断结论偏差较大，得0-3分。</w:t>
            </w:r>
          </w:p>
        </w:tc>
        <w:tc>
          <w:tcPr>
            <w:tcW w:w="709" w:type="dxa"/>
            <w:tcBorders>
              <w:top w:val="single" w:color="auto" w:sz="4" w:space="0"/>
              <w:left w:val="single" w:color="auto" w:sz="4" w:space="0"/>
              <w:bottom w:val="single" w:color="auto" w:sz="4" w:space="0"/>
              <w:right w:val="single" w:color="auto" w:sz="4" w:space="0"/>
            </w:tcBorders>
            <w:vAlign w:val="center"/>
          </w:tcPr>
          <w:p w14:paraId="4B8C182B">
            <w:pPr>
              <w:spacing w:line="240" w:lineRule="auto"/>
              <w:ind w:firstLine="0" w:firstLineChars="0"/>
              <w:jc w:val="center"/>
              <w:rPr>
                <w:rFonts w:ascii="仿宋_GB2312"/>
                <w:sz w:val="18"/>
                <w:szCs w:val="18"/>
              </w:rPr>
            </w:pPr>
            <w:r>
              <w:rPr>
                <w:rFonts w:hint="eastAsia" w:ascii="仿宋_GB2312"/>
                <w:sz w:val="18"/>
                <w:szCs w:val="18"/>
              </w:rPr>
              <w:t>15分</w:t>
            </w:r>
          </w:p>
        </w:tc>
        <w:tc>
          <w:tcPr>
            <w:tcW w:w="4252" w:type="dxa"/>
            <w:tcBorders>
              <w:top w:val="single" w:color="auto" w:sz="4" w:space="0"/>
              <w:left w:val="single" w:color="auto" w:sz="4" w:space="0"/>
              <w:bottom w:val="single" w:color="auto" w:sz="4" w:space="0"/>
              <w:right w:val="single" w:color="auto" w:sz="4" w:space="0"/>
            </w:tcBorders>
            <w:vAlign w:val="center"/>
          </w:tcPr>
          <w:p w14:paraId="5887FE37">
            <w:pPr>
              <w:widowControl/>
              <w:spacing w:line="240" w:lineRule="auto"/>
              <w:ind w:firstLine="0" w:firstLineChars="0"/>
              <w:rPr>
                <w:rFonts w:hint="eastAsia" w:ascii="仿宋_GB2312" w:hAnsi="仿宋_GB2312" w:cs="仿宋_GB2312"/>
                <w:color w:val="000000"/>
                <w:kern w:val="0"/>
                <w:sz w:val="18"/>
                <w:szCs w:val="18"/>
              </w:rPr>
            </w:pPr>
            <w:r>
              <w:rPr>
                <w:rFonts w:hint="eastAsia" w:ascii="仿宋_GB2312"/>
                <w:sz w:val="18"/>
                <w:szCs w:val="18"/>
              </w:rPr>
              <w:t>内容及格式由投标人自拟，需加盖公章。</w:t>
            </w:r>
            <w:r>
              <w:rPr>
                <w:rFonts w:hint="eastAsia" w:ascii="仿宋_GB2312" w:hAnsi="仿宋_GB2312" w:cs="仿宋_GB2312"/>
                <w:color w:val="000000"/>
                <w:kern w:val="0"/>
                <w:sz w:val="18"/>
                <w:szCs w:val="18"/>
              </w:rPr>
              <w:t xml:space="preserve"> </w:t>
            </w:r>
          </w:p>
        </w:tc>
      </w:tr>
      <w:tr w14:paraId="24892F14">
        <w:tblPrEx>
          <w:tblCellMar>
            <w:top w:w="0" w:type="dxa"/>
            <w:left w:w="108" w:type="dxa"/>
            <w:bottom w:w="0" w:type="dxa"/>
            <w:right w:w="108" w:type="dxa"/>
          </w:tblCellMar>
        </w:tblPrEx>
        <w:trPr>
          <w:trHeight w:val="938" w:hRule="atLeast"/>
          <w:jc w:val="center"/>
        </w:trPr>
        <w:tc>
          <w:tcPr>
            <w:tcW w:w="424" w:type="dxa"/>
            <w:tcBorders>
              <w:top w:val="single" w:color="auto" w:sz="4" w:space="0"/>
              <w:left w:val="single" w:color="auto" w:sz="4" w:space="0"/>
              <w:bottom w:val="single" w:color="auto" w:sz="4" w:space="0"/>
              <w:right w:val="single" w:color="auto" w:sz="4" w:space="0"/>
            </w:tcBorders>
            <w:vAlign w:val="center"/>
          </w:tcPr>
          <w:p w14:paraId="7EF66E2C">
            <w:pPr>
              <w:widowControl/>
              <w:ind w:firstLine="0"/>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7</w:t>
            </w:r>
          </w:p>
        </w:tc>
        <w:tc>
          <w:tcPr>
            <w:tcW w:w="960" w:type="dxa"/>
            <w:vMerge w:val="continue"/>
            <w:tcBorders>
              <w:left w:val="single" w:color="auto" w:sz="4" w:space="0"/>
              <w:right w:val="nil"/>
            </w:tcBorders>
            <w:vAlign w:val="center"/>
          </w:tcPr>
          <w:p w14:paraId="4EED8EC9">
            <w:pPr>
              <w:widowControl/>
              <w:spacing w:line="240" w:lineRule="auto"/>
              <w:ind w:firstLine="360"/>
              <w:rPr>
                <w:rFonts w:hint="eastAsia" w:ascii="宋体" w:hAnsi="宋体" w:cs="宋体"/>
                <w:color w:val="000000"/>
                <w:kern w:val="0"/>
                <w:sz w:val="18"/>
                <w:szCs w:val="18"/>
              </w:rPr>
            </w:pPr>
          </w:p>
        </w:tc>
        <w:tc>
          <w:tcPr>
            <w:tcW w:w="1239" w:type="dxa"/>
            <w:tcBorders>
              <w:top w:val="single" w:color="auto" w:sz="4" w:space="0"/>
              <w:left w:val="single" w:color="auto" w:sz="4" w:space="0"/>
              <w:right w:val="single" w:color="auto" w:sz="4" w:space="0"/>
            </w:tcBorders>
            <w:vAlign w:val="center"/>
          </w:tcPr>
          <w:p w14:paraId="2394E310">
            <w:pPr>
              <w:pStyle w:val="60"/>
              <w:rPr>
                <w:rFonts w:hint="eastAsia" w:ascii="宋体" w:hAnsi="宋体"/>
                <w:b/>
                <w:bCs/>
                <w:sz w:val="18"/>
                <w:szCs w:val="18"/>
              </w:rPr>
            </w:pPr>
            <w:r>
              <w:rPr>
                <w:rFonts w:hint="eastAsia" w:ascii="宋体" w:hAnsi="宋体"/>
                <w:b/>
                <w:bCs/>
                <w:sz w:val="18"/>
                <w:szCs w:val="18"/>
              </w:rPr>
              <w:t>外部环境</w:t>
            </w:r>
          </w:p>
          <w:p w14:paraId="0A8B9827">
            <w:pPr>
              <w:pStyle w:val="60"/>
              <w:rPr>
                <w:rFonts w:hint="eastAsia" w:ascii="宋体" w:hAnsi="宋体"/>
                <w:b/>
                <w:bCs/>
                <w:sz w:val="18"/>
                <w:szCs w:val="18"/>
              </w:rPr>
            </w:pPr>
            <w:r>
              <w:rPr>
                <w:rFonts w:hint="eastAsia" w:ascii="宋体" w:hAnsi="宋体"/>
                <w:b/>
                <w:bCs/>
                <w:sz w:val="18"/>
                <w:szCs w:val="18"/>
              </w:rPr>
              <w:t>分析</w:t>
            </w:r>
          </w:p>
        </w:tc>
        <w:tc>
          <w:tcPr>
            <w:tcW w:w="4998" w:type="dxa"/>
            <w:tcBorders>
              <w:top w:val="single" w:color="auto" w:sz="4" w:space="0"/>
              <w:left w:val="single" w:color="auto" w:sz="4" w:space="0"/>
              <w:bottom w:val="single" w:color="auto" w:sz="4" w:space="0"/>
              <w:right w:val="single" w:color="auto" w:sz="4" w:space="0"/>
            </w:tcBorders>
            <w:vAlign w:val="center"/>
          </w:tcPr>
          <w:p w14:paraId="2858CF8F">
            <w:pPr>
              <w:spacing w:line="240" w:lineRule="auto"/>
              <w:ind w:firstLine="0" w:firstLineChars="0"/>
              <w:rPr>
                <w:rFonts w:hint="eastAsia" w:ascii="仿宋_GB2312" w:eastAsia="宋体"/>
                <w:sz w:val="18"/>
                <w:szCs w:val="18"/>
                <w:lang w:eastAsia="zh-CN"/>
              </w:rPr>
            </w:pPr>
            <w:r>
              <w:rPr>
                <w:rFonts w:hint="eastAsia" w:ascii="仿宋_GB2312"/>
                <w:sz w:val="18"/>
                <w:szCs w:val="18"/>
              </w:rPr>
              <w:t>深刻理解招标人编制“十五五”规划的发展背景，分析招标人发展面临的宏观环境、行业环境和区域环境变化带来的机遇和挑战。宏观环境包括经济范式变化、人口结构变化、消费升级、科技创新、政策导向、国企改革等；行业环境包括招标人涉及的文旅消费、数字经济等行业发展形势等；区域环境包括南沙区近年来发展形势等</w:t>
            </w:r>
            <w:r>
              <w:rPr>
                <w:rFonts w:hint="eastAsia" w:ascii="仿宋_GB2312"/>
                <w:sz w:val="18"/>
                <w:szCs w:val="18"/>
                <w:lang w:eastAsia="zh-CN"/>
              </w:rPr>
              <w:t>。</w:t>
            </w:r>
          </w:p>
        </w:tc>
        <w:tc>
          <w:tcPr>
            <w:tcW w:w="2977" w:type="dxa"/>
            <w:tcBorders>
              <w:top w:val="single" w:color="auto" w:sz="4" w:space="0"/>
              <w:left w:val="single" w:color="auto" w:sz="4" w:space="0"/>
              <w:bottom w:val="single" w:color="auto" w:sz="4" w:space="0"/>
              <w:right w:val="single" w:color="auto" w:sz="4" w:space="0"/>
            </w:tcBorders>
            <w:vAlign w:val="center"/>
          </w:tcPr>
          <w:p w14:paraId="721F6E0C">
            <w:pPr>
              <w:spacing w:line="240" w:lineRule="auto"/>
              <w:ind w:firstLine="0" w:firstLineChars="0"/>
              <w:rPr>
                <w:rFonts w:hint="eastAsia" w:ascii="仿宋_GB2312" w:hAnsi="仿宋_GB2312" w:cs="仿宋_GB2312"/>
                <w:sz w:val="18"/>
                <w:szCs w:val="18"/>
              </w:rPr>
            </w:pPr>
            <w:r>
              <w:rPr>
                <w:rFonts w:hint="eastAsia" w:ascii="仿宋_GB2312" w:hAnsi="仿宋_GB2312" w:cs="仿宋_GB2312"/>
                <w:sz w:val="18"/>
                <w:szCs w:val="18"/>
              </w:rPr>
              <w:t>分析内容完整、认识深刻、符合</w:t>
            </w:r>
            <w:r>
              <w:rPr>
                <w:rFonts w:hint="eastAsia" w:ascii="仿宋_GB2312" w:hAnsi="仿宋_GB2312" w:cs="仿宋_GB2312"/>
                <w:sz w:val="18"/>
                <w:szCs w:val="18"/>
                <w:lang w:val="en-US" w:eastAsia="zh-CN"/>
              </w:rPr>
              <w:t>招标</w:t>
            </w:r>
            <w:r>
              <w:rPr>
                <w:rFonts w:hint="eastAsia" w:ascii="仿宋_GB2312" w:hAnsi="仿宋_GB2312" w:cs="仿宋_GB2312"/>
                <w:sz w:val="18"/>
                <w:szCs w:val="18"/>
              </w:rPr>
              <w:t>人实际情况</w:t>
            </w:r>
            <w:r>
              <w:rPr>
                <w:rFonts w:hint="eastAsia" w:ascii="仿宋_GB2312" w:hAnsi="仿宋_GB2312" w:cs="仿宋_GB2312"/>
                <w:sz w:val="18"/>
                <w:szCs w:val="18"/>
                <w:lang w:eastAsia="zh-CN"/>
              </w:rPr>
              <w:t>，</w:t>
            </w:r>
            <w:r>
              <w:rPr>
                <w:rFonts w:hint="eastAsia" w:ascii="仿宋_GB2312" w:hAnsi="仿宋_GB2312" w:cs="仿宋_GB2312"/>
                <w:sz w:val="18"/>
                <w:szCs w:val="18"/>
              </w:rPr>
              <w:t>熟悉</w:t>
            </w:r>
            <w:r>
              <w:rPr>
                <w:rFonts w:hint="eastAsia" w:ascii="仿宋_GB2312" w:hAnsi="仿宋_GB2312" w:cs="仿宋_GB2312"/>
                <w:sz w:val="18"/>
                <w:szCs w:val="18"/>
                <w:lang w:val="en-US" w:eastAsia="zh-CN"/>
              </w:rPr>
              <w:t>行业和</w:t>
            </w:r>
            <w:r>
              <w:rPr>
                <w:rFonts w:hint="eastAsia" w:ascii="仿宋_GB2312" w:hAnsi="仿宋_GB2312" w:cs="仿宋_GB2312"/>
                <w:sz w:val="18"/>
                <w:szCs w:val="18"/>
              </w:rPr>
              <w:t>区域环境，得</w:t>
            </w:r>
            <w:r>
              <w:rPr>
                <w:rFonts w:hint="eastAsia" w:ascii="仿宋_GB2312" w:hAnsi="仿宋_GB2312" w:cs="仿宋_GB2312"/>
                <w:sz w:val="18"/>
                <w:szCs w:val="18"/>
                <w:lang w:val="en-US" w:eastAsia="zh-CN"/>
              </w:rPr>
              <w:t>9</w:t>
            </w:r>
            <w:r>
              <w:rPr>
                <w:rFonts w:hint="eastAsia" w:ascii="仿宋_GB2312" w:hAnsi="仿宋_GB2312" w:cs="仿宋_GB2312"/>
                <w:sz w:val="18"/>
                <w:szCs w:val="18"/>
              </w:rPr>
              <w:t>-10分；分析内容完整，对宏观、行业和区域有一定认识，得6-8分；分析内容不完整，</w:t>
            </w:r>
            <w:r>
              <w:rPr>
                <w:rFonts w:hint="eastAsia" w:ascii="仿宋_GB2312" w:hAnsi="仿宋_GB2312" w:cs="仿宋_GB2312"/>
                <w:sz w:val="18"/>
                <w:szCs w:val="18"/>
                <w:lang w:val="en-US" w:eastAsia="zh-CN"/>
              </w:rPr>
              <w:t>对</w:t>
            </w:r>
            <w:r>
              <w:rPr>
                <w:rFonts w:hint="eastAsia" w:ascii="仿宋_GB2312" w:hAnsi="仿宋_GB2312" w:cs="仿宋_GB2312"/>
                <w:sz w:val="18"/>
                <w:szCs w:val="18"/>
              </w:rPr>
              <w:t>宏观、行业和区域有一定认识，</w:t>
            </w:r>
            <w:r>
              <w:rPr>
                <w:rFonts w:hint="eastAsia" w:ascii="仿宋_GB2312" w:hAnsi="仿宋_GB2312" w:cs="仿宋_GB2312"/>
                <w:sz w:val="18"/>
                <w:szCs w:val="18"/>
                <w:lang w:val="en-US" w:eastAsia="zh-CN"/>
              </w:rPr>
              <w:t>但欠缺对招标</w:t>
            </w:r>
            <w:r>
              <w:rPr>
                <w:rFonts w:hint="eastAsia" w:ascii="仿宋_GB2312" w:hAnsi="仿宋_GB2312" w:cs="仿宋_GB2312"/>
                <w:sz w:val="18"/>
                <w:szCs w:val="18"/>
              </w:rPr>
              <w:t>人实际情况</w:t>
            </w:r>
            <w:r>
              <w:rPr>
                <w:rFonts w:hint="eastAsia" w:ascii="仿宋_GB2312" w:hAnsi="仿宋_GB2312" w:cs="仿宋_GB2312"/>
                <w:sz w:val="18"/>
                <w:szCs w:val="18"/>
                <w:lang w:val="en-US" w:eastAsia="zh-CN"/>
              </w:rPr>
              <w:t>的</w:t>
            </w:r>
            <w:r>
              <w:rPr>
                <w:rFonts w:hint="eastAsia" w:ascii="仿宋_GB2312" w:hAnsi="仿宋_GB2312" w:cs="仿宋_GB2312"/>
                <w:sz w:val="18"/>
                <w:szCs w:val="18"/>
              </w:rPr>
              <w:t>针对性，得3-5分；分析内容不完整，针对性差，得0-2分。</w:t>
            </w:r>
          </w:p>
        </w:tc>
        <w:tc>
          <w:tcPr>
            <w:tcW w:w="709" w:type="dxa"/>
            <w:tcBorders>
              <w:top w:val="single" w:color="auto" w:sz="4" w:space="0"/>
              <w:left w:val="single" w:color="auto" w:sz="4" w:space="0"/>
              <w:bottom w:val="single" w:color="auto" w:sz="4" w:space="0"/>
              <w:right w:val="single" w:color="auto" w:sz="4" w:space="0"/>
            </w:tcBorders>
            <w:vAlign w:val="center"/>
          </w:tcPr>
          <w:p w14:paraId="3ACDBF0A">
            <w:pPr>
              <w:spacing w:line="240" w:lineRule="auto"/>
              <w:ind w:firstLine="0" w:firstLineChars="0"/>
              <w:jc w:val="center"/>
              <w:rPr>
                <w:rFonts w:ascii="仿宋_GB2312"/>
                <w:sz w:val="18"/>
                <w:szCs w:val="18"/>
              </w:rPr>
            </w:pPr>
            <w:r>
              <w:rPr>
                <w:rFonts w:hint="eastAsia" w:ascii="仿宋_GB2312"/>
                <w:sz w:val="18"/>
                <w:szCs w:val="18"/>
              </w:rPr>
              <w:t>10分</w:t>
            </w:r>
          </w:p>
        </w:tc>
        <w:tc>
          <w:tcPr>
            <w:tcW w:w="4252" w:type="dxa"/>
            <w:tcBorders>
              <w:top w:val="single" w:color="auto" w:sz="4" w:space="0"/>
              <w:left w:val="single" w:color="auto" w:sz="4" w:space="0"/>
              <w:right w:val="single" w:color="auto" w:sz="4" w:space="0"/>
            </w:tcBorders>
            <w:vAlign w:val="center"/>
          </w:tcPr>
          <w:p w14:paraId="0226C611">
            <w:pPr>
              <w:spacing w:line="240" w:lineRule="auto"/>
              <w:ind w:firstLine="0" w:firstLineChars="0"/>
              <w:rPr>
                <w:rFonts w:ascii="仿宋_GB2312"/>
                <w:sz w:val="18"/>
                <w:szCs w:val="18"/>
              </w:rPr>
            </w:pPr>
            <w:r>
              <w:rPr>
                <w:rFonts w:hint="eastAsia" w:ascii="仿宋_GB2312"/>
                <w:sz w:val="18"/>
                <w:szCs w:val="18"/>
              </w:rPr>
              <w:t>内容及格式由投标人自拟，需加盖公章。</w:t>
            </w:r>
          </w:p>
        </w:tc>
      </w:tr>
      <w:tr w14:paraId="2DE7DC59">
        <w:tblPrEx>
          <w:tblCellMar>
            <w:top w:w="0" w:type="dxa"/>
            <w:left w:w="108" w:type="dxa"/>
            <w:bottom w:w="0" w:type="dxa"/>
            <w:right w:w="108" w:type="dxa"/>
          </w:tblCellMar>
        </w:tblPrEx>
        <w:trPr>
          <w:trHeight w:val="1248" w:hRule="atLeast"/>
          <w:jc w:val="center"/>
        </w:trPr>
        <w:tc>
          <w:tcPr>
            <w:tcW w:w="424" w:type="dxa"/>
            <w:tcBorders>
              <w:top w:val="single" w:color="auto" w:sz="4" w:space="0"/>
              <w:left w:val="single" w:color="auto" w:sz="4" w:space="0"/>
              <w:bottom w:val="single" w:color="auto" w:sz="4" w:space="0"/>
              <w:right w:val="single" w:color="auto" w:sz="4" w:space="0"/>
            </w:tcBorders>
            <w:vAlign w:val="center"/>
          </w:tcPr>
          <w:p w14:paraId="49754F7D">
            <w:pPr>
              <w:widowControl/>
              <w:ind w:firstLine="0"/>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w:t>
            </w:r>
          </w:p>
        </w:tc>
        <w:tc>
          <w:tcPr>
            <w:tcW w:w="960" w:type="dxa"/>
            <w:vMerge w:val="restart"/>
            <w:tcBorders>
              <w:left w:val="single" w:color="auto" w:sz="4" w:space="0"/>
              <w:right w:val="nil"/>
            </w:tcBorders>
            <w:vAlign w:val="center"/>
          </w:tcPr>
          <w:p w14:paraId="4F3AC7CD">
            <w:pPr>
              <w:spacing w:line="240" w:lineRule="auto"/>
              <w:ind w:firstLine="0" w:firstLineChars="0"/>
              <w:jc w:val="left"/>
              <w:rPr>
                <w:rFonts w:hint="eastAsia"/>
                <w:b/>
                <w:bCs/>
                <w:sz w:val="18"/>
                <w:szCs w:val="18"/>
              </w:rPr>
            </w:pPr>
          </w:p>
          <w:p w14:paraId="43D1FFC1">
            <w:pPr>
              <w:spacing w:line="240" w:lineRule="auto"/>
              <w:ind w:firstLine="0" w:firstLineChars="0"/>
              <w:jc w:val="left"/>
              <w:rPr>
                <w:rFonts w:hint="eastAsia"/>
                <w:b/>
                <w:bCs/>
                <w:sz w:val="18"/>
                <w:szCs w:val="18"/>
              </w:rPr>
            </w:pPr>
          </w:p>
          <w:p w14:paraId="4A696D14">
            <w:pPr>
              <w:spacing w:line="240" w:lineRule="auto"/>
              <w:ind w:firstLine="0" w:firstLineChars="0"/>
              <w:jc w:val="left"/>
              <w:rPr>
                <w:rFonts w:hint="eastAsia"/>
                <w:b/>
                <w:bCs/>
                <w:sz w:val="18"/>
                <w:szCs w:val="18"/>
              </w:rPr>
            </w:pPr>
          </w:p>
          <w:p w14:paraId="0ECC6597">
            <w:pPr>
              <w:spacing w:line="240" w:lineRule="auto"/>
              <w:ind w:firstLine="0" w:firstLineChars="0"/>
              <w:jc w:val="left"/>
              <w:rPr>
                <w:rFonts w:hint="eastAsia"/>
                <w:b/>
                <w:bCs/>
                <w:sz w:val="18"/>
                <w:szCs w:val="18"/>
              </w:rPr>
            </w:pPr>
          </w:p>
          <w:p w14:paraId="6BFD1A91">
            <w:pPr>
              <w:spacing w:line="240" w:lineRule="auto"/>
              <w:ind w:firstLine="0" w:firstLineChars="0"/>
              <w:jc w:val="left"/>
              <w:rPr>
                <w:rFonts w:hint="eastAsia"/>
                <w:b/>
                <w:bCs/>
                <w:sz w:val="18"/>
                <w:szCs w:val="18"/>
              </w:rPr>
            </w:pPr>
          </w:p>
          <w:p w14:paraId="65CB6D47">
            <w:pPr>
              <w:spacing w:line="240" w:lineRule="auto"/>
              <w:ind w:firstLine="0" w:firstLineChars="0"/>
              <w:jc w:val="left"/>
              <w:rPr>
                <w:rFonts w:hint="eastAsia"/>
                <w:b/>
                <w:bCs/>
                <w:sz w:val="18"/>
                <w:szCs w:val="18"/>
                <w:lang w:val="en-US" w:eastAsia="zh-CN"/>
              </w:rPr>
            </w:pPr>
            <w:r>
              <w:rPr>
                <w:rFonts w:hint="eastAsia"/>
                <w:b/>
                <w:bCs/>
                <w:sz w:val="18"/>
                <w:szCs w:val="18"/>
              </w:rPr>
              <w:t>技术</w:t>
            </w:r>
            <w:r>
              <w:rPr>
                <w:rFonts w:hint="eastAsia"/>
                <w:b/>
                <w:bCs/>
                <w:sz w:val="18"/>
                <w:szCs w:val="18"/>
                <w:lang w:val="en-US" w:eastAsia="zh-CN"/>
              </w:rPr>
              <w:t>能力得分</w:t>
            </w:r>
          </w:p>
          <w:p w14:paraId="7F99D83C">
            <w:pPr>
              <w:widowControl/>
              <w:spacing w:line="240" w:lineRule="auto"/>
              <w:ind w:firstLine="0"/>
              <w:rPr>
                <w:rFonts w:hint="eastAsia" w:ascii="宋体" w:hAnsi="宋体" w:cs="宋体"/>
                <w:color w:val="000000"/>
                <w:kern w:val="0"/>
                <w:sz w:val="18"/>
                <w:szCs w:val="18"/>
              </w:rPr>
            </w:pPr>
            <w:r>
              <w:rPr>
                <w:rFonts w:hint="eastAsia" w:ascii="宋体" w:hAnsi="宋体" w:cs="宋体"/>
                <w:color w:val="000000"/>
                <w:kern w:val="0"/>
                <w:sz w:val="18"/>
                <w:szCs w:val="18"/>
              </w:rPr>
              <w:t>（满分</w:t>
            </w:r>
            <w:r>
              <w:rPr>
                <w:rFonts w:hint="eastAsia" w:ascii="宋体" w:hAnsi="宋体" w:cs="宋体"/>
                <w:color w:val="000000"/>
                <w:kern w:val="0"/>
                <w:sz w:val="18"/>
                <w:szCs w:val="18"/>
                <w:lang w:val="en-US" w:eastAsia="zh-CN"/>
              </w:rPr>
              <w:t>40</w:t>
            </w:r>
            <w:r>
              <w:rPr>
                <w:rFonts w:hint="eastAsia" w:ascii="宋体" w:hAnsi="宋体" w:cs="宋体"/>
                <w:color w:val="000000"/>
                <w:kern w:val="0"/>
                <w:sz w:val="18"/>
                <w:szCs w:val="18"/>
              </w:rPr>
              <w:t>分）</w:t>
            </w:r>
          </w:p>
        </w:tc>
        <w:tc>
          <w:tcPr>
            <w:tcW w:w="1239" w:type="dxa"/>
            <w:tcBorders>
              <w:left w:val="single" w:color="auto" w:sz="4" w:space="0"/>
              <w:right w:val="single" w:color="auto" w:sz="4" w:space="0"/>
            </w:tcBorders>
            <w:vAlign w:val="center"/>
          </w:tcPr>
          <w:p w14:paraId="79AAE91E">
            <w:pPr>
              <w:pStyle w:val="60"/>
              <w:rPr>
                <w:rFonts w:hint="eastAsia" w:ascii="宋体" w:hAnsi="宋体"/>
                <w:b/>
                <w:bCs/>
                <w:sz w:val="18"/>
                <w:szCs w:val="18"/>
              </w:rPr>
            </w:pPr>
            <w:r>
              <w:rPr>
                <w:rFonts w:hint="eastAsia" w:ascii="宋体" w:hAnsi="宋体"/>
                <w:b/>
                <w:bCs/>
                <w:sz w:val="18"/>
                <w:szCs w:val="18"/>
              </w:rPr>
              <w:t>规划编制</w:t>
            </w:r>
          </w:p>
          <w:p w14:paraId="0BF2FCA1">
            <w:pPr>
              <w:pStyle w:val="60"/>
              <w:rPr>
                <w:rFonts w:hint="eastAsia" w:ascii="宋体" w:hAnsi="宋体"/>
                <w:b/>
                <w:bCs/>
                <w:sz w:val="18"/>
                <w:szCs w:val="18"/>
              </w:rPr>
            </w:pPr>
            <w:r>
              <w:rPr>
                <w:rFonts w:hint="eastAsia" w:ascii="宋体" w:hAnsi="宋体"/>
                <w:b/>
                <w:bCs/>
                <w:sz w:val="18"/>
                <w:szCs w:val="18"/>
              </w:rPr>
              <w:t>思路</w:t>
            </w:r>
          </w:p>
        </w:tc>
        <w:tc>
          <w:tcPr>
            <w:tcW w:w="4998" w:type="dxa"/>
            <w:tcBorders>
              <w:top w:val="single" w:color="auto" w:sz="4" w:space="0"/>
              <w:left w:val="single" w:color="auto" w:sz="4" w:space="0"/>
              <w:bottom w:val="single" w:color="auto" w:sz="4" w:space="0"/>
              <w:right w:val="single" w:color="auto" w:sz="4" w:space="0"/>
            </w:tcBorders>
            <w:vAlign w:val="center"/>
          </w:tcPr>
          <w:p w14:paraId="3CD11AA0">
            <w:pPr>
              <w:spacing w:line="240" w:lineRule="auto"/>
              <w:ind w:firstLine="0" w:firstLineChars="0"/>
              <w:rPr>
                <w:rFonts w:hint="eastAsia" w:ascii="仿宋_GB2312" w:eastAsia="宋体"/>
                <w:sz w:val="18"/>
                <w:szCs w:val="18"/>
                <w:lang w:eastAsia="zh-CN"/>
              </w:rPr>
            </w:pPr>
            <w:r>
              <w:rPr>
                <w:rFonts w:hint="eastAsia" w:ascii="仿宋_GB2312"/>
                <w:sz w:val="18"/>
                <w:szCs w:val="18"/>
              </w:rPr>
              <w:t>基于对招标人内外部发展环境的理解，针对招标人的规划编制需要，提出有针对性、有创新性的规划思路，主要包括顶层设计与总体战略蓝图、业务布局与业务发展思路、组织管控与集团管理、战略落地保障措施、人力资源体系系统提升等</w:t>
            </w:r>
            <w:r>
              <w:rPr>
                <w:rFonts w:hint="eastAsia" w:ascii="仿宋_GB2312"/>
                <w:sz w:val="18"/>
                <w:szCs w:val="18"/>
                <w:lang w:eastAsia="zh-CN"/>
              </w:rPr>
              <w:t>。</w:t>
            </w:r>
          </w:p>
        </w:tc>
        <w:tc>
          <w:tcPr>
            <w:tcW w:w="2977" w:type="dxa"/>
            <w:tcBorders>
              <w:top w:val="single" w:color="auto" w:sz="4" w:space="0"/>
              <w:left w:val="single" w:color="auto" w:sz="4" w:space="0"/>
              <w:bottom w:val="single" w:color="auto" w:sz="4" w:space="0"/>
              <w:right w:val="single" w:color="auto" w:sz="4" w:space="0"/>
            </w:tcBorders>
            <w:vAlign w:val="center"/>
          </w:tcPr>
          <w:p w14:paraId="7E5FDCA0">
            <w:pPr>
              <w:spacing w:line="240" w:lineRule="auto"/>
              <w:ind w:firstLine="0" w:firstLineChars="0"/>
              <w:rPr>
                <w:rFonts w:hint="eastAsia" w:ascii="仿宋_GB2312" w:hAnsi="仿宋_GB2312" w:cs="仿宋_GB2312"/>
                <w:sz w:val="18"/>
                <w:szCs w:val="18"/>
              </w:rPr>
            </w:pPr>
            <w:r>
              <w:rPr>
                <w:rFonts w:hint="eastAsia" w:ascii="仿宋_GB2312" w:hAnsi="仿宋_GB2312" w:cs="仿宋_GB2312"/>
                <w:sz w:val="18"/>
                <w:szCs w:val="18"/>
              </w:rPr>
              <w:t>编制思路</w:t>
            </w:r>
            <w:r>
              <w:rPr>
                <w:rFonts w:hint="eastAsia" w:ascii="仿宋_GB2312" w:hAnsi="仿宋_GB2312" w:cs="仿宋_GB2312"/>
                <w:sz w:val="18"/>
                <w:szCs w:val="18"/>
                <w:lang w:val="en-US" w:eastAsia="zh-CN"/>
              </w:rPr>
              <w:t>内容完整</w:t>
            </w:r>
            <w:r>
              <w:rPr>
                <w:rFonts w:hint="eastAsia" w:ascii="仿宋_GB2312" w:hAnsi="仿宋_GB2312" w:cs="仿宋_GB2312"/>
                <w:sz w:val="18"/>
                <w:szCs w:val="18"/>
              </w:rPr>
              <w:t>，有针对性、有创新性，提出的举措和思路科学合理，符合</w:t>
            </w:r>
            <w:r>
              <w:rPr>
                <w:rFonts w:hint="eastAsia" w:ascii="仿宋_GB2312" w:hAnsi="仿宋_GB2312" w:cs="仿宋_GB2312"/>
                <w:sz w:val="18"/>
                <w:szCs w:val="18"/>
                <w:lang w:val="en-US" w:eastAsia="zh-CN"/>
              </w:rPr>
              <w:t>招标</w:t>
            </w:r>
            <w:r>
              <w:rPr>
                <w:rFonts w:hint="eastAsia" w:ascii="仿宋_GB2312" w:hAnsi="仿宋_GB2312" w:cs="仿宋_GB2312"/>
                <w:sz w:val="18"/>
                <w:szCs w:val="18"/>
              </w:rPr>
              <w:t>人</w:t>
            </w:r>
            <w:r>
              <w:rPr>
                <w:rFonts w:hint="eastAsia" w:ascii="仿宋_GB2312" w:hAnsi="仿宋_GB2312" w:cs="仿宋_GB2312"/>
                <w:sz w:val="18"/>
                <w:szCs w:val="18"/>
                <w:lang w:val="en-US" w:eastAsia="zh-CN"/>
              </w:rPr>
              <w:t>发展</w:t>
            </w:r>
            <w:r>
              <w:rPr>
                <w:rFonts w:hint="eastAsia" w:ascii="仿宋_GB2312" w:hAnsi="仿宋_GB2312" w:cs="仿宋_GB2312"/>
                <w:sz w:val="18"/>
                <w:szCs w:val="18"/>
              </w:rPr>
              <w:t>需要，具备可落地执行性，得</w:t>
            </w:r>
            <w:r>
              <w:rPr>
                <w:rFonts w:hint="eastAsia" w:ascii="仿宋_GB2312" w:hAnsi="仿宋_GB2312" w:cs="仿宋_GB2312"/>
                <w:sz w:val="18"/>
                <w:szCs w:val="18"/>
                <w:lang w:val="en-US" w:eastAsia="zh-CN"/>
              </w:rPr>
              <w:t>9</w:t>
            </w:r>
            <w:r>
              <w:rPr>
                <w:rFonts w:hint="eastAsia" w:ascii="仿宋_GB2312" w:hAnsi="仿宋_GB2312" w:cs="仿宋_GB2312"/>
                <w:sz w:val="18"/>
                <w:szCs w:val="18"/>
              </w:rPr>
              <w:t>-10分；编制思路</w:t>
            </w:r>
            <w:r>
              <w:rPr>
                <w:rFonts w:hint="eastAsia" w:ascii="仿宋_GB2312" w:hAnsi="仿宋_GB2312" w:cs="仿宋_GB2312"/>
                <w:sz w:val="18"/>
                <w:szCs w:val="18"/>
                <w:lang w:val="en-US" w:eastAsia="zh-CN"/>
              </w:rPr>
              <w:t>内容完整</w:t>
            </w:r>
            <w:r>
              <w:rPr>
                <w:rFonts w:hint="eastAsia" w:ascii="仿宋_GB2312" w:hAnsi="仿宋_GB2312" w:cs="仿宋_GB2312"/>
                <w:sz w:val="18"/>
                <w:szCs w:val="18"/>
              </w:rPr>
              <w:t>，有一定的创新性和针对性，基本满足</w:t>
            </w:r>
            <w:r>
              <w:rPr>
                <w:rFonts w:hint="eastAsia" w:ascii="仿宋_GB2312" w:hAnsi="仿宋_GB2312" w:cs="仿宋_GB2312"/>
                <w:sz w:val="18"/>
                <w:szCs w:val="18"/>
                <w:lang w:val="en-US" w:eastAsia="zh-CN"/>
              </w:rPr>
              <w:t>招标</w:t>
            </w:r>
            <w:r>
              <w:rPr>
                <w:rFonts w:hint="eastAsia" w:ascii="仿宋_GB2312" w:hAnsi="仿宋_GB2312" w:cs="仿宋_GB2312"/>
                <w:sz w:val="18"/>
                <w:szCs w:val="18"/>
              </w:rPr>
              <w:t>人发展需要，得6-8分</w:t>
            </w:r>
            <w:r>
              <w:rPr>
                <w:rFonts w:hint="eastAsia" w:ascii="仿宋_GB2312" w:hAnsi="仿宋_GB2312" w:cs="仿宋_GB2312"/>
                <w:sz w:val="18"/>
                <w:szCs w:val="18"/>
                <w:lang w:eastAsia="zh-CN"/>
              </w:rPr>
              <w:t>；</w:t>
            </w:r>
            <w:r>
              <w:rPr>
                <w:rFonts w:hint="eastAsia" w:ascii="仿宋_GB2312" w:hAnsi="仿宋_GB2312" w:cs="仿宋_GB2312"/>
                <w:sz w:val="18"/>
                <w:szCs w:val="18"/>
              </w:rPr>
              <w:t>编制思路包含多数内容，创新性和针对性一般，与</w:t>
            </w:r>
            <w:r>
              <w:rPr>
                <w:rFonts w:hint="eastAsia" w:ascii="仿宋_GB2312" w:hAnsi="仿宋_GB2312" w:cs="仿宋_GB2312"/>
                <w:sz w:val="18"/>
                <w:szCs w:val="18"/>
                <w:lang w:val="en-US" w:eastAsia="zh-CN"/>
              </w:rPr>
              <w:t>招标</w:t>
            </w:r>
            <w:r>
              <w:rPr>
                <w:rFonts w:hint="eastAsia" w:ascii="仿宋_GB2312" w:hAnsi="仿宋_GB2312" w:cs="仿宋_GB2312"/>
                <w:sz w:val="18"/>
                <w:szCs w:val="18"/>
              </w:rPr>
              <w:t>人实际情况有所偏离，得3-5分；编制思路内容偏离较多，创新性和针对性较差，得0-2分。</w:t>
            </w:r>
          </w:p>
        </w:tc>
        <w:tc>
          <w:tcPr>
            <w:tcW w:w="709" w:type="dxa"/>
            <w:tcBorders>
              <w:top w:val="single" w:color="auto" w:sz="4" w:space="0"/>
              <w:left w:val="single" w:color="auto" w:sz="4" w:space="0"/>
              <w:bottom w:val="single" w:color="auto" w:sz="4" w:space="0"/>
              <w:right w:val="single" w:color="auto" w:sz="4" w:space="0"/>
            </w:tcBorders>
            <w:vAlign w:val="center"/>
          </w:tcPr>
          <w:p w14:paraId="3EA34497">
            <w:pPr>
              <w:spacing w:line="240" w:lineRule="auto"/>
              <w:ind w:firstLine="0" w:firstLineChars="0"/>
              <w:jc w:val="center"/>
              <w:rPr>
                <w:rFonts w:hint="default" w:ascii="仿宋_GB2312" w:eastAsia="宋体"/>
                <w:sz w:val="18"/>
                <w:szCs w:val="18"/>
                <w:lang w:val="en-US" w:eastAsia="zh-CN"/>
              </w:rPr>
            </w:pPr>
            <w:r>
              <w:rPr>
                <w:rFonts w:hint="eastAsia" w:ascii="仿宋_GB2312"/>
                <w:sz w:val="18"/>
                <w:szCs w:val="18"/>
                <w:lang w:val="en-US" w:eastAsia="zh-CN"/>
              </w:rPr>
              <w:t>10分</w:t>
            </w:r>
          </w:p>
        </w:tc>
        <w:tc>
          <w:tcPr>
            <w:tcW w:w="4252" w:type="dxa"/>
            <w:tcBorders>
              <w:top w:val="single" w:color="auto" w:sz="4" w:space="0"/>
              <w:left w:val="single" w:color="auto" w:sz="4" w:space="0"/>
              <w:right w:val="single" w:color="auto" w:sz="4" w:space="0"/>
            </w:tcBorders>
            <w:vAlign w:val="center"/>
          </w:tcPr>
          <w:p w14:paraId="1AC63042">
            <w:pPr>
              <w:spacing w:line="240" w:lineRule="auto"/>
              <w:ind w:firstLine="0" w:firstLineChars="0"/>
              <w:rPr>
                <w:rFonts w:hint="eastAsia" w:ascii="仿宋_GB2312"/>
                <w:sz w:val="18"/>
                <w:szCs w:val="18"/>
              </w:rPr>
            </w:pPr>
            <w:r>
              <w:rPr>
                <w:rFonts w:hint="eastAsia" w:ascii="仿宋_GB2312"/>
                <w:sz w:val="18"/>
                <w:szCs w:val="18"/>
              </w:rPr>
              <w:t>内容及格式由投标人自拟，需加盖公章。</w:t>
            </w:r>
          </w:p>
        </w:tc>
      </w:tr>
      <w:tr w14:paraId="3EB88BE5">
        <w:tblPrEx>
          <w:tblCellMar>
            <w:top w:w="0" w:type="dxa"/>
            <w:left w:w="108" w:type="dxa"/>
            <w:bottom w:w="0" w:type="dxa"/>
            <w:right w:w="108" w:type="dxa"/>
          </w:tblCellMar>
        </w:tblPrEx>
        <w:trPr>
          <w:trHeight w:val="1248" w:hRule="atLeast"/>
          <w:jc w:val="center"/>
        </w:trPr>
        <w:tc>
          <w:tcPr>
            <w:tcW w:w="424" w:type="dxa"/>
            <w:tcBorders>
              <w:top w:val="single" w:color="auto" w:sz="4" w:space="0"/>
              <w:left w:val="single" w:color="auto" w:sz="4" w:space="0"/>
              <w:bottom w:val="single" w:color="auto" w:sz="4" w:space="0"/>
              <w:right w:val="single" w:color="auto" w:sz="4" w:space="0"/>
            </w:tcBorders>
            <w:vAlign w:val="center"/>
          </w:tcPr>
          <w:p w14:paraId="5331D04F">
            <w:pPr>
              <w:widowControl/>
              <w:ind w:firstLine="0"/>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9</w:t>
            </w:r>
          </w:p>
        </w:tc>
        <w:tc>
          <w:tcPr>
            <w:tcW w:w="960" w:type="dxa"/>
            <w:vMerge w:val="continue"/>
            <w:tcBorders>
              <w:left w:val="single" w:color="auto" w:sz="4" w:space="0"/>
              <w:right w:val="nil"/>
            </w:tcBorders>
            <w:vAlign w:val="center"/>
          </w:tcPr>
          <w:p w14:paraId="4AFF2363">
            <w:pPr>
              <w:widowControl/>
              <w:spacing w:line="240" w:lineRule="auto"/>
              <w:ind w:firstLine="360"/>
              <w:rPr>
                <w:rFonts w:hint="eastAsia" w:ascii="宋体" w:hAnsi="宋体" w:cs="宋体"/>
                <w:color w:val="000000"/>
                <w:kern w:val="0"/>
                <w:sz w:val="18"/>
                <w:szCs w:val="18"/>
              </w:rPr>
            </w:pPr>
          </w:p>
        </w:tc>
        <w:tc>
          <w:tcPr>
            <w:tcW w:w="1239" w:type="dxa"/>
            <w:tcBorders>
              <w:left w:val="single" w:color="auto" w:sz="4" w:space="0"/>
              <w:right w:val="single" w:color="auto" w:sz="4" w:space="0"/>
            </w:tcBorders>
            <w:vAlign w:val="center"/>
          </w:tcPr>
          <w:p w14:paraId="46994332">
            <w:pPr>
              <w:pStyle w:val="60"/>
              <w:rPr>
                <w:rFonts w:hint="eastAsia" w:ascii="宋体" w:hAnsi="宋体"/>
                <w:b/>
                <w:bCs/>
                <w:sz w:val="18"/>
                <w:szCs w:val="18"/>
              </w:rPr>
            </w:pPr>
            <w:r>
              <w:rPr>
                <w:rFonts w:hint="eastAsia" w:ascii="宋体" w:hAnsi="宋体"/>
                <w:b/>
                <w:bCs/>
                <w:sz w:val="18"/>
                <w:szCs w:val="18"/>
              </w:rPr>
              <w:t>服务方案</w:t>
            </w:r>
          </w:p>
        </w:tc>
        <w:tc>
          <w:tcPr>
            <w:tcW w:w="4998" w:type="dxa"/>
            <w:tcBorders>
              <w:top w:val="single" w:color="auto" w:sz="4" w:space="0"/>
              <w:left w:val="single" w:color="auto" w:sz="4" w:space="0"/>
              <w:bottom w:val="single" w:color="auto" w:sz="4" w:space="0"/>
              <w:right w:val="single" w:color="auto" w:sz="4" w:space="0"/>
            </w:tcBorders>
            <w:vAlign w:val="center"/>
          </w:tcPr>
          <w:p w14:paraId="24F49CA5">
            <w:pPr>
              <w:spacing w:line="240" w:lineRule="auto"/>
              <w:ind w:firstLine="0" w:firstLineChars="0"/>
              <w:rPr>
                <w:rFonts w:hint="eastAsia" w:ascii="仿宋_GB2312" w:eastAsia="宋体"/>
                <w:sz w:val="18"/>
                <w:szCs w:val="18"/>
                <w:lang w:eastAsia="zh-CN"/>
              </w:rPr>
            </w:pPr>
            <w:r>
              <w:rPr>
                <w:rFonts w:hint="eastAsia" w:ascii="仿宋_GB2312"/>
                <w:sz w:val="18"/>
                <w:szCs w:val="18"/>
              </w:rPr>
              <w:t>基于招标人服务需求和投标人提出的规划编制思路，提出有针对性</w:t>
            </w:r>
            <w:r>
              <w:rPr>
                <w:rFonts w:hint="eastAsia" w:ascii="仿宋_GB2312"/>
                <w:sz w:val="18"/>
                <w:szCs w:val="18"/>
                <w:lang w:val="en-US" w:eastAsia="zh-CN"/>
              </w:rPr>
              <w:t>及</w:t>
            </w:r>
            <w:r>
              <w:rPr>
                <w:rFonts w:hint="eastAsia" w:ascii="仿宋_GB2312"/>
                <w:sz w:val="18"/>
                <w:szCs w:val="18"/>
              </w:rPr>
              <w:t>可操作性的规划服务方案</w:t>
            </w:r>
            <w:r>
              <w:rPr>
                <w:rFonts w:hint="eastAsia" w:ascii="仿宋_GB2312"/>
                <w:sz w:val="18"/>
                <w:szCs w:val="18"/>
                <w:lang w:eastAsia="zh-CN"/>
              </w:rPr>
              <w:t>。</w:t>
            </w:r>
          </w:p>
        </w:tc>
        <w:tc>
          <w:tcPr>
            <w:tcW w:w="2977" w:type="dxa"/>
            <w:tcBorders>
              <w:top w:val="single" w:color="auto" w:sz="4" w:space="0"/>
              <w:left w:val="single" w:color="auto" w:sz="4" w:space="0"/>
              <w:bottom w:val="single" w:color="auto" w:sz="4" w:space="0"/>
              <w:right w:val="single" w:color="auto" w:sz="4" w:space="0"/>
            </w:tcBorders>
            <w:vAlign w:val="center"/>
          </w:tcPr>
          <w:p w14:paraId="547EA127">
            <w:pPr>
              <w:spacing w:line="240" w:lineRule="auto"/>
              <w:ind w:firstLine="0" w:firstLineChars="0"/>
              <w:rPr>
                <w:rFonts w:hint="eastAsia" w:ascii="仿宋_GB2312" w:hAnsi="仿宋_GB2312" w:eastAsia="宋体" w:cs="仿宋_GB2312"/>
                <w:sz w:val="18"/>
                <w:szCs w:val="18"/>
                <w:lang w:eastAsia="zh-CN"/>
              </w:rPr>
            </w:pPr>
            <w:r>
              <w:rPr>
                <w:rFonts w:hint="eastAsia" w:ascii="仿宋_GB2312" w:hAnsi="仿宋_GB2312" w:cs="仿宋_GB2312"/>
                <w:sz w:val="18"/>
                <w:szCs w:val="18"/>
              </w:rPr>
              <w:t>有清晰、科学、合理的工作方法，</w:t>
            </w:r>
            <w:r>
              <w:rPr>
                <w:rFonts w:hint="eastAsia" w:ascii="仿宋_GB2312" w:hAnsi="仿宋_GB2312" w:cs="仿宋_GB2312"/>
                <w:sz w:val="18"/>
                <w:szCs w:val="18"/>
                <w:lang w:val="en-US" w:eastAsia="zh-CN"/>
              </w:rPr>
              <w:t>能保障规划编制</w:t>
            </w:r>
            <w:r>
              <w:rPr>
                <w:rFonts w:hint="eastAsia" w:ascii="仿宋_GB2312" w:hAnsi="仿宋_GB2312" w:cs="仿宋_GB2312"/>
                <w:sz w:val="18"/>
                <w:szCs w:val="18"/>
              </w:rPr>
              <w:t>落地执行，</w:t>
            </w:r>
            <w:r>
              <w:rPr>
                <w:rFonts w:hint="eastAsia" w:ascii="仿宋_GB2312" w:hAnsi="仿宋_GB2312" w:cs="仿宋_GB2312"/>
                <w:sz w:val="18"/>
                <w:szCs w:val="18"/>
                <w:lang w:val="en-US" w:eastAsia="zh-CN"/>
              </w:rPr>
              <w:t>有</w:t>
            </w:r>
            <w:r>
              <w:rPr>
                <w:rFonts w:hint="eastAsia" w:ascii="仿宋_GB2312" w:hAnsi="仿宋_GB2312" w:cs="仿宋_GB2312"/>
                <w:sz w:val="18"/>
                <w:szCs w:val="18"/>
              </w:rPr>
              <w:t>充足的资源导入，得</w:t>
            </w:r>
            <w:r>
              <w:rPr>
                <w:rFonts w:hint="eastAsia" w:ascii="仿宋_GB2312" w:hAnsi="仿宋_GB2312" w:cs="仿宋_GB2312"/>
                <w:sz w:val="18"/>
                <w:szCs w:val="18"/>
                <w:lang w:val="en-US" w:eastAsia="zh-CN"/>
              </w:rPr>
              <w:t>4</w:t>
            </w:r>
            <w:r>
              <w:rPr>
                <w:rFonts w:hint="eastAsia" w:ascii="仿宋_GB2312" w:hAnsi="仿宋_GB2312" w:cs="仿宋_GB2312"/>
                <w:sz w:val="18"/>
                <w:szCs w:val="18"/>
              </w:rPr>
              <w:t>-</w:t>
            </w:r>
            <w:r>
              <w:rPr>
                <w:rFonts w:hint="eastAsia" w:ascii="仿宋_GB2312" w:hAnsi="仿宋_GB2312" w:cs="仿宋_GB2312"/>
                <w:sz w:val="18"/>
                <w:szCs w:val="18"/>
                <w:lang w:val="en-US" w:eastAsia="zh-CN"/>
              </w:rPr>
              <w:t>5</w:t>
            </w:r>
            <w:r>
              <w:rPr>
                <w:rFonts w:hint="eastAsia" w:ascii="仿宋_GB2312" w:hAnsi="仿宋_GB2312" w:cs="仿宋_GB2312"/>
                <w:sz w:val="18"/>
                <w:szCs w:val="18"/>
              </w:rPr>
              <w:t>分；工作方法不清晰，能</w:t>
            </w:r>
            <w:r>
              <w:rPr>
                <w:rFonts w:hint="eastAsia" w:ascii="仿宋_GB2312" w:hAnsi="仿宋_GB2312" w:cs="仿宋_GB2312"/>
                <w:sz w:val="18"/>
                <w:szCs w:val="18"/>
                <w:lang w:val="en-US" w:eastAsia="zh-CN"/>
              </w:rPr>
              <w:t>基本</w:t>
            </w:r>
            <w:r>
              <w:rPr>
                <w:rFonts w:hint="eastAsia" w:ascii="仿宋_GB2312" w:hAnsi="仿宋_GB2312" w:cs="仿宋_GB2312"/>
                <w:sz w:val="18"/>
                <w:szCs w:val="18"/>
              </w:rPr>
              <w:t>保障规划编制落地，资源导入能力</w:t>
            </w:r>
            <w:r>
              <w:rPr>
                <w:rFonts w:hint="eastAsia" w:ascii="仿宋_GB2312" w:hAnsi="仿宋_GB2312" w:cs="仿宋_GB2312"/>
                <w:sz w:val="18"/>
                <w:szCs w:val="18"/>
                <w:lang w:val="en-US" w:eastAsia="zh-CN"/>
              </w:rPr>
              <w:t>较</w:t>
            </w:r>
            <w:r>
              <w:rPr>
                <w:rFonts w:hint="eastAsia" w:ascii="仿宋_GB2312" w:hAnsi="仿宋_GB2312" w:cs="仿宋_GB2312"/>
                <w:sz w:val="18"/>
                <w:szCs w:val="18"/>
              </w:rPr>
              <w:t>弱，得2-</w:t>
            </w:r>
            <w:r>
              <w:rPr>
                <w:rFonts w:hint="eastAsia" w:ascii="仿宋_GB2312" w:hAnsi="仿宋_GB2312" w:cs="仿宋_GB2312"/>
                <w:sz w:val="18"/>
                <w:szCs w:val="18"/>
                <w:lang w:val="en-US" w:eastAsia="zh-CN"/>
              </w:rPr>
              <w:t>3</w:t>
            </w:r>
            <w:r>
              <w:rPr>
                <w:rFonts w:hint="eastAsia" w:ascii="仿宋_GB2312" w:hAnsi="仿宋_GB2312" w:cs="仿宋_GB2312"/>
                <w:sz w:val="18"/>
                <w:szCs w:val="18"/>
              </w:rPr>
              <w:t>分；服务方案操作性、可实现性</w:t>
            </w:r>
            <w:r>
              <w:rPr>
                <w:rFonts w:hint="eastAsia" w:ascii="仿宋_GB2312" w:hAnsi="仿宋_GB2312" w:cs="仿宋_GB2312"/>
                <w:sz w:val="18"/>
                <w:szCs w:val="18"/>
                <w:lang w:val="en-US" w:eastAsia="zh-CN"/>
              </w:rPr>
              <w:t>较差</w:t>
            </w:r>
            <w:r>
              <w:rPr>
                <w:rFonts w:hint="eastAsia" w:ascii="仿宋_GB2312" w:hAnsi="仿宋_GB2312" w:cs="仿宋_GB2312"/>
                <w:sz w:val="18"/>
                <w:szCs w:val="18"/>
              </w:rPr>
              <w:t>，</w:t>
            </w:r>
            <w:r>
              <w:rPr>
                <w:rFonts w:hint="eastAsia" w:ascii="仿宋_GB2312" w:hAnsi="仿宋_GB2312" w:cs="仿宋_GB2312"/>
                <w:sz w:val="18"/>
                <w:szCs w:val="18"/>
                <w:lang w:val="en-US" w:eastAsia="zh-CN"/>
              </w:rPr>
              <w:t>难以</w:t>
            </w:r>
            <w:r>
              <w:rPr>
                <w:rFonts w:hint="eastAsia" w:ascii="仿宋_GB2312" w:hAnsi="仿宋_GB2312" w:cs="仿宋_GB2312"/>
                <w:sz w:val="18"/>
                <w:szCs w:val="18"/>
              </w:rPr>
              <w:t>保障规划编制落地，得0-1分</w:t>
            </w:r>
            <w:r>
              <w:rPr>
                <w:rFonts w:hint="eastAsia" w:ascii="仿宋_GB2312" w:hAnsi="仿宋_GB2312" w:cs="仿宋_GB2312"/>
                <w:sz w:val="18"/>
                <w:szCs w:val="18"/>
                <w:lang w:eastAsia="zh-CN"/>
              </w:rPr>
              <w:t>。</w:t>
            </w:r>
          </w:p>
        </w:tc>
        <w:tc>
          <w:tcPr>
            <w:tcW w:w="709" w:type="dxa"/>
            <w:tcBorders>
              <w:top w:val="single" w:color="auto" w:sz="4" w:space="0"/>
              <w:left w:val="single" w:color="auto" w:sz="4" w:space="0"/>
              <w:bottom w:val="single" w:color="auto" w:sz="4" w:space="0"/>
              <w:right w:val="single" w:color="auto" w:sz="4" w:space="0"/>
            </w:tcBorders>
            <w:vAlign w:val="center"/>
          </w:tcPr>
          <w:p w14:paraId="27EDD8CD">
            <w:pPr>
              <w:spacing w:line="240" w:lineRule="auto"/>
              <w:ind w:firstLine="0" w:firstLineChars="0"/>
              <w:jc w:val="center"/>
              <w:rPr>
                <w:rFonts w:hint="eastAsia" w:ascii="仿宋_GB2312"/>
                <w:sz w:val="18"/>
                <w:szCs w:val="18"/>
                <w:lang w:val="en-US" w:eastAsia="zh-CN"/>
              </w:rPr>
            </w:pPr>
            <w:r>
              <w:rPr>
                <w:rFonts w:hint="eastAsia" w:ascii="仿宋_GB2312"/>
                <w:sz w:val="18"/>
                <w:szCs w:val="18"/>
                <w:lang w:val="en-US" w:eastAsia="zh-CN"/>
              </w:rPr>
              <w:t>5分</w:t>
            </w:r>
          </w:p>
        </w:tc>
        <w:tc>
          <w:tcPr>
            <w:tcW w:w="4252" w:type="dxa"/>
            <w:tcBorders>
              <w:top w:val="single" w:color="auto" w:sz="4" w:space="0"/>
              <w:left w:val="single" w:color="auto" w:sz="4" w:space="0"/>
              <w:right w:val="single" w:color="auto" w:sz="4" w:space="0"/>
            </w:tcBorders>
            <w:vAlign w:val="center"/>
          </w:tcPr>
          <w:p w14:paraId="15F6FC80">
            <w:pPr>
              <w:spacing w:line="240" w:lineRule="auto"/>
              <w:ind w:firstLine="0" w:firstLineChars="0"/>
              <w:rPr>
                <w:rFonts w:hint="eastAsia" w:ascii="仿宋_GB2312"/>
                <w:sz w:val="18"/>
                <w:szCs w:val="18"/>
              </w:rPr>
            </w:pPr>
            <w:r>
              <w:rPr>
                <w:rFonts w:hint="eastAsia" w:ascii="仿宋_GB2312"/>
                <w:sz w:val="18"/>
                <w:szCs w:val="18"/>
              </w:rPr>
              <w:t>内容及格式由投标人自拟，需加盖公章。</w:t>
            </w:r>
          </w:p>
        </w:tc>
      </w:tr>
      <w:tr w14:paraId="61C1CFF2">
        <w:tblPrEx>
          <w:tblCellMar>
            <w:top w:w="0" w:type="dxa"/>
            <w:left w:w="108" w:type="dxa"/>
            <w:bottom w:w="0" w:type="dxa"/>
            <w:right w:w="108" w:type="dxa"/>
          </w:tblCellMar>
        </w:tblPrEx>
        <w:trPr>
          <w:trHeight w:val="1157" w:hRule="atLeast"/>
          <w:jc w:val="center"/>
        </w:trPr>
        <w:tc>
          <w:tcPr>
            <w:tcW w:w="424" w:type="dxa"/>
            <w:tcBorders>
              <w:top w:val="nil"/>
              <w:left w:val="single" w:color="auto" w:sz="4" w:space="0"/>
              <w:bottom w:val="single" w:color="auto" w:sz="4" w:space="0"/>
              <w:right w:val="single" w:color="auto" w:sz="4" w:space="0"/>
            </w:tcBorders>
            <w:shd w:val="clear" w:color="auto" w:fill="auto"/>
            <w:vAlign w:val="center"/>
          </w:tcPr>
          <w:p w14:paraId="6311289D">
            <w:pPr>
              <w:widowControl/>
              <w:ind w:firstLine="0" w:firstLineChars="0"/>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10</w:t>
            </w:r>
          </w:p>
        </w:tc>
        <w:tc>
          <w:tcPr>
            <w:tcW w:w="960" w:type="dxa"/>
            <w:tcBorders>
              <w:top w:val="nil"/>
              <w:left w:val="single" w:color="000000" w:sz="4" w:space="0"/>
              <w:bottom w:val="single" w:color="auto" w:sz="4" w:space="0"/>
              <w:right w:val="nil"/>
            </w:tcBorders>
            <w:shd w:val="clear" w:color="auto" w:fill="auto"/>
            <w:vAlign w:val="center"/>
          </w:tcPr>
          <w:p w14:paraId="2A1EA473">
            <w:pPr>
              <w:widowControl/>
              <w:spacing w:line="240" w:lineRule="auto"/>
              <w:ind w:firstLine="0" w:firstLineChars="0"/>
              <w:rPr>
                <w:rFonts w:hint="eastAsia" w:ascii="宋体" w:hAnsi="宋体" w:eastAsia="宋体" w:cs="宋体"/>
                <w:color w:val="000000"/>
                <w:kern w:val="0"/>
                <w:sz w:val="18"/>
                <w:szCs w:val="18"/>
                <w:lang w:val="en-US" w:eastAsia="zh-CN" w:bidi="ar-SA"/>
              </w:rPr>
            </w:pPr>
            <w:r>
              <w:rPr>
                <w:rFonts w:hint="eastAsia" w:ascii="宋体" w:hAnsi="宋体" w:cs="宋体"/>
                <w:b/>
                <w:bCs/>
                <w:color w:val="000000"/>
                <w:kern w:val="0"/>
                <w:sz w:val="18"/>
                <w:szCs w:val="18"/>
              </w:rPr>
              <w:t>报价得分</w:t>
            </w:r>
            <w:r>
              <w:rPr>
                <w:rFonts w:hint="eastAsia" w:ascii="宋体" w:hAnsi="宋体" w:cs="宋体"/>
                <w:color w:val="000000"/>
                <w:kern w:val="0"/>
                <w:sz w:val="18"/>
                <w:szCs w:val="18"/>
              </w:rPr>
              <w:t>（满分</w:t>
            </w:r>
            <w:r>
              <w:rPr>
                <w:rFonts w:hint="eastAsia" w:ascii="宋体" w:hAnsi="宋体" w:cs="宋体"/>
                <w:color w:val="auto"/>
                <w:kern w:val="0"/>
                <w:sz w:val="18"/>
                <w:szCs w:val="18"/>
                <w:lang w:val="en-US" w:eastAsia="zh-CN"/>
              </w:rPr>
              <w:t>30</w:t>
            </w:r>
            <w:r>
              <w:rPr>
                <w:rFonts w:hint="eastAsia" w:ascii="宋体" w:hAnsi="宋体" w:cs="宋体"/>
                <w:color w:val="000000"/>
                <w:kern w:val="0"/>
                <w:sz w:val="18"/>
                <w:szCs w:val="18"/>
              </w:rPr>
              <w:t>分）</w:t>
            </w:r>
          </w:p>
        </w:tc>
        <w:tc>
          <w:tcPr>
            <w:tcW w:w="92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1D31E61">
            <w:pPr>
              <w:widowControl/>
              <w:jc w:val="left"/>
              <w:rPr>
                <w:rFonts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1.评标基准价的计算：</w:t>
            </w:r>
          </w:p>
          <w:p w14:paraId="4AD0BED1">
            <w:pPr>
              <w:widowControl/>
              <w:jc w:val="left"/>
              <w:rPr>
                <w:rFonts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以投标人中的最低报价作为评标基准价，最低报价即得满分。</w:t>
            </w:r>
          </w:p>
          <w:p w14:paraId="594CACC7">
            <w:pPr>
              <w:widowControl/>
              <w:jc w:val="left"/>
              <w:rPr>
                <w:rFonts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2.评标价得分计算公式：</w:t>
            </w:r>
          </w:p>
          <w:p w14:paraId="4DCB209D">
            <w:pPr>
              <w:widowControl/>
              <w:spacing w:line="240" w:lineRule="auto"/>
              <w:ind w:firstLine="0" w:firstLineChars="0"/>
              <w:rPr>
                <w:rFonts w:hint="eastAsia"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0"/>
                <w:sz w:val="18"/>
                <w:szCs w:val="18"/>
                <w:highlight w:val="none"/>
              </w:rPr>
              <w:t>报价得分＝</w:t>
            </w:r>
            <w:r>
              <w:rPr>
                <w:rFonts w:hint="eastAsia" w:ascii="仿宋_GB2312" w:hAnsi="仿宋_GB2312" w:eastAsia="仿宋_GB2312" w:cs="仿宋_GB2312"/>
                <w:kern w:val="0"/>
                <w:sz w:val="18"/>
                <w:szCs w:val="18"/>
                <w:highlight w:val="none"/>
                <w:lang w:val="en-US" w:eastAsia="zh-CN"/>
              </w:rPr>
              <w:t>3</w:t>
            </w:r>
            <w:r>
              <w:rPr>
                <w:rFonts w:hint="eastAsia" w:ascii="仿宋_GB2312" w:hAnsi="仿宋_GB2312" w:eastAsia="仿宋_GB2312" w:cs="仿宋_GB2312"/>
                <w:kern w:val="0"/>
                <w:sz w:val="18"/>
                <w:szCs w:val="18"/>
                <w:highlight w:val="none"/>
              </w:rPr>
              <w:t>0－</w:t>
            </w:r>
            <w:r>
              <w:rPr>
                <w:rFonts w:hint="eastAsia" w:ascii="仿宋_GB2312" w:hAnsi="仿宋_GB2312" w:eastAsia="仿宋_GB2312" w:cs="仿宋_GB2312"/>
                <w:kern w:val="0"/>
                <w:sz w:val="18"/>
                <w:szCs w:val="18"/>
                <w:highlight w:val="none"/>
                <w:lang w:val="en-US" w:eastAsia="zh-CN"/>
              </w:rPr>
              <w:t>0.3*</w:t>
            </w:r>
            <w:r>
              <w:rPr>
                <w:rFonts w:hint="eastAsia" w:ascii="仿宋_GB2312" w:hAnsi="仿宋_GB2312" w:eastAsia="仿宋_GB2312" w:cs="仿宋_GB2312"/>
                <w:kern w:val="0"/>
                <w:sz w:val="18"/>
                <w:szCs w:val="18"/>
                <w:highlight w:val="none"/>
              </w:rPr>
              <w:t>100*|（投标人报价－评标基准价）|/评标基准价（即与基准价每偏差1%扣</w:t>
            </w:r>
            <w:r>
              <w:rPr>
                <w:rFonts w:hint="eastAsia" w:ascii="仿宋_GB2312" w:hAnsi="仿宋_GB2312" w:eastAsia="仿宋_GB2312" w:cs="仿宋_GB2312"/>
                <w:kern w:val="0"/>
                <w:sz w:val="18"/>
                <w:szCs w:val="18"/>
                <w:highlight w:val="none"/>
                <w:lang w:val="en-US" w:eastAsia="zh-CN"/>
              </w:rPr>
              <w:t>0.3</w:t>
            </w:r>
            <w:r>
              <w:rPr>
                <w:rFonts w:hint="eastAsia" w:ascii="仿宋_GB2312" w:hAnsi="仿宋_GB2312" w:eastAsia="仿宋_GB2312" w:cs="仿宋_GB2312"/>
                <w:kern w:val="0"/>
                <w:sz w:val="18"/>
                <w:szCs w:val="18"/>
                <w:highlight w:val="none"/>
              </w:rPr>
              <w:t>分）</w:t>
            </w:r>
          </w:p>
        </w:tc>
        <w:tc>
          <w:tcPr>
            <w:tcW w:w="709" w:type="dxa"/>
            <w:tcBorders>
              <w:top w:val="single" w:color="auto" w:sz="4" w:space="0"/>
              <w:left w:val="nil"/>
              <w:bottom w:val="single" w:color="auto" w:sz="4" w:space="0"/>
              <w:right w:val="nil"/>
            </w:tcBorders>
            <w:shd w:val="clear" w:color="auto" w:fill="auto"/>
            <w:vAlign w:val="center"/>
          </w:tcPr>
          <w:p w14:paraId="7ACC4A99">
            <w:pPr>
              <w:spacing w:line="240" w:lineRule="auto"/>
              <w:ind w:firstLine="0" w:firstLineChars="0"/>
              <w:jc w:val="center"/>
              <w:rPr>
                <w:rFonts w:hint="eastAsia" w:ascii="仿宋_GB2312" w:hAnsi="仿宋_GB2312" w:eastAsia="宋体" w:cs="仿宋_GB2312"/>
                <w:color w:val="000000"/>
                <w:kern w:val="0"/>
                <w:sz w:val="18"/>
                <w:szCs w:val="18"/>
                <w:lang w:val="en-US" w:eastAsia="zh-CN" w:bidi="ar-SA"/>
              </w:rPr>
            </w:pPr>
            <w:r>
              <w:rPr>
                <w:rFonts w:hint="eastAsia" w:ascii="仿宋_GB2312" w:hAnsi="仿宋_GB2312" w:cs="仿宋_GB2312"/>
                <w:color w:val="000000"/>
                <w:kern w:val="0"/>
                <w:sz w:val="18"/>
                <w:szCs w:val="18"/>
                <w:lang w:val="en-US" w:eastAsia="zh-CN"/>
              </w:rPr>
              <w:t>3</w:t>
            </w:r>
            <w:r>
              <w:rPr>
                <w:rFonts w:hint="eastAsia" w:ascii="仿宋_GB2312" w:hAnsi="仿宋_GB2312" w:cs="仿宋_GB2312"/>
                <w:color w:val="000000"/>
                <w:kern w:val="0"/>
                <w:sz w:val="18"/>
                <w:szCs w:val="18"/>
              </w:rPr>
              <w:t>0分</w:t>
            </w:r>
          </w:p>
        </w:tc>
        <w:tc>
          <w:tcPr>
            <w:tcW w:w="4252" w:type="dxa"/>
            <w:tcBorders>
              <w:top w:val="single" w:color="auto" w:sz="4" w:space="0"/>
              <w:left w:val="nil"/>
              <w:bottom w:val="single" w:color="auto" w:sz="4" w:space="0"/>
              <w:right w:val="single" w:color="auto" w:sz="4" w:space="0"/>
            </w:tcBorders>
            <w:shd w:val="clear" w:color="auto" w:fill="auto"/>
            <w:vAlign w:val="center"/>
          </w:tcPr>
          <w:p w14:paraId="3DD099C4">
            <w:pPr>
              <w:widowControl/>
              <w:spacing w:line="240" w:lineRule="auto"/>
              <w:ind w:firstLine="0" w:firstLineChars="0"/>
              <w:rPr>
                <w:rFonts w:hint="eastAsia" w:ascii="仿宋_GB2312" w:hAnsi="仿宋_GB2312" w:cs="仿宋_GB2312"/>
                <w:color w:val="000000"/>
                <w:kern w:val="0"/>
                <w:sz w:val="18"/>
                <w:szCs w:val="18"/>
              </w:rPr>
            </w:pPr>
            <w:r>
              <w:rPr>
                <w:rFonts w:hint="eastAsia" w:ascii="仿宋_GB2312" w:hAnsi="仿宋_GB2312" w:cs="仿宋_GB2312"/>
                <w:color w:val="000000"/>
                <w:kern w:val="0"/>
                <w:sz w:val="18"/>
                <w:szCs w:val="18"/>
              </w:rPr>
              <w:t>1.有效的投标报价范围为：通过符合性审查的投标人报价；</w:t>
            </w:r>
          </w:p>
          <w:p w14:paraId="48F03A1E">
            <w:pPr>
              <w:widowControl/>
              <w:spacing w:line="240" w:lineRule="auto"/>
              <w:ind w:firstLine="0" w:firstLineChars="0"/>
              <w:rPr>
                <w:rFonts w:hint="eastAsia" w:ascii="仿宋_GB2312" w:hAnsi="仿宋_GB2312" w:cs="仿宋_GB2312"/>
                <w:color w:val="000000"/>
                <w:kern w:val="0"/>
                <w:sz w:val="18"/>
                <w:szCs w:val="18"/>
              </w:rPr>
            </w:pPr>
            <w:r>
              <w:rPr>
                <w:rFonts w:hint="eastAsia" w:ascii="仿宋_GB2312" w:hAnsi="仿宋_GB2312" w:cs="仿宋_GB2312"/>
                <w:color w:val="000000"/>
                <w:kern w:val="0"/>
                <w:sz w:val="18"/>
                <w:szCs w:val="18"/>
              </w:rPr>
              <w:t>2.评标价得分四舍五入至小数点后两位；</w:t>
            </w:r>
          </w:p>
          <w:p w14:paraId="7E9A2BC1">
            <w:pPr>
              <w:widowControl/>
              <w:spacing w:line="240" w:lineRule="auto"/>
              <w:ind w:firstLine="0" w:firstLineChars="0"/>
              <w:rPr>
                <w:rFonts w:hint="eastAsia" w:ascii="仿宋_GB2312" w:hAnsi="仿宋_GB2312" w:eastAsia="宋体" w:cs="仿宋_GB2312"/>
                <w:color w:val="000000"/>
                <w:kern w:val="0"/>
                <w:sz w:val="18"/>
                <w:szCs w:val="18"/>
                <w:lang w:val="en-US" w:eastAsia="zh-CN" w:bidi="ar-SA"/>
              </w:rPr>
            </w:pPr>
            <w:r>
              <w:rPr>
                <w:rFonts w:hint="eastAsia" w:ascii="仿宋_GB2312" w:hAnsi="仿宋_GB2312" w:cs="仿宋_GB2312"/>
                <w:color w:val="000000"/>
                <w:kern w:val="0"/>
                <w:sz w:val="18"/>
                <w:szCs w:val="18"/>
              </w:rPr>
              <w:t>3.本项最低得分为0分，最高得分为30分。</w:t>
            </w:r>
          </w:p>
        </w:tc>
      </w:tr>
      <w:tr w14:paraId="22A1ACE1">
        <w:tblPrEx>
          <w:tblCellMar>
            <w:top w:w="0" w:type="dxa"/>
            <w:left w:w="108" w:type="dxa"/>
            <w:bottom w:w="0" w:type="dxa"/>
            <w:right w:w="108" w:type="dxa"/>
          </w:tblCellMar>
        </w:tblPrEx>
        <w:trPr>
          <w:trHeight w:val="1157" w:hRule="atLeast"/>
          <w:jc w:val="center"/>
        </w:trPr>
        <w:tc>
          <w:tcPr>
            <w:tcW w:w="424" w:type="dxa"/>
            <w:tcBorders>
              <w:top w:val="nil"/>
              <w:left w:val="single" w:color="auto" w:sz="4" w:space="0"/>
              <w:bottom w:val="single" w:color="auto" w:sz="4" w:space="0"/>
              <w:right w:val="single" w:color="auto" w:sz="4" w:space="0"/>
            </w:tcBorders>
            <w:vAlign w:val="center"/>
          </w:tcPr>
          <w:p w14:paraId="6FAC5641">
            <w:pPr>
              <w:widowControl/>
              <w:ind w:firstLine="0"/>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11</w:t>
            </w:r>
          </w:p>
        </w:tc>
        <w:tc>
          <w:tcPr>
            <w:tcW w:w="960" w:type="dxa"/>
            <w:tcBorders>
              <w:top w:val="nil"/>
              <w:left w:val="single" w:color="000000" w:sz="4" w:space="0"/>
              <w:bottom w:val="single" w:color="auto" w:sz="4" w:space="0"/>
              <w:right w:val="nil"/>
            </w:tcBorders>
            <w:vAlign w:val="center"/>
          </w:tcPr>
          <w:p w14:paraId="4175DF45">
            <w:pPr>
              <w:widowControl/>
              <w:spacing w:line="240" w:lineRule="auto"/>
              <w:ind w:firstLine="0" w:firstLineChars="0"/>
              <w:rPr>
                <w:rFonts w:hint="eastAsia" w:ascii="宋体" w:hAnsi="宋体" w:cs="宋体"/>
                <w:b/>
                <w:bCs/>
                <w:color w:val="000000"/>
                <w:kern w:val="0"/>
                <w:sz w:val="18"/>
                <w:szCs w:val="18"/>
              </w:rPr>
            </w:pPr>
            <w:r>
              <w:rPr>
                <w:rFonts w:hint="eastAsia" w:ascii="宋体" w:hAnsi="宋体" w:cs="宋体"/>
                <w:b/>
                <w:bCs/>
                <w:color w:val="000000"/>
                <w:kern w:val="0"/>
                <w:sz w:val="18"/>
                <w:szCs w:val="18"/>
              </w:rPr>
              <w:t>综合得分</w:t>
            </w:r>
          </w:p>
          <w:p w14:paraId="62032405">
            <w:pPr>
              <w:widowControl/>
              <w:spacing w:line="240" w:lineRule="auto"/>
              <w:ind w:firstLine="0" w:firstLineChars="0"/>
              <w:rPr>
                <w:rFonts w:hint="eastAsia" w:ascii="宋体" w:hAnsi="宋体" w:cs="宋体"/>
                <w:color w:val="000000"/>
                <w:kern w:val="0"/>
                <w:sz w:val="18"/>
                <w:szCs w:val="18"/>
              </w:rPr>
            </w:pPr>
            <w:r>
              <w:rPr>
                <w:rFonts w:hint="eastAsia" w:ascii="宋体" w:hAnsi="宋体" w:cs="宋体"/>
                <w:color w:val="000000"/>
                <w:kern w:val="0"/>
                <w:sz w:val="18"/>
                <w:szCs w:val="18"/>
              </w:rPr>
              <w:t>（满分100分）</w:t>
            </w:r>
          </w:p>
        </w:tc>
        <w:tc>
          <w:tcPr>
            <w:tcW w:w="9214" w:type="dxa"/>
            <w:gridSpan w:val="3"/>
            <w:tcBorders>
              <w:top w:val="single" w:color="auto" w:sz="4" w:space="0"/>
              <w:left w:val="single" w:color="auto" w:sz="4" w:space="0"/>
              <w:bottom w:val="single" w:color="auto" w:sz="4" w:space="0"/>
              <w:right w:val="single" w:color="auto" w:sz="4" w:space="0"/>
            </w:tcBorders>
            <w:vAlign w:val="center"/>
          </w:tcPr>
          <w:p w14:paraId="2D89B85F">
            <w:pPr>
              <w:widowControl/>
              <w:spacing w:line="240" w:lineRule="auto"/>
              <w:ind w:firstLine="0" w:firstLineChars="0"/>
              <w:rPr>
                <w:rFonts w:hint="eastAsia" w:ascii="仿宋_GB2312" w:hAnsi="仿宋_GB2312" w:cs="仿宋_GB2312"/>
                <w:kern w:val="0"/>
                <w:sz w:val="18"/>
                <w:szCs w:val="18"/>
              </w:rPr>
            </w:pPr>
            <w:r>
              <w:rPr>
                <w:rFonts w:hint="eastAsia" w:ascii="仿宋_GB2312" w:hAnsi="仿宋_GB2312" w:cs="仿宋_GB2312"/>
                <w:kern w:val="0"/>
                <w:sz w:val="18"/>
                <w:szCs w:val="18"/>
              </w:rPr>
              <w:t>投标人综合得分=综合能力得分+技术能力得分+报价得分。</w:t>
            </w:r>
          </w:p>
        </w:tc>
        <w:tc>
          <w:tcPr>
            <w:tcW w:w="709" w:type="dxa"/>
            <w:tcBorders>
              <w:top w:val="single" w:color="auto" w:sz="4" w:space="0"/>
              <w:left w:val="nil"/>
              <w:bottom w:val="single" w:color="auto" w:sz="4" w:space="0"/>
              <w:right w:val="nil"/>
            </w:tcBorders>
            <w:vAlign w:val="center"/>
          </w:tcPr>
          <w:p w14:paraId="1772E536">
            <w:pPr>
              <w:spacing w:line="240" w:lineRule="auto"/>
              <w:ind w:firstLine="0" w:firstLineChars="0"/>
              <w:jc w:val="center"/>
              <w:rPr>
                <w:rFonts w:hint="default" w:ascii="仿宋_GB2312" w:hAnsi="仿宋_GB2312" w:eastAsia="宋体" w:cs="仿宋_GB2312"/>
                <w:color w:val="000000"/>
                <w:kern w:val="0"/>
                <w:sz w:val="18"/>
                <w:szCs w:val="18"/>
                <w:lang w:val="en-US" w:eastAsia="zh-CN"/>
              </w:rPr>
            </w:pPr>
            <w:r>
              <w:rPr>
                <w:rFonts w:hint="eastAsia" w:ascii="仿宋_GB2312" w:hAnsi="仿宋_GB2312" w:cs="仿宋_GB2312"/>
                <w:color w:val="000000"/>
                <w:kern w:val="0"/>
                <w:sz w:val="18"/>
                <w:szCs w:val="18"/>
                <w:lang w:val="en-US" w:eastAsia="zh-CN"/>
              </w:rPr>
              <w:t>100分</w:t>
            </w:r>
          </w:p>
        </w:tc>
        <w:tc>
          <w:tcPr>
            <w:tcW w:w="4252" w:type="dxa"/>
            <w:tcBorders>
              <w:top w:val="single" w:color="auto" w:sz="4" w:space="0"/>
              <w:left w:val="nil"/>
              <w:bottom w:val="single" w:color="auto" w:sz="4" w:space="0"/>
              <w:right w:val="single" w:color="auto" w:sz="4" w:space="0"/>
            </w:tcBorders>
            <w:vAlign w:val="center"/>
          </w:tcPr>
          <w:p w14:paraId="2DD01425">
            <w:pPr>
              <w:widowControl/>
              <w:spacing w:line="240" w:lineRule="auto"/>
              <w:ind w:firstLine="0" w:firstLineChars="0"/>
              <w:rPr>
                <w:rFonts w:hint="eastAsia" w:ascii="仿宋_GB2312" w:hAnsi="仿宋_GB2312" w:cs="仿宋_GB2312"/>
                <w:color w:val="000000"/>
                <w:kern w:val="0"/>
                <w:sz w:val="18"/>
                <w:szCs w:val="18"/>
              </w:rPr>
            </w:pPr>
            <w:r>
              <w:rPr>
                <w:rFonts w:hint="eastAsia" w:ascii="仿宋_GB2312" w:hAnsi="仿宋_GB2312" w:cs="仿宋_GB2312"/>
                <w:color w:val="000000"/>
                <w:kern w:val="0"/>
                <w:sz w:val="18"/>
                <w:szCs w:val="18"/>
              </w:rPr>
              <w:t>投标人最终得分为所有评委评分的平均值。</w:t>
            </w:r>
          </w:p>
        </w:tc>
      </w:tr>
    </w:tbl>
    <w:p w14:paraId="69E9744F">
      <w:pPr>
        <w:snapToGrid w:val="0"/>
        <w:ind w:left="0"/>
        <w:rPr>
          <w:rFonts w:hint="eastAsia" w:ascii="仿宋" w:hAnsi="仿宋" w:eastAsia="仿宋" w:cs="宋体"/>
          <w:sz w:val="24"/>
          <w:highlight w:val="none"/>
        </w:rPr>
      </w:pPr>
    </w:p>
    <w:p w14:paraId="11E6D36B">
      <w:pPr>
        <w:snapToGrid w:val="0"/>
        <w:ind w:left="0"/>
        <w:rPr>
          <w:rFonts w:ascii="仿宋" w:hAnsi="仿宋" w:eastAsia="仿宋" w:cs="宋体"/>
          <w:sz w:val="24"/>
          <w:highlight w:val="none"/>
        </w:rPr>
      </w:pPr>
      <w:r>
        <w:rPr>
          <w:rFonts w:hint="eastAsia" w:ascii="仿宋" w:hAnsi="仿宋" w:eastAsia="仿宋" w:cs="宋体"/>
          <w:sz w:val="24"/>
          <w:highlight w:val="none"/>
        </w:rPr>
        <w:t>备注：1、其它关键页是指合同正文首页、合同签署页及能证明业绩符合要求的其它页。2、本次招标采用综合评分法进行计分评定</w:t>
      </w:r>
      <w:r>
        <w:rPr>
          <w:rFonts w:hint="eastAsia" w:ascii="仿宋" w:hAnsi="仿宋" w:eastAsia="仿宋" w:cs="宋体"/>
          <w:sz w:val="24"/>
          <w:highlight w:val="none"/>
          <w:lang w:eastAsia="zh-CN"/>
        </w:rPr>
        <w:t>，</w:t>
      </w:r>
      <w:r>
        <w:rPr>
          <w:rFonts w:hint="eastAsia" w:ascii="仿宋" w:hAnsi="仿宋" w:eastAsia="仿宋" w:cs="宋体"/>
          <w:sz w:val="24"/>
          <w:highlight w:val="none"/>
        </w:rPr>
        <w:t>评标委员会从</w:t>
      </w:r>
      <w:r>
        <w:rPr>
          <w:rFonts w:hint="eastAsia" w:ascii="仿宋" w:hAnsi="仿宋" w:eastAsia="仿宋" w:cs="宋体"/>
          <w:sz w:val="24"/>
          <w:highlight w:val="none"/>
          <w:lang w:val="en-US" w:eastAsia="zh-CN"/>
        </w:rPr>
        <w:t>综合能力</w:t>
      </w:r>
      <w:r>
        <w:rPr>
          <w:rFonts w:hint="eastAsia" w:ascii="仿宋" w:hAnsi="仿宋" w:eastAsia="仿宋" w:cs="宋体"/>
          <w:sz w:val="24"/>
          <w:highlight w:val="none"/>
        </w:rPr>
        <w:t>、技术</w:t>
      </w:r>
      <w:r>
        <w:rPr>
          <w:rFonts w:hint="eastAsia" w:ascii="仿宋" w:hAnsi="仿宋" w:eastAsia="仿宋" w:cs="宋体"/>
          <w:sz w:val="24"/>
          <w:highlight w:val="none"/>
          <w:lang w:val="en-US" w:eastAsia="zh-CN"/>
        </w:rPr>
        <w:t>能力</w:t>
      </w:r>
      <w:r>
        <w:rPr>
          <w:rFonts w:hint="eastAsia" w:ascii="仿宋" w:hAnsi="仿宋" w:eastAsia="仿宋" w:cs="宋体"/>
          <w:sz w:val="24"/>
          <w:highlight w:val="none"/>
        </w:rPr>
        <w:t>和报价（四舍五入后精确到小数点后2位）三方面进行比较与评价。3、所有复印件须加盖投标人公章。</w:t>
      </w:r>
    </w:p>
    <w:sectPr>
      <w:footerReference r:id="rId11" w:type="default"/>
      <w:pgSz w:w="16838" w:h="11906" w:orient="landscape"/>
      <w:pgMar w:top="156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4153E">
    <w:pPr>
      <w:pStyle w:val="11"/>
      <w:ind w:left="4111"/>
    </w:pPr>
  </w:p>
  <w:p w14:paraId="1F5AC31B">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CF030">
    <w:pPr>
      <w:pStyle w:val="11"/>
      <w:framePr w:wrap="around" w:vAnchor="text" w:hAnchor="margin" w:xAlign="center" w:y="1"/>
      <w:rPr>
        <w:rStyle w:val="21"/>
      </w:rPr>
    </w:pPr>
    <w:r>
      <w:fldChar w:fldCharType="begin"/>
    </w:r>
    <w:r>
      <w:rPr>
        <w:rStyle w:val="21"/>
      </w:rPr>
      <w:instrText xml:space="preserve">PAGE  </w:instrText>
    </w:r>
    <w:r>
      <w:fldChar w:fldCharType="end"/>
    </w:r>
  </w:p>
  <w:p w14:paraId="4D72CF92">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998B3">
    <w:pPr>
      <w:pStyle w:val="11"/>
      <w:jc w:val="center"/>
    </w:pPr>
    <w:r>
      <w:fldChar w:fldCharType="begin"/>
    </w:r>
    <w:r>
      <w:instrText xml:space="preserve"> PAGE   \* MERGEFORMAT </w:instrText>
    </w:r>
    <w:r>
      <w:fldChar w:fldCharType="separate"/>
    </w:r>
    <w:r>
      <w:rPr>
        <w:lang w:val="zh-CN"/>
      </w:rPr>
      <w:t>2</w:t>
    </w:r>
    <w:r>
      <w:fldChar w:fldCharType="end"/>
    </w:r>
  </w:p>
  <w:p w14:paraId="723A733D">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998BD">
    <w:pPr>
      <w:pStyle w:val="11"/>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9BFD203">
                          <w:pPr>
                            <w:pStyle w:val="11"/>
                          </w:pPr>
                          <w:r>
                            <w:t xml:space="preserve">第 </w:t>
                          </w:r>
                          <w:r>
                            <w:fldChar w:fldCharType="begin"/>
                          </w:r>
                          <w:r>
                            <w:instrText xml:space="preserve"> PAGE  \* MERGEFORMAT </w:instrText>
                          </w:r>
                          <w:r>
                            <w:fldChar w:fldCharType="separate"/>
                          </w:r>
                          <w:r>
                            <w:t>18</w:t>
                          </w:r>
                          <w:r>
                            <w:fldChar w:fldCharType="end"/>
                          </w:r>
                          <w:r>
                            <w:t xml:space="preserve"> 页 共 </w:t>
                          </w:r>
                          <w:r>
                            <w:rPr>
                              <w:rFonts w:hint="eastAsia"/>
                              <w:lang w:val="en-US" w:eastAsia="zh-CN"/>
                            </w:rPr>
                            <w:t xml:space="preserve">26 </w:t>
                          </w:r>
                          <w:r>
                            <w:t>页</w:t>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Nur18oBAACXAwAADgAAAAAAAAABACAAAAAeAQAAZHJzL2Uyb0Rv&#10;Yy54bWxQSwUGAAAAAAYABgBZAQAAWgUAAAAA&#10;">
              <v:fill on="f" focussize="0,0"/>
              <v:stroke on="f"/>
              <v:imagedata o:title=""/>
              <o:lock v:ext="edit" aspectratio="f"/>
              <v:textbox inset="0mm,0mm,0mm,0mm" style="mso-fit-shape-to-text:t;">
                <w:txbxContent>
                  <w:p w14:paraId="39BFD203">
                    <w:pPr>
                      <w:pStyle w:val="11"/>
                    </w:pPr>
                    <w:r>
                      <w:t xml:space="preserve">第 </w:t>
                    </w:r>
                    <w:r>
                      <w:fldChar w:fldCharType="begin"/>
                    </w:r>
                    <w:r>
                      <w:instrText xml:space="preserve"> PAGE  \* MERGEFORMAT </w:instrText>
                    </w:r>
                    <w:r>
                      <w:fldChar w:fldCharType="separate"/>
                    </w:r>
                    <w:r>
                      <w:t>18</w:t>
                    </w:r>
                    <w:r>
                      <w:fldChar w:fldCharType="end"/>
                    </w:r>
                    <w:r>
                      <w:t xml:space="preserve"> 页 共 </w:t>
                    </w:r>
                    <w:r>
                      <w:rPr>
                        <w:rFonts w:hint="eastAsia"/>
                        <w:lang w:val="en-US" w:eastAsia="zh-CN"/>
                      </w:rPr>
                      <w:t xml:space="preserve">26 </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DDB9D">
    <w:pPr>
      <w:pStyle w:val="11"/>
      <w:framePr w:wrap="around" w:vAnchor="text" w:hAnchor="margin" w:xAlign="right" w:y="1"/>
      <w:rPr>
        <w:rStyle w:val="21"/>
      </w:rPr>
    </w:pPr>
    <w:r>
      <w:fldChar w:fldCharType="begin"/>
    </w:r>
    <w:r>
      <w:rPr>
        <w:rStyle w:val="21"/>
      </w:rPr>
      <w:instrText xml:space="preserve">PAGE  </w:instrText>
    </w:r>
    <w:r>
      <w:fldChar w:fldCharType="end"/>
    </w:r>
  </w:p>
  <w:p w14:paraId="1114E56F">
    <w:pPr>
      <w:pStyle w:val="1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FA177">
    <w:pPr>
      <w:pStyle w:val="1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275DE">
    <w:pPr>
      <w:pStyle w:val="11"/>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DBD222E">
                          <w:pPr>
                            <w:pStyle w:val="11"/>
                          </w:pPr>
                          <w:r>
                            <w:t xml:space="preserve">第 </w:t>
                          </w:r>
                          <w:r>
                            <w:fldChar w:fldCharType="begin"/>
                          </w:r>
                          <w:r>
                            <w:instrText xml:space="preserve"> PAGE  \* MERGEFORMAT </w:instrText>
                          </w:r>
                          <w:r>
                            <w:fldChar w:fldCharType="separate"/>
                          </w:r>
                          <w:r>
                            <w:t>28</w:t>
                          </w:r>
                          <w:r>
                            <w:fldChar w:fldCharType="end"/>
                          </w:r>
                          <w:r>
                            <w:t xml:space="preserve"> 页 共 </w:t>
                          </w:r>
                          <w:r>
                            <w:rPr>
                              <w:rFonts w:hint="eastAsia"/>
                              <w:lang w:val="en-US" w:eastAsia="zh-CN"/>
                            </w:rPr>
                            <w:t>26</w:t>
                          </w:r>
                          <w: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8EJwnLAQAAlgMAAA4AAAAAAAAAAQAgAAAAHgEAAGRycy9lMm9E&#10;b2MueG1sUEsFBgAAAAAGAAYAWQEAAFsFAAAAAA==&#10;">
              <v:fill on="f" focussize="0,0"/>
              <v:stroke on="f"/>
              <v:imagedata o:title=""/>
              <o:lock v:ext="edit" aspectratio="f"/>
              <v:textbox inset="0mm,0mm,0mm,0mm" style="mso-fit-shape-to-text:t;">
                <w:txbxContent>
                  <w:p w14:paraId="0DBD222E">
                    <w:pPr>
                      <w:pStyle w:val="11"/>
                    </w:pPr>
                    <w:r>
                      <w:t xml:space="preserve">第 </w:t>
                    </w:r>
                    <w:r>
                      <w:fldChar w:fldCharType="begin"/>
                    </w:r>
                    <w:r>
                      <w:instrText xml:space="preserve"> PAGE  \* MERGEFORMAT </w:instrText>
                    </w:r>
                    <w:r>
                      <w:fldChar w:fldCharType="separate"/>
                    </w:r>
                    <w:r>
                      <w:t>28</w:t>
                    </w:r>
                    <w:r>
                      <w:fldChar w:fldCharType="end"/>
                    </w:r>
                    <w:r>
                      <w:t xml:space="preserve"> 页 共 </w:t>
                    </w:r>
                    <w:r>
                      <w:rPr>
                        <w:rFonts w:hint="eastAsia"/>
                        <w:lang w:val="en-US" w:eastAsia="zh-CN"/>
                      </w:rPr>
                      <w:t>26</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A253B">
    <w:pPr>
      <w:pStyle w:val="4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688F9">
    <w:pPr>
      <w:pStyle w:val="12"/>
    </w:pPr>
    <w:r>
      <w:rPr>
        <w:rFonts w:hint="eastAsia"/>
      </w:rPr>
      <w:t>杭州萧山国际机场有限公司公开招标文件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AA38F"/>
    <w:multiLevelType w:val="singleLevel"/>
    <w:tmpl w:val="8D9AA38F"/>
    <w:lvl w:ilvl="0" w:tentative="0">
      <w:start w:val="2"/>
      <w:numFmt w:val="chineseCounting"/>
      <w:suff w:val="nothing"/>
      <w:lvlText w:val="%1、"/>
      <w:lvlJc w:val="left"/>
      <w:rPr>
        <w:rFonts w:hint="eastAsia"/>
      </w:rPr>
    </w:lvl>
  </w:abstractNum>
  <w:abstractNum w:abstractNumId="1">
    <w:nsid w:val="8F64837F"/>
    <w:multiLevelType w:val="singleLevel"/>
    <w:tmpl w:val="8F64837F"/>
    <w:lvl w:ilvl="0" w:tentative="0">
      <w:start w:val="2"/>
      <w:numFmt w:val="chineseCounting"/>
      <w:suff w:val="nothing"/>
      <w:lvlText w:val="（%1）"/>
      <w:lvlJc w:val="left"/>
      <w:rPr>
        <w:rFonts w:hint="eastAsia"/>
      </w:rPr>
    </w:lvl>
  </w:abstractNum>
  <w:abstractNum w:abstractNumId="2">
    <w:nsid w:val="ABC0A25B"/>
    <w:multiLevelType w:val="multilevel"/>
    <w:tmpl w:val="ABC0A25B"/>
    <w:lvl w:ilvl="0" w:tentative="0">
      <w:start w:val="3"/>
      <w:numFmt w:val="chineseCounting"/>
      <w:suff w:val="nothing"/>
      <w:lvlText w:val="（%1）"/>
      <w:lvlJc w:val="left"/>
      <w:rPr>
        <w:rFonts w:hint="eastAsia"/>
      </w:rPr>
    </w:lvl>
    <w:lvl w:ilvl="1" w:tentative="0">
      <w:start w:val="1"/>
      <w:numFmt w:val="decimal"/>
      <w:suff w:val="nothing"/>
      <w:lvlText w:val="%2．"/>
      <w:lvlJc w:val="left"/>
      <w:rPr>
        <w:rFonts w:hint="default" w:ascii="仿宋_GB2312" w:hAnsi="仿宋_GB2312" w:eastAsia="仿宋_GB2312" w:cs="仿宋_GB2312"/>
        <w:sz w:val="32"/>
        <w:szCs w:val="32"/>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3">
    <w:nsid w:val="AE6EDE46"/>
    <w:multiLevelType w:val="singleLevel"/>
    <w:tmpl w:val="AE6EDE46"/>
    <w:lvl w:ilvl="0" w:tentative="0">
      <w:start w:val="1"/>
      <w:numFmt w:val="chineseCounting"/>
      <w:suff w:val="nothing"/>
      <w:lvlText w:val="（%1）"/>
      <w:lvlJc w:val="left"/>
      <w:rPr>
        <w:rFonts w:hint="eastAsia" w:ascii="仿宋_GB2312" w:hAnsi="仿宋_GB2312" w:eastAsia="仿宋_GB2312" w:cs="仿宋_GB2312"/>
        <w:sz w:val="32"/>
        <w:szCs w:val="32"/>
      </w:rPr>
    </w:lvl>
  </w:abstractNum>
  <w:abstractNum w:abstractNumId="4">
    <w:nsid w:val="AF152640"/>
    <w:multiLevelType w:val="singleLevel"/>
    <w:tmpl w:val="AF152640"/>
    <w:lvl w:ilvl="0" w:tentative="0">
      <w:start w:val="1"/>
      <w:numFmt w:val="decimal"/>
      <w:lvlText w:val="%1."/>
      <w:lvlJc w:val="left"/>
      <w:pPr>
        <w:ind w:left="425" w:hanging="425"/>
      </w:pPr>
      <w:rPr>
        <w:rFonts w:hint="default" w:ascii="仿宋_GB2312" w:hAnsi="仿宋_GB2312" w:eastAsia="仿宋_GB2312" w:cs="仿宋_GB2312"/>
        <w:sz w:val="32"/>
        <w:szCs w:val="32"/>
      </w:rPr>
    </w:lvl>
  </w:abstractNum>
  <w:abstractNum w:abstractNumId="5">
    <w:nsid w:val="E0F950B9"/>
    <w:multiLevelType w:val="singleLevel"/>
    <w:tmpl w:val="E0F950B9"/>
    <w:lvl w:ilvl="0" w:tentative="0">
      <w:start w:val="1"/>
      <w:numFmt w:val="decimal"/>
      <w:lvlText w:val="%1."/>
      <w:lvlJc w:val="left"/>
      <w:pPr>
        <w:ind w:left="425" w:hanging="425"/>
      </w:pPr>
      <w:rPr>
        <w:rFonts w:hint="default" w:ascii="仿宋_GB2312" w:hAnsi="仿宋_GB2312" w:eastAsia="仿宋_GB2312" w:cs="仿宋_GB2312"/>
        <w:sz w:val="32"/>
        <w:szCs w:val="32"/>
      </w:rPr>
    </w:lvl>
  </w:abstractNum>
  <w:abstractNum w:abstractNumId="6">
    <w:nsid w:val="F3922B1F"/>
    <w:multiLevelType w:val="singleLevel"/>
    <w:tmpl w:val="F3922B1F"/>
    <w:lvl w:ilvl="0" w:tentative="0">
      <w:start w:val="2"/>
      <w:numFmt w:val="decimal"/>
      <w:suff w:val="nothing"/>
      <w:lvlText w:val="（%1）"/>
      <w:lvlJc w:val="left"/>
      <w:rPr>
        <w:rFonts w:hint="default" w:ascii="宋体" w:hAnsi="宋体" w:eastAsia="宋体" w:cs="宋体"/>
        <w:b w:val="0"/>
        <w:bCs w:val="0"/>
      </w:rPr>
    </w:lvl>
  </w:abstractNum>
  <w:abstractNum w:abstractNumId="7">
    <w:nsid w:val="F74B597E"/>
    <w:multiLevelType w:val="multilevel"/>
    <w:tmpl w:val="F74B597E"/>
    <w:lvl w:ilvl="0" w:tentative="0">
      <w:start w:val="1"/>
      <w:numFmt w:val="chineseCounting"/>
      <w:suff w:val="nothing"/>
      <w:lvlText w:val="（%1）"/>
      <w:lvlJc w:val="left"/>
      <w:pPr>
        <w:ind w:left="0" w:firstLine="420"/>
      </w:pPr>
      <w:rPr>
        <w:rFonts w:hint="eastAsia" w:ascii="仿宋_GB2312" w:hAnsi="仿宋_GB2312" w:eastAsia="仿宋_GB2312" w:cs="仿宋_GB2312"/>
        <w:b w:val="0"/>
        <w:bCs w:val="0"/>
        <w:sz w:val="32"/>
        <w:szCs w:val="32"/>
      </w:rPr>
    </w:lvl>
    <w:lvl w:ilvl="1" w:tentative="0">
      <w:start w:val="1"/>
      <w:numFmt w:val="decimal"/>
      <w:suff w:val="nothing"/>
      <w:lvlText w:val="%2．"/>
      <w:lvlJc w:val="left"/>
      <w:pPr>
        <w:ind w:left="0" w:firstLine="420"/>
      </w:pPr>
      <w:rPr>
        <w:rFonts w:hint="default" w:ascii="仿宋_GB2312" w:hAnsi="仿宋_GB2312" w:eastAsia="仿宋_GB2312" w:cs="仿宋_GB2312"/>
        <w:b w:val="0"/>
        <w:bCs w:val="0"/>
        <w:sz w:val="32"/>
        <w:szCs w:val="32"/>
      </w:rPr>
    </w:lvl>
    <w:lvl w:ilvl="2" w:tentative="0">
      <w:start w:val="1"/>
      <w:numFmt w:val="decimal"/>
      <w:suff w:val="nothing"/>
      <w:lvlText w:val="（%3）"/>
      <w:lvlJc w:val="left"/>
      <w:pPr>
        <w:ind w:left="0" w:firstLine="420"/>
      </w:pPr>
      <w:rPr>
        <w:rFonts w:hint="eastAsia"/>
        <w:b w:val="0"/>
        <w:bCs w:val="0"/>
        <w:sz w:val="32"/>
        <w:szCs w:val="32"/>
      </w:rPr>
    </w:lvl>
    <w:lvl w:ilvl="3" w:tentative="0">
      <w:start w:val="1"/>
      <w:numFmt w:val="decimalEnclosedCircleChinese"/>
      <w:suff w:val="nothing"/>
      <w:lvlText w:val="%4"/>
      <w:lvlJc w:val="left"/>
      <w:pPr>
        <w:ind w:left="0" w:firstLine="420"/>
      </w:pPr>
      <w:rPr>
        <w:rFonts w:hint="eastAsia"/>
        <w:b w:val="0"/>
        <w:bCs w:val="0"/>
        <w:sz w:val="32"/>
        <w:szCs w:val="32"/>
      </w:rPr>
    </w:lvl>
    <w:lvl w:ilvl="4" w:tentative="0">
      <w:start w:val="1"/>
      <w:numFmt w:val="decimal"/>
      <w:suff w:val="nothing"/>
      <w:lvlText w:val="%5）"/>
      <w:lvlJc w:val="left"/>
      <w:pPr>
        <w:ind w:left="0" w:firstLine="420"/>
      </w:pPr>
      <w:rPr>
        <w:rFonts w:hint="eastAsia"/>
        <w:b w:val="0"/>
        <w:bCs w:val="0"/>
        <w:sz w:val="32"/>
        <w:szCs w:val="32"/>
      </w:rPr>
    </w:lvl>
    <w:lvl w:ilvl="5" w:tentative="0">
      <w:start w:val="1"/>
      <w:numFmt w:val="lowerLetter"/>
      <w:suff w:val="nothing"/>
      <w:lvlText w:val="%6．"/>
      <w:lvlJc w:val="left"/>
      <w:pPr>
        <w:ind w:left="0" w:firstLine="420"/>
      </w:pPr>
      <w:rPr>
        <w:rFonts w:hint="eastAsia"/>
        <w:b w:val="0"/>
        <w:bCs w:val="0"/>
        <w:sz w:val="32"/>
        <w:szCs w:val="32"/>
      </w:rPr>
    </w:lvl>
    <w:lvl w:ilvl="6" w:tentative="0">
      <w:start w:val="1"/>
      <w:numFmt w:val="lowerLetter"/>
      <w:suff w:val="nothing"/>
      <w:lvlText w:val="%7）"/>
      <w:lvlJc w:val="left"/>
      <w:pPr>
        <w:ind w:left="0" w:firstLine="420"/>
      </w:pPr>
      <w:rPr>
        <w:rFonts w:hint="eastAsia"/>
        <w:b w:val="0"/>
        <w:bCs w:val="0"/>
        <w:sz w:val="32"/>
        <w:szCs w:val="32"/>
      </w:rPr>
    </w:lvl>
    <w:lvl w:ilvl="7" w:tentative="0">
      <w:start w:val="1"/>
      <w:numFmt w:val="lowerRoman"/>
      <w:suff w:val="nothing"/>
      <w:lvlText w:val="%8．"/>
      <w:lvlJc w:val="left"/>
      <w:pPr>
        <w:ind w:left="0" w:firstLine="420"/>
      </w:pPr>
      <w:rPr>
        <w:rFonts w:hint="eastAsia"/>
        <w:b w:val="0"/>
        <w:bCs w:val="0"/>
        <w:sz w:val="32"/>
        <w:szCs w:val="32"/>
      </w:rPr>
    </w:lvl>
    <w:lvl w:ilvl="8" w:tentative="0">
      <w:start w:val="1"/>
      <w:numFmt w:val="lowerRoman"/>
      <w:suff w:val="nothing"/>
      <w:lvlText w:val="%9）"/>
      <w:lvlJc w:val="left"/>
      <w:pPr>
        <w:ind w:left="0" w:firstLine="420"/>
      </w:pPr>
      <w:rPr>
        <w:rFonts w:hint="eastAsia"/>
        <w:b w:val="0"/>
        <w:bCs w:val="0"/>
        <w:sz w:val="32"/>
        <w:szCs w:val="32"/>
      </w:rPr>
    </w:lvl>
  </w:abstractNum>
  <w:abstractNum w:abstractNumId="8">
    <w:nsid w:val="29C8A850"/>
    <w:multiLevelType w:val="singleLevel"/>
    <w:tmpl w:val="29C8A850"/>
    <w:lvl w:ilvl="0" w:tentative="0">
      <w:start w:val="1"/>
      <w:numFmt w:val="decimal"/>
      <w:lvlText w:val="(%1)"/>
      <w:lvlJc w:val="left"/>
      <w:pPr>
        <w:ind w:left="425" w:hanging="425"/>
      </w:pPr>
      <w:rPr>
        <w:rFonts w:hint="default"/>
      </w:rPr>
    </w:lvl>
  </w:abstractNum>
  <w:abstractNum w:abstractNumId="9">
    <w:nsid w:val="34270CF0"/>
    <w:multiLevelType w:val="singleLevel"/>
    <w:tmpl w:val="34270CF0"/>
    <w:lvl w:ilvl="0" w:tentative="0">
      <w:start w:val="1"/>
      <w:numFmt w:val="decimal"/>
      <w:lvlText w:val="%1."/>
      <w:lvlJc w:val="left"/>
      <w:pPr>
        <w:ind w:left="425" w:hanging="425"/>
      </w:pPr>
      <w:rPr>
        <w:rFonts w:hint="default"/>
      </w:rPr>
    </w:lvl>
  </w:abstractNum>
  <w:abstractNum w:abstractNumId="10">
    <w:nsid w:val="480FD67F"/>
    <w:multiLevelType w:val="singleLevel"/>
    <w:tmpl w:val="480FD67F"/>
    <w:lvl w:ilvl="0" w:tentative="0">
      <w:start w:val="1"/>
      <w:numFmt w:val="decimal"/>
      <w:lvlText w:val="%1."/>
      <w:lvlJc w:val="left"/>
      <w:pPr>
        <w:tabs>
          <w:tab w:val="left" w:pos="312"/>
        </w:tabs>
      </w:pPr>
    </w:lvl>
  </w:abstractNum>
  <w:abstractNum w:abstractNumId="11">
    <w:nsid w:val="4A8A396C"/>
    <w:multiLevelType w:val="singleLevel"/>
    <w:tmpl w:val="4A8A396C"/>
    <w:lvl w:ilvl="0" w:tentative="0">
      <w:start w:val="1"/>
      <w:numFmt w:val="chineseCounting"/>
      <w:suff w:val="nothing"/>
      <w:lvlText w:val="（%1）"/>
      <w:lvlJc w:val="left"/>
      <w:rPr>
        <w:rFonts w:hint="eastAsia"/>
      </w:rPr>
    </w:lvl>
  </w:abstractNum>
  <w:abstractNum w:abstractNumId="12">
    <w:nsid w:val="51A16E4F"/>
    <w:multiLevelType w:val="multilevel"/>
    <w:tmpl w:val="51A16E4F"/>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3">
    <w:nsid w:val="6A11432B"/>
    <w:multiLevelType w:val="singleLevel"/>
    <w:tmpl w:val="6A11432B"/>
    <w:lvl w:ilvl="0" w:tentative="0">
      <w:start w:val="1"/>
      <w:numFmt w:val="chineseCounting"/>
      <w:suff w:val="nothing"/>
      <w:lvlText w:val="（%1）"/>
      <w:lvlJc w:val="left"/>
      <w:rPr>
        <w:rFonts w:hint="eastAsia" w:ascii="仿宋_GB2312" w:hAnsi="仿宋_GB2312" w:eastAsia="仿宋_GB2312" w:cs="仿宋_GB2312"/>
        <w:sz w:val="32"/>
        <w:szCs w:val="32"/>
      </w:rPr>
    </w:lvl>
  </w:abstractNum>
  <w:num w:numId="1">
    <w:abstractNumId w:val="3"/>
  </w:num>
  <w:num w:numId="2">
    <w:abstractNumId w:val="0"/>
  </w:num>
  <w:num w:numId="3">
    <w:abstractNumId w:val="11"/>
  </w:num>
  <w:num w:numId="4">
    <w:abstractNumId w:val="2"/>
  </w:num>
  <w:num w:numId="5">
    <w:abstractNumId w:val="10"/>
  </w:num>
  <w:num w:numId="6">
    <w:abstractNumId w:val="13"/>
  </w:num>
  <w:num w:numId="7">
    <w:abstractNumId w:val="5"/>
  </w:num>
  <w:num w:numId="8">
    <w:abstractNumId w:val="8"/>
  </w:num>
  <w:num w:numId="9">
    <w:abstractNumId w:val="4"/>
  </w:num>
  <w:num w:numId="10">
    <w:abstractNumId w:val="7"/>
  </w:num>
  <w:num w:numId="11">
    <w:abstractNumId w:val="1"/>
  </w:num>
  <w:num w:numId="12">
    <w:abstractNumId w:val="9"/>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NjRkOWMwZmQ1MzRkNDc5MGIzNjRmZTQ3OGZiMzQifQ=="/>
  </w:docVars>
  <w:rsids>
    <w:rsidRoot w:val="00172A27"/>
    <w:rsid w:val="00005DE3"/>
    <w:rsid w:val="000110A4"/>
    <w:rsid w:val="00020822"/>
    <w:rsid w:val="00032DA9"/>
    <w:rsid w:val="00033483"/>
    <w:rsid w:val="00046A4E"/>
    <w:rsid w:val="000640BD"/>
    <w:rsid w:val="00071542"/>
    <w:rsid w:val="00071FFE"/>
    <w:rsid w:val="00081F4C"/>
    <w:rsid w:val="00087609"/>
    <w:rsid w:val="00091B32"/>
    <w:rsid w:val="000A2670"/>
    <w:rsid w:val="000C358A"/>
    <w:rsid w:val="0010178D"/>
    <w:rsid w:val="00101B96"/>
    <w:rsid w:val="00103FF3"/>
    <w:rsid w:val="00106989"/>
    <w:rsid w:val="0010749C"/>
    <w:rsid w:val="001124B0"/>
    <w:rsid w:val="001300C2"/>
    <w:rsid w:val="00132EC0"/>
    <w:rsid w:val="001500BD"/>
    <w:rsid w:val="00154D19"/>
    <w:rsid w:val="00162735"/>
    <w:rsid w:val="00172A27"/>
    <w:rsid w:val="00177CD7"/>
    <w:rsid w:val="00187927"/>
    <w:rsid w:val="001B7C39"/>
    <w:rsid w:val="001C556C"/>
    <w:rsid w:val="001C62D6"/>
    <w:rsid w:val="001D3CD7"/>
    <w:rsid w:val="001D56A9"/>
    <w:rsid w:val="001F023B"/>
    <w:rsid w:val="001F7AB9"/>
    <w:rsid w:val="002032F7"/>
    <w:rsid w:val="002068C1"/>
    <w:rsid w:val="00212AFF"/>
    <w:rsid w:val="00227D5D"/>
    <w:rsid w:val="00243397"/>
    <w:rsid w:val="002435C3"/>
    <w:rsid w:val="00245249"/>
    <w:rsid w:val="00246EF4"/>
    <w:rsid w:val="00251ED5"/>
    <w:rsid w:val="00254D69"/>
    <w:rsid w:val="0027478E"/>
    <w:rsid w:val="00285EE7"/>
    <w:rsid w:val="002B74AE"/>
    <w:rsid w:val="002D75D1"/>
    <w:rsid w:val="002E05E4"/>
    <w:rsid w:val="002E2EB4"/>
    <w:rsid w:val="0031274F"/>
    <w:rsid w:val="003127DA"/>
    <w:rsid w:val="003152F3"/>
    <w:rsid w:val="00325EB1"/>
    <w:rsid w:val="0033391C"/>
    <w:rsid w:val="0034587C"/>
    <w:rsid w:val="00360A89"/>
    <w:rsid w:val="00362A29"/>
    <w:rsid w:val="00375F72"/>
    <w:rsid w:val="003A3829"/>
    <w:rsid w:val="003A77B7"/>
    <w:rsid w:val="003B1F4F"/>
    <w:rsid w:val="003D0211"/>
    <w:rsid w:val="003D6109"/>
    <w:rsid w:val="003F1979"/>
    <w:rsid w:val="003F415E"/>
    <w:rsid w:val="00400380"/>
    <w:rsid w:val="00402642"/>
    <w:rsid w:val="004245D9"/>
    <w:rsid w:val="00425134"/>
    <w:rsid w:val="0043200E"/>
    <w:rsid w:val="00435877"/>
    <w:rsid w:val="004438E3"/>
    <w:rsid w:val="00443F59"/>
    <w:rsid w:val="004461C0"/>
    <w:rsid w:val="00447EAE"/>
    <w:rsid w:val="00455B1D"/>
    <w:rsid w:val="00460E95"/>
    <w:rsid w:val="004616A2"/>
    <w:rsid w:val="00471D53"/>
    <w:rsid w:val="00482AAD"/>
    <w:rsid w:val="00491F81"/>
    <w:rsid w:val="00493372"/>
    <w:rsid w:val="00494507"/>
    <w:rsid w:val="004C07BF"/>
    <w:rsid w:val="004C5F63"/>
    <w:rsid w:val="004D6441"/>
    <w:rsid w:val="004E1FEB"/>
    <w:rsid w:val="00533328"/>
    <w:rsid w:val="00537A45"/>
    <w:rsid w:val="00540FCD"/>
    <w:rsid w:val="0054550B"/>
    <w:rsid w:val="0056194F"/>
    <w:rsid w:val="00564ACC"/>
    <w:rsid w:val="00566F1A"/>
    <w:rsid w:val="005721F3"/>
    <w:rsid w:val="00572883"/>
    <w:rsid w:val="00585B7C"/>
    <w:rsid w:val="00591D84"/>
    <w:rsid w:val="005C796F"/>
    <w:rsid w:val="005D2282"/>
    <w:rsid w:val="005D24B1"/>
    <w:rsid w:val="00604707"/>
    <w:rsid w:val="00611015"/>
    <w:rsid w:val="00636F08"/>
    <w:rsid w:val="0064635A"/>
    <w:rsid w:val="00646A0F"/>
    <w:rsid w:val="00650FF9"/>
    <w:rsid w:val="00660300"/>
    <w:rsid w:val="00666586"/>
    <w:rsid w:val="00671EF0"/>
    <w:rsid w:val="006741F5"/>
    <w:rsid w:val="00675DEE"/>
    <w:rsid w:val="006861B3"/>
    <w:rsid w:val="006A2600"/>
    <w:rsid w:val="006A43F0"/>
    <w:rsid w:val="006A52C9"/>
    <w:rsid w:val="006A74CD"/>
    <w:rsid w:val="006B4B26"/>
    <w:rsid w:val="006F29EE"/>
    <w:rsid w:val="00720D00"/>
    <w:rsid w:val="00736D1E"/>
    <w:rsid w:val="0074188E"/>
    <w:rsid w:val="0074190A"/>
    <w:rsid w:val="00742EB3"/>
    <w:rsid w:val="00744EC9"/>
    <w:rsid w:val="007A21CA"/>
    <w:rsid w:val="007A3097"/>
    <w:rsid w:val="007F5819"/>
    <w:rsid w:val="00806DD5"/>
    <w:rsid w:val="00811CBD"/>
    <w:rsid w:val="00820898"/>
    <w:rsid w:val="008239FC"/>
    <w:rsid w:val="008252DB"/>
    <w:rsid w:val="00836A70"/>
    <w:rsid w:val="0085351A"/>
    <w:rsid w:val="008629C6"/>
    <w:rsid w:val="00876031"/>
    <w:rsid w:val="00876816"/>
    <w:rsid w:val="008833E4"/>
    <w:rsid w:val="00895563"/>
    <w:rsid w:val="008A043A"/>
    <w:rsid w:val="008B19DE"/>
    <w:rsid w:val="008B202A"/>
    <w:rsid w:val="008D15CE"/>
    <w:rsid w:val="008D34A4"/>
    <w:rsid w:val="008E77E1"/>
    <w:rsid w:val="008F62FC"/>
    <w:rsid w:val="00911670"/>
    <w:rsid w:val="00926443"/>
    <w:rsid w:val="00941F5E"/>
    <w:rsid w:val="009460A7"/>
    <w:rsid w:val="00967B0A"/>
    <w:rsid w:val="00975443"/>
    <w:rsid w:val="00987459"/>
    <w:rsid w:val="0099178E"/>
    <w:rsid w:val="00991B9F"/>
    <w:rsid w:val="00992DC8"/>
    <w:rsid w:val="00997288"/>
    <w:rsid w:val="009A67FC"/>
    <w:rsid w:val="009C017C"/>
    <w:rsid w:val="009E0BEA"/>
    <w:rsid w:val="009E191A"/>
    <w:rsid w:val="009E4797"/>
    <w:rsid w:val="00A001C6"/>
    <w:rsid w:val="00A130F1"/>
    <w:rsid w:val="00A15909"/>
    <w:rsid w:val="00A62010"/>
    <w:rsid w:val="00A77372"/>
    <w:rsid w:val="00A818F3"/>
    <w:rsid w:val="00A829E7"/>
    <w:rsid w:val="00A85352"/>
    <w:rsid w:val="00A865C5"/>
    <w:rsid w:val="00A90767"/>
    <w:rsid w:val="00A933C3"/>
    <w:rsid w:val="00AA3A37"/>
    <w:rsid w:val="00AA4CE8"/>
    <w:rsid w:val="00AB1AEA"/>
    <w:rsid w:val="00AC704B"/>
    <w:rsid w:val="00AE2526"/>
    <w:rsid w:val="00B06C77"/>
    <w:rsid w:val="00B61AD0"/>
    <w:rsid w:val="00B6639F"/>
    <w:rsid w:val="00B73D60"/>
    <w:rsid w:val="00B76983"/>
    <w:rsid w:val="00B76D1D"/>
    <w:rsid w:val="00B77D47"/>
    <w:rsid w:val="00B93B3B"/>
    <w:rsid w:val="00BA57A1"/>
    <w:rsid w:val="00BB2BC1"/>
    <w:rsid w:val="00BB7747"/>
    <w:rsid w:val="00BC223D"/>
    <w:rsid w:val="00BC3FE1"/>
    <w:rsid w:val="00BC5950"/>
    <w:rsid w:val="00BD36DC"/>
    <w:rsid w:val="00BD7D18"/>
    <w:rsid w:val="00BE366F"/>
    <w:rsid w:val="00BE41F1"/>
    <w:rsid w:val="00BF7900"/>
    <w:rsid w:val="00C23F4B"/>
    <w:rsid w:val="00C30BE9"/>
    <w:rsid w:val="00C450AF"/>
    <w:rsid w:val="00C55C62"/>
    <w:rsid w:val="00C61C1E"/>
    <w:rsid w:val="00C63F1C"/>
    <w:rsid w:val="00C752B7"/>
    <w:rsid w:val="00C83C65"/>
    <w:rsid w:val="00C943E3"/>
    <w:rsid w:val="00CA1331"/>
    <w:rsid w:val="00CB1EF9"/>
    <w:rsid w:val="00CB7352"/>
    <w:rsid w:val="00CC43BA"/>
    <w:rsid w:val="00CD0F3F"/>
    <w:rsid w:val="00CD2ED2"/>
    <w:rsid w:val="00CE35E6"/>
    <w:rsid w:val="00CF3752"/>
    <w:rsid w:val="00D0254D"/>
    <w:rsid w:val="00D307AE"/>
    <w:rsid w:val="00D36AD8"/>
    <w:rsid w:val="00D557B4"/>
    <w:rsid w:val="00D74B3A"/>
    <w:rsid w:val="00D77B50"/>
    <w:rsid w:val="00D807B5"/>
    <w:rsid w:val="00D84D06"/>
    <w:rsid w:val="00D97DB3"/>
    <w:rsid w:val="00DA2783"/>
    <w:rsid w:val="00DA284E"/>
    <w:rsid w:val="00DC1735"/>
    <w:rsid w:val="00DE7891"/>
    <w:rsid w:val="00E00E84"/>
    <w:rsid w:val="00E039C5"/>
    <w:rsid w:val="00E126C7"/>
    <w:rsid w:val="00E3431F"/>
    <w:rsid w:val="00E51614"/>
    <w:rsid w:val="00E81C16"/>
    <w:rsid w:val="00EA3F78"/>
    <w:rsid w:val="00EC54D2"/>
    <w:rsid w:val="00EC67AF"/>
    <w:rsid w:val="00EF1AF4"/>
    <w:rsid w:val="00F055F6"/>
    <w:rsid w:val="00F2056B"/>
    <w:rsid w:val="00F20837"/>
    <w:rsid w:val="00F22B30"/>
    <w:rsid w:val="00F53A94"/>
    <w:rsid w:val="00F640DF"/>
    <w:rsid w:val="00F70AB6"/>
    <w:rsid w:val="00F7422A"/>
    <w:rsid w:val="00F83C87"/>
    <w:rsid w:val="00F86CE2"/>
    <w:rsid w:val="00F87B95"/>
    <w:rsid w:val="00F907FA"/>
    <w:rsid w:val="00F9526D"/>
    <w:rsid w:val="00FA0C70"/>
    <w:rsid w:val="00FA0E08"/>
    <w:rsid w:val="00FA1581"/>
    <w:rsid w:val="00FB1D9D"/>
    <w:rsid w:val="00FB344F"/>
    <w:rsid w:val="00FC1671"/>
    <w:rsid w:val="00FC26C4"/>
    <w:rsid w:val="00FC55A9"/>
    <w:rsid w:val="00FC61F4"/>
    <w:rsid w:val="00FE567B"/>
    <w:rsid w:val="00FF04D2"/>
    <w:rsid w:val="01092090"/>
    <w:rsid w:val="01150CE5"/>
    <w:rsid w:val="012D0479"/>
    <w:rsid w:val="013E4434"/>
    <w:rsid w:val="01443960"/>
    <w:rsid w:val="01522BA6"/>
    <w:rsid w:val="01573A89"/>
    <w:rsid w:val="01604A44"/>
    <w:rsid w:val="01683C80"/>
    <w:rsid w:val="01786AFF"/>
    <w:rsid w:val="017E69E2"/>
    <w:rsid w:val="01817196"/>
    <w:rsid w:val="018914DA"/>
    <w:rsid w:val="01921E45"/>
    <w:rsid w:val="01C100BF"/>
    <w:rsid w:val="01DA5D05"/>
    <w:rsid w:val="01DE74ED"/>
    <w:rsid w:val="02184C85"/>
    <w:rsid w:val="021D78B2"/>
    <w:rsid w:val="022853BD"/>
    <w:rsid w:val="025E5AA3"/>
    <w:rsid w:val="02865755"/>
    <w:rsid w:val="029D30BB"/>
    <w:rsid w:val="02A56E25"/>
    <w:rsid w:val="02B0085D"/>
    <w:rsid w:val="02B82783"/>
    <w:rsid w:val="02BC1AB4"/>
    <w:rsid w:val="02E6682E"/>
    <w:rsid w:val="02E84495"/>
    <w:rsid w:val="03002CA8"/>
    <w:rsid w:val="031F4C29"/>
    <w:rsid w:val="03301255"/>
    <w:rsid w:val="033A0EA0"/>
    <w:rsid w:val="034E6C67"/>
    <w:rsid w:val="036C34DA"/>
    <w:rsid w:val="039E11BA"/>
    <w:rsid w:val="03AD515F"/>
    <w:rsid w:val="03C84489"/>
    <w:rsid w:val="03C965AB"/>
    <w:rsid w:val="03CB005F"/>
    <w:rsid w:val="03DA6E64"/>
    <w:rsid w:val="03DC0F11"/>
    <w:rsid w:val="03DF4FCF"/>
    <w:rsid w:val="03EE30EC"/>
    <w:rsid w:val="03FA7CEE"/>
    <w:rsid w:val="043A45FB"/>
    <w:rsid w:val="044B3A7E"/>
    <w:rsid w:val="04514D05"/>
    <w:rsid w:val="0462668B"/>
    <w:rsid w:val="04711E59"/>
    <w:rsid w:val="047A7FDB"/>
    <w:rsid w:val="04B22726"/>
    <w:rsid w:val="04C86263"/>
    <w:rsid w:val="05117204"/>
    <w:rsid w:val="051E5D4A"/>
    <w:rsid w:val="05266E4D"/>
    <w:rsid w:val="057F0E66"/>
    <w:rsid w:val="059A6A0C"/>
    <w:rsid w:val="059F34DA"/>
    <w:rsid w:val="05A93688"/>
    <w:rsid w:val="05D61AB1"/>
    <w:rsid w:val="05D80FC6"/>
    <w:rsid w:val="05F601B2"/>
    <w:rsid w:val="05FA2885"/>
    <w:rsid w:val="06565D7C"/>
    <w:rsid w:val="0664493D"/>
    <w:rsid w:val="06AA2C8D"/>
    <w:rsid w:val="06B1380C"/>
    <w:rsid w:val="06CB24CD"/>
    <w:rsid w:val="06D1511F"/>
    <w:rsid w:val="06D60F51"/>
    <w:rsid w:val="06D94E7B"/>
    <w:rsid w:val="06FD01B8"/>
    <w:rsid w:val="071029B6"/>
    <w:rsid w:val="07346507"/>
    <w:rsid w:val="073F2193"/>
    <w:rsid w:val="076F6C65"/>
    <w:rsid w:val="078E6B4F"/>
    <w:rsid w:val="07D84963"/>
    <w:rsid w:val="07E16EE2"/>
    <w:rsid w:val="07FC5379"/>
    <w:rsid w:val="08597391"/>
    <w:rsid w:val="085E5421"/>
    <w:rsid w:val="086D4E20"/>
    <w:rsid w:val="08882C6E"/>
    <w:rsid w:val="08950665"/>
    <w:rsid w:val="089A15A8"/>
    <w:rsid w:val="089E62C6"/>
    <w:rsid w:val="09403E87"/>
    <w:rsid w:val="09525596"/>
    <w:rsid w:val="095D3BDF"/>
    <w:rsid w:val="097C44C0"/>
    <w:rsid w:val="09823932"/>
    <w:rsid w:val="09D10C1B"/>
    <w:rsid w:val="09DE123F"/>
    <w:rsid w:val="09EC5F0C"/>
    <w:rsid w:val="09F868E0"/>
    <w:rsid w:val="0A04041B"/>
    <w:rsid w:val="0A2450AA"/>
    <w:rsid w:val="0A494730"/>
    <w:rsid w:val="0A4B3734"/>
    <w:rsid w:val="0A764C3F"/>
    <w:rsid w:val="0A87036F"/>
    <w:rsid w:val="0A8D36B2"/>
    <w:rsid w:val="0AA80A80"/>
    <w:rsid w:val="0AF71B51"/>
    <w:rsid w:val="0B186C1A"/>
    <w:rsid w:val="0B1C0DD8"/>
    <w:rsid w:val="0B6C5E87"/>
    <w:rsid w:val="0B777308"/>
    <w:rsid w:val="0B836C77"/>
    <w:rsid w:val="0B9D61FB"/>
    <w:rsid w:val="0BA2713F"/>
    <w:rsid w:val="0BB836A7"/>
    <w:rsid w:val="0BBE2360"/>
    <w:rsid w:val="0BC74676"/>
    <w:rsid w:val="0BC91BF2"/>
    <w:rsid w:val="0BCD4DA5"/>
    <w:rsid w:val="0BD7170D"/>
    <w:rsid w:val="0BFD72CC"/>
    <w:rsid w:val="0BFE03DA"/>
    <w:rsid w:val="0C1E29BD"/>
    <w:rsid w:val="0C32639D"/>
    <w:rsid w:val="0C3A5E6D"/>
    <w:rsid w:val="0C5A0060"/>
    <w:rsid w:val="0C9814B5"/>
    <w:rsid w:val="0CAA338F"/>
    <w:rsid w:val="0CB56A46"/>
    <w:rsid w:val="0CB8153E"/>
    <w:rsid w:val="0CE768F3"/>
    <w:rsid w:val="0CEA15C0"/>
    <w:rsid w:val="0CEC11E8"/>
    <w:rsid w:val="0CEC224A"/>
    <w:rsid w:val="0CF462EF"/>
    <w:rsid w:val="0CF94377"/>
    <w:rsid w:val="0D15474B"/>
    <w:rsid w:val="0D2721D6"/>
    <w:rsid w:val="0D32412C"/>
    <w:rsid w:val="0D397CED"/>
    <w:rsid w:val="0D3C216F"/>
    <w:rsid w:val="0D4B4CD3"/>
    <w:rsid w:val="0D55238A"/>
    <w:rsid w:val="0D690A8B"/>
    <w:rsid w:val="0D863451"/>
    <w:rsid w:val="0D9532D4"/>
    <w:rsid w:val="0D9B351C"/>
    <w:rsid w:val="0DC539CC"/>
    <w:rsid w:val="0DD73C46"/>
    <w:rsid w:val="0E47352C"/>
    <w:rsid w:val="0E5C3DCB"/>
    <w:rsid w:val="0E8801E2"/>
    <w:rsid w:val="0E911D75"/>
    <w:rsid w:val="0E931724"/>
    <w:rsid w:val="0ECF4F4C"/>
    <w:rsid w:val="0EF5494D"/>
    <w:rsid w:val="0EFC06C6"/>
    <w:rsid w:val="0F457D78"/>
    <w:rsid w:val="0F4D71B1"/>
    <w:rsid w:val="0F576D81"/>
    <w:rsid w:val="0F5A3F5F"/>
    <w:rsid w:val="0F813E01"/>
    <w:rsid w:val="0F900A8A"/>
    <w:rsid w:val="0F9136EF"/>
    <w:rsid w:val="0FA276D8"/>
    <w:rsid w:val="0FBC1346"/>
    <w:rsid w:val="100617DE"/>
    <w:rsid w:val="10150A56"/>
    <w:rsid w:val="10211D05"/>
    <w:rsid w:val="10470360"/>
    <w:rsid w:val="105300C1"/>
    <w:rsid w:val="105350F0"/>
    <w:rsid w:val="10872343"/>
    <w:rsid w:val="108F0808"/>
    <w:rsid w:val="108F489C"/>
    <w:rsid w:val="10993435"/>
    <w:rsid w:val="109D11DA"/>
    <w:rsid w:val="10B014DA"/>
    <w:rsid w:val="10BA23AC"/>
    <w:rsid w:val="10C24133"/>
    <w:rsid w:val="10D8379B"/>
    <w:rsid w:val="10D96D2F"/>
    <w:rsid w:val="10EF574B"/>
    <w:rsid w:val="10F67A21"/>
    <w:rsid w:val="110E6E32"/>
    <w:rsid w:val="111F4200"/>
    <w:rsid w:val="112453F4"/>
    <w:rsid w:val="11382EB1"/>
    <w:rsid w:val="114F27CD"/>
    <w:rsid w:val="11553F80"/>
    <w:rsid w:val="1161538D"/>
    <w:rsid w:val="116E041E"/>
    <w:rsid w:val="11B524F0"/>
    <w:rsid w:val="11BC6149"/>
    <w:rsid w:val="11BE77BD"/>
    <w:rsid w:val="11DB29DB"/>
    <w:rsid w:val="11EA286B"/>
    <w:rsid w:val="12255BFE"/>
    <w:rsid w:val="12420B07"/>
    <w:rsid w:val="12457317"/>
    <w:rsid w:val="125C13D5"/>
    <w:rsid w:val="127678A8"/>
    <w:rsid w:val="1297450B"/>
    <w:rsid w:val="129E21B2"/>
    <w:rsid w:val="12A232B2"/>
    <w:rsid w:val="12B417E2"/>
    <w:rsid w:val="12BD714C"/>
    <w:rsid w:val="12D60F59"/>
    <w:rsid w:val="1325123C"/>
    <w:rsid w:val="132F5F52"/>
    <w:rsid w:val="13385187"/>
    <w:rsid w:val="13A0446F"/>
    <w:rsid w:val="13C40F9F"/>
    <w:rsid w:val="13E156B5"/>
    <w:rsid w:val="13EA2A63"/>
    <w:rsid w:val="1414323A"/>
    <w:rsid w:val="142C45C0"/>
    <w:rsid w:val="14394E19"/>
    <w:rsid w:val="14494B90"/>
    <w:rsid w:val="146A3C93"/>
    <w:rsid w:val="14BD45AD"/>
    <w:rsid w:val="14C15116"/>
    <w:rsid w:val="14C34F24"/>
    <w:rsid w:val="14CE5C89"/>
    <w:rsid w:val="14CE7B96"/>
    <w:rsid w:val="14F31730"/>
    <w:rsid w:val="152B0972"/>
    <w:rsid w:val="15400323"/>
    <w:rsid w:val="15590791"/>
    <w:rsid w:val="157545F9"/>
    <w:rsid w:val="157651D8"/>
    <w:rsid w:val="157E6DCE"/>
    <w:rsid w:val="15A12282"/>
    <w:rsid w:val="15AF7257"/>
    <w:rsid w:val="15C66D59"/>
    <w:rsid w:val="15D649DC"/>
    <w:rsid w:val="15DD358D"/>
    <w:rsid w:val="15FB0469"/>
    <w:rsid w:val="160C1D97"/>
    <w:rsid w:val="160C6EEC"/>
    <w:rsid w:val="163C3478"/>
    <w:rsid w:val="163F54FB"/>
    <w:rsid w:val="1659158D"/>
    <w:rsid w:val="16591BC5"/>
    <w:rsid w:val="1663363A"/>
    <w:rsid w:val="167045FC"/>
    <w:rsid w:val="16704C38"/>
    <w:rsid w:val="16BA0272"/>
    <w:rsid w:val="16D40DE1"/>
    <w:rsid w:val="16E05432"/>
    <w:rsid w:val="172B2476"/>
    <w:rsid w:val="174A32A5"/>
    <w:rsid w:val="175956CC"/>
    <w:rsid w:val="17643646"/>
    <w:rsid w:val="179A4712"/>
    <w:rsid w:val="17CA481C"/>
    <w:rsid w:val="17CC3ED4"/>
    <w:rsid w:val="17D7040C"/>
    <w:rsid w:val="17EE3251"/>
    <w:rsid w:val="17FD074D"/>
    <w:rsid w:val="180F222F"/>
    <w:rsid w:val="182B4989"/>
    <w:rsid w:val="183A54FD"/>
    <w:rsid w:val="18631F3A"/>
    <w:rsid w:val="186936F3"/>
    <w:rsid w:val="18940FCA"/>
    <w:rsid w:val="18947295"/>
    <w:rsid w:val="18A746DB"/>
    <w:rsid w:val="18AC1846"/>
    <w:rsid w:val="18C54E50"/>
    <w:rsid w:val="18C61307"/>
    <w:rsid w:val="18E57DA6"/>
    <w:rsid w:val="19020E18"/>
    <w:rsid w:val="192B08D4"/>
    <w:rsid w:val="193C34F7"/>
    <w:rsid w:val="194E2DA6"/>
    <w:rsid w:val="196A7494"/>
    <w:rsid w:val="198253AE"/>
    <w:rsid w:val="198923A7"/>
    <w:rsid w:val="198B333F"/>
    <w:rsid w:val="19AC578D"/>
    <w:rsid w:val="19B17A41"/>
    <w:rsid w:val="19BA4D9C"/>
    <w:rsid w:val="19E61847"/>
    <w:rsid w:val="1A045DC3"/>
    <w:rsid w:val="1A124223"/>
    <w:rsid w:val="1A151A88"/>
    <w:rsid w:val="1A334131"/>
    <w:rsid w:val="1A630F21"/>
    <w:rsid w:val="1A6E576A"/>
    <w:rsid w:val="1A8D7FA6"/>
    <w:rsid w:val="1AA4136C"/>
    <w:rsid w:val="1AB30F83"/>
    <w:rsid w:val="1AD774E9"/>
    <w:rsid w:val="1ADD1E1B"/>
    <w:rsid w:val="1B0713FC"/>
    <w:rsid w:val="1B342C4F"/>
    <w:rsid w:val="1B9C48FD"/>
    <w:rsid w:val="1BA32634"/>
    <w:rsid w:val="1BA7738B"/>
    <w:rsid w:val="1BBC2859"/>
    <w:rsid w:val="1BD66A20"/>
    <w:rsid w:val="1BE22134"/>
    <w:rsid w:val="1BE53628"/>
    <w:rsid w:val="1BEE7988"/>
    <w:rsid w:val="1C2956EE"/>
    <w:rsid w:val="1C394DB6"/>
    <w:rsid w:val="1C3D7A87"/>
    <w:rsid w:val="1C533032"/>
    <w:rsid w:val="1C6E39C8"/>
    <w:rsid w:val="1C7860F9"/>
    <w:rsid w:val="1C7F561C"/>
    <w:rsid w:val="1C94231B"/>
    <w:rsid w:val="1CA048A8"/>
    <w:rsid w:val="1CBF4223"/>
    <w:rsid w:val="1D0427A8"/>
    <w:rsid w:val="1D1D5D1E"/>
    <w:rsid w:val="1D243CDC"/>
    <w:rsid w:val="1D3C3AC6"/>
    <w:rsid w:val="1D63422B"/>
    <w:rsid w:val="1D6D282C"/>
    <w:rsid w:val="1D6E4A05"/>
    <w:rsid w:val="1D7A639C"/>
    <w:rsid w:val="1D8E4E63"/>
    <w:rsid w:val="1DA8641B"/>
    <w:rsid w:val="1DC1221D"/>
    <w:rsid w:val="1DC37A1A"/>
    <w:rsid w:val="1DD367F4"/>
    <w:rsid w:val="1DF372AA"/>
    <w:rsid w:val="1DFF3AF2"/>
    <w:rsid w:val="1DFF5567"/>
    <w:rsid w:val="1E131876"/>
    <w:rsid w:val="1E14074F"/>
    <w:rsid w:val="1E1F7DE5"/>
    <w:rsid w:val="1E234C86"/>
    <w:rsid w:val="1E8A6B3B"/>
    <w:rsid w:val="1E8E3BCF"/>
    <w:rsid w:val="1EBA3929"/>
    <w:rsid w:val="1EBC4DE8"/>
    <w:rsid w:val="1ED657D3"/>
    <w:rsid w:val="1EFB3574"/>
    <w:rsid w:val="1F1E28FB"/>
    <w:rsid w:val="1F332CA6"/>
    <w:rsid w:val="1F3C2B91"/>
    <w:rsid w:val="1F3F2FF9"/>
    <w:rsid w:val="1F4B047A"/>
    <w:rsid w:val="1F9D049A"/>
    <w:rsid w:val="1FC02D93"/>
    <w:rsid w:val="1FD955FC"/>
    <w:rsid w:val="1FE83022"/>
    <w:rsid w:val="20120B0E"/>
    <w:rsid w:val="202F1635"/>
    <w:rsid w:val="20360903"/>
    <w:rsid w:val="20402FF6"/>
    <w:rsid w:val="2052204A"/>
    <w:rsid w:val="207870BD"/>
    <w:rsid w:val="2081292C"/>
    <w:rsid w:val="209E31F8"/>
    <w:rsid w:val="20A15033"/>
    <w:rsid w:val="20B10327"/>
    <w:rsid w:val="20E740EA"/>
    <w:rsid w:val="20EA631A"/>
    <w:rsid w:val="21151A96"/>
    <w:rsid w:val="211D38AB"/>
    <w:rsid w:val="21820E75"/>
    <w:rsid w:val="218E0C44"/>
    <w:rsid w:val="219127B3"/>
    <w:rsid w:val="2193306B"/>
    <w:rsid w:val="219942F9"/>
    <w:rsid w:val="219D2D23"/>
    <w:rsid w:val="21C44A9A"/>
    <w:rsid w:val="21EC1E27"/>
    <w:rsid w:val="21FC0566"/>
    <w:rsid w:val="220A457C"/>
    <w:rsid w:val="220A5007"/>
    <w:rsid w:val="221D1E7A"/>
    <w:rsid w:val="22301CFC"/>
    <w:rsid w:val="223905D4"/>
    <w:rsid w:val="22421B7E"/>
    <w:rsid w:val="22453220"/>
    <w:rsid w:val="2245744C"/>
    <w:rsid w:val="22586564"/>
    <w:rsid w:val="226A08F0"/>
    <w:rsid w:val="228601D5"/>
    <w:rsid w:val="22A56343"/>
    <w:rsid w:val="22F87E4C"/>
    <w:rsid w:val="22FD695A"/>
    <w:rsid w:val="23007343"/>
    <w:rsid w:val="2306757E"/>
    <w:rsid w:val="23272F9C"/>
    <w:rsid w:val="233539C2"/>
    <w:rsid w:val="23417508"/>
    <w:rsid w:val="236B42F1"/>
    <w:rsid w:val="237C0B6D"/>
    <w:rsid w:val="2399789A"/>
    <w:rsid w:val="239B2DBC"/>
    <w:rsid w:val="23B045E4"/>
    <w:rsid w:val="23C12F77"/>
    <w:rsid w:val="23DB5160"/>
    <w:rsid w:val="23DF3726"/>
    <w:rsid w:val="23EB7FF4"/>
    <w:rsid w:val="23F57AFC"/>
    <w:rsid w:val="240E0BCA"/>
    <w:rsid w:val="241C1840"/>
    <w:rsid w:val="24A37BC2"/>
    <w:rsid w:val="24AA3A0B"/>
    <w:rsid w:val="24DF7405"/>
    <w:rsid w:val="24ED6254"/>
    <w:rsid w:val="24F87B37"/>
    <w:rsid w:val="2509610E"/>
    <w:rsid w:val="2515370F"/>
    <w:rsid w:val="25360354"/>
    <w:rsid w:val="25AD30A0"/>
    <w:rsid w:val="25F66A48"/>
    <w:rsid w:val="262B62EF"/>
    <w:rsid w:val="265A104A"/>
    <w:rsid w:val="26657B7E"/>
    <w:rsid w:val="266B6CB8"/>
    <w:rsid w:val="268D7140"/>
    <w:rsid w:val="26961A2A"/>
    <w:rsid w:val="269C6296"/>
    <w:rsid w:val="26C021F4"/>
    <w:rsid w:val="26C5617A"/>
    <w:rsid w:val="26D1073F"/>
    <w:rsid w:val="26D46B1D"/>
    <w:rsid w:val="26E20586"/>
    <w:rsid w:val="26E23A43"/>
    <w:rsid w:val="26E41445"/>
    <w:rsid w:val="26EB4911"/>
    <w:rsid w:val="270569D9"/>
    <w:rsid w:val="27181B7A"/>
    <w:rsid w:val="274818C8"/>
    <w:rsid w:val="276150C2"/>
    <w:rsid w:val="276161F2"/>
    <w:rsid w:val="276578D0"/>
    <w:rsid w:val="27715E0D"/>
    <w:rsid w:val="27867A1D"/>
    <w:rsid w:val="27D02DCF"/>
    <w:rsid w:val="27D93086"/>
    <w:rsid w:val="27ED2023"/>
    <w:rsid w:val="27F9199C"/>
    <w:rsid w:val="280010A1"/>
    <w:rsid w:val="281914C3"/>
    <w:rsid w:val="282067CE"/>
    <w:rsid w:val="2824686A"/>
    <w:rsid w:val="28631C5C"/>
    <w:rsid w:val="286B2C34"/>
    <w:rsid w:val="28760D0C"/>
    <w:rsid w:val="28823561"/>
    <w:rsid w:val="288F719F"/>
    <w:rsid w:val="28A1072E"/>
    <w:rsid w:val="28D62084"/>
    <w:rsid w:val="2904400B"/>
    <w:rsid w:val="291947B9"/>
    <w:rsid w:val="291C3D7C"/>
    <w:rsid w:val="29211DC2"/>
    <w:rsid w:val="29407343"/>
    <w:rsid w:val="29633FB2"/>
    <w:rsid w:val="29711B0A"/>
    <w:rsid w:val="29732A72"/>
    <w:rsid w:val="2977348C"/>
    <w:rsid w:val="29945C1B"/>
    <w:rsid w:val="29AD0D5D"/>
    <w:rsid w:val="29BA27A6"/>
    <w:rsid w:val="29E9444A"/>
    <w:rsid w:val="29FF1EA4"/>
    <w:rsid w:val="2A0002AE"/>
    <w:rsid w:val="2A052857"/>
    <w:rsid w:val="2A0A24C3"/>
    <w:rsid w:val="2A0D18E3"/>
    <w:rsid w:val="2A1042EA"/>
    <w:rsid w:val="2A133E00"/>
    <w:rsid w:val="2A307D13"/>
    <w:rsid w:val="2A343366"/>
    <w:rsid w:val="2A445C52"/>
    <w:rsid w:val="2A5F325C"/>
    <w:rsid w:val="2A7C5220"/>
    <w:rsid w:val="2A934BD4"/>
    <w:rsid w:val="2A947591"/>
    <w:rsid w:val="2A9F0201"/>
    <w:rsid w:val="2AB72CFE"/>
    <w:rsid w:val="2AC5487E"/>
    <w:rsid w:val="2ACB7B38"/>
    <w:rsid w:val="2ADC7671"/>
    <w:rsid w:val="2AFD18CB"/>
    <w:rsid w:val="2B0F26DB"/>
    <w:rsid w:val="2B103944"/>
    <w:rsid w:val="2B1C6A30"/>
    <w:rsid w:val="2B1F2086"/>
    <w:rsid w:val="2B394BBF"/>
    <w:rsid w:val="2B445D20"/>
    <w:rsid w:val="2B481AA5"/>
    <w:rsid w:val="2B487ADA"/>
    <w:rsid w:val="2B4E75A2"/>
    <w:rsid w:val="2B6A1B7F"/>
    <w:rsid w:val="2B6D7540"/>
    <w:rsid w:val="2B7E174D"/>
    <w:rsid w:val="2B8633A6"/>
    <w:rsid w:val="2BB825B0"/>
    <w:rsid w:val="2BC92536"/>
    <w:rsid w:val="2BD4552F"/>
    <w:rsid w:val="2BD82C0B"/>
    <w:rsid w:val="2BDD05B1"/>
    <w:rsid w:val="2BE409FE"/>
    <w:rsid w:val="2BE71F26"/>
    <w:rsid w:val="2C1A3224"/>
    <w:rsid w:val="2C2438DA"/>
    <w:rsid w:val="2C29232C"/>
    <w:rsid w:val="2C343987"/>
    <w:rsid w:val="2C4653FC"/>
    <w:rsid w:val="2C4D4F42"/>
    <w:rsid w:val="2C77402E"/>
    <w:rsid w:val="2C80479D"/>
    <w:rsid w:val="2C90240B"/>
    <w:rsid w:val="2C9254B0"/>
    <w:rsid w:val="2CB91B21"/>
    <w:rsid w:val="2CD56185"/>
    <w:rsid w:val="2CD83541"/>
    <w:rsid w:val="2CF42E39"/>
    <w:rsid w:val="2D1519FD"/>
    <w:rsid w:val="2D551FD6"/>
    <w:rsid w:val="2D6530D9"/>
    <w:rsid w:val="2D6A61F4"/>
    <w:rsid w:val="2D6D54AF"/>
    <w:rsid w:val="2D7C44D2"/>
    <w:rsid w:val="2D8D1B9B"/>
    <w:rsid w:val="2DC15613"/>
    <w:rsid w:val="2DDE2344"/>
    <w:rsid w:val="2DFE766A"/>
    <w:rsid w:val="2E4310F5"/>
    <w:rsid w:val="2E765E78"/>
    <w:rsid w:val="2E7B1F74"/>
    <w:rsid w:val="2E862DF3"/>
    <w:rsid w:val="2E922FE1"/>
    <w:rsid w:val="2EBE640C"/>
    <w:rsid w:val="2EE31FF3"/>
    <w:rsid w:val="2F047A1F"/>
    <w:rsid w:val="2F667ECE"/>
    <w:rsid w:val="2FA02DFB"/>
    <w:rsid w:val="2FB40EA2"/>
    <w:rsid w:val="2FC008CA"/>
    <w:rsid w:val="2FCA7487"/>
    <w:rsid w:val="2FE32697"/>
    <w:rsid w:val="3001584D"/>
    <w:rsid w:val="30051E70"/>
    <w:rsid w:val="30444D13"/>
    <w:rsid w:val="30487E23"/>
    <w:rsid w:val="306235B5"/>
    <w:rsid w:val="306E3305"/>
    <w:rsid w:val="309B67DB"/>
    <w:rsid w:val="30BB3543"/>
    <w:rsid w:val="30CA07D5"/>
    <w:rsid w:val="30E01EA3"/>
    <w:rsid w:val="30E91417"/>
    <w:rsid w:val="30FD0B8E"/>
    <w:rsid w:val="31532102"/>
    <w:rsid w:val="31973A2D"/>
    <w:rsid w:val="31994BEB"/>
    <w:rsid w:val="31A6397F"/>
    <w:rsid w:val="31A96332"/>
    <w:rsid w:val="31D83A26"/>
    <w:rsid w:val="31ED4F37"/>
    <w:rsid w:val="320533D7"/>
    <w:rsid w:val="32073322"/>
    <w:rsid w:val="32463BF6"/>
    <w:rsid w:val="324E3C27"/>
    <w:rsid w:val="3255631A"/>
    <w:rsid w:val="325A563E"/>
    <w:rsid w:val="32880362"/>
    <w:rsid w:val="328817CF"/>
    <w:rsid w:val="329C3A14"/>
    <w:rsid w:val="32AC3044"/>
    <w:rsid w:val="32C263C3"/>
    <w:rsid w:val="32C97332"/>
    <w:rsid w:val="32D63C1D"/>
    <w:rsid w:val="32E439BE"/>
    <w:rsid w:val="32FD564D"/>
    <w:rsid w:val="330D3AE3"/>
    <w:rsid w:val="333F2EE2"/>
    <w:rsid w:val="334641D6"/>
    <w:rsid w:val="335039CF"/>
    <w:rsid w:val="337643C0"/>
    <w:rsid w:val="3398596D"/>
    <w:rsid w:val="339C71B8"/>
    <w:rsid w:val="33C002C9"/>
    <w:rsid w:val="33DD09F5"/>
    <w:rsid w:val="33DF2EF6"/>
    <w:rsid w:val="33E249D7"/>
    <w:rsid w:val="33ED0AAA"/>
    <w:rsid w:val="33F22302"/>
    <w:rsid w:val="340B0E0D"/>
    <w:rsid w:val="34314AF1"/>
    <w:rsid w:val="344E182C"/>
    <w:rsid w:val="34584E85"/>
    <w:rsid w:val="34647DE6"/>
    <w:rsid w:val="34861F04"/>
    <w:rsid w:val="34A37B14"/>
    <w:rsid w:val="34A41838"/>
    <w:rsid w:val="34DD3309"/>
    <w:rsid w:val="3516753D"/>
    <w:rsid w:val="35245113"/>
    <w:rsid w:val="353D7F83"/>
    <w:rsid w:val="35753BC1"/>
    <w:rsid w:val="35CD45C4"/>
    <w:rsid w:val="35D20B8C"/>
    <w:rsid w:val="35F40894"/>
    <w:rsid w:val="35F47278"/>
    <w:rsid w:val="36174C78"/>
    <w:rsid w:val="36346D46"/>
    <w:rsid w:val="36482ECF"/>
    <w:rsid w:val="3674478B"/>
    <w:rsid w:val="368045CB"/>
    <w:rsid w:val="369A1104"/>
    <w:rsid w:val="36B27631"/>
    <w:rsid w:val="36D414C4"/>
    <w:rsid w:val="36ED0763"/>
    <w:rsid w:val="36FF3D71"/>
    <w:rsid w:val="3724598F"/>
    <w:rsid w:val="37255B7B"/>
    <w:rsid w:val="37406CE9"/>
    <w:rsid w:val="3743183F"/>
    <w:rsid w:val="37593C30"/>
    <w:rsid w:val="37892453"/>
    <w:rsid w:val="37936580"/>
    <w:rsid w:val="37C60704"/>
    <w:rsid w:val="37F42B6B"/>
    <w:rsid w:val="37F57115"/>
    <w:rsid w:val="380247B9"/>
    <w:rsid w:val="38083D4D"/>
    <w:rsid w:val="38204CD5"/>
    <w:rsid w:val="386F1539"/>
    <w:rsid w:val="387C703E"/>
    <w:rsid w:val="38894D98"/>
    <w:rsid w:val="38962B62"/>
    <w:rsid w:val="38AF15F0"/>
    <w:rsid w:val="38C70290"/>
    <w:rsid w:val="38DF727B"/>
    <w:rsid w:val="391401DA"/>
    <w:rsid w:val="39545602"/>
    <w:rsid w:val="397C544B"/>
    <w:rsid w:val="398C5FB8"/>
    <w:rsid w:val="398D539F"/>
    <w:rsid w:val="39AB5AD8"/>
    <w:rsid w:val="39D8471E"/>
    <w:rsid w:val="3A035A45"/>
    <w:rsid w:val="3A0E7B59"/>
    <w:rsid w:val="3A361B71"/>
    <w:rsid w:val="3A532A8E"/>
    <w:rsid w:val="3A5E3FDB"/>
    <w:rsid w:val="3A60331E"/>
    <w:rsid w:val="3A656B5C"/>
    <w:rsid w:val="3A704B3D"/>
    <w:rsid w:val="3A952A02"/>
    <w:rsid w:val="3AC36A26"/>
    <w:rsid w:val="3AC832DB"/>
    <w:rsid w:val="3ADF27B4"/>
    <w:rsid w:val="3B0312A1"/>
    <w:rsid w:val="3B336623"/>
    <w:rsid w:val="3B3635ED"/>
    <w:rsid w:val="3B3B7DEA"/>
    <w:rsid w:val="3B4042C6"/>
    <w:rsid w:val="3B420818"/>
    <w:rsid w:val="3B4E4D37"/>
    <w:rsid w:val="3B585B17"/>
    <w:rsid w:val="3B605EAE"/>
    <w:rsid w:val="3B7E3D63"/>
    <w:rsid w:val="3B8B1429"/>
    <w:rsid w:val="3B9B5455"/>
    <w:rsid w:val="3BA0301A"/>
    <w:rsid w:val="3BA63F13"/>
    <w:rsid w:val="3BAC7CCE"/>
    <w:rsid w:val="3BD65A1D"/>
    <w:rsid w:val="3C031E27"/>
    <w:rsid w:val="3C875353"/>
    <w:rsid w:val="3C9E39FD"/>
    <w:rsid w:val="3C9E48D2"/>
    <w:rsid w:val="3CE10D02"/>
    <w:rsid w:val="3CF906C0"/>
    <w:rsid w:val="3D3E6B45"/>
    <w:rsid w:val="3D64137B"/>
    <w:rsid w:val="3D6B30DD"/>
    <w:rsid w:val="3D7B276A"/>
    <w:rsid w:val="3D9E0C11"/>
    <w:rsid w:val="3DC75DDA"/>
    <w:rsid w:val="3DD17008"/>
    <w:rsid w:val="3DE91159"/>
    <w:rsid w:val="3E1F5F94"/>
    <w:rsid w:val="3E37026C"/>
    <w:rsid w:val="3E3B04C1"/>
    <w:rsid w:val="3E3D619C"/>
    <w:rsid w:val="3E5D75B6"/>
    <w:rsid w:val="3E6D18D9"/>
    <w:rsid w:val="3E7C0750"/>
    <w:rsid w:val="3E8527C7"/>
    <w:rsid w:val="3EB2382D"/>
    <w:rsid w:val="3ED80049"/>
    <w:rsid w:val="3EE34F82"/>
    <w:rsid w:val="3EFC126B"/>
    <w:rsid w:val="3F0F414C"/>
    <w:rsid w:val="3F56125F"/>
    <w:rsid w:val="3F5F4D5C"/>
    <w:rsid w:val="3F6922C0"/>
    <w:rsid w:val="3F7A0CC3"/>
    <w:rsid w:val="3FBB7954"/>
    <w:rsid w:val="3FC32742"/>
    <w:rsid w:val="3FE12B33"/>
    <w:rsid w:val="3FEA0D08"/>
    <w:rsid w:val="40304DB2"/>
    <w:rsid w:val="403C5C9B"/>
    <w:rsid w:val="40843844"/>
    <w:rsid w:val="40860A30"/>
    <w:rsid w:val="40916E7B"/>
    <w:rsid w:val="40997015"/>
    <w:rsid w:val="40C61775"/>
    <w:rsid w:val="40D6309B"/>
    <w:rsid w:val="40DB1D4C"/>
    <w:rsid w:val="40E44B67"/>
    <w:rsid w:val="40EC2A35"/>
    <w:rsid w:val="40F70E2B"/>
    <w:rsid w:val="4105229D"/>
    <w:rsid w:val="410D5C48"/>
    <w:rsid w:val="411E04AF"/>
    <w:rsid w:val="412451C6"/>
    <w:rsid w:val="413F1C61"/>
    <w:rsid w:val="414D38B4"/>
    <w:rsid w:val="416A5E0A"/>
    <w:rsid w:val="41871BAC"/>
    <w:rsid w:val="4199585A"/>
    <w:rsid w:val="419F7403"/>
    <w:rsid w:val="41C11747"/>
    <w:rsid w:val="41C51A2C"/>
    <w:rsid w:val="41C6125E"/>
    <w:rsid w:val="41C87AD3"/>
    <w:rsid w:val="41DC3F2D"/>
    <w:rsid w:val="42154762"/>
    <w:rsid w:val="42250FE1"/>
    <w:rsid w:val="425E0FAA"/>
    <w:rsid w:val="427C708B"/>
    <w:rsid w:val="42846187"/>
    <w:rsid w:val="428C169C"/>
    <w:rsid w:val="428F2DF5"/>
    <w:rsid w:val="42A46591"/>
    <w:rsid w:val="42C13A57"/>
    <w:rsid w:val="42E934F8"/>
    <w:rsid w:val="431613E9"/>
    <w:rsid w:val="4327227D"/>
    <w:rsid w:val="434A34C4"/>
    <w:rsid w:val="435A1AD5"/>
    <w:rsid w:val="43674C5D"/>
    <w:rsid w:val="43735A6D"/>
    <w:rsid w:val="437804BE"/>
    <w:rsid w:val="438D1AFF"/>
    <w:rsid w:val="43923B90"/>
    <w:rsid w:val="43985028"/>
    <w:rsid w:val="43A049F8"/>
    <w:rsid w:val="43A96511"/>
    <w:rsid w:val="43BA759D"/>
    <w:rsid w:val="43C57AC2"/>
    <w:rsid w:val="43C87087"/>
    <w:rsid w:val="43F0608D"/>
    <w:rsid w:val="43FA626A"/>
    <w:rsid w:val="440A1EEC"/>
    <w:rsid w:val="44227892"/>
    <w:rsid w:val="443600D1"/>
    <w:rsid w:val="44395DD0"/>
    <w:rsid w:val="444B2851"/>
    <w:rsid w:val="4456233A"/>
    <w:rsid w:val="44650D7A"/>
    <w:rsid w:val="446F7B25"/>
    <w:rsid w:val="44852336"/>
    <w:rsid w:val="44C166F5"/>
    <w:rsid w:val="44CF2CD0"/>
    <w:rsid w:val="44DC39CD"/>
    <w:rsid w:val="44E44DD8"/>
    <w:rsid w:val="450C1E86"/>
    <w:rsid w:val="451707F1"/>
    <w:rsid w:val="451E1B32"/>
    <w:rsid w:val="45517EFB"/>
    <w:rsid w:val="458B0897"/>
    <w:rsid w:val="459142DA"/>
    <w:rsid w:val="459C04E5"/>
    <w:rsid w:val="45E76415"/>
    <w:rsid w:val="460B4061"/>
    <w:rsid w:val="46143D6E"/>
    <w:rsid w:val="46541464"/>
    <w:rsid w:val="46560680"/>
    <w:rsid w:val="465B47BD"/>
    <w:rsid w:val="46805690"/>
    <w:rsid w:val="46834701"/>
    <w:rsid w:val="46A05641"/>
    <w:rsid w:val="46A06809"/>
    <w:rsid w:val="46E147DD"/>
    <w:rsid w:val="46FA3F26"/>
    <w:rsid w:val="46FC6BB3"/>
    <w:rsid w:val="47032F71"/>
    <w:rsid w:val="47046B53"/>
    <w:rsid w:val="474967E5"/>
    <w:rsid w:val="474B2BF8"/>
    <w:rsid w:val="475B4033"/>
    <w:rsid w:val="476475F1"/>
    <w:rsid w:val="47710D74"/>
    <w:rsid w:val="47977DAD"/>
    <w:rsid w:val="479967E1"/>
    <w:rsid w:val="479F60F9"/>
    <w:rsid w:val="47AF44AD"/>
    <w:rsid w:val="47B81CE8"/>
    <w:rsid w:val="47BA5605"/>
    <w:rsid w:val="47E06040"/>
    <w:rsid w:val="47E13DA9"/>
    <w:rsid w:val="47F01920"/>
    <w:rsid w:val="47FD7EBF"/>
    <w:rsid w:val="48071B09"/>
    <w:rsid w:val="480E08E1"/>
    <w:rsid w:val="482C6361"/>
    <w:rsid w:val="48457423"/>
    <w:rsid w:val="484C255F"/>
    <w:rsid w:val="4852255D"/>
    <w:rsid w:val="48810B92"/>
    <w:rsid w:val="48836E15"/>
    <w:rsid w:val="488D747E"/>
    <w:rsid w:val="48B325DE"/>
    <w:rsid w:val="48BF5427"/>
    <w:rsid w:val="48EE218F"/>
    <w:rsid w:val="48F12C9D"/>
    <w:rsid w:val="496C05F4"/>
    <w:rsid w:val="497236A9"/>
    <w:rsid w:val="497A6719"/>
    <w:rsid w:val="497B5A55"/>
    <w:rsid w:val="49977748"/>
    <w:rsid w:val="4A023D89"/>
    <w:rsid w:val="4A080819"/>
    <w:rsid w:val="4A1E4B84"/>
    <w:rsid w:val="4A3516C5"/>
    <w:rsid w:val="4A59710C"/>
    <w:rsid w:val="4A60699B"/>
    <w:rsid w:val="4A8C70C9"/>
    <w:rsid w:val="4ADA3161"/>
    <w:rsid w:val="4ADC7789"/>
    <w:rsid w:val="4B4439C2"/>
    <w:rsid w:val="4B455764"/>
    <w:rsid w:val="4B4E32D2"/>
    <w:rsid w:val="4B5E0F27"/>
    <w:rsid w:val="4B6B67AE"/>
    <w:rsid w:val="4BB46D99"/>
    <w:rsid w:val="4BCF5981"/>
    <w:rsid w:val="4C1D5F2E"/>
    <w:rsid w:val="4C324901"/>
    <w:rsid w:val="4C341BBE"/>
    <w:rsid w:val="4C3D2366"/>
    <w:rsid w:val="4C453E95"/>
    <w:rsid w:val="4C4F6AC2"/>
    <w:rsid w:val="4C9F36E9"/>
    <w:rsid w:val="4CAF7561"/>
    <w:rsid w:val="4CC80658"/>
    <w:rsid w:val="4CCE6D61"/>
    <w:rsid w:val="4CE4720A"/>
    <w:rsid w:val="4CE61CF9"/>
    <w:rsid w:val="4CEA2347"/>
    <w:rsid w:val="4CF64847"/>
    <w:rsid w:val="4D0A53A6"/>
    <w:rsid w:val="4D135D42"/>
    <w:rsid w:val="4D1D2E37"/>
    <w:rsid w:val="4D54670E"/>
    <w:rsid w:val="4D7C4E87"/>
    <w:rsid w:val="4DAC7BAA"/>
    <w:rsid w:val="4DB25737"/>
    <w:rsid w:val="4DB66C7E"/>
    <w:rsid w:val="4DC60742"/>
    <w:rsid w:val="4DCF3A46"/>
    <w:rsid w:val="4DE11456"/>
    <w:rsid w:val="4E0538DC"/>
    <w:rsid w:val="4E515E12"/>
    <w:rsid w:val="4E5263F6"/>
    <w:rsid w:val="4E612ADD"/>
    <w:rsid w:val="4EAC6EF9"/>
    <w:rsid w:val="4ED2628E"/>
    <w:rsid w:val="4EE16D80"/>
    <w:rsid w:val="4EEA0C28"/>
    <w:rsid w:val="4EF7701F"/>
    <w:rsid w:val="4F0E4A13"/>
    <w:rsid w:val="4F195655"/>
    <w:rsid w:val="4F1B164B"/>
    <w:rsid w:val="4F267466"/>
    <w:rsid w:val="4F3C208C"/>
    <w:rsid w:val="4F6E012E"/>
    <w:rsid w:val="4F7657BE"/>
    <w:rsid w:val="4FAB0182"/>
    <w:rsid w:val="4FAD5B31"/>
    <w:rsid w:val="4FD345F5"/>
    <w:rsid w:val="502A5D70"/>
    <w:rsid w:val="505B6EA3"/>
    <w:rsid w:val="506035F9"/>
    <w:rsid w:val="50744D49"/>
    <w:rsid w:val="50826298"/>
    <w:rsid w:val="509B4F6E"/>
    <w:rsid w:val="50DC2AD2"/>
    <w:rsid w:val="50DF75EC"/>
    <w:rsid w:val="50FC2AA5"/>
    <w:rsid w:val="5121561D"/>
    <w:rsid w:val="514019FA"/>
    <w:rsid w:val="514566E6"/>
    <w:rsid w:val="5146046C"/>
    <w:rsid w:val="5151478A"/>
    <w:rsid w:val="51632F97"/>
    <w:rsid w:val="518717C1"/>
    <w:rsid w:val="51F45E45"/>
    <w:rsid w:val="51F55A16"/>
    <w:rsid w:val="51F62284"/>
    <w:rsid w:val="520333D5"/>
    <w:rsid w:val="52212B1D"/>
    <w:rsid w:val="52333223"/>
    <w:rsid w:val="523336B1"/>
    <w:rsid w:val="52731941"/>
    <w:rsid w:val="528A7A1D"/>
    <w:rsid w:val="52C061AC"/>
    <w:rsid w:val="52C46F5C"/>
    <w:rsid w:val="52C963C3"/>
    <w:rsid w:val="52DC3586"/>
    <w:rsid w:val="52E509EA"/>
    <w:rsid w:val="52EB6077"/>
    <w:rsid w:val="531D54C0"/>
    <w:rsid w:val="534C7C2C"/>
    <w:rsid w:val="53894668"/>
    <w:rsid w:val="53B93610"/>
    <w:rsid w:val="53BB3736"/>
    <w:rsid w:val="53BB79FB"/>
    <w:rsid w:val="53C80274"/>
    <w:rsid w:val="53E2021C"/>
    <w:rsid w:val="54016DAC"/>
    <w:rsid w:val="5411465D"/>
    <w:rsid w:val="54140455"/>
    <w:rsid w:val="5435659E"/>
    <w:rsid w:val="54484799"/>
    <w:rsid w:val="548031DE"/>
    <w:rsid w:val="54A13ABE"/>
    <w:rsid w:val="54AF45A2"/>
    <w:rsid w:val="54EB17C9"/>
    <w:rsid w:val="55101363"/>
    <w:rsid w:val="555775BD"/>
    <w:rsid w:val="5566518E"/>
    <w:rsid w:val="556B0171"/>
    <w:rsid w:val="558D518B"/>
    <w:rsid w:val="5592084F"/>
    <w:rsid w:val="55A02F01"/>
    <w:rsid w:val="55AA2FBB"/>
    <w:rsid w:val="55CA0DA4"/>
    <w:rsid w:val="55CB6606"/>
    <w:rsid w:val="55E611D4"/>
    <w:rsid w:val="55F1241B"/>
    <w:rsid w:val="55F33CC5"/>
    <w:rsid w:val="561316A7"/>
    <w:rsid w:val="56547508"/>
    <w:rsid w:val="565E627F"/>
    <w:rsid w:val="566E5889"/>
    <w:rsid w:val="5684380C"/>
    <w:rsid w:val="56C67981"/>
    <w:rsid w:val="56CE6835"/>
    <w:rsid w:val="56CF2CD9"/>
    <w:rsid w:val="56D6079B"/>
    <w:rsid w:val="56E61DD1"/>
    <w:rsid w:val="56ED6274"/>
    <w:rsid w:val="56EF2CB5"/>
    <w:rsid w:val="570241E3"/>
    <w:rsid w:val="570F009B"/>
    <w:rsid w:val="5735460C"/>
    <w:rsid w:val="5738309F"/>
    <w:rsid w:val="57945CD1"/>
    <w:rsid w:val="57A457CA"/>
    <w:rsid w:val="57B159C6"/>
    <w:rsid w:val="57B24890"/>
    <w:rsid w:val="57DF23DA"/>
    <w:rsid w:val="57FE5D13"/>
    <w:rsid w:val="5804694A"/>
    <w:rsid w:val="58240E03"/>
    <w:rsid w:val="584F0469"/>
    <w:rsid w:val="585D0F85"/>
    <w:rsid w:val="588271D7"/>
    <w:rsid w:val="58900CCB"/>
    <w:rsid w:val="58AD1552"/>
    <w:rsid w:val="58CC2FD1"/>
    <w:rsid w:val="58CF5213"/>
    <w:rsid w:val="58D64465"/>
    <w:rsid w:val="58D860BF"/>
    <w:rsid w:val="58E0301B"/>
    <w:rsid w:val="58F24A5D"/>
    <w:rsid w:val="58F5454D"/>
    <w:rsid w:val="591B0A08"/>
    <w:rsid w:val="59327AEA"/>
    <w:rsid w:val="59523578"/>
    <w:rsid w:val="595924F8"/>
    <w:rsid w:val="59600FBD"/>
    <w:rsid w:val="59676E9D"/>
    <w:rsid w:val="599A62D3"/>
    <w:rsid w:val="59BA0DAF"/>
    <w:rsid w:val="59BE2281"/>
    <w:rsid w:val="59CD37AF"/>
    <w:rsid w:val="59D16D68"/>
    <w:rsid w:val="59E0228F"/>
    <w:rsid w:val="59F82547"/>
    <w:rsid w:val="5A161A30"/>
    <w:rsid w:val="5A466C09"/>
    <w:rsid w:val="5A5B2616"/>
    <w:rsid w:val="5A671707"/>
    <w:rsid w:val="5A822E25"/>
    <w:rsid w:val="5ADC64B4"/>
    <w:rsid w:val="5AF54CD9"/>
    <w:rsid w:val="5AFE1B79"/>
    <w:rsid w:val="5B120D0D"/>
    <w:rsid w:val="5B17576C"/>
    <w:rsid w:val="5B516558"/>
    <w:rsid w:val="5B623201"/>
    <w:rsid w:val="5B762009"/>
    <w:rsid w:val="5B8E5BF9"/>
    <w:rsid w:val="5B9D23D1"/>
    <w:rsid w:val="5B9F573C"/>
    <w:rsid w:val="5BAD258C"/>
    <w:rsid w:val="5BDD017D"/>
    <w:rsid w:val="5BE570F6"/>
    <w:rsid w:val="5BF313BE"/>
    <w:rsid w:val="5C1A0524"/>
    <w:rsid w:val="5C3F20E9"/>
    <w:rsid w:val="5CA10E43"/>
    <w:rsid w:val="5CA359C0"/>
    <w:rsid w:val="5CB31A20"/>
    <w:rsid w:val="5CBC792D"/>
    <w:rsid w:val="5CC62CDC"/>
    <w:rsid w:val="5CD86904"/>
    <w:rsid w:val="5CF74D38"/>
    <w:rsid w:val="5CF8252C"/>
    <w:rsid w:val="5D1F77E7"/>
    <w:rsid w:val="5D327B1E"/>
    <w:rsid w:val="5D55380D"/>
    <w:rsid w:val="5D632120"/>
    <w:rsid w:val="5D656145"/>
    <w:rsid w:val="5D7315B2"/>
    <w:rsid w:val="5D74794C"/>
    <w:rsid w:val="5D7B791A"/>
    <w:rsid w:val="5DAE63CF"/>
    <w:rsid w:val="5DC27E0A"/>
    <w:rsid w:val="5E0E54BA"/>
    <w:rsid w:val="5E2B4CB8"/>
    <w:rsid w:val="5E660081"/>
    <w:rsid w:val="5E666302"/>
    <w:rsid w:val="5E997A50"/>
    <w:rsid w:val="5E9F0372"/>
    <w:rsid w:val="5EF53795"/>
    <w:rsid w:val="5F092B01"/>
    <w:rsid w:val="5F124768"/>
    <w:rsid w:val="5F1F6DAD"/>
    <w:rsid w:val="5F39745D"/>
    <w:rsid w:val="5F5C2FDA"/>
    <w:rsid w:val="5F9A2067"/>
    <w:rsid w:val="5F9B8D1B"/>
    <w:rsid w:val="5FE72DA2"/>
    <w:rsid w:val="5FEE687F"/>
    <w:rsid w:val="60003F04"/>
    <w:rsid w:val="60116111"/>
    <w:rsid w:val="6017784D"/>
    <w:rsid w:val="60306E04"/>
    <w:rsid w:val="60326EC6"/>
    <w:rsid w:val="60570C04"/>
    <w:rsid w:val="605E6476"/>
    <w:rsid w:val="60820DBC"/>
    <w:rsid w:val="608A7146"/>
    <w:rsid w:val="6091063B"/>
    <w:rsid w:val="60D64174"/>
    <w:rsid w:val="61326204"/>
    <w:rsid w:val="616F1934"/>
    <w:rsid w:val="61727C3A"/>
    <w:rsid w:val="617C1CB0"/>
    <w:rsid w:val="61AA1AEC"/>
    <w:rsid w:val="61B745A7"/>
    <w:rsid w:val="61F0646D"/>
    <w:rsid w:val="61F863A5"/>
    <w:rsid w:val="62071D00"/>
    <w:rsid w:val="620F48D2"/>
    <w:rsid w:val="621456D4"/>
    <w:rsid w:val="6220088D"/>
    <w:rsid w:val="62233ED9"/>
    <w:rsid w:val="62582C10"/>
    <w:rsid w:val="626711ED"/>
    <w:rsid w:val="62B4342F"/>
    <w:rsid w:val="62B45FB9"/>
    <w:rsid w:val="62B8167B"/>
    <w:rsid w:val="62C531E2"/>
    <w:rsid w:val="62E0001C"/>
    <w:rsid w:val="62FB7147"/>
    <w:rsid w:val="62FC3808"/>
    <w:rsid w:val="633E0E95"/>
    <w:rsid w:val="634E4DA2"/>
    <w:rsid w:val="63691DC0"/>
    <w:rsid w:val="63717C82"/>
    <w:rsid w:val="638B5E2B"/>
    <w:rsid w:val="6398398F"/>
    <w:rsid w:val="63A80709"/>
    <w:rsid w:val="63CA4122"/>
    <w:rsid w:val="63EC2A8C"/>
    <w:rsid w:val="641C24DC"/>
    <w:rsid w:val="646C60FB"/>
    <w:rsid w:val="647A78E5"/>
    <w:rsid w:val="648B5596"/>
    <w:rsid w:val="649013AD"/>
    <w:rsid w:val="64952A57"/>
    <w:rsid w:val="649B41FB"/>
    <w:rsid w:val="64B32E22"/>
    <w:rsid w:val="64C5396E"/>
    <w:rsid w:val="64D95AB5"/>
    <w:rsid w:val="64F145F3"/>
    <w:rsid w:val="64F3338B"/>
    <w:rsid w:val="651A3A08"/>
    <w:rsid w:val="65201CF5"/>
    <w:rsid w:val="654D4B10"/>
    <w:rsid w:val="65797D18"/>
    <w:rsid w:val="659B1574"/>
    <w:rsid w:val="65C634F9"/>
    <w:rsid w:val="65DD4C97"/>
    <w:rsid w:val="66295856"/>
    <w:rsid w:val="662B7800"/>
    <w:rsid w:val="66341E4F"/>
    <w:rsid w:val="663D12E2"/>
    <w:rsid w:val="66433DC7"/>
    <w:rsid w:val="664367EF"/>
    <w:rsid w:val="669D0E2C"/>
    <w:rsid w:val="669E6224"/>
    <w:rsid w:val="66CA0555"/>
    <w:rsid w:val="66DB4549"/>
    <w:rsid w:val="66DD63E5"/>
    <w:rsid w:val="66E624C7"/>
    <w:rsid w:val="66EB016E"/>
    <w:rsid w:val="66ED62A9"/>
    <w:rsid w:val="66F63F01"/>
    <w:rsid w:val="66FA33A5"/>
    <w:rsid w:val="66FB57DB"/>
    <w:rsid w:val="66FF2019"/>
    <w:rsid w:val="670B5FD2"/>
    <w:rsid w:val="672002AE"/>
    <w:rsid w:val="67326A3A"/>
    <w:rsid w:val="67362901"/>
    <w:rsid w:val="67492B86"/>
    <w:rsid w:val="676051CA"/>
    <w:rsid w:val="67724805"/>
    <w:rsid w:val="67915C9A"/>
    <w:rsid w:val="67AE693B"/>
    <w:rsid w:val="67C972D1"/>
    <w:rsid w:val="67E10ABE"/>
    <w:rsid w:val="67E526B1"/>
    <w:rsid w:val="67E950EF"/>
    <w:rsid w:val="68063974"/>
    <w:rsid w:val="68190258"/>
    <w:rsid w:val="68373F2A"/>
    <w:rsid w:val="684613C1"/>
    <w:rsid w:val="686D0C23"/>
    <w:rsid w:val="687B385B"/>
    <w:rsid w:val="68896A60"/>
    <w:rsid w:val="68993DC9"/>
    <w:rsid w:val="68C32023"/>
    <w:rsid w:val="68C47A98"/>
    <w:rsid w:val="68F47416"/>
    <w:rsid w:val="69016FA0"/>
    <w:rsid w:val="69156A22"/>
    <w:rsid w:val="694046C4"/>
    <w:rsid w:val="69534735"/>
    <w:rsid w:val="697E08AF"/>
    <w:rsid w:val="69836AAF"/>
    <w:rsid w:val="699C71C2"/>
    <w:rsid w:val="69A11A00"/>
    <w:rsid w:val="69C05DDE"/>
    <w:rsid w:val="6A0F269D"/>
    <w:rsid w:val="6A1D6279"/>
    <w:rsid w:val="6A586C99"/>
    <w:rsid w:val="6A8F5BB2"/>
    <w:rsid w:val="6ACC1E33"/>
    <w:rsid w:val="6ADA5F95"/>
    <w:rsid w:val="6B2A4D8D"/>
    <w:rsid w:val="6B2C2381"/>
    <w:rsid w:val="6B35128E"/>
    <w:rsid w:val="6B35495D"/>
    <w:rsid w:val="6B3727A3"/>
    <w:rsid w:val="6B442A4F"/>
    <w:rsid w:val="6B51261B"/>
    <w:rsid w:val="6B607F4C"/>
    <w:rsid w:val="6B6D13CE"/>
    <w:rsid w:val="6B805DC8"/>
    <w:rsid w:val="6B841A72"/>
    <w:rsid w:val="6B9632B1"/>
    <w:rsid w:val="6B994B7E"/>
    <w:rsid w:val="6BAB63CD"/>
    <w:rsid w:val="6BBA6682"/>
    <w:rsid w:val="6BF06333"/>
    <w:rsid w:val="6C1528C1"/>
    <w:rsid w:val="6C156F76"/>
    <w:rsid w:val="6C2E0119"/>
    <w:rsid w:val="6C3F1ED8"/>
    <w:rsid w:val="6C594DFB"/>
    <w:rsid w:val="6C6903E2"/>
    <w:rsid w:val="6C8955C3"/>
    <w:rsid w:val="6C9A719D"/>
    <w:rsid w:val="6C9C0EEC"/>
    <w:rsid w:val="6CD170EA"/>
    <w:rsid w:val="6CDE7CC8"/>
    <w:rsid w:val="6CF31047"/>
    <w:rsid w:val="6D341B71"/>
    <w:rsid w:val="6D3E250F"/>
    <w:rsid w:val="6D3E2C5D"/>
    <w:rsid w:val="6D7C3AA6"/>
    <w:rsid w:val="6D830A83"/>
    <w:rsid w:val="6D8D393B"/>
    <w:rsid w:val="6D9246E7"/>
    <w:rsid w:val="6DAF6F69"/>
    <w:rsid w:val="6DC64AA9"/>
    <w:rsid w:val="6DE94229"/>
    <w:rsid w:val="6DF37226"/>
    <w:rsid w:val="6E1B45FE"/>
    <w:rsid w:val="6E3B76E5"/>
    <w:rsid w:val="6E4F3245"/>
    <w:rsid w:val="6E6140D7"/>
    <w:rsid w:val="6E673CC2"/>
    <w:rsid w:val="6E883B02"/>
    <w:rsid w:val="6E894F6E"/>
    <w:rsid w:val="6ED8429D"/>
    <w:rsid w:val="6EEB79DC"/>
    <w:rsid w:val="6F0E7879"/>
    <w:rsid w:val="6F214424"/>
    <w:rsid w:val="6F2953DB"/>
    <w:rsid w:val="6F3E727C"/>
    <w:rsid w:val="6F467459"/>
    <w:rsid w:val="6F5A6338"/>
    <w:rsid w:val="6F641EC7"/>
    <w:rsid w:val="6F7B4324"/>
    <w:rsid w:val="6F993A2D"/>
    <w:rsid w:val="6FB40867"/>
    <w:rsid w:val="6FBF3C28"/>
    <w:rsid w:val="6FC87460"/>
    <w:rsid w:val="6FFA108C"/>
    <w:rsid w:val="704E1EA7"/>
    <w:rsid w:val="70691DF6"/>
    <w:rsid w:val="706D32B3"/>
    <w:rsid w:val="7071709E"/>
    <w:rsid w:val="708E10B8"/>
    <w:rsid w:val="709D12FB"/>
    <w:rsid w:val="70A1703D"/>
    <w:rsid w:val="70AC3EA0"/>
    <w:rsid w:val="71147319"/>
    <w:rsid w:val="71213778"/>
    <w:rsid w:val="714E0847"/>
    <w:rsid w:val="71563720"/>
    <w:rsid w:val="71673816"/>
    <w:rsid w:val="718129CA"/>
    <w:rsid w:val="71892B9A"/>
    <w:rsid w:val="71B33E2D"/>
    <w:rsid w:val="71B92164"/>
    <w:rsid w:val="71CB27BF"/>
    <w:rsid w:val="71E40BD8"/>
    <w:rsid w:val="71E411A4"/>
    <w:rsid w:val="71EB453D"/>
    <w:rsid w:val="71F66F14"/>
    <w:rsid w:val="721D26F3"/>
    <w:rsid w:val="723F78FE"/>
    <w:rsid w:val="7258372B"/>
    <w:rsid w:val="72693615"/>
    <w:rsid w:val="726B1B51"/>
    <w:rsid w:val="72841147"/>
    <w:rsid w:val="72B00AB1"/>
    <w:rsid w:val="72B23573"/>
    <w:rsid w:val="72CA2F87"/>
    <w:rsid w:val="72D34712"/>
    <w:rsid w:val="72EB2D84"/>
    <w:rsid w:val="72FE3F7D"/>
    <w:rsid w:val="73311445"/>
    <w:rsid w:val="736F7856"/>
    <w:rsid w:val="737C17DD"/>
    <w:rsid w:val="73964DD4"/>
    <w:rsid w:val="7399224D"/>
    <w:rsid w:val="73B454E2"/>
    <w:rsid w:val="73B61051"/>
    <w:rsid w:val="73C02596"/>
    <w:rsid w:val="73C130D5"/>
    <w:rsid w:val="73C41094"/>
    <w:rsid w:val="73ED16C0"/>
    <w:rsid w:val="7400024C"/>
    <w:rsid w:val="74156F01"/>
    <w:rsid w:val="743401C8"/>
    <w:rsid w:val="743F7103"/>
    <w:rsid w:val="74485E22"/>
    <w:rsid w:val="74E120FE"/>
    <w:rsid w:val="74FD4A5E"/>
    <w:rsid w:val="750C2452"/>
    <w:rsid w:val="754363A7"/>
    <w:rsid w:val="754E070B"/>
    <w:rsid w:val="755C3504"/>
    <w:rsid w:val="75605585"/>
    <w:rsid w:val="756E770A"/>
    <w:rsid w:val="759816F6"/>
    <w:rsid w:val="75987257"/>
    <w:rsid w:val="75A574B4"/>
    <w:rsid w:val="75A849CA"/>
    <w:rsid w:val="75DC7D69"/>
    <w:rsid w:val="75E83018"/>
    <w:rsid w:val="75F85D11"/>
    <w:rsid w:val="760A11E0"/>
    <w:rsid w:val="761955FB"/>
    <w:rsid w:val="763418B6"/>
    <w:rsid w:val="76505B29"/>
    <w:rsid w:val="76565C81"/>
    <w:rsid w:val="7691253E"/>
    <w:rsid w:val="76946211"/>
    <w:rsid w:val="769519B4"/>
    <w:rsid w:val="76E018EC"/>
    <w:rsid w:val="76E56D55"/>
    <w:rsid w:val="76F25B61"/>
    <w:rsid w:val="77056A4E"/>
    <w:rsid w:val="77424889"/>
    <w:rsid w:val="7748416C"/>
    <w:rsid w:val="775F730A"/>
    <w:rsid w:val="777875CD"/>
    <w:rsid w:val="77AE203F"/>
    <w:rsid w:val="77B365E6"/>
    <w:rsid w:val="77ED700C"/>
    <w:rsid w:val="78025216"/>
    <w:rsid w:val="78175E36"/>
    <w:rsid w:val="783219DD"/>
    <w:rsid w:val="784E41F7"/>
    <w:rsid w:val="78793171"/>
    <w:rsid w:val="78801C2E"/>
    <w:rsid w:val="78923700"/>
    <w:rsid w:val="789B0816"/>
    <w:rsid w:val="789E5569"/>
    <w:rsid w:val="78B80CE1"/>
    <w:rsid w:val="78BF0E3B"/>
    <w:rsid w:val="78D33B67"/>
    <w:rsid w:val="79062AD2"/>
    <w:rsid w:val="79140FED"/>
    <w:rsid w:val="792103E3"/>
    <w:rsid w:val="794F7C70"/>
    <w:rsid w:val="79860C21"/>
    <w:rsid w:val="799534B7"/>
    <w:rsid w:val="799C4845"/>
    <w:rsid w:val="79A44AFC"/>
    <w:rsid w:val="79C9792C"/>
    <w:rsid w:val="79DB72AE"/>
    <w:rsid w:val="79DC2E94"/>
    <w:rsid w:val="79F0435A"/>
    <w:rsid w:val="7A195644"/>
    <w:rsid w:val="7A6D61E2"/>
    <w:rsid w:val="7A7026C2"/>
    <w:rsid w:val="7A862E00"/>
    <w:rsid w:val="7A9D13B5"/>
    <w:rsid w:val="7AEF13EC"/>
    <w:rsid w:val="7B11147F"/>
    <w:rsid w:val="7B39505A"/>
    <w:rsid w:val="7B65510B"/>
    <w:rsid w:val="7B8626B2"/>
    <w:rsid w:val="7B865ECD"/>
    <w:rsid w:val="7B8E4662"/>
    <w:rsid w:val="7BAB5214"/>
    <w:rsid w:val="7BEE795C"/>
    <w:rsid w:val="7C0A403D"/>
    <w:rsid w:val="7C0D6B88"/>
    <w:rsid w:val="7C773348"/>
    <w:rsid w:val="7C792C1C"/>
    <w:rsid w:val="7C966E80"/>
    <w:rsid w:val="7C9B72D5"/>
    <w:rsid w:val="7CF06F45"/>
    <w:rsid w:val="7CF474F2"/>
    <w:rsid w:val="7D1B3CD3"/>
    <w:rsid w:val="7D252DA4"/>
    <w:rsid w:val="7D751B04"/>
    <w:rsid w:val="7D973E0A"/>
    <w:rsid w:val="7DEB1831"/>
    <w:rsid w:val="7DF31BC1"/>
    <w:rsid w:val="7DF70031"/>
    <w:rsid w:val="7DF86EFC"/>
    <w:rsid w:val="7DFF0B5C"/>
    <w:rsid w:val="7E656F09"/>
    <w:rsid w:val="7E6A6D2A"/>
    <w:rsid w:val="7E8E4CE0"/>
    <w:rsid w:val="7EB54F9B"/>
    <w:rsid w:val="7F0B3C01"/>
    <w:rsid w:val="7F4728BA"/>
    <w:rsid w:val="7F47583B"/>
    <w:rsid w:val="7F4C6FA2"/>
    <w:rsid w:val="7F8C0EB8"/>
    <w:rsid w:val="7FAA39F5"/>
    <w:rsid w:val="7FBF303C"/>
    <w:rsid w:val="7FDD6312"/>
    <w:rsid w:val="7FF66DF9"/>
    <w:rsid w:val="F6BDC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line="576" w:lineRule="auto"/>
      <w:outlineLvl w:val="0"/>
    </w:pPr>
    <w:rPr>
      <w:b/>
      <w:bCs/>
      <w:kern w:val="44"/>
      <w:sz w:val="44"/>
      <w:szCs w:val="44"/>
    </w:rPr>
  </w:style>
  <w:style w:type="paragraph" w:styleId="4">
    <w:name w:val="heading 2"/>
    <w:basedOn w:val="1"/>
    <w:next w:val="5"/>
    <w:link w:val="29"/>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0"/>
    <w:qFormat/>
    <w:uiPriority w:val="0"/>
    <w:pPr>
      <w:spacing w:after="120"/>
    </w:pPr>
  </w:style>
  <w:style w:type="paragraph" w:styleId="5">
    <w:name w:val="Normal Indent"/>
    <w:basedOn w:val="1"/>
    <w:qFormat/>
    <w:uiPriority w:val="0"/>
    <w:pPr>
      <w:adjustRightInd w:val="0"/>
      <w:spacing w:line="480" w:lineRule="atLeast"/>
      <w:ind w:firstLine="600"/>
      <w:textAlignment w:val="baseline"/>
    </w:pPr>
    <w:rPr>
      <w:rFonts w:eastAsia="仿宋_GB2312"/>
      <w:kern w:val="0"/>
      <w:sz w:val="30"/>
    </w:rPr>
  </w:style>
  <w:style w:type="paragraph" w:styleId="6">
    <w:name w:val="caption"/>
    <w:basedOn w:val="1"/>
    <w:next w:val="1"/>
    <w:semiHidden/>
    <w:unhideWhenUsed/>
    <w:qFormat/>
    <w:uiPriority w:val="0"/>
    <w:rPr>
      <w:rFonts w:ascii="Arial" w:hAnsi="Arial" w:eastAsia="黑体"/>
      <w:sz w:val="20"/>
    </w:rPr>
  </w:style>
  <w:style w:type="paragraph" w:styleId="7">
    <w:name w:val="annotation text"/>
    <w:basedOn w:val="1"/>
    <w:link w:val="54"/>
    <w:qFormat/>
    <w:uiPriority w:val="0"/>
    <w:pPr>
      <w:jc w:val="left"/>
    </w:pPr>
  </w:style>
  <w:style w:type="paragraph" w:styleId="8">
    <w:name w:val="Body Text Indent"/>
    <w:basedOn w:val="1"/>
    <w:qFormat/>
    <w:uiPriority w:val="0"/>
    <w:pPr>
      <w:spacing w:line="360" w:lineRule="auto"/>
      <w:ind w:firstLine="480" w:firstLineChars="200"/>
    </w:pPr>
    <w:rPr>
      <w:sz w:val="24"/>
    </w:rPr>
  </w:style>
  <w:style w:type="paragraph" w:styleId="9">
    <w:name w:val="Date"/>
    <w:basedOn w:val="1"/>
    <w:next w:val="1"/>
    <w:link w:val="3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32"/>
    <w:qFormat/>
    <w:uiPriority w:val="99"/>
    <w:pPr>
      <w:tabs>
        <w:tab w:val="center" w:pos="4153"/>
        <w:tab w:val="right" w:pos="8306"/>
      </w:tabs>
      <w:snapToGrid w:val="0"/>
      <w:jc w:val="left"/>
    </w:pPr>
    <w:rPr>
      <w:sz w:val="18"/>
    </w:rPr>
  </w:style>
  <w:style w:type="paragraph" w:styleId="12">
    <w:name w:val="header"/>
    <w:basedOn w:val="1"/>
    <w:link w:val="3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jc w:val="left"/>
    </w:pPr>
    <w:rPr>
      <w:rFonts w:hint="eastAsia" w:ascii="微软雅黑" w:hAnsi="微软雅黑" w:eastAsia="微软雅黑"/>
      <w:kern w:val="0"/>
      <w:sz w:val="24"/>
    </w:rPr>
  </w:style>
  <w:style w:type="paragraph" w:styleId="14">
    <w:name w:val="Title"/>
    <w:basedOn w:val="1"/>
    <w:next w:val="1"/>
    <w:link w:val="34"/>
    <w:qFormat/>
    <w:uiPriority w:val="0"/>
    <w:pPr>
      <w:spacing w:before="240" w:after="60"/>
      <w:jc w:val="center"/>
      <w:outlineLvl w:val="0"/>
    </w:pPr>
    <w:rPr>
      <w:rFonts w:ascii="等线 Light" w:hAnsi="等线 Light"/>
      <w:b/>
      <w:bCs/>
      <w:sz w:val="32"/>
      <w:szCs w:val="32"/>
    </w:rPr>
  </w:style>
  <w:style w:type="paragraph" w:styleId="15">
    <w:name w:val="annotation subject"/>
    <w:basedOn w:val="7"/>
    <w:next w:val="7"/>
    <w:link w:val="55"/>
    <w:qFormat/>
    <w:uiPriority w:val="0"/>
    <w:rPr>
      <w:b/>
      <w:bCs/>
    </w:rPr>
  </w:style>
  <w:style w:type="paragraph" w:styleId="16">
    <w:name w:val="Body Text First Indent"/>
    <w:basedOn w:val="2"/>
    <w:link w:val="35"/>
    <w:qFormat/>
    <w:uiPriority w:val="0"/>
    <w:pPr>
      <w:ind w:firstLine="420" w:firstLineChars="100"/>
    </w:pPr>
    <w:rPr>
      <w:szCs w:val="24"/>
    </w:rPr>
  </w:style>
  <w:style w:type="paragraph" w:styleId="17">
    <w:name w:val="Body Text First Indent 2"/>
    <w:basedOn w:val="8"/>
    <w:unhideWhenUsed/>
    <w:qFormat/>
    <w:uiPriority w:val="99"/>
    <w:pPr>
      <w:ind w:firstLine="420"/>
    </w:pPr>
  </w:style>
  <w:style w:type="table" w:styleId="19">
    <w:name w:val="Table Grid"/>
    <w:basedOn w:val="18"/>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style>
  <w:style w:type="character" w:styleId="22">
    <w:name w:val="FollowedHyperlink"/>
    <w:qFormat/>
    <w:uiPriority w:val="0"/>
    <w:rPr>
      <w:color w:val="800080"/>
      <w:u w:val="none"/>
    </w:rPr>
  </w:style>
  <w:style w:type="character" w:styleId="23">
    <w:name w:val="HTML Definition"/>
    <w:qFormat/>
    <w:uiPriority w:val="0"/>
  </w:style>
  <w:style w:type="character" w:styleId="24">
    <w:name w:val="HTML Variable"/>
    <w:qFormat/>
    <w:uiPriority w:val="0"/>
  </w:style>
  <w:style w:type="character" w:styleId="25">
    <w:name w:val="Hyperlink"/>
    <w:basedOn w:val="20"/>
    <w:qFormat/>
    <w:uiPriority w:val="0"/>
    <w:rPr>
      <w:color w:val="0000FF"/>
      <w:u w:val="none"/>
    </w:rPr>
  </w:style>
  <w:style w:type="character" w:styleId="26">
    <w:name w:val="HTML Code"/>
    <w:qFormat/>
    <w:uiPriority w:val="0"/>
    <w:rPr>
      <w:rFonts w:ascii="微软雅黑" w:hAnsi="微软雅黑" w:eastAsia="微软雅黑" w:cs="微软雅黑"/>
      <w:sz w:val="20"/>
    </w:rPr>
  </w:style>
  <w:style w:type="character" w:styleId="27">
    <w:name w:val="annotation reference"/>
    <w:qFormat/>
    <w:uiPriority w:val="0"/>
    <w:rPr>
      <w:sz w:val="21"/>
      <w:szCs w:val="21"/>
    </w:rPr>
  </w:style>
  <w:style w:type="character" w:styleId="28">
    <w:name w:val="HTML Cite"/>
    <w:qFormat/>
    <w:uiPriority w:val="0"/>
  </w:style>
  <w:style w:type="character" w:customStyle="1" w:styleId="29">
    <w:name w:val="标题 2 字符"/>
    <w:link w:val="4"/>
    <w:semiHidden/>
    <w:qFormat/>
    <w:uiPriority w:val="0"/>
    <w:rPr>
      <w:rFonts w:ascii="等线 Light" w:hAnsi="等线 Light" w:eastAsia="等线 Light" w:cs="Times New Roman"/>
      <w:b/>
      <w:bCs/>
      <w:kern w:val="2"/>
      <w:sz w:val="32"/>
      <w:szCs w:val="32"/>
    </w:rPr>
  </w:style>
  <w:style w:type="character" w:customStyle="1" w:styleId="30">
    <w:name w:val="正文文本 字符"/>
    <w:link w:val="2"/>
    <w:qFormat/>
    <w:uiPriority w:val="0"/>
    <w:rPr>
      <w:kern w:val="2"/>
      <w:sz w:val="21"/>
    </w:rPr>
  </w:style>
  <w:style w:type="character" w:customStyle="1" w:styleId="31">
    <w:name w:val="日期 字符"/>
    <w:link w:val="9"/>
    <w:qFormat/>
    <w:uiPriority w:val="0"/>
    <w:rPr>
      <w:kern w:val="2"/>
      <w:sz w:val="21"/>
    </w:rPr>
  </w:style>
  <w:style w:type="character" w:customStyle="1" w:styleId="32">
    <w:name w:val="页脚 字符"/>
    <w:link w:val="11"/>
    <w:qFormat/>
    <w:uiPriority w:val="99"/>
    <w:rPr>
      <w:rFonts w:eastAsia="宋体"/>
      <w:kern w:val="2"/>
      <w:sz w:val="18"/>
      <w:lang w:val="en-US" w:eastAsia="zh-CN" w:bidi="ar-SA"/>
    </w:rPr>
  </w:style>
  <w:style w:type="character" w:customStyle="1" w:styleId="33">
    <w:name w:val="页眉 字符"/>
    <w:link w:val="12"/>
    <w:qFormat/>
    <w:uiPriority w:val="0"/>
    <w:rPr>
      <w:rFonts w:eastAsia="宋体"/>
      <w:kern w:val="2"/>
      <w:sz w:val="18"/>
      <w:lang w:val="en-US" w:eastAsia="zh-CN" w:bidi="ar-SA"/>
    </w:rPr>
  </w:style>
  <w:style w:type="character" w:customStyle="1" w:styleId="34">
    <w:name w:val="标题 字符"/>
    <w:link w:val="14"/>
    <w:qFormat/>
    <w:uiPriority w:val="0"/>
    <w:rPr>
      <w:rFonts w:ascii="等线 Light" w:hAnsi="等线 Light" w:cs="Times New Roman"/>
      <w:b/>
      <w:bCs/>
      <w:kern w:val="2"/>
      <w:sz w:val="32"/>
      <w:szCs w:val="32"/>
    </w:rPr>
  </w:style>
  <w:style w:type="character" w:customStyle="1" w:styleId="35">
    <w:name w:val="正文文本首行缩进 字符"/>
    <w:link w:val="16"/>
    <w:qFormat/>
    <w:uiPriority w:val="0"/>
  </w:style>
  <w:style w:type="character" w:customStyle="1" w:styleId="36">
    <w:name w:val="layui-layer-tabnow"/>
    <w:qFormat/>
    <w:uiPriority w:val="0"/>
    <w:rPr>
      <w:bdr w:val="single" w:color="CCCCCC" w:sz="6" w:space="0"/>
      <w:shd w:val="clear" w:color="auto" w:fill="FFFFFF"/>
    </w:rPr>
  </w:style>
  <w:style w:type="character" w:customStyle="1" w:styleId="37">
    <w:name w:val="first-child"/>
    <w:qFormat/>
    <w:uiPriority w:val="0"/>
  </w:style>
  <w:style w:type="character" w:customStyle="1" w:styleId="38">
    <w:name w:val="xdrichtextbox2"/>
    <w:qFormat/>
    <w:uiPriority w:val="0"/>
  </w:style>
  <w:style w:type="character" w:customStyle="1" w:styleId="39">
    <w:name w:val="xdrichtextbox"/>
    <w:qFormat/>
    <w:uiPriority w:val="0"/>
    <w:rPr>
      <w:color w:val="auto"/>
      <w:sz w:val="18"/>
      <w:szCs w:val="18"/>
      <w:u w:val="none"/>
      <w:bdr w:val="single" w:color="DCDCDC" w:sz="8" w:space="0"/>
      <w:shd w:val="clear" w:color="auto" w:fill="auto"/>
    </w:rPr>
  </w:style>
  <w:style w:type="character" w:customStyle="1" w:styleId="40">
    <w:name w:val="edit_class"/>
    <w:qFormat/>
    <w:uiPriority w:val="0"/>
  </w:style>
  <w:style w:type="character" w:customStyle="1" w:styleId="41">
    <w:name w:val="正文首行缩进 Char1"/>
    <w:qFormat/>
    <w:uiPriority w:val="0"/>
  </w:style>
  <w:style w:type="character" w:customStyle="1" w:styleId="42">
    <w:name w:val="design_class"/>
    <w:qFormat/>
    <w:uiPriority w:val="0"/>
  </w:style>
  <w:style w:type="character" w:customStyle="1" w:styleId="43">
    <w:name w:val="biggerthanmax"/>
    <w:qFormat/>
    <w:uiPriority w:val="0"/>
    <w:rPr>
      <w:shd w:val="clear" w:color="auto" w:fill="FFFF00"/>
    </w:rPr>
  </w:style>
  <w:style w:type="character" w:customStyle="1" w:styleId="44">
    <w:name w:val="15"/>
    <w:qFormat/>
    <w:uiPriority w:val="0"/>
    <w:rPr>
      <w:rFonts w:hint="eastAsia" w:ascii="微软雅黑" w:hAnsi="微软雅黑" w:eastAsia="微软雅黑" w:cs="微软雅黑"/>
    </w:rPr>
  </w:style>
  <w:style w:type="character" w:customStyle="1" w:styleId="45">
    <w:name w:val="样式2 Char"/>
    <w:link w:val="46"/>
    <w:qFormat/>
    <w:uiPriority w:val="0"/>
    <w:rPr>
      <w:rFonts w:eastAsia="宋体"/>
      <w:kern w:val="2"/>
      <w:sz w:val="18"/>
      <w:szCs w:val="24"/>
      <w:lang w:val="en-US" w:eastAsia="zh-CN" w:bidi="ar-SA"/>
    </w:rPr>
  </w:style>
  <w:style w:type="paragraph" w:customStyle="1" w:styleId="46">
    <w:name w:val="样式2"/>
    <w:basedOn w:val="12"/>
    <w:link w:val="45"/>
    <w:qFormat/>
    <w:uiPriority w:val="0"/>
    <w:pPr>
      <w:pBdr>
        <w:top w:val="none" w:color="auto" w:sz="0" w:space="0"/>
        <w:left w:val="none" w:color="auto" w:sz="0" w:space="0"/>
        <w:bottom w:val="single" w:color="auto" w:sz="6" w:space="1"/>
        <w:right w:val="none" w:color="auto" w:sz="0" w:space="0"/>
      </w:pBdr>
      <w:jc w:val="center"/>
    </w:pPr>
    <w:rPr>
      <w:szCs w:val="24"/>
    </w:rPr>
  </w:style>
  <w:style w:type="character" w:customStyle="1" w:styleId="47">
    <w:name w:val="browse_class&gt;span"/>
    <w:qFormat/>
    <w:uiPriority w:val="0"/>
  </w:style>
  <w:style w:type="character" w:customStyle="1" w:styleId="48">
    <w:name w:val="正文文本 Char"/>
    <w:qFormat/>
    <w:uiPriority w:val="0"/>
    <w:rPr>
      <w:kern w:val="2"/>
      <w:sz w:val="21"/>
      <w:szCs w:val="24"/>
    </w:rPr>
  </w:style>
  <w:style w:type="paragraph" w:customStyle="1" w:styleId="49">
    <w:name w:val="2"/>
    <w:basedOn w:val="1"/>
    <w:next w:val="50"/>
    <w:qFormat/>
    <w:uiPriority w:val="34"/>
    <w:pPr>
      <w:ind w:firstLine="420" w:firstLineChars="200"/>
    </w:pPr>
    <w:rPr>
      <w:rFonts w:ascii="Calibri" w:hAnsi="Calibri"/>
      <w:szCs w:val="22"/>
    </w:rPr>
  </w:style>
  <w:style w:type="paragraph" w:styleId="50">
    <w:name w:val="List Paragraph"/>
    <w:basedOn w:val="1"/>
    <w:qFormat/>
    <w:uiPriority w:val="99"/>
    <w:pPr>
      <w:ind w:firstLine="420" w:firstLineChars="200"/>
    </w:pPr>
    <w:rPr>
      <w:rFonts w:ascii="Calibri" w:hAnsi="Calibri"/>
      <w:szCs w:val="24"/>
    </w:rPr>
  </w:style>
  <w:style w:type="paragraph" w:customStyle="1" w:styleId="51">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2">
    <w:name w:val="1"/>
    <w:basedOn w:val="1"/>
    <w:next w:val="50"/>
    <w:qFormat/>
    <w:uiPriority w:val="34"/>
    <w:pPr>
      <w:ind w:firstLine="420" w:firstLineChars="200"/>
    </w:pPr>
    <w:rPr>
      <w:rFonts w:ascii="Calibri" w:hAnsi="Calibri"/>
      <w:szCs w:val="22"/>
    </w:rPr>
  </w:style>
  <w:style w:type="character" w:customStyle="1" w:styleId="53">
    <w:name w:val="NormalCharacter"/>
    <w:semiHidden/>
    <w:qFormat/>
    <w:uiPriority w:val="0"/>
  </w:style>
  <w:style w:type="character" w:customStyle="1" w:styleId="54">
    <w:name w:val="批注文字 字符"/>
    <w:basedOn w:val="20"/>
    <w:link w:val="7"/>
    <w:qFormat/>
    <w:uiPriority w:val="0"/>
    <w:rPr>
      <w:kern w:val="2"/>
      <w:sz w:val="21"/>
    </w:rPr>
  </w:style>
  <w:style w:type="character" w:customStyle="1" w:styleId="55">
    <w:name w:val="批注主题 字符"/>
    <w:basedOn w:val="54"/>
    <w:link w:val="15"/>
    <w:qFormat/>
    <w:uiPriority w:val="0"/>
    <w:rPr>
      <w:b/>
      <w:bCs/>
      <w:kern w:val="2"/>
      <w:sz w:val="21"/>
    </w:rPr>
  </w:style>
  <w:style w:type="paragraph" w:customStyle="1" w:styleId="56">
    <w:name w:val="修订1"/>
    <w:hidden/>
    <w:semiHidden/>
    <w:qFormat/>
    <w:uiPriority w:val="99"/>
    <w:rPr>
      <w:rFonts w:ascii="Times New Roman" w:hAnsi="Times New Roman" w:eastAsia="宋体" w:cs="Times New Roman"/>
      <w:kern w:val="2"/>
      <w:sz w:val="21"/>
      <w:lang w:val="en-US" w:eastAsia="zh-CN" w:bidi="ar-SA"/>
    </w:rPr>
  </w:style>
  <w:style w:type="paragraph" w:customStyle="1" w:styleId="57">
    <w:name w:val="Revision"/>
    <w:hidden/>
    <w:semiHidden/>
    <w:qFormat/>
    <w:uiPriority w:val="99"/>
    <w:rPr>
      <w:rFonts w:ascii="Times New Roman" w:hAnsi="Times New Roman" w:eastAsia="宋体" w:cs="Times New Roman"/>
      <w:kern w:val="2"/>
      <w:sz w:val="21"/>
      <w:lang w:val="en-US" w:eastAsia="zh-CN" w:bidi="ar-SA"/>
    </w:rPr>
  </w:style>
  <w:style w:type="character" w:customStyle="1" w:styleId="58">
    <w:name w:val="font31"/>
    <w:basedOn w:val="20"/>
    <w:qFormat/>
    <w:uiPriority w:val="0"/>
    <w:rPr>
      <w:rFonts w:hint="eastAsia" w:ascii="宋体" w:hAnsi="宋体" w:eastAsia="宋体" w:cs="宋体"/>
      <w:color w:val="000000"/>
      <w:sz w:val="24"/>
      <w:szCs w:val="24"/>
      <w:u w:val="none"/>
    </w:rPr>
  </w:style>
  <w:style w:type="character" w:customStyle="1" w:styleId="59">
    <w:name w:val="font11"/>
    <w:basedOn w:val="20"/>
    <w:qFormat/>
    <w:uiPriority w:val="0"/>
    <w:rPr>
      <w:rFonts w:hint="eastAsia" w:ascii="仿宋_GB2312" w:eastAsia="仿宋_GB2312" w:cs="仿宋_GB2312"/>
      <w:color w:val="000000"/>
      <w:sz w:val="24"/>
      <w:szCs w:val="24"/>
      <w:u w:val="none"/>
    </w:rPr>
  </w:style>
  <w:style w:type="paragraph" w:customStyle="1" w:styleId="60">
    <w:name w:val="表内正文"/>
    <w:basedOn w:val="1"/>
    <w:qFormat/>
    <w:uiPriority w:val="0"/>
    <w:pPr>
      <w:widowControl/>
      <w:tabs>
        <w:tab w:val="left" w:pos="312"/>
      </w:tabs>
      <w:spacing w:line="240" w:lineRule="auto"/>
      <w:ind w:firstLine="0" w:firstLineChars="0"/>
    </w:pPr>
    <w:rPr>
      <w:rFonts w:ascii="仿宋_GB2312" w:hAnsi="仿宋_GB2312"/>
      <w:color w:val="000000" w:themeColor="text1"/>
      <w:kern w:val="0"/>
      <w:sz w:val="24"/>
      <w:szCs w:val="24"/>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4472</Words>
  <Characters>4623</Characters>
  <Lines>84</Lines>
  <Paragraphs>23</Paragraphs>
  <TotalTime>63</TotalTime>
  <ScaleCrop>false</ScaleCrop>
  <LinksUpToDate>false</LinksUpToDate>
  <CharactersWithSpaces>4623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2022-06-15T01:03:00Z</dcterms:created>
  <dc:creator>Tian</dc:creator>
  <cp:lastModifiedBy>吴豪源</cp:lastModifiedBy>
  <cp:lastPrinted>2025-02-26T00:49:00Z</cp:lastPrinted>
  <dcterms:modified xsi:type="dcterms:W3CDTF">2025-07-08T04:07:38Z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DD7DC0E0DE7D4B708E582AB05CF451D1_13</vt:lpwstr>
  </property>
  <property fmtid="{D5CDD505-2E9C-101B-9397-08002B2CF9AE}" pid="4" name="KSOTemplateDocerSaveRecord">
    <vt:lpwstr>eyJoZGlkIjoiZTc5NGM3NjQ5ODJkNGIxOTc5ZTdiY2M2ODk2MWVkODIiLCJ1c2VySWQiOiIxNjk1NTQ1NDY2In0=</vt:lpwstr>
  </property>
</Properties>
</file>