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A7EAA">
      <w:pPr>
        <w:spacing w:before="232" w:beforeLines="50" w:line="380" w:lineRule="exact"/>
        <w:ind w:firstLine="1205" w:firstLineChars="500"/>
        <w:rPr>
          <w:rFonts w:ascii="黑体" w:hAnsi="宋体" w:eastAsia="黑体"/>
          <w:b/>
          <w:color w:val="auto"/>
          <w:sz w:val="28"/>
          <w:szCs w:val="28"/>
          <w:highlight w:val="none"/>
        </w:rPr>
      </w:pPr>
      <w:bookmarkStart w:id="0" w:name="_GoBack"/>
      <w:r>
        <w:rPr>
          <w:rFonts w:hint="eastAsia" w:ascii="黑体" w:hAnsi="宋体" w:eastAsia="黑体"/>
          <w:b/>
          <w:color w:val="auto"/>
          <w:sz w:val="24"/>
          <w:highlight w:val="none"/>
        </w:rPr>
        <w:t>合同编号：</w:t>
      </w:r>
      <w:r>
        <w:rPr>
          <w:rFonts w:ascii="黑体" w:hAnsi="宋体" w:eastAsia="黑体"/>
          <w:b/>
          <w:color w:val="auto"/>
          <w:sz w:val="24"/>
          <w:highlight w:val="none"/>
        </w:rPr>
        <w:t xml:space="preserve">              </w:t>
      </w:r>
      <w:r>
        <w:rPr>
          <w:rFonts w:ascii="黑体" w:hAnsi="宋体" w:eastAsia="黑体"/>
          <w:b/>
          <w:color w:val="auto"/>
          <w:sz w:val="28"/>
          <w:szCs w:val="28"/>
          <w:highlight w:val="none"/>
        </w:rPr>
        <w:t xml:space="preserve"> </w:t>
      </w:r>
    </w:p>
    <w:p w14:paraId="264B7EF2">
      <w:pPr>
        <w:spacing w:before="232" w:beforeLines="50" w:line="380" w:lineRule="exact"/>
        <w:rPr>
          <w:rFonts w:ascii="黑体" w:hAnsi="宋体" w:eastAsia="黑体"/>
          <w:b/>
          <w:color w:val="auto"/>
          <w:sz w:val="28"/>
          <w:szCs w:val="28"/>
          <w:highlight w:val="none"/>
        </w:rPr>
      </w:pPr>
    </w:p>
    <w:p w14:paraId="470B8ECC">
      <w:pPr>
        <w:spacing w:before="232" w:beforeLines="50" w:line="380" w:lineRule="exact"/>
        <w:rPr>
          <w:rFonts w:ascii="黑体" w:hAnsi="宋体" w:eastAsia="黑体"/>
          <w:b/>
          <w:color w:val="auto"/>
          <w:sz w:val="28"/>
          <w:szCs w:val="28"/>
          <w:highlight w:val="none"/>
        </w:rPr>
      </w:pPr>
    </w:p>
    <w:p w14:paraId="5BB1E73F">
      <w:pPr>
        <w:spacing w:before="232" w:beforeLines="50" w:line="380" w:lineRule="exact"/>
        <w:rPr>
          <w:rFonts w:ascii="黑体" w:hAnsi="宋体" w:eastAsia="黑体"/>
          <w:b/>
          <w:color w:val="auto"/>
          <w:sz w:val="28"/>
          <w:szCs w:val="28"/>
          <w:highlight w:val="none"/>
        </w:rPr>
      </w:pPr>
    </w:p>
    <w:p w14:paraId="703C5797">
      <w:pPr>
        <w:spacing w:before="232" w:beforeLines="50" w:line="380" w:lineRule="exact"/>
        <w:rPr>
          <w:rFonts w:ascii="黑体" w:hAnsi="宋体" w:eastAsia="黑体"/>
          <w:b/>
          <w:color w:val="auto"/>
          <w:sz w:val="28"/>
          <w:szCs w:val="28"/>
          <w:highlight w:val="none"/>
        </w:rPr>
      </w:pPr>
    </w:p>
    <w:p w14:paraId="140DDBBC">
      <w:pPr>
        <w:spacing w:before="232" w:beforeLines="50" w:line="380" w:lineRule="exact"/>
        <w:rPr>
          <w:rFonts w:ascii="黑体" w:hAnsi="宋体" w:eastAsia="黑体"/>
          <w:b/>
          <w:color w:val="auto"/>
          <w:sz w:val="28"/>
          <w:szCs w:val="28"/>
          <w:highlight w:val="none"/>
        </w:rPr>
      </w:pPr>
    </w:p>
    <w:p w14:paraId="266EC754">
      <w:pPr>
        <w:spacing w:before="232" w:beforeLines="50" w:line="380" w:lineRule="exact"/>
        <w:jc w:val="center"/>
        <w:rPr>
          <w:rFonts w:ascii="黑体" w:hAnsi="宋体" w:eastAsia="黑体"/>
          <w:b/>
          <w:color w:val="auto"/>
          <w:sz w:val="28"/>
          <w:szCs w:val="28"/>
          <w:highlight w:val="none"/>
        </w:rPr>
      </w:pPr>
      <w:r>
        <w:rPr>
          <w:rFonts w:hint="eastAsia" w:ascii="黑体" w:hAnsi="宋体" w:eastAsia="黑体"/>
          <w:b/>
          <w:color w:val="auto"/>
          <w:sz w:val="52"/>
          <w:szCs w:val="52"/>
          <w:highlight w:val="none"/>
        </w:rPr>
        <w:t>金岭北路地块开发项目临电工程施工合同</w:t>
      </w:r>
    </w:p>
    <w:p w14:paraId="24CBEDEB">
      <w:pPr>
        <w:spacing w:before="232" w:beforeLines="50" w:line="380" w:lineRule="exact"/>
        <w:rPr>
          <w:rFonts w:ascii="黑体" w:hAnsi="宋体" w:eastAsia="黑体"/>
          <w:b/>
          <w:color w:val="auto"/>
          <w:sz w:val="28"/>
          <w:szCs w:val="28"/>
          <w:highlight w:val="none"/>
        </w:rPr>
      </w:pPr>
    </w:p>
    <w:p w14:paraId="124BB543">
      <w:pPr>
        <w:spacing w:before="232" w:beforeLines="50" w:line="380" w:lineRule="exact"/>
        <w:rPr>
          <w:rFonts w:ascii="黑体" w:hAnsi="宋体" w:eastAsia="黑体"/>
          <w:b/>
          <w:color w:val="auto"/>
          <w:sz w:val="28"/>
          <w:szCs w:val="28"/>
          <w:highlight w:val="none"/>
        </w:rPr>
      </w:pPr>
    </w:p>
    <w:p w14:paraId="579BFC00">
      <w:pPr>
        <w:spacing w:before="232" w:beforeLines="50" w:line="380" w:lineRule="exact"/>
        <w:jc w:val="center"/>
        <w:rPr>
          <w:rFonts w:ascii="黑体" w:hAnsi="宋体" w:eastAsia="黑体"/>
          <w:b/>
          <w:color w:val="auto"/>
          <w:sz w:val="28"/>
          <w:szCs w:val="28"/>
          <w:highlight w:val="none"/>
        </w:rPr>
      </w:pPr>
    </w:p>
    <w:p w14:paraId="23822E42">
      <w:pPr>
        <w:spacing w:before="232" w:beforeLines="50" w:line="380" w:lineRule="exact"/>
        <w:rPr>
          <w:rFonts w:ascii="黑体" w:hAnsi="宋体" w:eastAsia="黑体"/>
          <w:b/>
          <w:color w:val="auto"/>
          <w:sz w:val="28"/>
          <w:szCs w:val="28"/>
          <w:highlight w:val="none"/>
        </w:rPr>
      </w:pPr>
    </w:p>
    <w:p w14:paraId="5036E99A">
      <w:pPr>
        <w:spacing w:before="232" w:beforeLines="50" w:line="380" w:lineRule="exact"/>
        <w:rPr>
          <w:rFonts w:ascii="黑体" w:hAnsi="宋体" w:eastAsia="黑体"/>
          <w:b/>
          <w:color w:val="auto"/>
          <w:sz w:val="28"/>
          <w:szCs w:val="28"/>
          <w:highlight w:val="none"/>
        </w:rPr>
      </w:pPr>
    </w:p>
    <w:p w14:paraId="36FDBBBE">
      <w:pPr>
        <w:spacing w:before="232" w:beforeLines="50" w:line="380" w:lineRule="exact"/>
        <w:rPr>
          <w:rFonts w:ascii="黑体" w:hAnsi="宋体" w:eastAsia="黑体"/>
          <w:b/>
          <w:color w:val="auto"/>
          <w:sz w:val="28"/>
          <w:szCs w:val="28"/>
          <w:highlight w:val="none"/>
        </w:rPr>
      </w:pPr>
    </w:p>
    <w:p w14:paraId="36AE245B">
      <w:pPr>
        <w:spacing w:line="360" w:lineRule="auto"/>
        <w:ind w:left="3152" w:leftChars="430" w:hanging="2249" w:hangingChars="700"/>
        <w:jc w:val="left"/>
        <w:rPr>
          <w:rFonts w:hint="eastAsia" w:ascii="宋体" w:eastAsia="宋体"/>
          <w:b/>
          <w:bCs/>
          <w:color w:val="auto"/>
          <w:sz w:val="24"/>
          <w:szCs w:val="32"/>
          <w:highlight w:val="none"/>
          <w:lang w:eastAsia="zh-CN"/>
        </w:rPr>
      </w:pPr>
      <w:r>
        <w:rPr>
          <w:rFonts w:hint="eastAsia" w:ascii="宋体" w:hAnsi="宋体"/>
          <w:b/>
          <w:bCs/>
          <w:color w:val="auto"/>
          <w:sz w:val="32"/>
          <w:szCs w:val="32"/>
          <w:highlight w:val="none"/>
        </w:rPr>
        <w:t>发包方</w:t>
      </w:r>
      <w:r>
        <w:rPr>
          <w:rFonts w:ascii="宋体" w:hAnsi="宋体"/>
          <w:b/>
          <w:bCs/>
          <w:color w:val="auto"/>
          <w:sz w:val="32"/>
          <w:szCs w:val="32"/>
          <w:highlight w:val="none"/>
        </w:rPr>
        <w:t>(</w:t>
      </w:r>
      <w:r>
        <w:rPr>
          <w:rFonts w:hint="eastAsia" w:ascii="宋体" w:hAnsi="宋体"/>
          <w:b/>
          <w:bCs/>
          <w:color w:val="auto"/>
          <w:sz w:val="32"/>
          <w:szCs w:val="32"/>
          <w:highlight w:val="none"/>
        </w:rPr>
        <w:t>甲方</w:t>
      </w:r>
      <w:r>
        <w:rPr>
          <w:rFonts w:ascii="宋体" w:hAnsi="宋体"/>
          <w:b/>
          <w:bCs/>
          <w:color w:val="auto"/>
          <w:sz w:val="32"/>
          <w:szCs w:val="32"/>
          <w:highlight w:val="none"/>
        </w:rPr>
        <w:t>)</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lang w:eastAsia="zh-CN"/>
        </w:rPr>
        <w:t>广州南沙经发建筑有限公司</w:t>
      </w:r>
    </w:p>
    <w:p w14:paraId="68431F83">
      <w:pPr>
        <w:spacing w:line="360" w:lineRule="auto"/>
        <w:ind w:left="3152" w:leftChars="430" w:hanging="2249" w:hangingChars="700"/>
        <w:jc w:val="left"/>
        <w:rPr>
          <w:rFonts w:ascii="宋体" w:hAnsi="宋体"/>
          <w:b/>
          <w:bCs/>
          <w:color w:val="auto"/>
          <w:sz w:val="24"/>
          <w:szCs w:val="32"/>
          <w:highlight w:val="none"/>
          <w:u w:val="single"/>
        </w:rPr>
      </w:pPr>
      <w:r>
        <w:rPr>
          <w:rFonts w:hint="eastAsia" w:ascii="宋体" w:hAnsi="宋体"/>
          <w:b/>
          <w:bCs/>
          <w:color w:val="auto"/>
          <w:sz w:val="32"/>
          <w:szCs w:val="32"/>
          <w:highlight w:val="none"/>
        </w:rPr>
        <w:t>承包方</w:t>
      </w:r>
      <w:r>
        <w:rPr>
          <w:rFonts w:ascii="宋体" w:hAnsi="宋体"/>
          <w:b/>
          <w:bCs/>
          <w:color w:val="auto"/>
          <w:sz w:val="32"/>
          <w:szCs w:val="32"/>
          <w:highlight w:val="none"/>
        </w:rPr>
        <w:t>(</w:t>
      </w:r>
      <w:r>
        <w:rPr>
          <w:rFonts w:hint="eastAsia" w:ascii="宋体" w:hAnsi="宋体"/>
          <w:b/>
          <w:bCs/>
          <w:color w:val="auto"/>
          <w:sz w:val="32"/>
          <w:szCs w:val="32"/>
          <w:highlight w:val="none"/>
        </w:rPr>
        <w:t>乙方</w:t>
      </w:r>
      <w:r>
        <w:rPr>
          <w:rFonts w:ascii="宋体" w:hAnsi="宋体"/>
          <w:b/>
          <w:bCs/>
          <w:color w:val="auto"/>
          <w:sz w:val="32"/>
          <w:szCs w:val="32"/>
          <w:highlight w:val="none"/>
        </w:rPr>
        <w:t>)</w:t>
      </w:r>
      <w:r>
        <w:rPr>
          <w:rFonts w:hint="eastAsia" w:ascii="宋体" w:hAnsi="宋体"/>
          <w:b/>
          <w:bCs/>
          <w:color w:val="auto"/>
          <w:sz w:val="32"/>
          <w:szCs w:val="32"/>
          <w:highlight w:val="none"/>
        </w:rPr>
        <w:t>：</w:t>
      </w:r>
      <w:r>
        <w:rPr>
          <w:rFonts w:ascii="宋体" w:hAnsi="宋体"/>
          <w:b/>
          <w:bCs/>
          <w:color w:val="auto"/>
          <w:sz w:val="32"/>
          <w:szCs w:val="32"/>
          <w:highlight w:val="none"/>
          <w:u w:val="single"/>
        </w:rPr>
        <w:t xml:space="preserve">    </w:t>
      </w:r>
    </w:p>
    <w:p w14:paraId="7D3A16D6">
      <w:pPr>
        <w:spacing w:line="360" w:lineRule="exact"/>
        <w:ind w:firstLine="964" w:firstLineChars="400"/>
        <w:rPr>
          <w:rFonts w:ascii="宋体"/>
          <w:b/>
          <w:bCs/>
          <w:color w:val="auto"/>
          <w:sz w:val="24"/>
          <w:szCs w:val="32"/>
          <w:highlight w:val="none"/>
        </w:rPr>
      </w:pPr>
    </w:p>
    <w:p w14:paraId="5B273CCE">
      <w:pPr>
        <w:spacing w:line="400" w:lineRule="exact"/>
        <w:jc w:val="left"/>
        <w:rPr>
          <w:rFonts w:ascii="宋体"/>
          <w:b/>
          <w:bCs/>
          <w:color w:val="auto"/>
          <w:sz w:val="32"/>
          <w:szCs w:val="32"/>
          <w:highlight w:val="none"/>
          <w:u w:val="single"/>
        </w:rPr>
      </w:pPr>
      <w:r>
        <w:rPr>
          <w:rFonts w:ascii="宋体"/>
          <w:b/>
          <w:bCs/>
          <w:color w:val="auto"/>
          <w:sz w:val="32"/>
          <w:szCs w:val="32"/>
          <w:highlight w:val="none"/>
        </w:rPr>
        <w:t xml:space="preserve">       </w:t>
      </w:r>
      <w:r>
        <w:rPr>
          <w:color w:val="auto"/>
          <w:sz w:val="28"/>
          <w:highlight w:val="none"/>
        </w:rPr>
        <w:t xml:space="preserve">       </w:t>
      </w:r>
      <w:r>
        <w:rPr>
          <w:rFonts w:hint="eastAsia" w:ascii="宋体" w:hAnsi="宋体"/>
          <w:b/>
          <w:bCs/>
          <w:color w:val="auto"/>
          <w:sz w:val="32"/>
          <w:szCs w:val="32"/>
          <w:highlight w:val="none"/>
        </w:rPr>
        <w:t>签订日期：</w:t>
      </w:r>
      <w:r>
        <w:rPr>
          <w:rFonts w:hint="eastAsia" w:ascii="宋体" w:hAnsi="宋体"/>
          <w:b/>
          <w:bCs/>
          <w:color w:val="auto"/>
          <w:sz w:val="32"/>
          <w:szCs w:val="32"/>
          <w:highlight w:val="none"/>
          <w:u w:val="single"/>
          <w:lang w:eastAsia="zh-CN"/>
        </w:rPr>
        <w:t>2025</w:t>
      </w:r>
      <w:r>
        <w:rPr>
          <w:rFonts w:hint="eastAsia" w:ascii="宋体" w:hAnsi="宋体"/>
          <w:b/>
          <w:bCs/>
          <w:color w:val="auto"/>
          <w:sz w:val="32"/>
          <w:szCs w:val="32"/>
          <w:highlight w:val="none"/>
        </w:rPr>
        <w:t>年</w:t>
      </w:r>
      <w:r>
        <w:rPr>
          <w:rFonts w:ascii="宋体" w:hAnsi="宋体"/>
          <w:b/>
          <w:bCs/>
          <w:color w:val="auto"/>
          <w:sz w:val="32"/>
          <w:szCs w:val="32"/>
          <w:highlight w:val="none"/>
          <w:u w:val="single"/>
        </w:rPr>
        <w:t xml:space="preserve">       </w:t>
      </w:r>
      <w:r>
        <w:rPr>
          <w:rFonts w:hint="eastAsia" w:ascii="宋体" w:hAnsi="宋体"/>
          <w:b/>
          <w:bCs/>
          <w:color w:val="auto"/>
          <w:sz w:val="32"/>
          <w:szCs w:val="32"/>
          <w:highlight w:val="none"/>
        </w:rPr>
        <w:t>月</w:t>
      </w:r>
      <w:r>
        <w:rPr>
          <w:rFonts w:ascii="宋体" w:hAnsi="宋体"/>
          <w:b/>
          <w:bCs/>
          <w:color w:val="auto"/>
          <w:sz w:val="32"/>
          <w:szCs w:val="32"/>
          <w:highlight w:val="none"/>
          <w:u w:val="single"/>
        </w:rPr>
        <w:t xml:space="preserve">      </w:t>
      </w:r>
      <w:r>
        <w:rPr>
          <w:rFonts w:hint="eastAsia" w:ascii="宋体" w:hAnsi="宋体"/>
          <w:b/>
          <w:bCs/>
          <w:color w:val="auto"/>
          <w:sz w:val="32"/>
          <w:szCs w:val="32"/>
          <w:highlight w:val="none"/>
        </w:rPr>
        <w:t>日</w:t>
      </w:r>
    </w:p>
    <w:p w14:paraId="4B664B5E">
      <w:pPr>
        <w:spacing w:before="232" w:beforeAutospacing="1" w:line="380" w:lineRule="exact"/>
        <w:jc w:val="center"/>
        <w:rPr>
          <w:rFonts w:ascii="黑体" w:hAnsi="宋体" w:eastAsia="黑体"/>
          <w:b/>
          <w:color w:val="auto"/>
          <w:sz w:val="36"/>
          <w:szCs w:val="36"/>
          <w:highlight w:val="none"/>
        </w:rPr>
      </w:pPr>
      <w:r>
        <w:rPr>
          <w:rFonts w:ascii="黑体" w:hAnsi="宋体" w:eastAsia="黑体"/>
          <w:b/>
          <w:color w:val="auto"/>
          <w:sz w:val="36"/>
          <w:szCs w:val="36"/>
          <w:highlight w:val="none"/>
        </w:rPr>
        <w:br w:type="page"/>
      </w:r>
    </w:p>
    <w:p w14:paraId="313FD520">
      <w:pPr>
        <w:spacing w:before="232" w:beforeLines="50"/>
        <w:rPr>
          <w:rFonts w:hint="eastAsia" w:ascii="黑体" w:hAnsi="宋体" w:eastAsia="黑体"/>
          <w:b/>
          <w:color w:val="auto"/>
          <w:sz w:val="28"/>
          <w:szCs w:val="28"/>
          <w:highlight w:val="none"/>
          <w:lang w:eastAsia="zh-CN"/>
        </w:rPr>
      </w:pPr>
      <w:r>
        <w:rPr>
          <w:color w:val="auto"/>
          <w:highlight w:val="none"/>
        </w:rPr>
        <w:drawing>
          <wp:anchor distT="0" distB="0" distL="114300" distR="114300" simplePos="0" relativeHeight="251659264" behindDoc="1" locked="0" layoutInCell="1" allowOverlap="1">
            <wp:simplePos x="0" y="0"/>
            <wp:positionH relativeFrom="column">
              <wp:posOffset>7869555</wp:posOffset>
            </wp:positionH>
            <wp:positionV relativeFrom="paragraph">
              <wp:posOffset>652780</wp:posOffset>
            </wp:positionV>
            <wp:extent cx="6087110" cy="5600700"/>
            <wp:effectExtent l="19050" t="0" r="8890" b="0"/>
            <wp:wrapNone/>
            <wp:docPr id="12" name="图片 12"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设计13_副本.jpg"/>
                    <pic:cNvPicPr>
                      <a:picLocks noChangeAspect="1" noChangeArrowheads="1"/>
                    </pic:cNvPicPr>
                  </pic:nvPicPr>
                  <pic:blipFill>
                    <a:blip r:embed="rId9">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0288" behindDoc="1" locked="0" layoutInCell="1" allowOverlap="1">
            <wp:simplePos x="0" y="0"/>
            <wp:positionH relativeFrom="column">
              <wp:posOffset>8326755</wp:posOffset>
            </wp:positionH>
            <wp:positionV relativeFrom="paragraph">
              <wp:posOffset>1291590</wp:posOffset>
            </wp:positionV>
            <wp:extent cx="6087110" cy="5600700"/>
            <wp:effectExtent l="19050" t="0" r="8890" b="0"/>
            <wp:wrapNone/>
            <wp:docPr id="13" name="图片 1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设计13_副本.jpg"/>
                    <pic:cNvPicPr>
                      <a:picLocks noChangeAspect="1" noChangeArrowheads="1"/>
                    </pic:cNvPicPr>
                  </pic:nvPicPr>
                  <pic:blipFill>
                    <a:blip r:embed="rId9">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1312" behindDoc="1" locked="0" layoutInCell="1" allowOverlap="1">
            <wp:simplePos x="0" y="0"/>
            <wp:positionH relativeFrom="column">
              <wp:posOffset>8174355</wp:posOffset>
            </wp:positionH>
            <wp:positionV relativeFrom="paragraph">
              <wp:posOffset>1139190</wp:posOffset>
            </wp:positionV>
            <wp:extent cx="6087110" cy="5600700"/>
            <wp:effectExtent l="19050" t="0" r="8890" b="0"/>
            <wp:wrapNone/>
            <wp:docPr id="14" name="图片 14"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设计13_副本.jpg"/>
                    <pic:cNvPicPr>
                      <a:picLocks noChangeAspect="1" noChangeArrowheads="1"/>
                    </pic:cNvPicPr>
                  </pic:nvPicPr>
                  <pic:blipFill>
                    <a:blip r:embed="rId9">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2336" behindDoc="1" locked="0" layoutInCell="1" allowOverlap="1">
            <wp:simplePos x="0" y="0"/>
            <wp:positionH relativeFrom="column">
              <wp:posOffset>8017510</wp:posOffset>
            </wp:positionH>
            <wp:positionV relativeFrom="paragraph">
              <wp:posOffset>992505</wp:posOffset>
            </wp:positionV>
            <wp:extent cx="6086475" cy="5595620"/>
            <wp:effectExtent l="19050" t="0" r="9525" b="0"/>
            <wp:wrapNone/>
            <wp:docPr id="15" name="图片 15"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设计13_副本.jpg"/>
                    <pic:cNvPicPr>
                      <a:picLocks noChangeAspect="1" noChangeArrowheads="1"/>
                    </pic:cNvPicPr>
                  </pic:nvPicPr>
                  <pic:blipFill>
                    <a:blip r:embed="rId9">
                      <a:lum bright="8000" contrast="-12000"/>
                    </a:blip>
                    <a:srcRect/>
                    <a:stretch>
                      <a:fillRect/>
                    </a:stretch>
                  </pic:blipFill>
                  <pic:spPr>
                    <a:xfrm>
                      <a:off x="0" y="0"/>
                      <a:ext cx="6086475" cy="5595620"/>
                    </a:xfrm>
                    <a:prstGeom prst="rect">
                      <a:avLst/>
                    </a:prstGeom>
                    <a:noFill/>
                  </pic:spPr>
                </pic:pic>
              </a:graphicData>
            </a:graphic>
          </wp:anchor>
        </w:drawing>
      </w:r>
      <w:r>
        <w:rPr>
          <w:color w:val="auto"/>
          <w:highlight w:val="none"/>
        </w:rPr>
        <w:drawing>
          <wp:anchor distT="0" distB="0" distL="114300" distR="114300" simplePos="0" relativeHeight="251663360" behindDoc="1" locked="0" layoutInCell="1" allowOverlap="1">
            <wp:simplePos x="0" y="0"/>
            <wp:positionH relativeFrom="column">
              <wp:posOffset>8169910</wp:posOffset>
            </wp:positionH>
            <wp:positionV relativeFrom="paragraph">
              <wp:posOffset>1144905</wp:posOffset>
            </wp:positionV>
            <wp:extent cx="6086475" cy="5595620"/>
            <wp:effectExtent l="19050" t="0" r="9525" b="0"/>
            <wp:wrapNone/>
            <wp:docPr id="16" name="图片 16"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设计13_副本.jpg"/>
                    <pic:cNvPicPr>
                      <a:picLocks noChangeAspect="1" noChangeArrowheads="1"/>
                    </pic:cNvPicPr>
                  </pic:nvPicPr>
                  <pic:blipFill>
                    <a:blip r:embed="rId9">
                      <a:lum bright="8000" contrast="-12000"/>
                    </a:blip>
                    <a:srcRect/>
                    <a:stretch>
                      <a:fillRect/>
                    </a:stretch>
                  </pic:blipFill>
                  <pic:spPr>
                    <a:xfrm>
                      <a:off x="0" y="0"/>
                      <a:ext cx="6086475" cy="5595620"/>
                    </a:xfrm>
                    <a:prstGeom prst="rect">
                      <a:avLst/>
                    </a:prstGeom>
                    <a:noFill/>
                  </pic:spPr>
                </pic:pic>
              </a:graphicData>
            </a:graphic>
          </wp:anchor>
        </w:drawing>
      </w:r>
      <w:r>
        <w:rPr>
          <w:color w:val="auto"/>
          <w:highlight w:val="none"/>
        </w:rPr>
        <w:drawing>
          <wp:anchor distT="0" distB="0" distL="114300" distR="114300" simplePos="0" relativeHeight="251664384" behindDoc="1" locked="0" layoutInCell="1" allowOverlap="1">
            <wp:simplePos x="0" y="0"/>
            <wp:positionH relativeFrom="column">
              <wp:posOffset>8021955</wp:posOffset>
            </wp:positionH>
            <wp:positionV relativeFrom="paragraph">
              <wp:posOffset>986790</wp:posOffset>
            </wp:positionV>
            <wp:extent cx="6087110" cy="5600700"/>
            <wp:effectExtent l="19050" t="0" r="8890" b="0"/>
            <wp:wrapNone/>
            <wp:docPr id="17" name="图片 17"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设计13_副本.jpg"/>
                    <pic:cNvPicPr>
                      <a:picLocks noChangeAspect="1" noChangeArrowheads="1"/>
                    </pic:cNvPicPr>
                  </pic:nvPicPr>
                  <pic:blipFill>
                    <a:blip r:embed="rId9">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5408" behindDoc="1" locked="0" layoutInCell="1" allowOverlap="1">
            <wp:simplePos x="0" y="0"/>
            <wp:positionH relativeFrom="column">
              <wp:posOffset>7869555</wp:posOffset>
            </wp:positionH>
            <wp:positionV relativeFrom="paragraph">
              <wp:posOffset>834390</wp:posOffset>
            </wp:positionV>
            <wp:extent cx="6087110" cy="5600700"/>
            <wp:effectExtent l="19050" t="0" r="8890" b="0"/>
            <wp:wrapNone/>
            <wp:docPr id="18" name="图片 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设计13_副本.jpg"/>
                    <pic:cNvPicPr>
                      <a:picLocks noChangeAspect="1" noChangeArrowheads="1"/>
                    </pic:cNvPicPr>
                  </pic:nvPicPr>
                  <pic:blipFill>
                    <a:blip r:embed="rId9">
                      <a:lum bright="8000" contrast="-12000"/>
                    </a:blip>
                    <a:srcRect/>
                    <a:stretch>
                      <a:fillRect/>
                    </a:stretch>
                  </pic:blipFill>
                  <pic:spPr>
                    <a:xfrm>
                      <a:off x="0" y="0"/>
                      <a:ext cx="6087110" cy="5600700"/>
                    </a:xfrm>
                    <a:prstGeom prst="rect">
                      <a:avLst/>
                    </a:prstGeom>
                    <a:noFill/>
                  </pic:spPr>
                </pic:pic>
              </a:graphicData>
            </a:graphic>
          </wp:anchor>
        </w:drawing>
      </w:r>
      <w:r>
        <w:rPr>
          <w:rFonts w:hint="eastAsia" w:ascii="黑体" w:hAnsi="宋体" w:eastAsia="黑体"/>
          <w:b/>
          <w:color w:val="auto"/>
          <w:sz w:val="28"/>
          <w:szCs w:val="28"/>
          <w:highlight w:val="none"/>
        </w:rPr>
        <w:t>发包方（甲方）：</w:t>
      </w:r>
      <w:r>
        <w:rPr>
          <w:rFonts w:hint="eastAsia" w:ascii="黑体" w:hAnsi="宋体" w:eastAsia="黑体"/>
          <w:b/>
          <w:color w:val="auto"/>
          <w:sz w:val="28"/>
          <w:szCs w:val="28"/>
          <w:highlight w:val="none"/>
          <w:lang w:eastAsia="zh-CN"/>
        </w:rPr>
        <w:t>广州南沙经发建筑有限公司</w:t>
      </w:r>
      <w:r>
        <w:rPr>
          <w:rFonts w:hint="eastAsia" w:ascii="黑体" w:hAnsi="宋体" w:eastAsia="黑体"/>
          <w:b/>
          <w:color w:val="auto"/>
          <w:sz w:val="28"/>
          <w:szCs w:val="28"/>
          <w:highlight w:val="none"/>
        </w:rPr>
        <w:t>（业主单位）</w:t>
      </w:r>
    </w:p>
    <w:p w14:paraId="2D20423C">
      <w:pPr>
        <w:pStyle w:val="2"/>
        <w:rPr>
          <w:rFonts w:hint="eastAsia" w:ascii="黑体" w:hAnsi="宋体" w:eastAsia="黑体"/>
          <w:b/>
          <w:color w:val="auto"/>
          <w:sz w:val="28"/>
          <w:szCs w:val="28"/>
          <w:highlight w:val="none"/>
          <w:u w:val="single"/>
          <w:lang w:eastAsia="zh-CN"/>
        </w:rPr>
      </w:pPr>
      <w:r>
        <w:rPr>
          <w:rFonts w:hint="eastAsia" w:ascii="黑体" w:hAnsi="宋体" w:eastAsia="黑体"/>
          <w:b/>
          <w:color w:val="auto"/>
          <w:sz w:val="28"/>
          <w:szCs w:val="28"/>
          <w:highlight w:val="none"/>
        </w:rPr>
        <w:t>承包方（乙方）：</w:t>
      </w:r>
    </w:p>
    <w:p w14:paraId="58D1CED5">
      <w:pPr>
        <w:ind w:firstLine="600" w:firstLineChars="250"/>
        <w:rPr>
          <w:rFonts w:ascii="宋体" w:hAnsi="宋体"/>
          <w:bCs/>
          <w:color w:val="auto"/>
          <w:sz w:val="24"/>
          <w:highlight w:val="none"/>
        </w:rPr>
      </w:pPr>
      <w:r>
        <w:rPr>
          <w:rFonts w:hint="eastAsia" w:ascii="宋体" w:hAnsi="宋体"/>
          <w:bCs/>
          <w:color w:val="auto"/>
          <w:sz w:val="24"/>
          <w:highlight w:val="none"/>
        </w:rPr>
        <w:t>就甲方把下述工程发包给乙方相关事宜，双方根据《中华人民共和国建筑法》《中华人民共和国民法典》和《建设工程质量管理条例》及有关规定，为明确双方在施工过程中的权利、义务和责任，经双方协商同意签订合同。</w:t>
      </w:r>
    </w:p>
    <w:p w14:paraId="2D3E767B">
      <w:pPr>
        <w:ind w:firstLine="361" w:firstLineChars="150"/>
        <w:rPr>
          <w:rFonts w:ascii="宋体"/>
          <w:b/>
          <w:color w:val="auto"/>
          <w:sz w:val="24"/>
          <w:highlight w:val="none"/>
        </w:rPr>
      </w:pPr>
      <w:r>
        <w:rPr>
          <w:rFonts w:hint="eastAsia" w:ascii="宋体" w:hAnsi="宋体"/>
          <w:b/>
          <w:color w:val="auto"/>
          <w:sz w:val="24"/>
          <w:highlight w:val="none"/>
        </w:rPr>
        <w:t>第一条 发包工程项目</w:t>
      </w:r>
    </w:p>
    <w:p w14:paraId="5B473FCF">
      <w:pPr>
        <w:spacing w:line="5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一、工程名称：</w:t>
      </w:r>
      <w:r>
        <w:rPr>
          <w:rFonts w:hint="eastAsia" w:ascii="宋体" w:hAnsi="宋体"/>
          <w:color w:val="auto"/>
          <w:sz w:val="24"/>
          <w:highlight w:val="none"/>
          <w:lang w:eastAsia="zh-CN"/>
        </w:rPr>
        <w:t>金岭北路地块开发项目临电工程施工</w:t>
      </w:r>
    </w:p>
    <w:p w14:paraId="1D2CFF1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0</wp:posOffset>
                </wp:positionV>
                <wp:extent cx="4800600" cy="0"/>
                <wp:effectExtent l="0" t="0" r="0" b="0"/>
                <wp:wrapNone/>
                <wp:docPr id="2" name="直线 19"/>
                <wp:cNvGraphicFramePr/>
                <a:graphic xmlns:a="http://schemas.openxmlformats.org/drawingml/2006/main">
                  <a:graphicData uri="http://schemas.microsoft.com/office/word/2010/wordprocessingShape">
                    <wps:wsp>
                      <wps:cNvCnPr/>
                      <wps:spPr>
                        <a:xfrm>
                          <a:off x="0" y="0"/>
                          <a:ext cx="4800600" cy="0"/>
                        </a:xfrm>
                        <a:prstGeom prst="line">
                          <a:avLst/>
                        </a:prstGeom>
                        <a:ln w="9525" cap="flat" cmpd="sng">
                          <a:noFill/>
                          <a:prstDash val="solid"/>
                          <a:headEnd type="none" w="med" len="med"/>
                          <a:tailEnd type="none" w="med" len="med"/>
                        </a:ln>
                      </wps:spPr>
                      <wps:bodyPr/>
                    </wps:wsp>
                  </a:graphicData>
                </a:graphic>
              </wp:anchor>
            </w:drawing>
          </mc:Choice>
          <mc:Fallback>
            <w:pict>
              <v:line id="直线 19" o:spid="_x0000_s1026" o:spt="20" style="position:absolute;left:0pt;margin-left:108pt;margin-top:0pt;height:0pt;width:378pt;z-index:251666432;mso-width-relative:page;mso-height-relative:page;" filled="f" stroked="f" coordsize="21600,21600" o:gfxdata="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MDVCfVAAAABQEAAA8AAAAAAAAAAQAgAAAAIgAAAGRy&#10;cy9kb3ducmV2LnhtbFBLAQIUABQAAAAIAIdO4kAA+T1DzwEAAKcDAAAOAAAAAAAAAAEAIAAAACQB&#10;AABkcnMvZTJvRG9jLnhtbFBLBQYAAAAABgAGAFkBAABlBQAAAAA=&#10;">
                <v:fill on="f" focussize="0,0"/>
                <v:stroke on="f"/>
                <v:imagedata o:title=""/>
                <o:lock v:ext="edit" aspectratio="f"/>
              </v:line>
            </w:pict>
          </mc:Fallback>
        </mc:AlternateContent>
      </w:r>
      <w:r>
        <w:rPr>
          <w:rFonts w:hint="eastAsia" w:ascii="宋体" w:hAnsi="宋体"/>
          <w:color w:val="auto"/>
          <w:sz w:val="24"/>
          <w:highlight w:val="none"/>
        </w:rPr>
        <w:t>二、工程地点：广州市南沙区</w:t>
      </w:r>
    </w:p>
    <w:p w14:paraId="64BAFA2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8890</wp:posOffset>
                </wp:positionV>
                <wp:extent cx="4800600" cy="0"/>
                <wp:effectExtent l="0" t="0" r="0" b="0"/>
                <wp:wrapNone/>
                <wp:docPr id="3" name="直线 20"/>
                <wp:cNvGraphicFramePr/>
                <a:graphic xmlns:a="http://schemas.openxmlformats.org/drawingml/2006/main">
                  <a:graphicData uri="http://schemas.microsoft.com/office/word/2010/wordprocessingShape">
                    <wps:wsp>
                      <wps:cNvCnPr/>
                      <wps:spPr>
                        <a:xfrm>
                          <a:off x="0" y="0"/>
                          <a:ext cx="4800600" cy="0"/>
                        </a:xfrm>
                        <a:prstGeom prst="line">
                          <a:avLst/>
                        </a:prstGeom>
                        <a:ln w="9525" cap="flat" cmpd="sng">
                          <a:noFill/>
                          <a:prstDash val="solid"/>
                          <a:headEnd type="none" w="med" len="med"/>
                          <a:tailEnd type="none" w="med" len="med"/>
                        </a:ln>
                      </wps:spPr>
                      <wps:bodyPr/>
                    </wps:wsp>
                  </a:graphicData>
                </a:graphic>
              </wp:anchor>
            </w:drawing>
          </mc:Choice>
          <mc:Fallback>
            <w:pict>
              <v:line id="直线 20" o:spid="_x0000_s1026" o:spt="20" style="position:absolute;left:0pt;margin-left:108pt;margin-top:0.7pt;height:0pt;width:378pt;z-index:251667456;mso-width-relative:page;mso-height-relative:page;" filled="f" stroked="f" coordsize="21600,21600" o:gfxdata="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MV0F1QAAAAcBAAAPAAAAAAAAAAEAIAAAACIAAABkcnMv&#10;ZG93bnJldi54bWxQSwECFAAUAAAACACHTuJAmU4YH80BAACnAwAADgAAAAAAAAABACAAAAAkAQAA&#10;ZHJzL2Uyb0RvYy54bWxQSwUGAAAAAAYABgBZAQAAYwUAAAAA&#10;">
                <v:fill on="f" focussize="0,0"/>
                <v:stroke on="f"/>
                <v:imagedata o:title=""/>
                <o:lock v:ext="edit" aspectratio="f"/>
              </v:line>
            </w:pict>
          </mc:Fallback>
        </mc:AlternateContent>
      </w:r>
      <w:r>
        <w:rPr>
          <w:rFonts w:hint="eastAsia" w:ascii="宋体" w:hAnsi="宋体"/>
          <w:color w:val="auto"/>
          <w:sz w:val="24"/>
          <w:highlight w:val="none"/>
        </w:rPr>
        <w:t>三、</w:t>
      </w:r>
      <w:r>
        <w:rPr>
          <w:rFonts w:hint="eastAsia" w:ascii="宋体" w:hAnsi="宋体"/>
          <w:color w:val="auto"/>
          <w:sz w:val="24"/>
          <w:highlight w:val="none"/>
          <w:lang w:val="en-US" w:eastAsia="zh-CN"/>
        </w:rPr>
        <w:t>工程</w:t>
      </w:r>
      <w:r>
        <w:rPr>
          <w:rFonts w:hint="eastAsia" w:ascii="宋体" w:hAnsi="宋体"/>
          <w:color w:val="auto"/>
          <w:sz w:val="24"/>
          <w:highlight w:val="none"/>
        </w:rPr>
        <w:t>内容：</w:t>
      </w:r>
    </w:p>
    <w:tbl>
      <w:tblPr>
        <w:tblStyle w:val="13"/>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37"/>
        <w:gridCol w:w="5217"/>
        <w:gridCol w:w="2018"/>
      </w:tblGrid>
      <w:tr w14:paraId="5B13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14:paraId="06A2BFAF">
            <w:pPr>
              <w:spacing w:line="340" w:lineRule="exact"/>
              <w:jc w:val="center"/>
              <w:rPr>
                <w:rFonts w:ascii="宋体"/>
                <w:color w:val="auto"/>
                <w:sz w:val="24"/>
                <w:highlight w:val="none"/>
              </w:rPr>
            </w:pPr>
            <w:r>
              <w:rPr>
                <w:rFonts w:hint="eastAsia" w:ascii="宋体" w:hAnsi="宋体"/>
                <w:color w:val="auto"/>
                <w:sz w:val="24"/>
                <w:highlight w:val="none"/>
              </w:rPr>
              <w:t>序号</w:t>
            </w:r>
          </w:p>
        </w:tc>
        <w:tc>
          <w:tcPr>
            <w:tcW w:w="1437" w:type="dxa"/>
            <w:vAlign w:val="center"/>
          </w:tcPr>
          <w:p w14:paraId="6D8E6028">
            <w:pPr>
              <w:spacing w:line="340" w:lineRule="exact"/>
              <w:jc w:val="center"/>
              <w:rPr>
                <w:rFonts w:ascii="宋体"/>
                <w:color w:val="auto"/>
                <w:sz w:val="24"/>
                <w:highlight w:val="none"/>
              </w:rPr>
            </w:pPr>
            <w:r>
              <w:rPr>
                <w:rFonts w:hint="eastAsia" w:ascii="宋体" w:hAnsi="宋体"/>
                <w:color w:val="auto"/>
                <w:sz w:val="24"/>
                <w:highlight w:val="none"/>
              </w:rPr>
              <w:t>工程编号</w:t>
            </w:r>
          </w:p>
        </w:tc>
        <w:tc>
          <w:tcPr>
            <w:tcW w:w="5217" w:type="dxa"/>
            <w:vAlign w:val="center"/>
          </w:tcPr>
          <w:p w14:paraId="7E0499C2">
            <w:pPr>
              <w:spacing w:line="340" w:lineRule="exact"/>
              <w:jc w:val="center"/>
              <w:rPr>
                <w:rFonts w:ascii="宋体"/>
                <w:color w:val="auto"/>
                <w:sz w:val="24"/>
                <w:highlight w:val="none"/>
              </w:rPr>
            </w:pPr>
            <w:r>
              <w:rPr>
                <w:rFonts w:hint="eastAsia" w:ascii="宋体" w:hAnsi="宋体"/>
                <w:color w:val="auto"/>
                <w:sz w:val="24"/>
                <w:highlight w:val="none"/>
              </w:rPr>
              <w:t>工程内容</w:t>
            </w:r>
          </w:p>
        </w:tc>
        <w:tc>
          <w:tcPr>
            <w:tcW w:w="2018" w:type="dxa"/>
            <w:vAlign w:val="center"/>
          </w:tcPr>
          <w:p w14:paraId="1C10599F">
            <w:pPr>
              <w:spacing w:line="340" w:lineRule="exact"/>
              <w:jc w:val="center"/>
              <w:rPr>
                <w:rFonts w:ascii="宋体"/>
                <w:color w:val="auto"/>
                <w:sz w:val="24"/>
                <w:highlight w:val="none"/>
              </w:rPr>
            </w:pPr>
            <w:r>
              <w:rPr>
                <w:rFonts w:hint="eastAsia" w:ascii="宋体" w:hAnsi="宋体"/>
                <w:color w:val="auto"/>
                <w:sz w:val="24"/>
                <w:highlight w:val="none"/>
              </w:rPr>
              <w:t>工程造价</w:t>
            </w:r>
            <w:r>
              <w:rPr>
                <w:rFonts w:ascii="宋体" w:hAnsi="宋体"/>
                <w:color w:val="auto"/>
                <w:sz w:val="24"/>
                <w:highlight w:val="none"/>
              </w:rPr>
              <w:t>(</w:t>
            </w:r>
            <w:r>
              <w:rPr>
                <w:rFonts w:hint="eastAsia" w:ascii="宋体" w:hAnsi="宋体"/>
                <w:color w:val="auto"/>
                <w:sz w:val="24"/>
                <w:highlight w:val="none"/>
              </w:rPr>
              <w:t>元</w:t>
            </w:r>
            <w:r>
              <w:rPr>
                <w:rFonts w:ascii="宋体" w:hAnsi="宋体"/>
                <w:color w:val="auto"/>
                <w:sz w:val="24"/>
                <w:highlight w:val="none"/>
              </w:rPr>
              <w:t>)</w:t>
            </w:r>
          </w:p>
        </w:tc>
      </w:tr>
      <w:tr w14:paraId="2716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134" w:type="dxa"/>
            <w:vAlign w:val="center"/>
          </w:tcPr>
          <w:p w14:paraId="7ED91354">
            <w:pPr>
              <w:spacing w:line="340" w:lineRule="exact"/>
              <w:jc w:val="center"/>
              <w:rPr>
                <w:rFonts w:ascii="宋体"/>
                <w:color w:val="auto"/>
                <w:sz w:val="24"/>
                <w:highlight w:val="none"/>
              </w:rPr>
            </w:pPr>
            <w:r>
              <w:rPr>
                <w:rFonts w:hint="eastAsia" w:ascii="宋体"/>
                <w:color w:val="auto"/>
                <w:sz w:val="24"/>
                <w:highlight w:val="none"/>
              </w:rPr>
              <w:t>1</w:t>
            </w:r>
          </w:p>
        </w:tc>
        <w:tc>
          <w:tcPr>
            <w:tcW w:w="1437" w:type="dxa"/>
            <w:vAlign w:val="center"/>
          </w:tcPr>
          <w:p w14:paraId="662D89E3">
            <w:pPr>
              <w:spacing w:line="340" w:lineRule="exact"/>
              <w:rPr>
                <w:rFonts w:ascii="宋体"/>
                <w:color w:val="auto"/>
                <w:sz w:val="24"/>
                <w:highlight w:val="none"/>
              </w:rPr>
            </w:pPr>
          </w:p>
        </w:tc>
        <w:tc>
          <w:tcPr>
            <w:tcW w:w="5217" w:type="dxa"/>
            <w:vAlign w:val="center"/>
          </w:tcPr>
          <w:p w14:paraId="5A60EDC2">
            <w:pPr>
              <w:spacing w:line="340" w:lineRule="exact"/>
              <w:rPr>
                <w:rFonts w:ascii="宋体"/>
                <w:color w:val="auto"/>
                <w:sz w:val="24"/>
                <w:highlight w:val="none"/>
              </w:rPr>
            </w:pPr>
            <w:r>
              <w:rPr>
                <w:rFonts w:hint="eastAsia" w:ascii="宋体" w:hAnsi="宋体" w:eastAsia="宋体" w:cs="Times New Roman"/>
                <w:color w:val="auto"/>
                <w:kern w:val="2"/>
                <w:sz w:val="24"/>
                <w:szCs w:val="24"/>
                <w:highlight w:val="none"/>
                <w:lang w:val="en-US" w:eastAsia="zh-CN" w:bidi="ar-SA"/>
              </w:rPr>
              <w:t>由南房2号开关房2M母线原有断路器柜(G09柜)新敷高压电缆FY-ZRYJV22-8.7/15kV-3×70mm2/280米至新建经发金岭北路临电箱变，新建经发金岭北路临电箱变(S11-M-500kVA)</w:t>
            </w:r>
            <w:r>
              <w:rPr>
                <w:rFonts w:hint="eastAsia" w:ascii="宋体" w:hAnsi="宋体" w:eastAsia="宋体" w:cs="Times New Roman"/>
                <w:b w:val="0"/>
                <w:bCs w:val="0"/>
                <w:color w:val="auto"/>
                <w:sz w:val="24"/>
                <w:szCs w:val="24"/>
                <w:highlight w:val="none"/>
                <w:lang w:eastAsia="zh-CN"/>
              </w:rPr>
              <w:t>，最终以实际工程量清单和图纸为准</w:t>
            </w:r>
            <w:r>
              <w:rPr>
                <w:rFonts w:hint="eastAsia" w:ascii="宋体" w:hAnsi="宋体" w:eastAsia="宋体" w:cs="Times New Roman"/>
                <w:b w:val="0"/>
                <w:bCs w:val="0"/>
                <w:color w:val="auto"/>
                <w:sz w:val="24"/>
                <w:szCs w:val="24"/>
                <w:highlight w:val="none"/>
                <w:lang w:val="en-US" w:eastAsia="zh-CN"/>
              </w:rPr>
              <w:t>。</w:t>
            </w:r>
          </w:p>
        </w:tc>
        <w:tc>
          <w:tcPr>
            <w:tcW w:w="2018" w:type="dxa"/>
            <w:vAlign w:val="center"/>
          </w:tcPr>
          <w:p w14:paraId="3C06F889">
            <w:pPr>
              <w:spacing w:line="340" w:lineRule="exact"/>
              <w:jc w:val="center"/>
              <w:rPr>
                <w:rFonts w:ascii="宋体"/>
                <w:color w:val="auto"/>
                <w:sz w:val="24"/>
                <w:highlight w:val="none"/>
              </w:rPr>
            </w:pPr>
          </w:p>
        </w:tc>
      </w:tr>
    </w:tbl>
    <w:p w14:paraId="79C4F68D">
      <w:pPr>
        <w:spacing w:line="380" w:lineRule="exact"/>
        <w:ind w:firstLine="480" w:firstLineChars="200"/>
        <w:rPr>
          <w:rFonts w:ascii="宋体"/>
          <w:color w:val="auto"/>
          <w:sz w:val="24"/>
          <w:highlight w:val="none"/>
        </w:rPr>
      </w:pPr>
      <w:r>
        <w:rPr>
          <w:rFonts w:hint="eastAsia" w:ascii="宋体" w:hAnsi="宋体"/>
          <w:color w:val="auto"/>
          <w:sz w:val="24"/>
          <w:highlight w:val="none"/>
        </w:rPr>
        <w:t>以上具体工作内容详见预算书及施工图纸（市政及其他行政收费由甲方负责）</w:t>
      </w:r>
    </w:p>
    <w:p w14:paraId="11AE5E57">
      <w:pPr>
        <w:ind w:firstLine="600" w:firstLineChars="250"/>
        <w:rPr>
          <w:rFonts w:hint="eastAsia" w:ascii="宋体" w:hAnsi="宋体"/>
          <w:color w:val="auto"/>
          <w:sz w:val="24"/>
          <w:highlight w:val="none"/>
        </w:rPr>
      </w:pPr>
    </w:p>
    <w:p w14:paraId="593D8D08">
      <w:pPr>
        <w:numPr>
          <w:ilvl w:val="0"/>
          <w:numId w:val="1"/>
        </w:numPr>
        <w:ind w:firstLine="600" w:firstLineChars="25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工程承包范围、承包方式</w:t>
      </w:r>
    </w:p>
    <w:p w14:paraId="542E95F8">
      <w:pPr>
        <w:numPr>
          <w:ilvl w:val="-1"/>
          <w:numId w:val="0"/>
        </w:numPr>
        <w:ind w:firstLine="480" w:firstLineChars="200"/>
        <w:rPr>
          <w:rFonts w:ascii="宋体"/>
          <w:color w:val="auto"/>
          <w:sz w:val="24"/>
          <w:highlight w:val="none"/>
        </w:rPr>
      </w:pPr>
      <w:r>
        <w:rPr>
          <w:rFonts w:hint="eastAsia" w:ascii="宋体" w:hAnsi="宋体"/>
          <w:color w:val="auto"/>
          <w:sz w:val="24"/>
          <w:highlight w:val="none"/>
          <w:lang w:val="en-US" w:eastAsia="zh-CN"/>
        </w:rPr>
        <w:t>承包范围：</w:t>
      </w:r>
      <w:r>
        <w:rPr>
          <w:rFonts w:hint="eastAsia" w:ascii="宋体" w:hAnsi="宋体"/>
          <w:color w:val="auto"/>
          <w:sz w:val="24"/>
          <w:highlight w:val="none"/>
        </w:rPr>
        <w:t>由南房2号开关房2M母线原有断路器柜(G09柜)至新建经发金岭北路临电箱变</w:t>
      </w:r>
      <w:r>
        <w:rPr>
          <w:rFonts w:hint="eastAsia" w:ascii="宋体" w:hAnsi="宋体"/>
          <w:color w:val="auto"/>
          <w:sz w:val="24"/>
          <w:highlight w:val="none"/>
          <w:lang w:val="en-US" w:eastAsia="zh-CN"/>
        </w:rPr>
        <w:t>范围的物探管线、</w:t>
      </w:r>
      <w:r>
        <w:rPr>
          <w:rFonts w:hint="eastAsia" w:ascii="宋体" w:hAnsi="宋体"/>
          <w:color w:val="auto"/>
          <w:sz w:val="24"/>
          <w:highlight w:val="none"/>
        </w:rPr>
        <w:t>报验、协调、采购、施工、安装、调试、检测、入网及送电验收等</w:t>
      </w:r>
      <w:r>
        <w:rPr>
          <w:rFonts w:hint="eastAsia" w:ascii="宋体" w:hAnsi="宋体"/>
          <w:color w:val="auto"/>
          <w:sz w:val="24"/>
          <w:highlight w:val="none"/>
          <w:lang w:val="en-US" w:eastAsia="zh-CN"/>
        </w:rPr>
        <w:t>。</w:t>
      </w:r>
      <w:r>
        <w:rPr>
          <w:rFonts w:hint="eastAsia" w:ascii="宋体" w:hAnsi="宋体"/>
          <w:color w:val="auto"/>
          <w:sz w:val="24"/>
          <w:highlight w:val="none"/>
        </w:rPr>
        <w:t>工程实施过程中因供电部门规范变化或甲方新增、变更要求而产生的额外费用，由双方协商增加，签订补充协议。</w:t>
      </w:r>
    </w:p>
    <w:p w14:paraId="0847BC28">
      <w:pPr>
        <w:ind w:firstLine="600" w:firstLineChars="250"/>
        <w:rPr>
          <w:rFonts w:hint="eastAsia" w:ascii="宋体" w:hAnsi="宋体"/>
          <w:bCs/>
          <w:color w:val="auto"/>
          <w:sz w:val="24"/>
          <w:highlight w:val="none"/>
        </w:rPr>
      </w:pPr>
      <w:r>
        <w:rPr>
          <w:rFonts w:hint="eastAsia" w:ascii="宋体" w:hAnsi="宋体"/>
          <w:color w:val="auto"/>
          <w:sz w:val="24"/>
          <w:highlight w:val="none"/>
          <w:lang w:val="en-US" w:eastAsia="zh-CN"/>
        </w:rPr>
        <w:t>承包方式：按图纸包工、包料、包工期、包质量、包文明施工、包措施、包规费，</w:t>
      </w:r>
      <w:r>
        <w:rPr>
          <w:rFonts w:hint="eastAsia" w:ascii="宋体" w:hAnsi="宋体"/>
          <w:color w:val="auto"/>
          <w:sz w:val="24"/>
          <w:highlight w:val="none"/>
        </w:rPr>
        <w:t>综合单价包干，工程量按实结算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项目措施总价包干。（图纸以最终盖有审图章的蓝图版本为准）。</w:t>
      </w:r>
    </w:p>
    <w:p w14:paraId="4B156F9B">
      <w:pPr>
        <w:ind w:firstLine="600" w:firstLineChars="250"/>
        <w:rPr>
          <w:rFonts w:ascii="宋体"/>
          <w:color w:val="auto"/>
          <w:sz w:val="24"/>
          <w:highlight w:val="none"/>
        </w:rPr>
      </w:pPr>
      <w:r>
        <w:rPr>
          <w:rFonts w:hint="eastAsia" w:ascii="宋体" w:hAnsi="宋体"/>
          <w:bCs/>
          <w:color w:val="auto"/>
          <w:sz w:val="24"/>
          <w:highlight w:val="none"/>
          <w:lang w:val="en-US" w:eastAsia="zh-CN"/>
        </w:rPr>
        <w:t>五、</w:t>
      </w:r>
      <w:r>
        <w:rPr>
          <w:rFonts w:hint="eastAsia" w:ascii="宋体" w:hAnsi="宋体"/>
          <w:color w:val="auto"/>
          <w:sz w:val="24"/>
          <w:highlight w:val="none"/>
        </w:rPr>
        <w:t>合同价款：</w:t>
      </w:r>
    </w:p>
    <w:p w14:paraId="775769B9">
      <w:pPr>
        <w:ind w:firstLine="600" w:firstLineChars="250"/>
        <w:rPr>
          <w:rFonts w:hint="eastAsia" w:ascii="宋体" w:hAnsi="宋体" w:eastAsia="宋体"/>
          <w:bCs/>
          <w:color w:val="auto"/>
          <w:sz w:val="24"/>
          <w:highlight w:val="none"/>
          <w:lang w:val="en-US" w:eastAsia="zh-CN"/>
        </w:rPr>
      </w:pPr>
      <w:r>
        <w:rPr>
          <w:rFonts w:hint="eastAsia" w:ascii="宋体" w:hAnsi="宋体"/>
          <w:color w:val="auto"/>
          <w:sz w:val="24"/>
          <w:highlight w:val="none"/>
        </w:rPr>
        <w:t>合同价为人民币¥</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元（大写：人民币</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），绿色施工安全防护措施费固定</w:t>
      </w:r>
      <w:r>
        <w:rPr>
          <w:rFonts w:hint="eastAsia" w:ascii="宋体" w:hAnsi="宋体"/>
          <w:color w:val="auto"/>
          <w:sz w:val="24"/>
          <w:highlight w:val="none"/>
          <w:lang w:val="en-US" w:eastAsia="zh-CN"/>
        </w:rPr>
        <w:t>为   元，</w:t>
      </w:r>
      <w:r>
        <w:rPr>
          <w:rFonts w:hint="eastAsia" w:ascii="宋体" w:hAnsi="宋体"/>
          <w:color w:val="auto"/>
          <w:sz w:val="24"/>
          <w:highlight w:val="none"/>
        </w:rPr>
        <w:t>其中不含税价为¥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元，增值税¥</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元，增值税税率</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p>
    <w:p w14:paraId="689492C3">
      <w:pPr>
        <w:spacing w:line="500" w:lineRule="exact"/>
        <w:ind w:left="570"/>
        <w:rPr>
          <w:rFonts w:ascii="宋体"/>
          <w:b/>
          <w:bCs/>
          <w:color w:val="auto"/>
          <w:sz w:val="24"/>
          <w:highlight w:val="none"/>
        </w:rPr>
      </w:pPr>
      <w:r>
        <w:rPr>
          <w:rFonts w:hint="eastAsia" w:ascii="宋体" w:hAnsi="宋体"/>
          <w:b/>
          <w:bCs/>
          <w:color w:val="auto"/>
          <w:sz w:val="24"/>
          <w:highlight w:val="none"/>
        </w:rPr>
        <w:t>第二条</w:t>
      </w:r>
      <w:r>
        <w:rPr>
          <w:rFonts w:ascii="宋体" w:hAnsi="宋体"/>
          <w:b/>
          <w:bCs/>
          <w:color w:val="auto"/>
          <w:sz w:val="24"/>
          <w:highlight w:val="none"/>
        </w:rPr>
        <w:t xml:space="preserve"> </w:t>
      </w:r>
      <w:r>
        <w:rPr>
          <w:rFonts w:hint="eastAsia" w:ascii="宋体" w:hAnsi="宋体"/>
          <w:b/>
          <w:bCs/>
          <w:color w:val="auto"/>
          <w:sz w:val="24"/>
          <w:highlight w:val="none"/>
        </w:rPr>
        <w:t>施工准备</w:t>
      </w:r>
    </w:p>
    <w:p w14:paraId="3B82B08E">
      <w:pPr>
        <w:spacing w:line="500" w:lineRule="exact"/>
        <w:ind w:firstLine="480" w:firstLineChars="200"/>
        <w:rPr>
          <w:rFonts w:ascii="宋体"/>
          <w:color w:val="auto"/>
          <w:sz w:val="24"/>
          <w:highlight w:val="none"/>
        </w:rPr>
      </w:pPr>
      <w:r>
        <w:rPr>
          <w:rFonts w:hint="eastAsia" w:ascii="宋体" w:hAnsi="宋体"/>
          <w:color w:val="auto"/>
          <w:sz w:val="24"/>
          <w:highlight w:val="none"/>
        </w:rPr>
        <w:t>一、甲方</w:t>
      </w:r>
    </w:p>
    <w:p w14:paraId="7F520A25">
      <w:pPr>
        <w:spacing w:line="50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、负责提供施工现场施工水源、排水口、电源等，做好红线以内场地平整工作，清理、拆迁障碍物。</w:t>
      </w:r>
    </w:p>
    <w:p w14:paraId="3DDB67E0">
      <w:pPr>
        <w:spacing w:line="500" w:lineRule="exact"/>
        <w:ind w:firstLine="480" w:firstLineChars="200"/>
        <w:rPr>
          <w:rFonts w:ascii="宋体"/>
          <w:color w:val="auto"/>
          <w:sz w:val="24"/>
          <w:highlight w:val="none"/>
        </w:rPr>
      </w:pPr>
      <w:r>
        <w:rPr>
          <w:rFonts w:hint="eastAsia" w:ascii="宋体" w:hAnsi="宋体"/>
          <w:color w:val="auto"/>
          <w:sz w:val="24"/>
          <w:highlight w:val="none"/>
        </w:rPr>
        <w:t>2、负责提供线路走廊及做好相关征地拆迁、拆迁补偿赔偿、青苗赔偿等安置工作。</w:t>
      </w:r>
    </w:p>
    <w:p w14:paraId="1387C995">
      <w:pPr>
        <w:spacing w:line="500" w:lineRule="exact"/>
        <w:ind w:firstLine="570"/>
        <w:rPr>
          <w:rFonts w:ascii="宋体"/>
          <w:color w:val="auto"/>
          <w:sz w:val="24"/>
          <w:highlight w:val="none"/>
        </w:rPr>
      </w:pPr>
      <w:r>
        <w:rPr>
          <w:rFonts w:hint="eastAsia" w:ascii="宋体" w:hAnsi="宋体"/>
          <w:color w:val="auto"/>
          <w:sz w:val="24"/>
          <w:highlight w:val="none"/>
        </w:rPr>
        <w:t>二、乙方：</w:t>
      </w:r>
    </w:p>
    <w:p w14:paraId="5E1F70AB">
      <w:pPr>
        <w:spacing w:line="500" w:lineRule="exact"/>
        <w:ind w:firstLine="57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、组织施工管理人员和材料、施工机械进场。</w:t>
      </w:r>
    </w:p>
    <w:p w14:paraId="51A096BC">
      <w:pPr>
        <w:spacing w:line="500" w:lineRule="exact"/>
        <w:ind w:firstLine="570"/>
        <w:rPr>
          <w:rFonts w:ascii="宋体"/>
          <w:color w:val="auto"/>
          <w:sz w:val="24"/>
          <w:highlight w:val="none"/>
        </w:rPr>
      </w:pPr>
      <w:r>
        <w:rPr>
          <w:rFonts w:hint="eastAsia" w:ascii="宋体" w:hAnsi="宋体"/>
          <w:color w:val="auto"/>
          <w:sz w:val="24"/>
          <w:highlight w:val="none"/>
        </w:rPr>
        <w:t>2、严格执行安全施工、操作规程，保证施工期间的安全，承担由本方原因造成的安全责任及经济损失。</w:t>
      </w:r>
    </w:p>
    <w:p w14:paraId="6132C359">
      <w:pPr>
        <w:spacing w:line="500" w:lineRule="exact"/>
        <w:ind w:firstLine="570"/>
        <w:rPr>
          <w:rFonts w:ascii="宋体"/>
          <w:color w:val="auto"/>
          <w:sz w:val="24"/>
          <w:highlight w:val="none"/>
        </w:rPr>
      </w:pPr>
      <w:r>
        <w:rPr>
          <w:rFonts w:hint="eastAsia" w:ascii="宋体" w:hAnsi="宋体"/>
          <w:b/>
          <w:bCs/>
          <w:color w:val="auto"/>
          <w:sz w:val="24"/>
          <w:highlight w:val="none"/>
        </w:rPr>
        <w:t>第三条</w:t>
      </w:r>
      <w:r>
        <w:rPr>
          <w:rFonts w:ascii="宋体" w:hAnsi="宋体"/>
          <w:b/>
          <w:bCs/>
          <w:color w:val="auto"/>
          <w:sz w:val="24"/>
          <w:highlight w:val="none"/>
        </w:rPr>
        <w:t xml:space="preserve"> </w:t>
      </w:r>
      <w:r>
        <w:rPr>
          <w:rFonts w:hint="eastAsia" w:ascii="宋体" w:hAnsi="宋体"/>
          <w:b/>
          <w:bCs/>
          <w:color w:val="auto"/>
          <w:sz w:val="24"/>
          <w:highlight w:val="none"/>
        </w:rPr>
        <w:t>工程期限</w:t>
      </w:r>
    </w:p>
    <w:p w14:paraId="1C71217D">
      <w:pPr>
        <w:spacing w:line="500" w:lineRule="exact"/>
        <w:ind w:firstLine="566" w:firstLineChars="236"/>
        <w:rPr>
          <w:rFonts w:ascii="宋体"/>
          <w:color w:val="auto"/>
          <w:sz w:val="24"/>
          <w:highlight w:val="none"/>
        </w:rPr>
      </w:pPr>
      <w:r>
        <w:rPr>
          <w:rFonts w:hint="eastAsia" w:ascii="宋体" w:hAnsi="宋体"/>
          <w:color w:val="auto"/>
          <w:sz w:val="24"/>
          <w:highlight w:val="none"/>
        </w:rPr>
        <w:t>一、根据国家工期定额和使用需要，</w:t>
      </w:r>
      <w:r>
        <w:rPr>
          <w:rFonts w:hint="eastAsia" w:ascii="宋体" w:hAnsi="宋体"/>
          <w:color w:val="auto"/>
          <w:sz w:val="24"/>
          <w:highlight w:val="none"/>
        </w:rPr>
        <w:t>商定工程工期为合同签订后</w:t>
      </w:r>
      <w:r>
        <w:rPr>
          <w:rFonts w:hint="eastAsia" w:ascii="宋体" w:hAnsi="宋体"/>
          <w:color w:val="auto"/>
          <w:sz w:val="24"/>
          <w:highlight w:val="none"/>
          <w:u w:val="single"/>
          <w:lang w:val="en-US" w:eastAsia="zh-CN"/>
        </w:rPr>
        <w:t>45</w:t>
      </w:r>
      <w:r>
        <w:rPr>
          <w:rFonts w:hint="eastAsia" w:ascii="宋体" w:hAnsi="宋体"/>
          <w:color w:val="auto"/>
          <w:sz w:val="24"/>
          <w:highlight w:val="none"/>
        </w:rPr>
        <w:t>天</w:t>
      </w:r>
      <w:r>
        <w:rPr>
          <w:rFonts w:ascii="宋体" w:hAnsi="宋体"/>
          <w:color w:val="auto"/>
          <w:sz w:val="24"/>
          <w:highlight w:val="none"/>
        </w:rPr>
        <w:t>(</w:t>
      </w:r>
      <w:r>
        <w:rPr>
          <w:rFonts w:hint="eastAsia" w:ascii="宋体" w:hAnsi="宋体"/>
          <w:color w:val="auto"/>
          <w:sz w:val="24"/>
          <w:highlight w:val="none"/>
        </w:rPr>
        <w:t>日历天</w:t>
      </w:r>
      <w:r>
        <w:rPr>
          <w:rFonts w:ascii="宋体" w:hAnsi="宋体"/>
          <w:color w:val="auto"/>
          <w:sz w:val="24"/>
          <w:highlight w:val="none"/>
        </w:rPr>
        <w:t>)</w:t>
      </w:r>
      <w:r>
        <w:rPr>
          <w:rFonts w:hint="eastAsia" w:ascii="宋体" w:hAnsi="宋体"/>
          <w:color w:val="auto"/>
          <w:sz w:val="24"/>
          <w:highlight w:val="none"/>
        </w:rPr>
        <w:t>，如遇电力系统运行方式无法安排供电、甲方未按时提供场地、甲方负责部分未按时完成或其他不可抗力因素致使工程无法按期完成的，工期自妨碍因素消除之日起相应顺延。双方可另行协商确定工期。</w:t>
      </w:r>
    </w:p>
    <w:p w14:paraId="7BC6D799">
      <w:pPr>
        <w:spacing w:line="500" w:lineRule="exact"/>
        <w:ind w:firstLine="570"/>
        <w:rPr>
          <w:rFonts w:ascii="宋体"/>
          <w:color w:val="auto"/>
          <w:sz w:val="24"/>
          <w:highlight w:val="none"/>
        </w:rPr>
      </w:pPr>
      <w:r>
        <w:rPr>
          <w:rFonts w:hint="eastAsia" w:ascii="宋体" w:hAnsi="宋体"/>
          <w:color w:val="auto"/>
          <w:sz w:val="24"/>
          <w:highlight w:val="none"/>
        </w:rPr>
        <w:t>二、甲方完成施工准备工作后，乙方按照甲方开工通知书的日期进场施工。</w:t>
      </w:r>
    </w:p>
    <w:p w14:paraId="270F2973">
      <w:pPr>
        <w:spacing w:line="500" w:lineRule="exact"/>
        <w:ind w:firstLine="570"/>
        <w:rPr>
          <w:rFonts w:ascii="宋体"/>
          <w:color w:val="auto"/>
          <w:sz w:val="24"/>
          <w:highlight w:val="none"/>
        </w:rPr>
      </w:pPr>
      <w:r>
        <w:rPr>
          <w:rFonts w:hint="eastAsia" w:ascii="宋体" w:hAnsi="宋体"/>
          <w:color w:val="auto"/>
          <w:sz w:val="24"/>
          <w:highlight w:val="none"/>
        </w:rPr>
        <w:t>三、如遇下列情况，工期相应顺延且乙方无须承担责任，造成的损失由甲方承担：</w:t>
      </w:r>
    </w:p>
    <w:p w14:paraId="0A24FF03">
      <w:pPr>
        <w:spacing w:line="500" w:lineRule="exact"/>
        <w:ind w:firstLine="573"/>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、按施工准备规定，不能提供施工场地、水、电源，障碍物未能清除等因素，影响进场施工。</w:t>
      </w:r>
    </w:p>
    <w:p w14:paraId="76098787">
      <w:pPr>
        <w:spacing w:line="500" w:lineRule="exact"/>
        <w:ind w:firstLine="573"/>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、不属包干系数范围内的重大设计变更，致使设计方案改变，或由于施工无法进行的原因而影响进度。</w:t>
      </w:r>
    </w:p>
    <w:p w14:paraId="0B21E574">
      <w:pPr>
        <w:spacing w:line="500" w:lineRule="exact"/>
        <w:ind w:firstLine="573"/>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、在施工中如因甲方原因停电、停水</w:t>
      </w:r>
      <w:r>
        <w:rPr>
          <w:rFonts w:ascii="宋体" w:hAnsi="宋体"/>
          <w:color w:val="auto"/>
          <w:sz w:val="24"/>
          <w:highlight w:val="none"/>
        </w:rPr>
        <w:t>8</w:t>
      </w:r>
      <w:r>
        <w:rPr>
          <w:rFonts w:hint="eastAsia" w:ascii="宋体" w:hAnsi="宋体"/>
          <w:color w:val="auto"/>
          <w:sz w:val="24"/>
          <w:highlight w:val="none"/>
        </w:rPr>
        <w:t>小时以上或连续间歇性停水、停电</w:t>
      </w:r>
      <w:r>
        <w:rPr>
          <w:rFonts w:ascii="宋体" w:hAnsi="宋体"/>
          <w:color w:val="auto"/>
          <w:sz w:val="24"/>
          <w:highlight w:val="none"/>
        </w:rPr>
        <w:t>3</w:t>
      </w:r>
      <w:r>
        <w:rPr>
          <w:rFonts w:hint="eastAsia" w:ascii="宋体" w:hAnsi="宋体"/>
          <w:color w:val="auto"/>
          <w:sz w:val="24"/>
          <w:highlight w:val="none"/>
        </w:rPr>
        <w:t>天以上</w:t>
      </w:r>
      <w:r>
        <w:rPr>
          <w:rFonts w:ascii="宋体" w:hAnsi="宋体"/>
          <w:color w:val="auto"/>
          <w:sz w:val="24"/>
          <w:highlight w:val="none"/>
        </w:rPr>
        <w:t>(</w:t>
      </w:r>
      <w:r>
        <w:rPr>
          <w:rFonts w:hint="eastAsia" w:ascii="宋体" w:hAnsi="宋体"/>
          <w:color w:val="auto"/>
          <w:sz w:val="24"/>
          <w:highlight w:val="none"/>
        </w:rPr>
        <w:t>每次连续</w:t>
      </w:r>
      <w:r>
        <w:rPr>
          <w:rFonts w:ascii="宋体" w:hAnsi="宋体"/>
          <w:color w:val="auto"/>
          <w:sz w:val="24"/>
          <w:highlight w:val="none"/>
        </w:rPr>
        <w:t>4</w:t>
      </w:r>
      <w:r>
        <w:rPr>
          <w:rFonts w:hint="eastAsia" w:ascii="宋体" w:hAnsi="宋体"/>
          <w:color w:val="auto"/>
          <w:sz w:val="24"/>
          <w:highlight w:val="none"/>
        </w:rPr>
        <w:t>小时以上</w:t>
      </w:r>
      <w:r>
        <w:rPr>
          <w:rFonts w:ascii="宋体" w:hAnsi="宋体"/>
          <w:color w:val="auto"/>
          <w:sz w:val="24"/>
          <w:highlight w:val="none"/>
        </w:rPr>
        <w:t>)</w:t>
      </w:r>
      <w:r>
        <w:rPr>
          <w:rFonts w:hint="eastAsia" w:ascii="宋体" w:hAnsi="宋体"/>
          <w:color w:val="auto"/>
          <w:sz w:val="24"/>
          <w:highlight w:val="none"/>
        </w:rPr>
        <w:t>，影响正常施工。</w:t>
      </w:r>
    </w:p>
    <w:p w14:paraId="2D95CB7F">
      <w:pPr>
        <w:spacing w:line="500" w:lineRule="exact"/>
        <w:ind w:firstLine="573"/>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、因甲方负责部分不能按时完成或未及时配合提供相应资料。</w:t>
      </w:r>
    </w:p>
    <w:p w14:paraId="37344099">
      <w:pPr>
        <w:spacing w:line="500" w:lineRule="exact"/>
        <w:ind w:firstLine="573"/>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、非乙方原因而签证不及时，影响下一道工序施工。</w:t>
      </w:r>
    </w:p>
    <w:p w14:paraId="3DBFEC4F">
      <w:pPr>
        <w:spacing w:line="500" w:lineRule="exact"/>
        <w:ind w:firstLine="573"/>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、甲方未按合同约定支付工程预付款、工程进度款或代购材料差价款而影响施工。</w:t>
      </w:r>
    </w:p>
    <w:p w14:paraId="2A6DDDBD">
      <w:pPr>
        <w:spacing w:line="500" w:lineRule="exact"/>
        <w:ind w:firstLine="573"/>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w:t>
      </w:r>
      <w:r>
        <w:rPr>
          <w:rFonts w:hint="eastAsia" w:ascii="宋体" w:hAnsi="宋体"/>
          <w:color w:val="auto"/>
          <w:sz w:val="24"/>
          <w:highlight w:val="none"/>
          <w:lang w:eastAsia="zh-CN"/>
        </w:rPr>
        <w:t>因行</w:t>
      </w:r>
      <w:r>
        <w:rPr>
          <w:rFonts w:hint="eastAsia" w:ascii="宋体" w:hAnsi="宋体"/>
          <w:color w:val="auto"/>
          <w:sz w:val="24"/>
          <w:highlight w:val="none"/>
        </w:rPr>
        <w:t>政政策、命令，自然灾害、动乱等不可抗力因素而延误工期。</w:t>
      </w:r>
    </w:p>
    <w:p w14:paraId="1358D5C6">
      <w:pPr>
        <w:spacing w:line="500" w:lineRule="exact"/>
        <w:ind w:firstLine="573"/>
        <w:rPr>
          <w:rFonts w:ascii="宋体"/>
          <w:color w:val="auto"/>
          <w:sz w:val="24"/>
          <w:highlight w:val="none"/>
        </w:rPr>
      </w:pPr>
      <w:r>
        <w:rPr>
          <w:rFonts w:hint="eastAsia" w:ascii="宋体" w:hAnsi="宋体"/>
          <w:color w:val="auto"/>
          <w:sz w:val="24"/>
          <w:highlight w:val="none"/>
        </w:rPr>
        <w:t>9、合同履行过程中，甲方在无正当理由的情况下对乙方的施工工作进行干涉。</w:t>
      </w:r>
    </w:p>
    <w:p w14:paraId="11E3B71B">
      <w:pPr>
        <w:spacing w:line="500" w:lineRule="exact"/>
        <w:ind w:firstLine="573"/>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0、其他非因乙方原因延误工期。</w:t>
      </w:r>
    </w:p>
    <w:p w14:paraId="01414223">
      <w:pPr>
        <w:spacing w:line="500" w:lineRule="exact"/>
        <w:ind w:firstLine="573"/>
        <w:rPr>
          <w:rFonts w:ascii="宋体"/>
          <w:color w:val="auto"/>
          <w:sz w:val="24"/>
          <w:highlight w:val="none"/>
        </w:rPr>
      </w:pPr>
      <w:r>
        <w:rPr>
          <w:rFonts w:hint="eastAsia" w:ascii="宋体" w:hAnsi="宋体"/>
          <w:b/>
          <w:bCs/>
          <w:color w:val="auto"/>
          <w:sz w:val="24"/>
          <w:highlight w:val="none"/>
        </w:rPr>
        <w:t>第四条</w:t>
      </w:r>
      <w:r>
        <w:rPr>
          <w:rFonts w:ascii="宋体" w:hAnsi="宋体"/>
          <w:b/>
          <w:bCs/>
          <w:color w:val="auto"/>
          <w:sz w:val="24"/>
          <w:highlight w:val="none"/>
        </w:rPr>
        <w:t xml:space="preserve"> </w:t>
      </w:r>
      <w:r>
        <w:rPr>
          <w:rFonts w:hint="eastAsia" w:ascii="宋体" w:hAnsi="宋体"/>
          <w:b/>
          <w:bCs/>
          <w:color w:val="auto"/>
          <w:sz w:val="24"/>
          <w:highlight w:val="none"/>
        </w:rPr>
        <w:t>工程质量</w:t>
      </w:r>
    </w:p>
    <w:p w14:paraId="0431BAE1">
      <w:pPr>
        <w:spacing w:line="500" w:lineRule="exact"/>
        <w:ind w:firstLine="573"/>
        <w:rPr>
          <w:rFonts w:ascii="宋体"/>
          <w:color w:val="auto"/>
          <w:sz w:val="24"/>
          <w:highlight w:val="none"/>
          <w:u w:val="single"/>
        </w:rPr>
      </w:pPr>
      <w:r>
        <w:rPr>
          <w:rFonts w:hint="eastAsia" w:ascii="宋体" w:hAnsi="宋体"/>
          <w:color w:val="auto"/>
          <w:sz w:val="24"/>
          <w:highlight w:val="none"/>
        </w:rPr>
        <w:t>一、本工程质量要求符合工程所在地供电部门的质量验收合格标准</w:t>
      </w:r>
      <w:r>
        <w:rPr>
          <w:rFonts w:hint="eastAsia" w:ascii="宋体" w:hAnsi="宋体"/>
          <w:color w:val="auto"/>
          <w:sz w:val="24"/>
          <w:highlight w:val="none"/>
          <w:lang w:val="en-US" w:eastAsia="zh-CN"/>
        </w:rPr>
        <w:t>及合同附件文件为准标准</w:t>
      </w:r>
      <w:r>
        <w:rPr>
          <w:rFonts w:hint="eastAsia" w:ascii="宋体" w:hAnsi="宋体"/>
          <w:color w:val="auto"/>
          <w:sz w:val="24"/>
          <w:highlight w:val="none"/>
        </w:rPr>
        <w:t>。</w:t>
      </w:r>
    </w:p>
    <w:p w14:paraId="48DF7C9D">
      <w:pPr>
        <w:spacing w:line="500" w:lineRule="exact"/>
        <w:ind w:firstLine="573"/>
        <w:rPr>
          <w:rFonts w:ascii="宋体"/>
          <w:color w:val="auto"/>
          <w:sz w:val="24"/>
          <w:highlight w:val="none"/>
        </w:rPr>
      </w:pPr>
      <w:r>
        <w:rPr>
          <w:rFonts w:hint="eastAsia" w:ascii="宋体" w:hAnsi="宋体"/>
          <w:color w:val="auto"/>
          <w:sz w:val="24"/>
          <w:highlight w:val="none"/>
        </w:rPr>
        <w:t>二、乙方必须严格按照施工图纸、说明文件和国家、省、市电力公司颁发的电气安装工程施工及验收的标准进行施工，并接受甲方派驻代表的监督。</w:t>
      </w:r>
    </w:p>
    <w:p w14:paraId="7669881E">
      <w:pPr>
        <w:spacing w:line="500" w:lineRule="exact"/>
        <w:ind w:firstLine="573"/>
        <w:rPr>
          <w:rFonts w:ascii="宋体"/>
          <w:color w:val="auto"/>
          <w:sz w:val="24"/>
          <w:highlight w:val="none"/>
        </w:rPr>
      </w:pPr>
      <w:r>
        <w:rPr>
          <w:rFonts w:hint="eastAsia" w:ascii="宋体" w:hAnsi="宋体"/>
          <w:color w:val="auto"/>
          <w:sz w:val="24"/>
          <w:highlight w:val="none"/>
        </w:rPr>
        <w:t>三、双方在施工过程中必须遵守下列约定：</w:t>
      </w:r>
    </w:p>
    <w:p w14:paraId="7D40941F">
      <w:pPr>
        <w:spacing w:line="500" w:lineRule="exact"/>
        <w:ind w:firstLine="573"/>
        <w:rPr>
          <w:rFonts w:ascii="宋体"/>
          <w:color w:val="auto"/>
          <w:spacing w:val="-6"/>
          <w:sz w:val="24"/>
          <w:highlight w:val="none"/>
        </w:rPr>
      </w:pPr>
      <w:r>
        <w:rPr>
          <w:rFonts w:ascii="宋体" w:hAnsi="宋体"/>
          <w:color w:val="auto"/>
          <w:sz w:val="24"/>
          <w:highlight w:val="none"/>
        </w:rPr>
        <w:t>1</w:t>
      </w:r>
      <w:r>
        <w:rPr>
          <w:rFonts w:hint="eastAsia" w:ascii="宋体" w:hAnsi="宋体"/>
          <w:color w:val="auto"/>
          <w:sz w:val="24"/>
          <w:highlight w:val="none"/>
        </w:rPr>
        <w:t>、由乙方提供的主要原材料、设备、构配件、半成品必须按有关规定提供质量合格证，或进行检验合格后方可用于工程。</w:t>
      </w:r>
    </w:p>
    <w:p w14:paraId="67FA882D">
      <w:pPr>
        <w:spacing w:line="500" w:lineRule="exact"/>
        <w:ind w:firstLine="573"/>
        <w:rPr>
          <w:rFonts w:ascii="宋体"/>
          <w:color w:val="auto"/>
          <w:spacing w:val="-6"/>
          <w:sz w:val="24"/>
          <w:highlight w:val="none"/>
        </w:rPr>
      </w:pPr>
      <w:r>
        <w:rPr>
          <w:rFonts w:ascii="宋体" w:hAnsi="宋体"/>
          <w:color w:val="auto"/>
          <w:spacing w:val="-6"/>
          <w:sz w:val="24"/>
          <w:highlight w:val="none"/>
        </w:rPr>
        <w:t>2</w:t>
      </w:r>
      <w:r>
        <w:rPr>
          <w:rFonts w:hint="eastAsia" w:ascii="宋体" w:hAnsi="宋体"/>
          <w:color w:val="auto"/>
          <w:spacing w:val="-6"/>
          <w:sz w:val="24"/>
          <w:highlight w:val="none"/>
        </w:rPr>
        <w:t>、由甲方提供的主要原材料、设备、构配件、半成品也必须有质量合格证方可用于工程，如乙方认为甲方提供的材料、设备等无法适用于工程施工，应告知甲方，甲方应当及时无偿更换。</w:t>
      </w:r>
    </w:p>
    <w:p w14:paraId="0EBDCE95">
      <w:pPr>
        <w:spacing w:line="500" w:lineRule="exact"/>
        <w:ind w:firstLine="573"/>
        <w:rPr>
          <w:rFonts w:ascii="宋体"/>
          <w:color w:val="auto"/>
          <w:sz w:val="24"/>
          <w:highlight w:val="none"/>
        </w:rPr>
      </w:pPr>
      <w:r>
        <w:rPr>
          <w:rFonts w:hint="eastAsia" w:ascii="宋体" w:hAnsi="宋体"/>
          <w:color w:val="auto"/>
          <w:sz w:val="24"/>
          <w:highlight w:val="none"/>
        </w:rPr>
        <w:t>3、乙方在施工中发生质量事故，应及时报告甲方派驻代表和当地建筑工程质量监督站。一般质量事故的处理结果应送甲方和质量监督站备案；重大质量事故的处理方案，应经质量监督站、甲方等单位共同研究，并经设计建设单位签证后实施。紧急情况下，为防止损失扩大，乙方有权先行采取措施，然后报告甲方。</w:t>
      </w:r>
    </w:p>
    <w:p w14:paraId="7577BA15">
      <w:pPr>
        <w:spacing w:line="500" w:lineRule="exact"/>
        <w:ind w:firstLine="570"/>
        <w:rPr>
          <w:rFonts w:ascii="宋体"/>
          <w:color w:val="auto"/>
          <w:sz w:val="24"/>
          <w:highlight w:val="none"/>
        </w:rPr>
      </w:pPr>
      <w:r>
        <w:rPr>
          <w:rFonts w:hint="eastAsia" w:ascii="宋体" w:hAnsi="宋体"/>
          <w:b/>
          <w:bCs/>
          <w:color w:val="auto"/>
          <w:sz w:val="24"/>
          <w:highlight w:val="none"/>
        </w:rPr>
        <w:t>第五条</w:t>
      </w:r>
      <w:r>
        <w:rPr>
          <w:rFonts w:ascii="宋体" w:hAnsi="宋体"/>
          <w:b/>
          <w:bCs/>
          <w:color w:val="auto"/>
          <w:sz w:val="24"/>
          <w:highlight w:val="none"/>
        </w:rPr>
        <w:t xml:space="preserve"> </w:t>
      </w:r>
      <w:r>
        <w:rPr>
          <w:rFonts w:hint="eastAsia" w:ascii="宋体" w:hAnsi="宋体"/>
          <w:b/>
          <w:bCs/>
          <w:color w:val="auto"/>
          <w:sz w:val="24"/>
          <w:highlight w:val="none"/>
        </w:rPr>
        <w:t>设备的供应和验收</w:t>
      </w:r>
    </w:p>
    <w:p w14:paraId="322035CF">
      <w:pPr>
        <w:spacing w:line="500" w:lineRule="exact"/>
        <w:ind w:firstLine="573"/>
        <w:rPr>
          <w:rFonts w:ascii="宋体"/>
          <w:color w:val="auto"/>
          <w:sz w:val="24"/>
          <w:highlight w:val="none"/>
        </w:rPr>
      </w:pPr>
      <w:r>
        <w:rPr>
          <w:rFonts w:hint="eastAsia" w:ascii="宋体" w:hAnsi="宋体"/>
          <w:color w:val="auto"/>
          <w:sz w:val="24"/>
          <w:highlight w:val="none"/>
        </w:rPr>
        <w:t>一、材料、设备的品牌、型号等按工程预算书及设计图纸设计要求采购。由乙方负责采购的主要原材料、设备、构配件、半成品，如甲方要求变更，应征得乙方书面同意，因变更采购导致工程造价上涨，双方应当签订补充协议变更本合同价款。</w:t>
      </w:r>
    </w:p>
    <w:p w14:paraId="6C2332B1">
      <w:pPr>
        <w:pStyle w:val="10"/>
        <w:spacing w:line="500" w:lineRule="exact"/>
        <w:rPr>
          <w:color w:val="auto"/>
          <w:highlight w:val="none"/>
        </w:rPr>
      </w:pPr>
      <w:r>
        <w:rPr>
          <w:rFonts w:hint="eastAsia"/>
          <w:color w:val="auto"/>
          <w:highlight w:val="none"/>
        </w:rPr>
        <w:t>二、甲方供应、乙方采购的材料、设备，必须附有产品合格证才能用于工程，任何一方认为对方提供的材料需要复验的，应允许复验。经复验符合质量要求的，方可用于工程，其复验费由要求复检方承担，并承担工期延后的风险；不符合质量要求的，应按有关规定处理，其复验费及工期延后的责任由提供材料、设备方承担。</w:t>
      </w:r>
    </w:p>
    <w:p w14:paraId="33F4BC7D">
      <w:pPr>
        <w:pStyle w:val="10"/>
        <w:spacing w:line="500" w:lineRule="exact"/>
        <w:rPr>
          <w:color w:val="auto"/>
          <w:highlight w:val="none"/>
        </w:rPr>
      </w:pPr>
      <w:r>
        <w:rPr>
          <w:rFonts w:hint="eastAsia"/>
          <w:color w:val="auto"/>
          <w:highlight w:val="none"/>
        </w:rPr>
        <w:t>三、本工程施工过程中产生的额外废旧设备和材料（供电局资产除外），甲方应当在乙方通知的期限内前往施工现场接收并运离该废旧设备和材料，并与乙方办理相关签收交接手续。甲方未按时接收的，乙方有权按供电局要求处置或自行选择采取以下方式处置并且不承担违约或赔偿责任：</w:t>
      </w:r>
    </w:p>
    <w:p w14:paraId="7E339517">
      <w:pPr>
        <w:pStyle w:val="10"/>
        <w:spacing w:line="500" w:lineRule="exact"/>
        <w:rPr>
          <w:color w:val="auto"/>
          <w:highlight w:val="none"/>
        </w:rPr>
      </w:pPr>
      <w:r>
        <w:rPr>
          <w:rFonts w:hint="eastAsia"/>
          <w:color w:val="auto"/>
          <w:highlight w:val="none"/>
        </w:rPr>
        <w:t>（</w:t>
      </w:r>
      <w:r>
        <w:rPr>
          <w:color w:val="auto"/>
          <w:highlight w:val="none"/>
        </w:rPr>
        <w:t>1</w:t>
      </w:r>
      <w:r>
        <w:rPr>
          <w:rFonts w:hint="eastAsia"/>
          <w:color w:val="auto"/>
          <w:highlight w:val="none"/>
        </w:rPr>
        <w:t>）将废旧设备和材料变卖，把所得款项在扣除保管、运输、搬卸、变卖成本等合理费用后予以留置处理；</w:t>
      </w:r>
    </w:p>
    <w:p w14:paraId="7A2B2CCD">
      <w:pPr>
        <w:pStyle w:val="10"/>
        <w:spacing w:line="500" w:lineRule="exact"/>
        <w:rPr>
          <w:color w:val="auto"/>
          <w:highlight w:val="none"/>
        </w:rPr>
      </w:pPr>
      <w:r>
        <w:rPr>
          <w:rFonts w:hint="eastAsia"/>
          <w:color w:val="auto"/>
          <w:highlight w:val="none"/>
        </w:rPr>
        <w:t>（</w:t>
      </w:r>
      <w:r>
        <w:rPr>
          <w:color w:val="auto"/>
          <w:highlight w:val="none"/>
        </w:rPr>
        <w:t>2</w:t>
      </w:r>
      <w:r>
        <w:rPr>
          <w:rFonts w:hint="eastAsia"/>
          <w:color w:val="auto"/>
          <w:highlight w:val="none"/>
        </w:rPr>
        <w:t>）移交工程所在地供电部门处理；</w:t>
      </w:r>
    </w:p>
    <w:p w14:paraId="27BEE0D4">
      <w:pPr>
        <w:pStyle w:val="10"/>
        <w:spacing w:line="500" w:lineRule="exact"/>
        <w:rPr>
          <w:color w:val="auto"/>
          <w:highlight w:val="none"/>
        </w:rPr>
      </w:pPr>
      <w:r>
        <w:rPr>
          <w:rFonts w:hint="eastAsia"/>
          <w:color w:val="auto"/>
          <w:highlight w:val="none"/>
        </w:rPr>
        <w:t>（</w:t>
      </w:r>
      <w:r>
        <w:rPr>
          <w:color w:val="auto"/>
          <w:highlight w:val="none"/>
        </w:rPr>
        <w:t>3</w:t>
      </w:r>
      <w:r>
        <w:rPr>
          <w:rFonts w:hint="eastAsia"/>
          <w:color w:val="auto"/>
          <w:highlight w:val="none"/>
        </w:rPr>
        <w:t>）通过其他合法的方式处理。</w:t>
      </w:r>
    </w:p>
    <w:p w14:paraId="7096A932">
      <w:pPr>
        <w:spacing w:line="500" w:lineRule="exact"/>
        <w:ind w:left="570"/>
        <w:rPr>
          <w:rFonts w:ascii="宋体" w:hAnsi="宋体"/>
          <w:b/>
          <w:bCs/>
          <w:color w:val="auto"/>
          <w:sz w:val="24"/>
          <w:highlight w:val="none"/>
        </w:rPr>
      </w:pPr>
      <w:r>
        <w:rPr>
          <w:rFonts w:hint="eastAsia" w:ascii="宋体" w:hAnsi="宋体"/>
          <w:b/>
          <w:bCs/>
          <w:color w:val="auto"/>
          <w:sz w:val="24"/>
          <w:highlight w:val="none"/>
        </w:rPr>
        <w:t>第六条</w:t>
      </w:r>
      <w:r>
        <w:rPr>
          <w:rFonts w:ascii="宋体" w:hAnsi="宋体"/>
          <w:b/>
          <w:bCs/>
          <w:color w:val="auto"/>
          <w:sz w:val="24"/>
          <w:highlight w:val="none"/>
        </w:rPr>
        <w:t xml:space="preserve"> </w:t>
      </w:r>
      <w:r>
        <w:rPr>
          <w:rFonts w:hint="eastAsia" w:ascii="宋体" w:hAnsi="宋体"/>
          <w:b/>
          <w:bCs/>
          <w:color w:val="auto"/>
          <w:sz w:val="24"/>
          <w:highlight w:val="none"/>
        </w:rPr>
        <w:t>工程价款的支付与结算</w:t>
      </w:r>
    </w:p>
    <w:p w14:paraId="2C05587E">
      <w:pPr>
        <w:spacing w:line="460" w:lineRule="exact"/>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rPr>
        <w:t>一、</w:t>
      </w:r>
      <w:r>
        <w:rPr>
          <w:rFonts w:hint="eastAsia" w:ascii="宋体" w:hAnsi="宋体" w:eastAsia="宋体" w:cs="Times New Roman"/>
          <w:color w:val="auto"/>
          <w:sz w:val="24"/>
          <w:highlight w:val="none"/>
        </w:rPr>
        <w:t>合同价款的支付：</w:t>
      </w:r>
    </w:p>
    <w:p w14:paraId="0B8B5FC7">
      <w:pPr>
        <w:spacing w:line="460" w:lineRule="exact"/>
        <w:ind w:firstLine="480" w:firstLineChars="200"/>
        <w:rPr>
          <w:rFonts w:ascii="宋体" w:hAnsi="宋体" w:eastAsia="宋体" w:cs="宋体"/>
          <w:color w:val="auto"/>
          <w:sz w:val="24"/>
          <w:szCs w:val="24"/>
          <w:highlight w:val="none"/>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工</w:t>
      </w:r>
      <w:r>
        <w:rPr>
          <w:rFonts w:hint="eastAsia" w:ascii="宋体" w:hAnsi="宋体" w:cs="Times New Roman"/>
          <w:color w:val="auto"/>
          <w:sz w:val="24"/>
          <w:highlight w:val="none"/>
          <w:u w:val="none"/>
        </w:rPr>
        <w:t>程</w:t>
      </w:r>
      <w:r>
        <w:rPr>
          <w:rFonts w:hint="eastAsia" w:ascii="宋体" w:hAnsi="宋体" w:cs="Times New Roman"/>
          <w:color w:val="auto"/>
          <w:sz w:val="24"/>
          <w:highlight w:val="none"/>
          <w:u w:val="none"/>
          <w:lang w:eastAsia="zh-CN"/>
        </w:rPr>
        <w:t>完工</w:t>
      </w:r>
      <w:r>
        <w:rPr>
          <w:rFonts w:hint="eastAsia" w:ascii="宋体" w:hAnsi="宋体" w:cs="Times New Roman"/>
          <w:color w:val="auto"/>
          <w:sz w:val="24"/>
          <w:highlight w:val="none"/>
          <w:u w:val="none"/>
          <w:lang w:val="en-US" w:eastAsia="zh-CN"/>
        </w:rPr>
        <w:t>后</w:t>
      </w:r>
      <w:r>
        <w:rPr>
          <w:rFonts w:hint="eastAsia" w:ascii="宋体" w:hAnsi="宋体" w:cs="Times New Roman"/>
          <w:color w:val="auto"/>
          <w:sz w:val="24"/>
          <w:highlight w:val="none"/>
          <w:u w:val="none"/>
        </w:rPr>
        <w:t>，10个工作日内</w:t>
      </w:r>
      <w:r>
        <w:rPr>
          <w:rFonts w:hint="eastAsia" w:ascii="宋体" w:hAnsi="宋体" w:cs="Times New Roman"/>
          <w:color w:val="auto"/>
          <w:sz w:val="24"/>
          <w:highlight w:val="none"/>
          <w:u w:val="none"/>
          <w:lang w:val="en-US" w:eastAsia="zh-CN"/>
        </w:rPr>
        <w:t>甲方</w:t>
      </w:r>
      <w:r>
        <w:rPr>
          <w:rFonts w:hint="eastAsia" w:ascii="宋体" w:hAnsi="宋体" w:cs="Times New Roman"/>
          <w:color w:val="auto"/>
          <w:sz w:val="24"/>
          <w:highlight w:val="none"/>
          <w:u w:val="none"/>
        </w:rPr>
        <w:t>向乙方支付</w:t>
      </w:r>
      <w:r>
        <w:rPr>
          <w:rFonts w:hint="eastAsia" w:ascii="宋体" w:hAnsi="宋体" w:cs="Times New Roman"/>
          <w:color w:val="auto"/>
          <w:sz w:val="24"/>
          <w:highlight w:val="none"/>
          <w:u w:val="none"/>
          <w:lang w:eastAsia="zh-CN"/>
        </w:rPr>
        <w:t>至合同</w:t>
      </w:r>
      <w:r>
        <w:rPr>
          <w:rFonts w:hint="eastAsia" w:ascii="宋体" w:hAnsi="宋体" w:cs="Times New Roman"/>
          <w:color w:val="auto"/>
          <w:sz w:val="24"/>
          <w:highlight w:val="none"/>
          <w:u w:val="none"/>
        </w:rPr>
        <w:t>价的</w:t>
      </w:r>
      <w:r>
        <w:rPr>
          <w:rFonts w:hint="eastAsia" w:ascii="宋体" w:hAnsi="宋体" w:cs="Times New Roman"/>
          <w:color w:val="auto"/>
          <w:sz w:val="24"/>
          <w:highlight w:val="none"/>
          <w:u w:val="none"/>
          <w:lang w:val="en-US" w:eastAsia="zh-CN"/>
        </w:rPr>
        <w:t>7</w:t>
      </w:r>
      <w:r>
        <w:rPr>
          <w:rFonts w:hint="eastAsia" w:ascii="宋体" w:hAnsi="宋体" w:cs="Times New Roman"/>
          <w:color w:val="auto"/>
          <w:sz w:val="24"/>
          <w:highlight w:val="none"/>
          <w:u w:val="none"/>
        </w:rPr>
        <w:t>0%</w:t>
      </w:r>
      <w:r>
        <w:rPr>
          <w:rFonts w:hint="eastAsia" w:ascii="宋体" w:hAnsi="宋体" w:cs="Times New Roman"/>
          <w:color w:val="auto"/>
          <w:sz w:val="24"/>
          <w:highlight w:val="none"/>
          <w:u w:val="none"/>
          <w:lang w:eastAsia="zh-CN"/>
        </w:rPr>
        <w:t>；请款资料</w:t>
      </w:r>
      <w:r>
        <w:rPr>
          <w:rFonts w:ascii="宋体" w:hAnsi="宋体" w:eastAsia="宋体" w:cs="宋体"/>
          <w:color w:val="auto"/>
          <w:sz w:val="24"/>
          <w:szCs w:val="24"/>
          <w:highlight w:val="none"/>
        </w:rPr>
        <w:t>须附上</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土建中间验收单（施工/监理/甲方三方盖章或供电局局盖章）；电气试验报告（含接地、绝缘、耐压）检测机构盖章；工程完工确认表（施工单位、监理单位、甲方盖章确认），停送电计划申请表（供电局调度批复）等资料。</w:t>
      </w:r>
    </w:p>
    <w:p w14:paraId="4E661E84">
      <w:pPr>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Times New Roman"/>
          <w:color w:val="auto"/>
          <w:sz w:val="24"/>
          <w:highlight w:val="none"/>
          <w:u w:val="none"/>
          <w:lang w:val="en-US" w:eastAsia="zh-CN"/>
        </w:rPr>
        <w:t>通电后</w:t>
      </w:r>
      <w:r>
        <w:rPr>
          <w:rFonts w:hint="eastAsia" w:ascii="宋体" w:hAnsi="宋体" w:cs="Times New Roman"/>
          <w:color w:val="auto"/>
          <w:sz w:val="24"/>
          <w:highlight w:val="none"/>
          <w:u w:val="none"/>
        </w:rPr>
        <w:t>，10个工作日内</w:t>
      </w:r>
      <w:r>
        <w:rPr>
          <w:rFonts w:hint="eastAsia" w:ascii="宋体" w:hAnsi="宋体" w:cs="Times New Roman"/>
          <w:color w:val="auto"/>
          <w:sz w:val="24"/>
          <w:highlight w:val="none"/>
          <w:u w:val="none"/>
          <w:lang w:val="en-US" w:eastAsia="zh-CN"/>
        </w:rPr>
        <w:t>甲方</w:t>
      </w:r>
      <w:r>
        <w:rPr>
          <w:rFonts w:hint="eastAsia" w:ascii="宋体" w:hAnsi="宋体" w:cs="Times New Roman"/>
          <w:color w:val="auto"/>
          <w:sz w:val="24"/>
          <w:highlight w:val="none"/>
          <w:u w:val="none"/>
        </w:rPr>
        <w:t>向乙方支付</w:t>
      </w:r>
      <w:r>
        <w:rPr>
          <w:rFonts w:hint="eastAsia" w:ascii="宋体" w:hAnsi="宋体" w:cs="Times New Roman"/>
          <w:color w:val="auto"/>
          <w:sz w:val="24"/>
          <w:highlight w:val="none"/>
          <w:u w:val="none"/>
          <w:lang w:eastAsia="zh-CN"/>
        </w:rPr>
        <w:t>至合同</w:t>
      </w:r>
      <w:r>
        <w:rPr>
          <w:rFonts w:hint="eastAsia" w:ascii="宋体" w:hAnsi="宋体" w:cs="Times New Roman"/>
          <w:color w:val="auto"/>
          <w:sz w:val="24"/>
          <w:highlight w:val="none"/>
          <w:u w:val="none"/>
        </w:rPr>
        <w:t>价的</w:t>
      </w:r>
      <w:r>
        <w:rPr>
          <w:rFonts w:hint="eastAsia" w:ascii="宋体" w:hAnsi="宋体" w:cs="Times New Roman"/>
          <w:color w:val="auto"/>
          <w:sz w:val="24"/>
          <w:highlight w:val="none"/>
          <w:u w:val="none"/>
          <w:lang w:val="en-US" w:eastAsia="zh-CN"/>
        </w:rPr>
        <w:t>85</w:t>
      </w:r>
      <w:r>
        <w:rPr>
          <w:rFonts w:hint="eastAsia" w:ascii="宋体" w:hAnsi="宋体" w:cs="Times New Roman"/>
          <w:color w:val="auto"/>
          <w:sz w:val="24"/>
          <w:highlight w:val="none"/>
          <w:u w:val="none"/>
        </w:rPr>
        <w:t>%</w:t>
      </w:r>
      <w:r>
        <w:rPr>
          <w:rFonts w:hint="eastAsia" w:ascii="宋体" w:hAnsi="宋体" w:cs="Times New Roman"/>
          <w:color w:val="auto"/>
          <w:sz w:val="24"/>
          <w:highlight w:val="none"/>
          <w:u w:val="none"/>
          <w:lang w:eastAsia="zh-CN"/>
        </w:rPr>
        <w:t>；请款资料</w:t>
      </w:r>
      <w:r>
        <w:rPr>
          <w:rFonts w:ascii="宋体" w:hAnsi="宋体" w:eastAsia="宋体" w:cs="宋体"/>
          <w:color w:val="auto"/>
          <w:sz w:val="24"/>
          <w:szCs w:val="24"/>
          <w:highlight w:val="none"/>
        </w:rPr>
        <w:t>须附上</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《验收合格通知书》，《供用电合同》、《电能计量装置装拆工作单》</w:t>
      </w:r>
      <w:r>
        <w:rPr>
          <w:rFonts w:hint="eastAsia" w:ascii="宋体" w:hAnsi="宋体" w:eastAsia="宋体" w:cs="宋体"/>
          <w:color w:val="auto"/>
          <w:sz w:val="24"/>
          <w:szCs w:val="24"/>
          <w:highlight w:val="none"/>
          <w:lang w:eastAsia="zh-CN"/>
        </w:rPr>
        <w:t>等资料。</w:t>
      </w:r>
    </w:p>
    <w:p w14:paraId="08A3DABC">
      <w:pPr>
        <w:spacing w:line="460" w:lineRule="exact"/>
        <w:ind w:firstLine="480" w:firstLineChars="200"/>
        <w:rPr>
          <w:rFonts w:hint="eastAsia" w:ascii="宋体" w:hAnsi="宋体" w:cs="Times New Roman"/>
          <w:color w:val="auto"/>
          <w:sz w:val="24"/>
          <w:highlight w:val="none"/>
          <w:lang w:eastAsia="zh-CN"/>
        </w:rPr>
      </w:pPr>
      <w:r>
        <w:rPr>
          <w:rFonts w:hint="eastAsia" w:ascii="宋体" w:hAnsi="宋体" w:cs="Times New Roman"/>
          <w:color w:val="auto"/>
          <w:sz w:val="24"/>
          <w:highlight w:val="none"/>
          <w:u w:val="none"/>
          <w:lang w:eastAsia="zh-CN"/>
        </w:rPr>
        <w:t>（</w:t>
      </w:r>
      <w:r>
        <w:rPr>
          <w:rFonts w:hint="eastAsia" w:ascii="宋体" w:hAnsi="宋体" w:cs="Times New Roman"/>
          <w:color w:val="auto"/>
          <w:sz w:val="24"/>
          <w:highlight w:val="none"/>
          <w:u w:val="none"/>
          <w:lang w:val="en-US" w:eastAsia="zh-CN"/>
        </w:rPr>
        <w:t>3</w:t>
      </w:r>
      <w:r>
        <w:rPr>
          <w:rFonts w:hint="eastAsia" w:ascii="宋体" w:hAnsi="宋体" w:cs="Times New Roman"/>
          <w:color w:val="auto"/>
          <w:sz w:val="24"/>
          <w:highlight w:val="none"/>
          <w:u w:val="none"/>
          <w:lang w:eastAsia="zh-CN"/>
        </w:rPr>
        <w:t>）</w:t>
      </w:r>
      <w:r>
        <w:rPr>
          <w:rFonts w:hint="eastAsia" w:ascii="宋体" w:hAnsi="宋体" w:cs="Times New Roman"/>
          <w:color w:val="auto"/>
          <w:sz w:val="24"/>
          <w:highlight w:val="none"/>
          <w:u w:val="none"/>
        </w:rPr>
        <w:t>完成结算后，10个工作日内</w:t>
      </w:r>
      <w:r>
        <w:rPr>
          <w:rFonts w:hint="eastAsia" w:ascii="宋体" w:hAnsi="宋体" w:cs="Times New Roman"/>
          <w:color w:val="auto"/>
          <w:sz w:val="24"/>
          <w:highlight w:val="none"/>
          <w:u w:val="none"/>
          <w:lang w:val="en-US" w:eastAsia="zh-CN"/>
        </w:rPr>
        <w:t>甲方</w:t>
      </w:r>
      <w:r>
        <w:rPr>
          <w:rFonts w:hint="eastAsia" w:ascii="宋体" w:hAnsi="宋体" w:cs="Times New Roman"/>
          <w:color w:val="auto"/>
          <w:sz w:val="24"/>
          <w:highlight w:val="none"/>
          <w:u w:val="none"/>
        </w:rPr>
        <w:t>向乙方支付</w:t>
      </w:r>
      <w:r>
        <w:rPr>
          <w:rFonts w:hint="eastAsia" w:ascii="宋体" w:hAnsi="宋体" w:cs="Times New Roman"/>
          <w:color w:val="auto"/>
          <w:sz w:val="24"/>
          <w:highlight w:val="none"/>
          <w:lang w:eastAsia="zh-CN"/>
        </w:rPr>
        <w:t>至</w:t>
      </w:r>
      <w:r>
        <w:rPr>
          <w:rFonts w:hint="eastAsia" w:ascii="宋体" w:hAnsi="宋体" w:cs="Times New Roman"/>
          <w:color w:val="auto"/>
          <w:sz w:val="24"/>
          <w:highlight w:val="none"/>
          <w:lang w:val="en-US" w:eastAsia="zh-CN"/>
        </w:rPr>
        <w:t>结算</w:t>
      </w:r>
      <w:r>
        <w:rPr>
          <w:rFonts w:hint="eastAsia" w:ascii="宋体" w:hAnsi="宋体" w:cs="Times New Roman"/>
          <w:color w:val="auto"/>
          <w:sz w:val="24"/>
          <w:highlight w:val="none"/>
        </w:rPr>
        <w:t>价的</w:t>
      </w:r>
      <w:r>
        <w:rPr>
          <w:rFonts w:hint="eastAsia" w:ascii="宋体" w:hAnsi="宋体" w:cs="Times New Roman"/>
          <w:color w:val="auto"/>
          <w:sz w:val="24"/>
          <w:highlight w:val="none"/>
          <w:lang w:val="en-US" w:eastAsia="zh-CN"/>
        </w:rPr>
        <w:t>97</w:t>
      </w:r>
      <w:r>
        <w:rPr>
          <w:rFonts w:hint="eastAsia" w:ascii="宋体" w:hAnsi="宋体" w:cs="Times New Roman"/>
          <w:color w:val="auto"/>
          <w:sz w:val="24"/>
          <w:highlight w:val="none"/>
        </w:rPr>
        <w:t>%</w:t>
      </w:r>
      <w:r>
        <w:rPr>
          <w:rFonts w:hint="eastAsia" w:ascii="宋体" w:hAnsi="宋体" w:cs="Times New Roman"/>
          <w:color w:val="auto"/>
          <w:sz w:val="24"/>
          <w:highlight w:val="none"/>
          <w:lang w:eastAsia="zh-CN"/>
        </w:rPr>
        <w:t>。</w:t>
      </w:r>
    </w:p>
    <w:p w14:paraId="72131353">
      <w:pPr>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4</w:t>
      </w:r>
      <w:r>
        <w:rPr>
          <w:rFonts w:hint="eastAsia" w:ascii="宋体" w:hAnsi="宋体" w:cs="Times New Roman"/>
          <w:color w:val="auto"/>
          <w:sz w:val="24"/>
          <w:highlight w:val="none"/>
          <w:lang w:eastAsia="zh-CN"/>
        </w:rPr>
        <w:t>）剩余结算价的</w:t>
      </w:r>
      <w:r>
        <w:rPr>
          <w:rFonts w:hint="eastAsia" w:ascii="宋体" w:hAnsi="宋体" w:cs="Times New Roman"/>
          <w:color w:val="auto"/>
          <w:sz w:val="24"/>
          <w:highlight w:val="none"/>
          <w:lang w:val="en-US" w:eastAsia="zh-CN"/>
        </w:rPr>
        <w:t>3%作为质保金，质保期为2年（</w:t>
      </w:r>
      <w:r>
        <w:rPr>
          <w:rFonts w:hint="eastAsia" w:ascii="宋体" w:hAnsi="宋体" w:cs="Times New Roman"/>
          <w:color w:val="auto"/>
          <w:sz w:val="24"/>
          <w:highlight w:val="none"/>
          <w:u w:val="none"/>
          <w:lang w:val="en-US" w:eastAsia="zh-CN"/>
        </w:rPr>
        <w:t>通电后起计</w:t>
      </w:r>
      <w:r>
        <w:rPr>
          <w:rFonts w:hint="eastAsia" w:ascii="宋体" w:hAnsi="宋体" w:cs="Times New Roman"/>
          <w:color w:val="auto"/>
          <w:sz w:val="24"/>
          <w:highlight w:val="none"/>
          <w:lang w:val="en-US" w:eastAsia="zh-CN"/>
        </w:rPr>
        <w:t>）；质保期内若无质量问题，质保金在质保期后无息退还。</w:t>
      </w:r>
    </w:p>
    <w:p w14:paraId="67377FCF">
      <w:pPr>
        <w:spacing w:line="460" w:lineRule="exact"/>
        <w:ind w:firstLine="480" w:firstLineChars="200"/>
        <w:rPr>
          <w:rFonts w:hint="eastAsia" w:ascii="宋体" w:hAnsi="宋体" w:cs="Times New Roman"/>
          <w:color w:val="auto"/>
          <w:sz w:val="24"/>
          <w:highlight w:val="none"/>
          <w:u w:val="none"/>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5</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eastAsia="zh-Hans"/>
        </w:rPr>
        <w:t>乙方需在甲方付款前出具</w:t>
      </w:r>
      <w:r>
        <w:rPr>
          <w:rFonts w:hint="eastAsia" w:ascii="宋体" w:hAnsi="宋体" w:cs="Times New Roman"/>
          <w:color w:val="auto"/>
          <w:sz w:val="24"/>
          <w:highlight w:val="none"/>
        </w:rPr>
        <w:t>请款函及</w:t>
      </w:r>
      <w:r>
        <w:rPr>
          <w:rFonts w:hint="eastAsia" w:ascii="宋体" w:hAnsi="宋体" w:cs="Times New Roman"/>
          <w:color w:val="auto"/>
          <w:sz w:val="24"/>
          <w:highlight w:val="none"/>
          <w:lang w:eastAsia="zh-Hans"/>
        </w:rPr>
        <w:t>合法等额有效</w:t>
      </w:r>
      <w:r>
        <w:rPr>
          <w:rFonts w:hint="eastAsia" w:ascii="宋体" w:hAnsi="宋体" w:cs="Times New Roman"/>
          <w:color w:val="auto"/>
          <w:sz w:val="24"/>
          <w:highlight w:val="none"/>
        </w:rPr>
        <w:t>的增值税专用</w:t>
      </w:r>
      <w:r>
        <w:rPr>
          <w:rFonts w:hint="eastAsia" w:ascii="宋体" w:hAnsi="宋体" w:cs="Times New Roman"/>
          <w:color w:val="auto"/>
          <w:sz w:val="24"/>
          <w:highlight w:val="none"/>
          <w:lang w:eastAsia="zh-Hans"/>
        </w:rPr>
        <w:t>发票</w:t>
      </w:r>
      <w:r>
        <w:rPr>
          <w:rFonts w:hint="eastAsia" w:ascii="宋体" w:hAnsi="宋体" w:cs="Times New Roman"/>
          <w:color w:val="auto"/>
          <w:sz w:val="24"/>
          <w:highlight w:val="none"/>
          <w:lang w:val="en-US" w:eastAsia="zh-CN"/>
        </w:rPr>
        <w:t>以及甲方要求其他请款材料</w:t>
      </w:r>
      <w:r>
        <w:rPr>
          <w:rFonts w:hint="eastAsia" w:ascii="宋体" w:hAnsi="宋体" w:cs="Times New Roman"/>
          <w:color w:val="auto"/>
          <w:sz w:val="24"/>
          <w:highlight w:val="none"/>
        </w:rPr>
        <w:t>。</w:t>
      </w:r>
      <w:r>
        <w:rPr>
          <w:rFonts w:hint="eastAsia" w:ascii="宋体" w:hAnsi="宋体" w:cs="Times New Roman"/>
          <w:color w:val="auto"/>
          <w:sz w:val="24"/>
          <w:highlight w:val="none"/>
          <w:lang w:eastAsia="zh-Hans"/>
        </w:rPr>
        <w:t>若乙方未及时提交请款材料，甲方可顺延付款时间且不承担违约责任。</w:t>
      </w:r>
    </w:p>
    <w:p w14:paraId="7560C83C">
      <w:pPr>
        <w:spacing w:line="460" w:lineRule="exact"/>
        <w:ind w:firstLine="480" w:firstLineChars="200"/>
        <w:rPr>
          <w:rFonts w:ascii="宋体"/>
          <w:color w:val="auto"/>
          <w:sz w:val="24"/>
          <w:highlight w:val="none"/>
        </w:rPr>
      </w:pPr>
      <w:r>
        <w:rPr>
          <w:rFonts w:hint="eastAsia" w:ascii="宋体" w:hAnsi="宋体" w:cs="Times New Roman"/>
          <w:color w:val="auto"/>
          <w:sz w:val="24"/>
          <w:highlight w:val="none"/>
        </w:rPr>
        <w:t>二、甲方应当以银行转账的方式向乙方支付</w:t>
      </w:r>
      <w:r>
        <w:rPr>
          <w:rFonts w:hint="eastAsia" w:ascii="宋体" w:hAnsi="宋体"/>
          <w:color w:val="auto"/>
          <w:sz w:val="24"/>
          <w:highlight w:val="none"/>
        </w:rPr>
        <w:t>上述工程价款，除此之外，乙方不接受甲方以其他方式支付工程款。甲方未按照上述约定方式支付工程款的，视为甲方未履行付款义务，甲方应承担相应责任。</w:t>
      </w:r>
    </w:p>
    <w:p w14:paraId="2B878EEA">
      <w:pPr>
        <w:spacing w:line="460" w:lineRule="exact"/>
        <w:ind w:firstLine="480" w:firstLineChars="200"/>
        <w:rPr>
          <w:rFonts w:ascii="宋体"/>
          <w:color w:val="auto"/>
          <w:sz w:val="24"/>
          <w:highlight w:val="none"/>
        </w:rPr>
      </w:pPr>
      <w:r>
        <w:rPr>
          <w:rFonts w:hint="eastAsia" w:ascii="宋体" w:hAnsi="宋体"/>
          <w:color w:val="auto"/>
          <w:sz w:val="24"/>
          <w:highlight w:val="none"/>
        </w:rPr>
        <w:t>乙方收款信息如下：</w:t>
      </w:r>
    </w:p>
    <w:p w14:paraId="2B46CD79">
      <w:pPr>
        <w:spacing w:line="460" w:lineRule="exact"/>
        <w:ind w:firstLine="480" w:firstLineChars="200"/>
        <w:rPr>
          <w:rFonts w:hint="eastAsia" w:ascii="宋体" w:eastAsia="宋体"/>
          <w:color w:val="auto"/>
          <w:sz w:val="24"/>
          <w:highlight w:val="none"/>
          <w:lang w:eastAsia="zh-CN"/>
        </w:rPr>
      </w:pPr>
      <w:r>
        <w:rPr>
          <w:rFonts w:hint="eastAsia" w:ascii="宋体" w:hAnsi="宋体"/>
          <w:color w:val="auto"/>
          <w:sz w:val="24"/>
          <w:highlight w:val="none"/>
        </w:rPr>
        <w:t>收款单位名称：</w:t>
      </w:r>
    </w:p>
    <w:p w14:paraId="41FADAA9">
      <w:pPr>
        <w:spacing w:line="460" w:lineRule="exact"/>
        <w:ind w:firstLine="480" w:firstLineChars="200"/>
        <w:rPr>
          <w:rFonts w:ascii="宋体"/>
          <w:color w:val="auto"/>
          <w:sz w:val="24"/>
          <w:highlight w:val="none"/>
        </w:rPr>
      </w:pPr>
      <w:r>
        <w:rPr>
          <w:rFonts w:hint="eastAsia" w:ascii="宋体" w:hAnsi="宋体"/>
          <w:color w:val="auto"/>
          <w:sz w:val="24"/>
          <w:highlight w:val="none"/>
        </w:rPr>
        <w:t>开户银行：</w:t>
      </w:r>
    </w:p>
    <w:p w14:paraId="79173033">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帐号：</w:t>
      </w:r>
    </w:p>
    <w:p w14:paraId="29D362C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联系电话：</w:t>
      </w:r>
    </w:p>
    <w:p w14:paraId="7117D768">
      <w:pPr>
        <w:numPr>
          <w:ilvl w:val="0"/>
          <w:numId w:val="2"/>
        </w:num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乙方收到甲方通知，可以开具发票</w:t>
      </w:r>
      <w:r>
        <w:rPr>
          <w:rFonts w:ascii="宋体" w:hAnsi="宋体"/>
          <w:color w:val="auto"/>
          <w:sz w:val="24"/>
          <w:highlight w:val="none"/>
        </w:rPr>
        <w:t>7</w:t>
      </w:r>
      <w:r>
        <w:rPr>
          <w:rFonts w:hint="eastAsia" w:ascii="宋体" w:hAnsi="宋体"/>
          <w:color w:val="auto"/>
          <w:sz w:val="24"/>
          <w:highlight w:val="none"/>
        </w:rPr>
        <w:t>日内，依法开具增值税专用发票给甲方。</w:t>
      </w:r>
    </w:p>
    <w:p w14:paraId="275DA90B">
      <w:pPr>
        <w:spacing w:line="500" w:lineRule="exact"/>
        <w:ind w:firstLine="570"/>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eastAsia="zh-CN"/>
        </w:rPr>
        <w:t>七</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工程验收</w:t>
      </w:r>
    </w:p>
    <w:p w14:paraId="7CE96BF3">
      <w:pPr>
        <w:spacing w:line="500" w:lineRule="exact"/>
        <w:ind w:firstLine="570"/>
        <w:rPr>
          <w:rFonts w:ascii="宋体"/>
          <w:color w:val="auto"/>
          <w:sz w:val="24"/>
          <w:highlight w:val="none"/>
        </w:rPr>
      </w:pPr>
      <w:r>
        <w:rPr>
          <w:rFonts w:hint="eastAsia" w:ascii="宋体" w:hAnsi="宋体"/>
          <w:color w:val="auto"/>
          <w:sz w:val="24"/>
          <w:highlight w:val="none"/>
        </w:rPr>
        <w:t>一、本工程验收，以国家、省、市及工程所在地供电部门颁发的相关电气安装工程施工及验收规范、竣工验收规定及施工图纸及说明书、施工技术文件为依据，并以工程所在地供电部门的验收合格为最终验收标准。</w:t>
      </w:r>
    </w:p>
    <w:p w14:paraId="709024A6">
      <w:pPr>
        <w:spacing w:line="500" w:lineRule="exact"/>
        <w:ind w:firstLine="570"/>
        <w:rPr>
          <w:rFonts w:ascii="宋体"/>
          <w:color w:val="auto"/>
          <w:sz w:val="24"/>
          <w:highlight w:val="none"/>
        </w:rPr>
      </w:pPr>
      <w:r>
        <w:rPr>
          <w:rFonts w:hint="eastAsia" w:ascii="宋体" w:hAnsi="宋体"/>
          <w:color w:val="auto"/>
          <w:sz w:val="24"/>
          <w:highlight w:val="none"/>
        </w:rPr>
        <w:t>二、本工程以供电部门相关规范要求为验收标准，需配合进行其他相关部门验收时，甲方应在施工前通知乙方，乙方应在承包范围内配合甲方进行验收工作。但在验收标准冲突、无法调和时，为确保顺利送电，乙方只按供电部门规范进行施工，但乙方有义务提前书面告知甲方验收标准冲突并提出合理建议。</w:t>
      </w:r>
    </w:p>
    <w:p w14:paraId="4412769D">
      <w:pPr>
        <w:spacing w:line="500" w:lineRule="exact"/>
        <w:ind w:firstLine="570"/>
        <w:rPr>
          <w:rFonts w:ascii="宋体"/>
          <w:color w:val="auto"/>
          <w:sz w:val="24"/>
          <w:highlight w:val="none"/>
        </w:rPr>
      </w:pPr>
      <w:r>
        <w:rPr>
          <w:rFonts w:hint="eastAsia" w:ascii="宋体" w:hAnsi="宋体"/>
          <w:color w:val="auto"/>
          <w:sz w:val="24"/>
          <w:highlight w:val="none"/>
        </w:rPr>
        <w:t>三、工程经供电部门竣工验收合格后，甲方方可投入使用。</w:t>
      </w:r>
    </w:p>
    <w:p w14:paraId="7CB5B746">
      <w:pPr>
        <w:spacing w:line="500" w:lineRule="exact"/>
        <w:ind w:left="570"/>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eastAsia="zh-CN"/>
        </w:rPr>
        <w:t>八</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质量保修</w:t>
      </w:r>
    </w:p>
    <w:p w14:paraId="783524DE">
      <w:pPr>
        <w:pStyle w:val="6"/>
        <w:spacing w:line="500" w:lineRule="exact"/>
        <w:rPr>
          <w:color w:val="auto"/>
          <w:highlight w:val="none"/>
        </w:rPr>
      </w:pPr>
      <w:r>
        <w:rPr>
          <w:rFonts w:hint="eastAsia"/>
          <w:color w:val="auto"/>
          <w:highlight w:val="none"/>
        </w:rPr>
        <w:t>一、乙方应按《中华人民共和国建筑法》《建设工程质量管理条例》的有关规定，对交付甲方使用的工程在质量保修期内承担质量保修责任。</w:t>
      </w:r>
    </w:p>
    <w:p w14:paraId="0E9F43BE">
      <w:pPr>
        <w:spacing w:line="500" w:lineRule="exact"/>
        <w:ind w:firstLine="570"/>
        <w:rPr>
          <w:rFonts w:ascii="宋体"/>
          <w:color w:val="auto"/>
          <w:sz w:val="24"/>
          <w:highlight w:val="none"/>
        </w:rPr>
      </w:pPr>
      <w:r>
        <w:rPr>
          <w:rFonts w:hint="eastAsia" w:ascii="宋体" w:hAnsi="宋体"/>
          <w:color w:val="auto"/>
          <w:sz w:val="24"/>
          <w:highlight w:val="none"/>
        </w:rPr>
        <w:t>二、保修期为本工程装表送电之日起壹年内，保修期内如属乙方提供的设备材料质量或施工方面等引起的使用质量问题，乙方应无偿及时给予修复。因甲方使用不善、第三人损坏等其他原因造成的工程质量问题，乙方无须承担保修责任，但需告知甲方质量问题产生的原因，如甲方委托乙方进行维修，双方应另行签订合同。</w:t>
      </w:r>
    </w:p>
    <w:p w14:paraId="02C62D64">
      <w:pPr>
        <w:spacing w:line="500" w:lineRule="exact"/>
        <w:ind w:firstLine="570"/>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eastAsia="zh-CN"/>
        </w:rPr>
        <w:t>九</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违约责任</w:t>
      </w:r>
    </w:p>
    <w:p w14:paraId="49A9E8EE">
      <w:pPr>
        <w:spacing w:line="500" w:lineRule="exact"/>
        <w:ind w:firstLine="573"/>
        <w:rPr>
          <w:rFonts w:ascii="宋体"/>
          <w:color w:val="auto"/>
          <w:sz w:val="24"/>
          <w:highlight w:val="none"/>
        </w:rPr>
      </w:pPr>
      <w:r>
        <w:rPr>
          <w:rFonts w:hint="eastAsia" w:ascii="宋体" w:hAnsi="宋体"/>
          <w:color w:val="auto"/>
          <w:sz w:val="24"/>
          <w:highlight w:val="none"/>
        </w:rPr>
        <w:t>甲方的责任：</w:t>
      </w:r>
    </w:p>
    <w:p w14:paraId="12628545">
      <w:pPr>
        <w:spacing w:line="560" w:lineRule="exact"/>
        <w:ind w:firstLine="560"/>
        <w:rPr>
          <w:rFonts w:ascii="宋体"/>
          <w:color w:val="auto"/>
          <w:sz w:val="24"/>
          <w:highlight w:val="none"/>
        </w:rPr>
      </w:pPr>
      <w:r>
        <w:rPr>
          <w:rFonts w:hint="eastAsia" w:ascii="宋体" w:hAnsi="宋体"/>
          <w:color w:val="auto"/>
          <w:sz w:val="24"/>
          <w:highlight w:val="none"/>
        </w:rPr>
        <w:t>一、未能按照合同的约定履行自己应负义务的，竣工日期应当顺延。</w:t>
      </w:r>
    </w:p>
    <w:p w14:paraId="73790917">
      <w:pPr>
        <w:spacing w:line="500" w:lineRule="exact"/>
        <w:ind w:firstLine="573"/>
        <w:rPr>
          <w:rFonts w:ascii="宋体" w:hAnsi="宋体"/>
          <w:color w:val="auto"/>
          <w:sz w:val="24"/>
          <w:highlight w:val="none"/>
        </w:rPr>
      </w:pPr>
      <w:r>
        <w:rPr>
          <w:rFonts w:hint="eastAsia" w:ascii="宋体" w:hAnsi="宋体"/>
          <w:color w:val="auto"/>
          <w:sz w:val="24"/>
          <w:highlight w:val="none"/>
        </w:rPr>
        <w:t>二、工程中途因甲方原因造成停建、缓建造成的返工，应采取措施弥补或减少损失。</w:t>
      </w:r>
    </w:p>
    <w:p w14:paraId="1625A00A">
      <w:pPr>
        <w:spacing w:line="500" w:lineRule="exact"/>
        <w:ind w:firstLine="573"/>
        <w:rPr>
          <w:rFonts w:ascii="宋体" w:hAnsi="宋体"/>
          <w:color w:val="auto"/>
          <w:sz w:val="24"/>
          <w:highlight w:val="none"/>
        </w:rPr>
      </w:pPr>
      <w:r>
        <w:rPr>
          <w:rFonts w:hint="eastAsia" w:ascii="宋体" w:hAnsi="宋体"/>
          <w:color w:val="auto"/>
          <w:sz w:val="24"/>
          <w:highlight w:val="none"/>
        </w:rPr>
        <w:t>三、工程未经验收，甲方提前使用或擅自动用，由此而发生的质量或其他问题，由甲方承担责任。</w:t>
      </w:r>
    </w:p>
    <w:p w14:paraId="5C2B4A51">
      <w:pPr>
        <w:spacing w:line="560" w:lineRule="exact"/>
        <w:ind w:firstLine="560"/>
        <w:rPr>
          <w:rFonts w:ascii="宋体"/>
          <w:color w:val="auto"/>
          <w:sz w:val="24"/>
          <w:highlight w:val="none"/>
        </w:rPr>
      </w:pPr>
      <w:r>
        <w:rPr>
          <w:rFonts w:hint="eastAsia" w:ascii="宋体" w:hAnsi="宋体"/>
          <w:color w:val="auto"/>
          <w:sz w:val="24"/>
          <w:highlight w:val="none"/>
        </w:rPr>
        <w:t>四、甲方不按合同约定支付工程款，每逾期一日，应按工程费用总额每日</w:t>
      </w:r>
      <w:r>
        <w:rPr>
          <w:rFonts w:hint="eastAsia" w:ascii="宋体" w:hAnsi="宋体"/>
          <w:color w:val="auto"/>
          <w:sz w:val="24"/>
          <w:highlight w:val="none"/>
          <w:lang w:eastAsia="zh-CN"/>
        </w:rPr>
        <w:t>万分之一</w:t>
      </w:r>
      <w:r>
        <w:rPr>
          <w:rFonts w:hint="eastAsia" w:ascii="宋体" w:hAnsi="宋体"/>
          <w:color w:val="auto"/>
          <w:sz w:val="24"/>
          <w:highlight w:val="none"/>
        </w:rPr>
        <w:t>向乙方支付违约金。如甲方欠付多期工程款，逾期付款违约金应当叠加计算。甲方逾期支付任意一期工程款超过30日，乙方有权单方解除本合同，并要求甲方支付工程费用总额的</w:t>
      </w:r>
      <w:r>
        <w:rPr>
          <w:rFonts w:ascii="宋体" w:hAnsi="宋体"/>
          <w:color w:val="auto"/>
          <w:sz w:val="24"/>
          <w:highlight w:val="none"/>
        </w:rPr>
        <w:t>20%</w:t>
      </w:r>
      <w:r>
        <w:rPr>
          <w:rFonts w:hint="eastAsia" w:ascii="宋体" w:hAnsi="宋体"/>
          <w:color w:val="auto"/>
          <w:sz w:val="24"/>
          <w:highlight w:val="none"/>
        </w:rPr>
        <w:t>作为违约金。因此造成乙方的损失，甲方应当另行赔偿。</w:t>
      </w:r>
    </w:p>
    <w:p w14:paraId="29524732">
      <w:pPr>
        <w:spacing w:line="500" w:lineRule="exact"/>
        <w:ind w:firstLine="573"/>
        <w:rPr>
          <w:rFonts w:ascii="宋体"/>
          <w:color w:val="auto"/>
          <w:sz w:val="24"/>
          <w:highlight w:val="none"/>
        </w:rPr>
      </w:pPr>
      <w:r>
        <w:rPr>
          <w:rFonts w:hint="eastAsia" w:ascii="宋体" w:hAnsi="宋体"/>
          <w:color w:val="auto"/>
          <w:sz w:val="24"/>
          <w:highlight w:val="none"/>
        </w:rPr>
        <w:t>五、乙方按合同约定完成施工，因甲方未按合同约定支付工程款、甲方负责的施工部分未按时完成等非乙方原因而导致工程不能按正常时间申报供电部门竣工验收或送电的，从</w:t>
      </w:r>
      <w:r>
        <w:rPr>
          <w:rFonts w:hint="eastAsia" w:ascii="宋体" w:hAnsi="宋体"/>
          <w:color w:val="auto"/>
          <w:sz w:val="24"/>
          <w:highlight w:val="none"/>
          <w:lang w:eastAsia="zh-CN"/>
        </w:rPr>
        <w:t>乙方</w:t>
      </w:r>
      <w:r>
        <w:rPr>
          <w:rFonts w:hint="eastAsia" w:ascii="宋体" w:hAnsi="宋体"/>
          <w:color w:val="auto"/>
          <w:sz w:val="24"/>
          <w:highlight w:val="none"/>
        </w:rPr>
        <w:t>提交竣工验收报告之日（竣工之日）起，工程毁损灭失的风险由甲方承担，现场设备看护责任由甲方承担；甲方应配合乙方办理设备移交手续或支付乙方额外增加的看护费用。</w:t>
      </w:r>
    </w:p>
    <w:p w14:paraId="52AAFA35">
      <w:pPr>
        <w:spacing w:line="500" w:lineRule="exact"/>
        <w:ind w:firstLine="570"/>
        <w:rPr>
          <w:rFonts w:ascii="宋体"/>
          <w:color w:val="auto"/>
          <w:sz w:val="24"/>
          <w:highlight w:val="none"/>
        </w:rPr>
      </w:pPr>
      <w:r>
        <w:rPr>
          <w:rFonts w:hint="eastAsia" w:ascii="宋体" w:hAnsi="宋体"/>
          <w:color w:val="auto"/>
          <w:sz w:val="24"/>
          <w:highlight w:val="none"/>
        </w:rPr>
        <w:t>六、甲方需乙方提供竣工资料的，应在合同签订后三日内就所需资料及样式向乙方提供书面说明及</w:t>
      </w:r>
      <w:r>
        <w:rPr>
          <w:rFonts w:hint="eastAsia" w:ascii="宋体" w:hAnsi="宋体"/>
          <w:color w:val="auto"/>
          <w:sz w:val="24"/>
          <w:highlight w:val="none"/>
          <w:lang w:eastAsia="zh-CN"/>
        </w:rPr>
        <w:t>模板</w:t>
      </w:r>
      <w:r>
        <w:rPr>
          <w:rFonts w:hint="eastAsia" w:ascii="宋体" w:hAnsi="宋体"/>
          <w:color w:val="auto"/>
          <w:sz w:val="24"/>
          <w:highlight w:val="none"/>
        </w:rPr>
        <w:t>，甲方未事先说明的，乙方无义务提供相应资料。甲方不得以资料未提交为理由拖延工程款支付，拖延支付的按逾期支付工程款处理。</w:t>
      </w:r>
    </w:p>
    <w:p w14:paraId="7555BF22">
      <w:pPr>
        <w:spacing w:line="500" w:lineRule="exact"/>
        <w:ind w:firstLine="573"/>
        <w:rPr>
          <w:rFonts w:ascii="宋体"/>
          <w:color w:val="auto"/>
          <w:sz w:val="24"/>
          <w:highlight w:val="none"/>
        </w:rPr>
      </w:pPr>
      <w:r>
        <w:rPr>
          <w:rFonts w:hint="eastAsia" w:ascii="宋体" w:hAnsi="宋体"/>
          <w:color w:val="auto"/>
          <w:sz w:val="24"/>
          <w:highlight w:val="none"/>
        </w:rPr>
        <w:t>乙方的责任：</w:t>
      </w:r>
    </w:p>
    <w:p w14:paraId="163BA113">
      <w:pPr>
        <w:spacing w:line="500" w:lineRule="exact"/>
        <w:ind w:firstLine="573"/>
        <w:rPr>
          <w:rFonts w:ascii="宋体"/>
          <w:color w:val="auto"/>
          <w:sz w:val="24"/>
          <w:highlight w:val="none"/>
        </w:rPr>
      </w:pPr>
      <w:r>
        <w:rPr>
          <w:rFonts w:hint="eastAsia" w:ascii="宋体" w:hAnsi="宋体"/>
          <w:color w:val="auto"/>
          <w:sz w:val="24"/>
          <w:highlight w:val="none"/>
        </w:rPr>
        <w:t>一、因乙方原因造成工程质量不符合合同约定的，负责无偿修理或返工。由于修理或返工造成逾期交付的，按工程总额的</w:t>
      </w:r>
      <w:r>
        <w:rPr>
          <w:rFonts w:hint="eastAsia" w:ascii="宋体" w:hAnsi="宋体"/>
          <w:color w:val="auto"/>
          <w:sz w:val="24"/>
          <w:highlight w:val="none"/>
          <w:lang w:eastAsia="zh-CN"/>
        </w:rPr>
        <w:t>万分之一</w:t>
      </w:r>
      <w:r>
        <w:rPr>
          <w:rFonts w:hint="eastAsia" w:ascii="宋体" w:hAnsi="宋体"/>
          <w:color w:val="auto"/>
          <w:sz w:val="24"/>
          <w:highlight w:val="none"/>
        </w:rPr>
        <w:t>每日支付逾期违约金。</w:t>
      </w:r>
    </w:p>
    <w:p w14:paraId="0B5968D0">
      <w:pPr>
        <w:spacing w:line="500" w:lineRule="exact"/>
        <w:ind w:firstLine="573"/>
        <w:rPr>
          <w:rFonts w:ascii="宋体"/>
          <w:color w:val="auto"/>
          <w:sz w:val="24"/>
          <w:highlight w:val="none"/>
        </w:rPr>
      </w:pPr>
      <w:r>
        <w:rPr>
          <w:rFonts w:hint="eastAsia" w:ascii="宋体" w:hAnsi="宋体"/>
          <w:color w:val="auto"/>
          <w:sz w:val="24"/>
          <w:highlight w:val="none"/>
        </w:rPr>
        <w:t>二、因乙方原因导致工程不能按合同约定的工期交付使用的，按工程总额的</w:t>
      </w:r>
      <w:r>
        <w:rPr>
          <w:rFonts w:hint="eastAsia" w:ascii="宋体" w:hAnsi="宋体"/>
          <w:color w:val="auto"/>
          <w:sz w:val="24"/>
          <w:highlight w:val="none"/>
          <w:lang w:eastAsia="zh-CN"/>
        </w:rPr>
        <w:t>万分之一</w:t>
      </w:r>
      <w:r>
        <w:rPr>
          <w:rFonts w:hint="eastAsia" w:ascii="宋体" w:hAnsi="宋体"/>
          <w:color w:val="auto"/>
          <w:sz w:val="24"/>
          <w:highlight w:val="none"/>
        </w:rPr>
        <w:t>每日偿付逾期违约金，逾期完工超过30日，甲方有权单方解除本合同，并要求乙方支付工程费用总额的20%作为违约金。因此造成甲方的损失，乙方应当另行赔偿。</w:t>
      </w:r>
    </w:p>
    <w:p w14:paraId="5AF5E9F5">
      <w:pPr>
        <w:spacing w:line="500" w:lineRule="exact"/>
        <w:ind w:firstLine="573"/>
        <w:rPr>
          <w:rFonts w:ascii="宋体"/>
          <w:color w:val="auto"/>
          <w:sz w:val="24"/>
          <w:highlight w:val="none"/>
        </w:rPr>
      </w:pPr>
      <w:r>
        <w:rPr>
          <w:rFonts w:hint="eastAsia" w:ascii="宋体" w:hAnsi="宋体"/>
          <w:color w:val="auto"/>
          <w:sz w:val="24"/>
          <w:highlight w:val="none"/>
        </w:rPr>
        <w:t>三、经甲方同意，乙方可以将部分工程分包给具有资质的第三人进行，但主体结构的施工必须由乙方自行完成。</w:t>
      </w:r>
    </w:p>
    <w:p w14:paraId="4F340B33">
      <w:pPr>
        <w:spacing w:line="500" w:lineRule="exact"/>
        <w:ind w:firstLine="570"/>
        <w:rPr>
          <w:rFonts w:ascii="宋体"/>
          <w:color w:val="auto"/>
          <w:sz w:val="24"/>
          <w:highlight w:val="none"/>
        </w:rPr>
      </w:pPr>
      <w:r>
        <w:rPr>
          <w:rFonts w:hint="eastAsia" w:ascii="宋体" w:hAnsi="宋体"/>
          <w:b/>
          <w:bCs/>
          <w:color w:val="auto"/>
          <w:sz w:val="24"/>
          <w:highlight w:val="none"/>
        </w:rPr>
        <w:t>第十条</w:t>
      </w:r>
      <w:r>
        <w:rPr>
          <w:rFonts w:ascii="宋体" w:hAnsi="宋体"/>
          <w:b/>
          <w:bCs/>
          <w:color w:val="auto"/>
          <w:sz w:val="24"/>
          <w:highlight w:val="none"/>
        </w:rPr>
        <w:t xml:space="preserve"> </w:t>
      </w:r>
      <w:r>
        <w:rPr>
          <w:rFonts w:hint="eastAsia" w:ascii="宋体" w:hAnsi="宋体"/>
          <w:b/>
          <w:bCs/>
          <w:color w:val="auto"/>
          <w:sz w:val="24"/>
          <w:highlight w:val="none"/>
        </w:rPr>
        <w:t>合同争议的解决方式</w:t>
      </w:r>
    </w:p>
    <w:p w14:paraId="369642E1">
      <w:pPr>
        <w:spacing w:line="500" w:lineRule="exact"/>
        <w:ind w:firstLine="573"/>
        <w:rPr>
          <w:rFonts w:ascii="宋体"/>
          <w:color w:val="auto"/>
          <w:sz w:val="24"/>
          <w:highlight w:val="none"/>
        </w:rPr>
      </w:pPr>
      <w:r>
        <w:rPr>
          <w:rFonts w:hint="eastAsia" w:ascii="宋体" w:hAnsi="宋体"/>
          <w:color w:val="auto"/>
          <w:sz w:val="24"/>
          <w:highlight w:val="none"/>
        </w:rPr>
        <w:t>本合同在履行过程中发生的争议，当事人双方协商解决。协商不成的，向工程项目所在地人民法院提起诉讼。违约方应当承担守约方处理本合同项下纠纷所产生的诉讼费、律师费、差旅费等相关费用。</w:t>
      </w:r>
    </w:p>
    <w:p w14:paraId="2E50C4C4">
      <w:pPr>
        <w:pStyle w:val="4"/>
        <w:spacing w:line="500" w:lineRule="exact"/>
        <w:rPr>
          <w:rFonts w:ascii="宋体"/>
          <w:color w:val="auto"/>
          <w:sz w:val="24"/>
          <w:highlight w:val="none"/>
        </w:rPr>
      </w:pPr>
      <w:r>
        <w:rPr>
          <w:rFonts w:hint="eastAsia" w:ascii="宋体" w:hAnsi="宋体"/>
          <w:b/>
          <w:bCs/>
          <w:color w:val="auto"/>
          <w:sz w:val="24"/>
          <w:highlight w:val="none"/>
        </w:rPr>
        <w:t>第十</w:t>
      </w:r>
      <w:r>
        <w:rPr>
          <w:rFonts w:hint="eastAsia" w:ascii="宋体" w:hAnsi="宋体"/>
          <w:b/>
          <w:bCs/>
          <w:color w:val="auto"/>
          <w:sz w:val="24"/>
          <w:highlight w:val="none"/>
          <w:lang w:eastAsia="zh-CN"/>
        </w:rPr>
        <w:t>一</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附则</w:t>
      </w:r>
    </w:p>
    <w:p w14:paraId="5C40053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一、本合同一式</w:t>
      </w:r>
      <w:r>
        <w:rPr>
          <w:rFonts w:hint="eastAsia" w:ascii="宋体" w:hAnsi="宋体"/>
          <w:color w:val="auto"/>
          <w:sz w:val="24"/>
          <w:highlight w:val="none"/>
          <w:lang w:eastAsia="zh-CN"/>
        </w:rPr>
        <w:t>捌</w:t>
      </w:r>
      <w:r>
        <w:rPr>
          <w:rFonts w:hint="eastAsia" w:ascii="宋体" w:hAnsi="宋体"/>
          <w:color w:val="auto"/>
          <w:sz w:val="24"/>
          <w:highlight w:val="none"/>
        </w:rPr>
        <w:t>份，各单位执</w:t>
      </w:r>
      <w:r>
        <w:rPr>
          <w:rFonts w:hint="eastAsia" w:ascii="宋体" w:hAnsi="宋体"/>
          <w:color w:val="auto"/>
          <w:sz w:val="24"/>
          <w:highlight w:val="none"/>
          <w:lang w:eastAsia="zh-CN"/>
        </w:rPr>
        <w:t>肆</w:t>
      </w:r>
      <w:r>
        <w:rPr>
          <w:rFonts w:hint="eastAsia" w:ascii="宋体" w:hAnsi="宋体"/>
          <w:color w:val="auto"/>
          <w:sz w:val="24"/>
          <w:highlight w:val="none"/>
        </w:rPr>
        <w:t>份，均</w:t>
      </w:r>
      <w:r>
        <w:rPr>
          <w:rFonts w:hint="eastAsia" w:ascii="宋体" w:hAnsi="宋体"/>
          <w:color w:val="auto"/>
          <w:sz w:val="24"/>
          <w:highlight w:val="none"/>
          <w:lang w:eastAsia="zh-CN"/>
        </w:rPr>
        <w:t>具有</w:t>
      </w:r>
      <w:r>
        <w:rPr>
          <w:rFonts w:hint="eastAsia" w:ascii="宋体" w:hAnsi="宋体"/>
          <w:color w:val="auto"/>
          <w:sz w:val="24"/>
          <w:highlight w:val="none"/>
        </w:rPr>
        <w:t>同等法律效力。</w:t>
      </w:r>
    </w:p>
    <w:p w14:paraId="7AD669D7">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二、本合同自双方代表签字，加盖双方公章或合同专用章后生效；工程竣工验收符合要求，双方结清工程款后终止。</w:t>
      </w:r>
    </w:p>
    <w:p w14:paraId="58A5C014">
      <w:pPr>
        <w:spacing w:line="500" w:lineRule="exact"/>
        <w:ind w:firstLine="573"/>
        <w:rPr>
          <w:rFonts w:hint="eastAsia" w:ascii="宋体" w:hAnsi="宋体"/>
          <w:color w:val="auto"/>
          <w:sz w:val="24"/>
          <w:highlight w:val="none"/>
        </w:rPr>
      </w:pPr>
      <w:r>
        <w:rPr>
          <w:rFonts w:hint="eastAsia" w:ascii="宋体" w:hAnsi="宋体"/>
          <w:color w:val="auto"/>
          <w:sz w:val="24"/>
          <w:highlight w:val="none"/>
        </w:rPr>
        <w:t>三、本合同签订后，承、发包双方如需要提出修改时，经双方协商一致后，可以签订补充协议，作为本合同的补充合同。</w:t>
      </w:r>
    </w:p>
    <w:p w14:paraId="421F65C5">
      <w:pPr>
        <w:pStyle w:val="12"/>
        <w:ind w:firstLine="480" w:firstLineChars="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四、保密条款：乙方在履行本合同义务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甲方事先书面同意，乙方不得以任何理由或目的向第三方披露以上提到的保密信息。保密信息全部由甲方所有，未经甲方同意，乙方不得自行、供他人使用甲方要求其保守的数据、信息等或将其泄漏给第三人，亦不得用于与本合同无关的其他用途。</w:t>
      </w:r>
    </w:p>
    <w:p w14:paraId="2CA23739">
      <w:pPr>
        <w:pStyle w:val="12"/>
        <w:ind w:firstLine="480" w:firstLineChars="0"/>
        <w:rPr>
          <w:rFonts w:hint="eastAsia" w:ascii="宋体" w:hAnsi="宋体"/>
          <w:color w:val="auto"/>
          <w:sz w:val="24"/>
          <w:highlight w:val="none"/>
          <w:lang w:val="en-US" w:eastAsia="zh-CN"/>
        </w:rPr>
      </w:pPr>
      <w:r>
        <w:rPr>
          <w:rFonts w:hint="default" w:ascii="宋体" w:hAnsi="宋体"/>
          <w:color w:val="auto"/>
          <w:sz w:val="24"/>
          <w:highlight w:val="none"/>
        </w:rPr>
        <w:t>第十</w:t>
      </w:r>
      <w:r>
        <w:rPr>
          <w:rFonts w:hint="eastAsia" w:ascii="宋体" w:hAnsi="宋体"/>
          <w:color w:val="auto"/>
          <w:sz w:val="24"/>
          <w:highlight w:val="none"/>
          <w:lang w:eastAsia="zh-CN"/>
        </w:rPr>
        <w:t>二</w:t>
      </w:r>
      <w:r>
        <w:rPr>
          <w:rFonts w:hint="default" w:ascii="宋体" w:hAnsi="宋体"/>
          <w:color w:val="auto"/>
          <w:sz w:val="24"/>
          <w:highlight w:val="none"/>
        </w:rPr>
        <w:t xml:space="preserve">条 </w:t>
      </w:r>
      <w:r>
        <w:rPr>
          <w:rFonts w:hint="eastAsia" w:ascii="宋体" w:hAnsi="宋体"/>
          <w:color w:val="auto"/>
          <w:sz w:val="24"/>
          <w:highlight w:val="none"/>
          <w:lang w:val="en-US" w:eastAsia="zh-CN"/>
        </w:rPr>
        <w:t>其它说明</w:t>
      </w:r>
    </w:p>
    <w:p w14:paraId="0F99BDFD">
      <w:pPr>
        <w:pStyle w:val="12"/>
        <w:ind w:firstLine="480" w:firstLineChars="0"/>
        <w:rPr>
          <w:rFonts w:hint="eastAsia" w:ascii="宋体" w:hAnsi="宋体"/>
          <w:color w:val="auto"/>
          <w:sz w:val="24"/>
          <w:highlight w:val="none"/>
          <w:lang w:eastAsia="zh-CN"/>
        </w:rPr>
      </w:pPr>
      <w:r>
        <w:rPr>
          <w:rFonts w:hint="eastAsia" w:ascii="宋体" w:hAnsi="宋体"/>
          <w:color w:val="auto"/>
          <w:sz w:val="24"/>
          <w:highlight w:val="none"/>
          <w:lang w:val="en-US" w:eastAsia="zh-CN"/>
        </w:rPr>
        <w:t>以上条款/技术标准约定不全的</w:t>
      </w:r>
      <w:r>
        <w:rPr>
          <w:rFonts w:hint="eastAsia" w:ascii="宋体" w:hAnsi="宋体"/>
          <w:color w:val="auto"/>
          <w:sz w:val="24"/>
          <w:highlight w:val="none"/>
        </w:rPr>
        <w:t>，均以附件文件为准</w:t>
      </w:r>
      <w:r>
        <w:rPr>
          <w:rFonts w:hint="eastAsia" w:ascii="宋体" w:hAnsi="宋体"/>
          <w:color w:val="auto"/>
          <w:sz w:val="24"/>
          <w:highlight w:val="none"/>
          <w:lang w:eastAsia="zh-CN"/>
        </w:rPr>
        <w:t>。</w:t>
      </w:r>
    </w:p>
    <w:p w14:paraId="337BB749">
      <w:pPr>
        <w:spacing w:line="360" w:lineRule="auto"/>
        <w:ind w:firstLine="480" w:firstLineChars="200"/>
        <w:jc w:val="both"/>
        <w:rPr>
          <w:rFonts w:hint="eastAsia" w:ascii="宋体" w:hAnsi="宋体" w:eastAsia="宋体" w:cs="Times New Roman"/>
          <w:bCs w:val="0"/>
          <w:color w:val="auto"/>
          <w:sz w:val="24"/>
          <w:szCs w:val="24"/>
          <w:highlight w:val="none"/>
        </w:rPr>
      </w:pPr>
      <w:r>
        <w:rPr>
          <w:rFonts w:hint="eastAsia" w:ascii="宋体" w:hAnsi="宋体" w:cs="Times New Roman"/>
          <w:color w:val="auto"/>
          <w:sz w:val="24"/>
          <w:highlight w:val="none"/>
        </w:rPr>
        <w:t>附件1：</w:t>
      </w:r>
      <w:r>
        <w:rPr>
          <w:rFonts w:hint="eastAsia" w:ascii="宋体" w:hAnsi="宋体" w:eastAsia="宋体" w:cs="Times New Roman"/>
          <w:bCs w:val="0"/>
          <w:color w:val="auto"/>
          <w:sz w:val="24"/>
          <w:szCs w:val="24"/>
          <w:highlight w:val="none"/>
        </w:rPr>
        <w:t>南沙区建设工程项目廉洁责任合同</w:t>
      </w:r>
    </w:p>
    <w:p w14:paraId="1C54F086">
      <w:pPr>
        <w:pStyle w:val="12"/>
        <w:ind w:firstLine="480" w:firstLineChars="0"/>
        <w:rPr>
          <w:rFonts w:hint="eastAsia" w:ascii="宋体" w:hAnsi="宋体" w:cs="Times New Roman"/>
          <w:color w:val="auto"/>
          <w:sz w:val="24"/>
          <w:highlight w:val="none"/>
        </w:rPr>
      </w:pPr>
      <w:r>
        <w:rPr>
          <w:rFonts w:hint="eastAsia" w:ascii="宋体" w:hAnsi="宋体" w:cs="Times New Roman"/>
          <w:color w:val="auto"/>
          <w:sz w:val="24"/>
          <w:highlight w:val="none"/>
        </w:rPr>
        <w:t>附件</w:t>
      </w:r>
      <w:r>
        <w:rPr>
          <w:rFonts w:hint="eastAsia" w:ascii="宋体" w:hAnsi="宋体" w:cs="Times New Roman"/>
          <w:color w:val="auto"/>
          <w:sz w:val="24"/>
          <w:highlight w:val="none"/>
          <w:lang w:val="en-US" w:eastAsia="zh-CN"/>
        </w:rPr>
        <w:t>2</w:t>
      </w:r>
      <w:r>
        <w:rPr>
          <w:rFonts w:hint="eastAsia" w:ascii="宋体" w:hAnsi="宋体" w:cs="Times New Roman"/>
          <w:color w:val="auto"/>
          <w:sz w:val="24"/>
          <w:highlight w:val="none"/>
        </w:rPr>
        <w:t>：金岭北地块开发项目现场管理处罚细则</w:t>
      </w:r>
    </w:p>
    <w:p w14:paraId="0616B8B2">
      <w:pPr>
        <w:pStyle w:val="12"/>
        <w:ind w:firstLine="480" w:firstLineChars="0"/>
        <w:rPr>
          <w:rFonts w:hint="eastAsia" w:ascii="宋体" w:hAnsi="宋体" w:cs="Times New Roman"/>
          <w:color w:val="auto"/>
          <w:sz w:val="24"/>
          <w:highlight w:val="none"/>
        </w:rPr>
      </w:pPr>
      <w:r>
        <w:rPr>
          <w:rFonts w:hint="eastAsia" w:ascii="宋体" w:hAnsi="宋体" w:cs="Times New Roman"/>
          <w:color w:val="auto"/>
          <w:sz w:val="24"/>
          <w:highlight w:val="none"/>
        </w:rPr>
        <w:t>附件</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rPr>
        <w:t>：金岭北地块开发项目临电工程全套图纸（供电局过审版）</w:t>
      </w:r>
    </w:p>
    <w:p w14:paraId="02E25219">
      <w:pPr>
        <w:pStyle w:val="12"/>
        <w:ind w:firstLine="480" w:firstLineChars="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附件4：</w:t>
      </w:r>
      <w:r>
        <w:rPr>
          <w:rFonts w:hint="eastAsia" w:ascii="宋体" w:hAnsi="宋体"/>
          <w:color w:val="auto"/>
          <w:sz w:val="24"/>
          <w:highlight w:val="none"/>
        </w:rPr>
        <w:t>金岭北路地块开发项目临时用电工程技术要求</w:t>
      </w:r>
    </w:p>
    <w:p w14:paraId="46E921D2">
      <w:pPr>
        <w:spacing w:line="400" w:lineRule="exact"/>
        <w:ind w:firstLine="480" w:firstLineChars="200"/>
        <w:rPr>
          <w:rFonts w:ascii="宋体"/>
          <w:color w:val="auto"/>
          <w:sz w:val="24"/>
          <w:highlight w:val="none"/>
        </w:rPr>
      </w:pPr>
      <w:r>
        <w:rPr>
          <w:rFonts w:hint="eastAsia" w:ascii="宋体" w:hAnsi="宋体"/>
          <w:color w:val="auto"/>
          <w:sz w:val="24"/>
          <w:highlight w:val="none"/>
        </w:rPr>
        <w:t>（以下无正文）</w:t>
      </w:r>
    </w:p>
    <w:p w14:paraId="17121A5A">
      <w:pPr>
        <w:spacing w:line="400" w:lineRule="exact"/>
        <w:ind w:firstLine="480" w:firstLineChars="200"/>
        <w:rPr>
          <w:rFonts w:ascii="宋体"/>
          <w:color w:val="auto"/>
          <w:sz w:val="24"/>
          <w:highlight w:val="none"/>
        </w:rPr>
      </w:pPr>
    </w:p>
    <w:p w14:paraId="6E1A8038">
      <w:pPr>
        <w:spacing w:line="400" w:lineRule="exact"/>
        <w:ind w:firstLine="0" w:firstLineChars="0"/>
        <w:rPr>
          <w:rFonts w:ascii="宋体"/>
          <w:color w:val="auto"/>
          <w:sz w:val="24"/>
          <w:highlight w:val="none"/>
        </w:rPr>
      </w:pPr>
    </w:p>
    <w:p w14:paraId="4848CED3">
      <w:pPr>
        <w:widowControl/>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发包方（业主单位）：</w:t>
      </w:r>
      <w:r>
        <w:rPr>
          <w:rFonts w:hint="eastAsia" w:ascii="宋体" w:hAnsi="宋体" w:cs="宋体"/>
          <w:color w:val="auto"/>
          <w:kern w:val="1"/>
          <w:sz w:val="24"/>
          <w:highlight w:val="none"/>
          <w:lang w:eastAsia="zh-CN"/>
        </w:rPr>
        <w:t>广州南沙经发建筑有限公司</w:t>
      </w:r>
      <w:r>
        <w:rPr>
          <w:rFonts w:hint="eastAsia" w:ascii="宋体" w:hAnsi="宋体" w:cs="宋体"/>
          <w:color w:val="auto"/>
          <w:kern w:val="1"/>
          <w:sz w:val="24"/>
          <w:highlight w:val="none"/>
        </w:rPr>
        <w:t xml:space="preserve">      </w:t>
      </w:r>
    </w:p>
    <w:p w14:paraId="1124D0CA">
      <w:pPr>
        <w:widowControl/>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 xml:space="preserve">（盖章）                              </w:t>
      </w:r>
    </w:p>
    <w:p w14:paraId="15E63BE2">
      <w:pPr>
        <w:widowControl/>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 xml:space="preserve">法定代表人或其授权的代理人：（签字/签章）          </w:t>
      </w:r>
    </w:p>
    <w:p w14:paraId="0528E35B">
      <w:pPr>
        <w:widowControl/>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 xml:space="preserve">      </w:t>
      </w:r>
    </w:p>
    <w:p w14:paraId="5DB33822">
      <w:pPr>
        <w:widowControl/>
        <w:spacing w:line="360" w:lineRule="auto"/>
        <w:jc w:val="left"/>
        <w:rPr>
          <w:rFonts w:ascii="宋体" w:hAnsi="宋体" w:cs="宋体"/>
          <w:color w:val="auto"/>
          <w:kern w:val="1"/>
          <w:sz w:val="24"/>
          <w:highlight w:val="none"/>
        </w:rPr>
      </w:pPr>
    </w:p>
    <w:p w14:paraId="3D425C58">
      <w:pPr>
        <w:widowControl/>
        <w:spacing w:line="360" w:lineRule="auto"/>
        <w:jc w:val="left"/>
        <w:rPr>
          <w:rFonts w:ascii="宋体" w:hAnsi="宋体" w:cs="宋体"/>
          <w:color w:val="auto"/>
          <w:kern w:val="1"/>
          <w:sz w:val="24"/>
          <w:highlight w:val="none"/>
        </w:rPr>
      </w:pPr>
    </w:p>
    <w:p w14:paraId="1667144D">
      <w:pPr>
        <w:widowControl/>
        <w:spacing w:line="360" w:lineRule="auto"/>
        <w:jc w:val="left"/>
        <w:rPr>
          <w:rFonts w:hint="eastAsia" w:ascii="宋体" w:hAnsi="宋体" w:eastAsia="宋体" w:cs="宋体"/>
          <w:color w:val="auto"/>
          <w:kern w:val="1"/>
          <w:sz w:val="24"/>
          <w:highlight w:val="none"/>
          <w:lang w:eastAsia="zh-CN"/>
        </w:rPr>
      </w:pPr>
      <w:r>
        <w:rPr>
          <w:rFonts w:hint="eastAsia" w:ascii="宋体" w:hAnsi="宋体" w:cs="宋体"/>
          <w:color w:val="auto"/>
          <w:kern w:val="1"/>
          <w:sz w:val="24"/>
          <w:highlight w:val="none"/>
        </w:rPr>
        <w:t>承包方：</w:t>
      </w:r>
    </w:p>
    <w:p w14:paraId="745F090A">
      <w:pPr>
        <w:widowControl/>
        <w:spacing w:line="360" w:lineRule="auto"/>
        <w:jc w:val="left"/>
        <w:rPr>
          <w:color w:val="auto"/>
          <w:highlight w:val="none"/>
        </w:rPr>
      </w:pPr>
      <w:r>
        <w:rPr>
          <w:rFonts w:hint="eastAsia" w:ascii="宋体" w:hAnsi="宋体" w:cs="宋体"/>
          <w:color w:val="auto"/>
          <w:kern w:val="1"/>
          <w:sz w:val="24"/>
          <w:highlight w:val="none"/>
        </w:rPr>
        <w:t xml:space="preserve">（盖章） </w:t>
      </w:r>
    </w:p>
    <w:p w14:paraId="572ED4AB">
      <w:pPr>
        <w:widowControl/>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 xml:space="preserve">法定代表人或其授权的代理人：（签字/签章）            </w:t>
      </w:r>
    </w:p>
    <w:p w14:paraId="2343F5CC">
      <w:pPr>
        <w:widowControl/>
        <w:spacing w:line="360" w:lineRule="auto"/>
        <w:jc w:val="left"/>
        <w:rPr>
          <w:rFonts w:ascii="宋体" w:hAnsi="宋体" w:cs="宋体"/>
          <w:color w:val="auto"/>
          <w:kern w:val="1"/>
          <w:sz w:val="24"/>
          <w:highlight w:val="none"/>
        </w:rPr>
      </w:pPr>
    </w:p>
    <w:p w14:paraId="0EB6AF6B">
      <w:pPr>
        <w:spacing w:line="500" w:lineRule="exact"/>
        <w:jc w:val="center"/>
        <w:rPr>
          <w:rFonts w:ascii="宋体"/>
          <w:color w:val="auto"/>
          <w:sz w:val="24"/>
          <w:highlight w:val="none"/>
        </w:rPr>
      </w:pPr>
    </w:p>
    <w:p w14:paraId="2BB84501">
      <w:pPr>
        <w:spacing w:line="500" w:lineRule="exact"/>
        <w:jc w:val="center"/>
        <w:rPr>
          <w:rFonts w:ascii="宋体"/>
          <w:color w:val="auto"/>
          <w:sz w:val="24"/>
          <w:highlight w:val="none"/>
        </w:rPr>
      </w:pPr>
    </w:p>
    <w:p w14:paraId="600B7567">
      <w:pPr>
        <w:spacing w:line="500" w:lineRule="exact"/>
        <w:jc w:val="center"/>
        <w:rPr>
          <w:rFonts w:ascii="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2" w:right="1077" w:bottom="567" w:left="1077" w:header="851" w:footer="697" w:gutter="0"/>
          <w:pgNumType w:start="1"/>
          <w:cols w:space="425" w:num="1"/>
          <w:docGrid w:type="lines" w:linePitch="465" w:charSpace="0"/>
        </w:sectPr>
      </w:pPr>
    </w:p>
    <w:p w14:paraId="6232275E">
      <w:pPr>
        <w:spacing w:line="24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附件</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p>
    <w:p w14:paraId="6E00EE32">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14:paraId="3C2B09CB">
      <w:pPr>
        <w:spacing w:line="360" w:lineRule="auto"/>
        <w:rPr>
          <w:color w:val="auto"/>
          <w:highlight w:val="none"/>
        </w:rPr>
      </w:pPr>
    </w:p>
    <w:p w14:paraId="446641B4">
      <w:pPr>
        <w:spacing w:line="360" w:lineRule="auto"/>
        <w:ind w:firstLine="0" w:firstLineChars="0"/>
        <w:rPr>
          <w:rFonts w:hint="eastAsia" w:eastAsia="宋体"/>
          <w:color w:val="auto"/>
          <w:szCs w:val="32"/>
          <w:highlight w:val="none"/>
          <w:lang w:eastAsia="zh-CN"/>
        </w:rPr>
      </w:pPr>
      <w:r>
        <w:rPr>
          <w:color w:val="auto"/>
          <w:szCs w:val="32"/>
          <w:highlight w:val="none"/>
        </w:rPr>
        <w:t>发包人（委托人）：</w:t>
      </w:r>
      <w:r>
        <w:rPr>
          <w:rFonts w:hint="eastAsia"/>
          <w:color w:val="auto"/>
          <w:szCs w:val="32"/>
          <w:highlight w:val="none"/>
        </w:rPr>
        <w:t xml:space="preserve"> </w:t>
      </w:r>
      <w:r>
        <w:rPr>
          <w:rFonts w:hint="eastAsia" w:cs="Times New Roman"/>
          <w:color w:val="auto"/>
          <w:kern w:val="2"/>
          <w:sz w:val="21"/>
          <w:szCs w:val="32"/>
          <w:highlight w:val="none"/>
          <w:lang w:eastAsia="zh-CN"/>
        </w:rPr>
        <w:t>广州南沙经发建筑有限公司</w:t>
      </w:r>
    </w:p>
    <w:p w14:paraId="32FD9227">
      <w:pPr>
        <w:spacing w:line="360" w:lineRule="auto"/>
        <w:rPr>
          <w:color w:val="auto"/>
          <w:szCs w:val="32"/>
          <w:highlight w:val="none"/>
        </w:rPr>
      </w:pPr>
      <w:r>
        <w:rPr>
          <w:color w:val="auto"/>
          <w:szCs w:val="32"/>
          <w:highlight w:val="none"/>
        </w:rPr>
        <w:t>承包人（受托人）：</w:t>
      </w:r>
      <w:r>
        <w:rPr>
          <w:rFonts w:hint="eastAsia"/>
          <w:color w:val="auto"/>
          <w:szCs w:val="32"/>
          <w:highlight w:val="none"/>
        </w:rPr>
        <w:t xml:space="preserve"> </w:t>
      </w:r>
    </w:p>
    <w:p w14:paraId="75692005">
      <w:pPr>
        <w:spacing w:line="360" w:lineRule="auto"/>
        <w:rPr>
          <w:rFonts w:hint="eastAsia" w:eastAsia="宋体"/>
          <w:color w:val="auto"/>
          <w:szCs w:val="32"/>
          <w:highlight w:val="none"/>
          <w:lang w:eastAsia="zh-CN"/>
        </w:rPr>
      </w:pPr>
      <w:r>
        <w:rPr>
          <w:color w:val="auto"/>
          <w:szCs w:val="32"/>
          <w:highlight w:val="none"/>
        </w:rPr>
        <w:t>建设工程项</w:t>
      </w:r>
      <w:r>
        <w:rPr>
          <w:color w:val="auto"/>
          <w:szCs w:val="21"/>
          <w:highlight w:val="none"/>
        </w:rPr>
        <w:t>目：</w:t>
      </w:r>
      <w:r>
        <w:rPr>
          <w:rFonts w:hint="eastAsia" w:ascii="宋体" w:hAnsi="宋体" w:cs="宋体"/>
          <w:bCs/>
          <w:color w:val="auto"/>
          <w:szCs w:val="21"/>
          <w:highlight w:val="none"/>
          <w:lang w:eastAsia="zh-CN"/>
        </w:rPr>
        <w:t>金岭北路地块开发项目临电工程施工</w:t>
      </w:r>
    </w:p>
    <w:p w14:paraId="471B54DF">
      <w:pPr>
        <w:spacing w:line="360" w:lineRule="auto"/>
        <w:rPr>
          <w:color w:val="auto"/>
          <w:szCs w:val="32"/>
          <w:highlight w:val="none"/>
        </w:rPr>
      </w:pPr>
      <w:r>
        <w:rPr>
          <w:color w:val="auto"/>
          <w:szCs w:val="32"/>
          <w:highlight w:val="none"/>
        </w:rPr>
        <w:t>建设工程地点：广州市南沙区</w:t>
      </w:r>
    </w:p>
    <w:p w14:paraId="1C48D158">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14:paraId="0607F51D">
      <w:pPr>
        <w:spacing w:line="360" w:lineRule="auto"/>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14:paraId="1ED35ADC">
      <w:pPr>
        <w:spacing w:line="360" w:lineRule="auto"/>
        <w:ind w:firstLine="422"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14:paraId="6334D7B2">
      <w:pPr>
        <w:spacing w:line="360" w:lineRule="auto"/>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14:paraId="0D6724BF">
      <w:pPr>
        <w:spacing w:line="360" w:lineRule="auto"/>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14:paraId="3351DF71">
      <w:pPr>
        <w:spacing w:line="360" w:lineRule="auto"/>
        <w:ind w:firstLine="420" w:firstLineChars="200"/>
        <w:rPr>
          <w:color w:val="auto"/>
          <w:szCs w:val="32"/>
          <w:highlight w:val="none"/>
        </w:rPr>
      </w:pPr>
      <w:r>
        <w:rPr>
          <w:color w:val="auto"/>
          <w:szCs w:val="32"/>
          <w:highlight w:val="none"/>
        </w:rPr>
        <w:t>2.3  向承包人报销任何应由自身承担、支付的费用；</w:t>
      </w:r>
    </w:p>
    <w:p w14:paraId="400CC247">
      <w:pPr>
        <w:spacing w:line="360" w:lineRule="auto"/>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14:paraId="3D6E2EB0">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14:paraId="6B8392B3">
      <w:pPr>
        <w:spacing w:line="360" w:lineRule="auto"/>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14:paraId="5C1A74F8">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14:paraId="6B829E7F">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14:paraId="398B8B0C">
      <w:pPr>
        <w:spacing w:line="360" w:lineRule="auto"/>
        <w:ind w:firstLine="422"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14:paraId="7881017C">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14:paraId="01489378">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14:paraId="57C52004">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14:paraId="46C5CFAE">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14:paraId="2151FD14">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14:paraId="2A1B0232">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14:paraId="7ED7B40A">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14:paraId="1C920D2A">
      <w:pPr>
        <w:spacing w:line="360" w:lineRule="auto"/>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14:paraId="1FF5DD56">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14:paraId="1B1D5BBA">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14:paraId="413A7E90">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14:paraId="685AD38B">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14:paraId="65D6961E">
      <w:pPr>
        <w:spacing w:line="360" w:lineRule="auto"/>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14:paraId="08F4ECC7">
      <w:pPr>
        <w:spacing w:line="360" w:lineRule="auto"/>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14:paraId="1C9A96D7">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14:paraId="22D82A8E">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14:paraId="6793FA22">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 HYPERLINK "http://guangdong.12388.gov.cn；" </w:instrText>
      </w:r>
      <w:r>
        <w:rPr>
          <w:color w:val="auto"/>
          <w:highlight w:val="none"/>
        </w:rPr>
        <w:fldChar w:fldCharType="separate"/>
      </w:r>
      <w:r>
        <w:rPr>
          <w:rFonts w:hint="eastAsia"/>
          <w:color w:val="auto"/>
          <w:szCs w:val="32"/>
          <w:highlight w:val="none"/>
        </w:rPr>
        <w:t>http://guangdong.12388.gov.cn；</w:t>
      </w:r>
      <w:r>
        <w:rPr>
          <w:rFonts w:hint="eastAsia"/>
          <w:color w:val="auto"/>
          <w:szCs w:val="32"/>
          <w:highlight w:val="none"/>
        </w:rPr>
        <w:fldChar w:fldCharType="end"/>
      </w:r>
    </w:p>
    <w:p w14:paraId="65386B47">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68480"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20"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1" descr="1603424669(1)"/>
                    <pic:cNvPicPr>
                      <a:picLocks noChangeAspect="1"/>
                    </pic:cNvPicPr>
                  </pic:nvPicPr>
                  <pic:blipFill>
                    <a:blip r:embed="rId10"/>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14:paraId="2BF1B4F1">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14:paraId="0AA26242">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14:paraId="63FDA0B0">
      <w:pPr>
        <w:spacing w:line="360" w:lineRule="auto"/>
        <w:ind w:firstLine="420" w:firstLineChars="200"/>
        <w:rPr>
          <w:color w:val="auto"/>
          <w:szCs w:val="32"/>
          <w:highlight w:val="none"/>
        </w:rPr>
      </w:pPr>
      <w:r>
        <w:rPr>
          <w:rFonts w:hint="eastAsia"/>
          <w:color w:val="auto"/>
          <w:szCs w:val="32"/>
          <w:highlight w:val="none"/>
        </w:rPr>
        <w:t>本合同一式</w:t>
      </w:r>
      <w:r>
        <w:rPr>
          <w:rFonts w:hint="eastAsia"/>
          <w:color w:val="auto"/>
          <w:szCs w:val="32"/>
          <w:highlight w:val="none"/>
          <w:lang w:val="en-US" w:eastAsia="zh-CN"/>
        </w:rPr>
        <w:t>8</w:t>
      </w:r>
      <w:r>
        <w:rPr>
          <w:rFonts w:hint="eastAsia"/>
          <w:color w:val="auto"/>
          <w:szCs w:val="32"/>
          <w:highlight w:val="none"/>
        </w:rPr>
        <w:t>份，发包人执</w:t>
      </w:r>
      <w:r>
        <w:rPr>
          <w:rFonts w:hint="eastAsia"/>
          <w:color w:val="auto"/>
          <w:szCs w:val="32"/>
          <w:highlight w:val="none"/>
          <w:lang w:val="en-US" w:eastAsia="zh-CN"/>
        </w:rPr>
        <w:t>4</w:t>
      </w:r>
      <w:r>
        <w:rPr>
          <w:rFonts w:hint="eastAsia"/>
          <w:color w:val="auto"/>
          <w:szCs w:val="32"/>
          <w:highlight w:val="none"/>
        </w:rPr>
        <w:t>份，承包人执4份，经双方签署后生效。</w:t>
      </w:r>
    </w:p>
    <w:p w14:paraId="0B7DC906">
      <w:pPr>
        <w:spacing w:line="360" w:lineRule="auto"/>
        <w:ind w:firstLine="420" w:firstLineChars="200"/>
        <w:rPr>
          <w:color w:val="auto"/>
          <w:szCs w:val="32"/>
          <w:highlight w:val="none"/>
        </w:rPr>
      </w:pPr>
      <w:r>
        <w:rPr>
          <w:rFonts w:hint="eastAsia"/>
          <w:color w:val="auto"/>
          <w:szCs w:val="32"/>
          <w:highlight w:val="none"/>
        </w:rPr>
        <w:t>本合同签订日期为：</w:t>
      </w:r>
      <w:r>
        <w:rPr>
          <w:rFonts w:hint="eastAsia"/>
          <w:color w:val="auto"/>
          <w:szCs w:val="32"/>
          <w:highlight w:val="none"/>
          <w:lang w:eastAsia="zh-CN"/>
        </w:rPr>
        <w:t>2025</w:t>
      </w:r>
      <w:r>
        <w:rPr>
          <w:rFonts w:hint="eastAsia"/>
          <w:color w:val="auto"/>
          <w:szCs w:val="32"/>
          <w:highlight w:val="none"/>
        </w:rPr>
        <w:t>年    月    日</w:t>
      </w:r>
    </w:p>
    <w:p w14:paraId="27776DAC">
      <w:pPr>
        <w:spacing w:line="360" w:lineRule="auto"/>
        <w:ind w:firstLine="420" w:firstLineChars="200"/>
        <w:rPr>
          <w:color w:val="auto"/>
          <w:szCs w:val="32"/>
          <w:highlight w:val="none"/>
        </w:rPr>
      </w:pPr>
      <w:r>
        <w:rPr>
          <w:rFonts w:hint="eastAsia"/>
          <w:color w:val="auto"/>
          <w:szCs w:val="32"/>
          <w:highlight w:val="none"/>
        </w:rPr>
        <w:t>（以下无正文）</w:t>
      </w:r>
    </w:p>
    <w:p w14:paraId="3AAB2AB0">
      <w:pPr>
        <w:rPr>
          <w:color w:val="auto"/>
          <w:highlight w:val="none"/>
        </w:rPr>
      </w:pPr>
      <w:r>
        <w:rPr>
          <w:rFonts w:hint="eastAsia"/>
          <w:color w:val="auto"/>
          <w:highlight w:val="none"/>
        </w:rPr>
        <w:br w:type="page"/>
      </w:r>
    </w:p>
    <w:p w14:paraId="382867BE">
      <w:pPr>
        <w:pStyle w:val="5"/>
        <w:rPr>
          <w:color w:val="auto"/>
          <w:highlight w:val="none"/>
        </w:rPr>
      </w:pPr>
    </w:p>
    <w:tbl>
      <w:tblPr>
        <w:tblStyle w:val="13"/>
        <w:tblW w:w="4530" w:type="dxa"/>
        <w:tblInd w:w="0" w:type="dxa"/>
        <w:tblLayout w:type="fixed"/>
        <w:tblCellMar>
          <w:top w:w="0" w:type="dxa"/>
          <w:left w:w="108" w:type="dxa"/>
          <w:bottom w:w="0" w:type="dxa"/>
          <w:right w:w="108" w:type="dxa"/>
        </w:tblCellMar>
      </w:tblPr>
      <w:tblGrid>
        <w:gridCol w:w="4530"/>
      </w:tblGrid>
      <w:tr w14:paraId="68AACC9A">
        <w:tblPrEx>
          <w:tblCellMar>
            <w:top w:w="0" w:type="dxa"/>
            <w:left w:w="108" w:type="dxa"/>
            <w:bottom w:w="0" w:type="dxa"/>
            <w:right w:w="108" w:type="dxa"/>
          </w:tblCellMar>
        </w:tblPrEx>
        <w:tc>
          <w:tcPr>
            <w:tcW w:w="4530" w:type="dxa"/>
          </w:tcPr>
          <w:p w14:paraId="6FAB2C8D">
            <w:pPr>
              <w:spacing w:line="360" w:lineRule="auto"/>
              <w:rPr>
                <w:color w:val="auto"/>
                <w:szCs w:val="32"/>
                <w:highlight w:val="none"/>
              </w:rPr>
            </w:pPr>
            <w:r>
              <w:rPr>
                <w:color w:val="auto"/>
                <w:szCs w:val="32"/>
                <w:highlight w:val="none"/>
              </w:rPr>
              <w:t>发包人（公章）</w:t>
            </w:r>
            <w:r>
              <w:rPr>
                <w:color w:val="auto"/>
                <w:szCs w:val="21"/>
                <w:highlight w:val="none"/>
              </w:rPr>
              <w:t>：</w:t>
            </w:r>
            <w:r>
              <w:rPr>
                <w:rFonts w:hint="eastAsia" w:ascii="宋体" w:hAnsi="宋体" w:cs="宋体"/>
                <w:color w:val="auto"/>
                <w:kern w:val="1"/>
                <w:szCs w:val="21"/>
                <w:highlight w:val="none"/>
                <w:lang w:eastAsia="zh-CN"/>
              </w:rPr>
              <w:t>广州南沙经发建筑有限公司</w:t>
            </w:r>
            <w:r>
              <w:rPr>
                <w:rFonts w:hint="eastAsia" w:ascii="宋体" w:hAnsi="宋体" w:cs="宋体"/>
                <w:color w:val="auto"/>
                <w:kern w:val="1"/>
                <w:szCs w:val="21"/>
                <w:highlight w:val="none"/>
              </w:rPr>
              <w:t xml:space="preserve"> </w:t>
            </w:r>
            <w:r>
              <w:rPr>
                <w:rFonts w:hint="eastAsia"/>
                <w:color w:val="auto"/>
                <w:szCs w:val="21"/>
                <w:highlight w:val="none"/>
              </w:rPr>
              <w:t xml:space="preserve"> </w:t>
            </w:r>
          </w:p>
          <w:p w14:paraId="11F5E18D">
            <w:pPr>
              <w:spacing w:line="360" w:lineRule="auto"/>
              <w:rPr>
                <w:color w:val="auto"/>
                <w:szCs w:val="32"/>
                <w:highlight w:val="none"/>
              </w:rPr>
            </w:pPr>
          </w:p>
          <w:p w14:paraId="6E7D794E">
            <w:pPr>
              <w:spacing w:line="360" w:lineRule="auto"/>
              <w:rPr>
                <w:color w:val="auto"/>
                <w:szCs w:val="32"/>
                <w:highlight w:val="none"/>
              </w:rPr>
            </w:pPr>
            <w:r>
              <w:rPr>
                <w:color w:val="auto"/>
                <w:szCs w:val="32"/>
                <w:highlight w:val="none"/>
              </w:rPr>
              <w:t>法定代表人/授权代理人</w:t>
            </w:r>
          </w:p>
          <w:p w14:paraId="227013C4">
            <w:pPr>
              <w:spacing w:line="360" w:lineRule="auto"/>
              <w:rPr>
                <w:color w:val="auto"/>
                <w:szCs w:val="32"/>
                <w:highlight w:val="none"/>
              </w:rPr>
            </w:pPr>
            <w:r>
              <w:rPr>
                <w:color w:val="auto"/>
                <w:szCs w:val="32"/>
                <w:highlight w:val="none"/>
              </w:rPr>
              <w:t>（签字/签章）：</w:t>
            </w:r>
          </w:p>
          <w:p w14:paraId="561DC9A3">
            <w:pPr>
              <w:spacing w:line="360" w:lineRule="auto"/>
              <w:rPr>
                <w:color w:val="auto"/>
                <w:szCs w:val="32"/>
                <w:highlight w:val="none"/>
              </w:rPr>
            </w:pPr>
          </w:p>
          <w:p w14:paraId="1F642F4C">
            <w:pPr>
              <w:spacing w:line="360" w:lineRule="auto"/>
              <w:rPr>
                <w:color w:val="auto"/>
                <w:szCs w:val="32"/>
                <w:highlight w:val="none"/>
              </w:rPr>
            </w:pPr>
            <w:r>
              <w:rPr>
                <w:color w:val="auto"/>
                <w:szCs w:val="32"/>
                <w:highlight w:val="none"/>
              </w:rPr>
              <w:t>或党委书记/纪委书记</w:t>
            </w:r>
          </w:p>
          <w:p w14:paraId="73B5AA18">
            <w:pPr>
              <w:spacing w:line="360" w:lineRule="auto"/>
              <w:rPr>
                <w:color w:val="auto"/>
                <w:szCs w:val="32"/>
                <w:highlight w:val="none"/>
              </w:rPr>
            </w:pPr>
            <w:r>
              <w:rPr>
                <w:color w:val="auto"/>
                <w:szCs w:val="32"/>
                <w:highlight w:val="none"/>
              </w:rPr>
              <w:t>（签字/签章）</w:t>
            </w:r>
          </w:p>
        </w:tc>
      </w:tr>
      <w:tr w14:paraId="541078B6">
        <w:tblPrEx>
          <w:tblCellMar>
            <w:top w:w="0" w:type="dxa"/>
            <w:left w:w="108" w:type="dxa"/>
            <w:bottom w:w="0" w:type="dxa"/>
            <w:right w:w="108" w:type="dxa"/>
          </w:tblCellMar>
        </w:tblPrEx>
        <w:tc>
          <w:tcPr>
            <w:tcW w:w="4530" w:type="dxa"/>
          </w:tcPr>
          <w:p w14:paraId="726B90C0">
            <w:pPr>
              <w:spacing w:line="360" w:lineRule="auto"/>
              <w:rPr>
                <w:color w:val="auto"/>
                <w:szCs w:val="32"/>
                <w:highlight w:val="none"/>
              </w:rPr>
            </w:pPr>
          </w:p>
          <w:p w14:paraId="02C0A7FA">
            <w:pPr>
              <w:spacing w:line="360" w:lineRule="auto"/>
              <w:rPr>
                <w:color w:val="auto"/>
                <w:szCs w:val="32"/>
                <w:highlight w:val="none"/>
              </w:rPr>
            </w:pPr>
            <w:r>
              <w:rPr>
                <w:color w:val="auto"/>
                <w:szCs w:val="32"/>
                <w:highlight w:val="none"/>
              </w:rPr>
              <w:t>承包人（公章）：</w:t>
            </w:r>
            <w:r>
              <w:rPr>
                <w:rFonts w:hint="eastAsia"/>
                <w:color w:val="auto"/>
                <w:szCs w:val="32"/>
                <w:highlight w:val="none"/>
              </w:rPr>
              <w:t xml:space="preserve">  </w:t>
            </w:r>
          </w:p>
          <w:p w14:paraId="0D8E5A8E">
            <w:pPr>
              <w:pStyle w:val="5"/>
              <w:rPr>
                <w:color w:val="auto"/>
                <w:highlight w:val="none"/>
              </w:rPr>
            </w:pPr>
          </w:p>
          <w:p w14:paraId="129CF8E4">
            <w:pPr>
              <w:spacing w:line="360" w:lineRule="auto"/>
              <w:rPr>
                <w:color w:val="auto"/>
                <w:szCs w:val="32"/>
                <w:highlight w:val="none"/>
              </w:rPr>
            </w:pPr>
            <w:r>
              <w:rPr>
                <w:color w:val="auto"/>
                <w:szCs w:val="32"/>
                <w:highlight w:val="none"/>
              </w:rPr>
              <w:t>法定代表人/授权代理人</w:t>
            </w:r>
          </w:p>
          <w:p w14:paraId="359607DB">
            <w:pPr>
              <w:spacing w:line="360" w:lineRule="auto"/>
              <w:rPr>
                <w:color w:val="auto"/>
                <w:szCs w:val="32"/>
                <w:highlight w:val="none"/>
              </w:rPr>
            </w:pPr>
            <w:r>
              <w:rPr>
                <w:color w:val="auto"/>
                <w:szCs w:val="32"/>
                <w:highlight w:val="none"/>
              </w:rPr>
              <w:t>（签字/签章）：</w:t>
            </w:r>
          </w:p>
          <w:p w14:paraId="2F56597D">
            <w:pPr>
              <w:spacing w:line="360" w:lineRule="auto"/>
              <w:rPr>
                <w:color w:val="auto"/>
                <w:szCs w:val="32"/>
                <w:highlight w:val="none"/>
              </w:rPr>
            </w:pPr>
          </w:p>
          <w:p w14:paraId="64EB3332">
            <w:pPr>
              <w:spacing w:line="360" w:lineRule="auto"/>
              <w:rPr>
                <w:color w:val="auto"/>
                <w:szCs w:val="32"/>
                <w:highlight w:val="none"/>
              </w:rPr>
            </w:pPr>
            <w:r>
              <w:rPr>
                <w:color w:val="auto"/>
                <w:szCs w:val="32"/>
                <w:highlight w:val="none"/>
              </w:rPr>
              <w:t>或党委书记/纪委书记</w:t>
            </w:r>
          </w:p>
          <w:p w14:paraId="2F57BC77">
            <w:pPr>
              <w:spacing w:line="360" w:lineRule="auto"/>
              <w:rPr>
                <w:color w:val="auto"/>
                <w:szCs w:val="32"/>
                <w:highlight w:val="none"/>
              </w:rPr>
            </w:pPr>
            <w:r>
              <w:rPr>
                <w:color w:val="auto"/>
                <w:szCs w:val="32"/>
                <w:highlight w:val="none"/>
              </w:rPr>
              <w:t>（签字/签章）</w:t>
            </w:r>
          </w:p>
        </w:tc>
      </w:tr>
    </w:tbl>
    <w:p w14:paraId="5EC8E765">
      <w:pPr>
        <w:spacing w:line="500" w:lineRule="exact"/>
        <w:rPr>
          <w:color w:val="auto"/>
          <w:szCs w:val="21"/>
          <w:highlight w:val="none"/>
        </w:rPr>
      </w:pPr>
      <w:r>
        <w:rPr>
          <w:rFonts w:hint="eastAsia"/>
          <w:color w:val="auto"/>
          <w:highlight w:val="none"/>
        </w:rPr>
        <w:t xml:space="preserve"> </w:t>
      </w:r>
    </w:p>
    <w:p w14:paraId="7D710BBD">
      <w:pPr>
        <w:spacing w:line="500" w:lineRule="exact"/>
        <w:rPr>
          <w:rFonts w:ascii="宋体"/>
          <w:color w:val="auto"/>
          <w:sz w:val="24"/>
          <w:highlight w:val="none"/>
        </w:rPr>
      </w:pPr>
    </w:p>
    <w:p w14:paraId="535ED293">
      <w:pPr>
        <w:spacing w:line="240" w:lineRule="auto"/>
        <w:jc w:val="left"/>
        <w:rPr>
          <w:rFonts w:ascii="宋体"/>
          <w:color w:val="auto"/>
          <w:sz w:val="24"/>
          <w:highlight w:val="none"/>
        </w:rPr>
      </w:pPr>
      <w:r>
        <w:rPr>
          <w:rFonts w:ascii="宋体"/>
          <w:color w:val="auto"/>
          <w:sz w:val="24"/>
          <w:highlight w:val="none"/>
        </w:rPr>
        <w:br w:type="page"/>
      </w:r>
    </w:p>
    <w:p w14:paraId="11D269B3">
      <w:pPr>
        <w:pStyle w:val="12"/>
        <w:rPr>
          <w:color w:val="auto"/>
          <w:highlight w:val="none"/>
        </w:rPr>
      </w:pPr>
    </w:p>
    <w:bookmarkEnd w:id="0"/>
    <w:sectPr>
      <w:pgSz w:w="11906" w:h="16838"/>
      <w:pgMar w:top="142" w:right="1077" w:bottom="567" w:left="1077" w:header="851" w:footer="697" w:gutter="0"/>
      <w:cols w:space="425"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roma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072F">
    <w:pPr>
      <w:pStyle w:val="8"/>
      <w:jc w:val="center"/>
    </w:pPr>
    <w:r>
      <mc:AlternateContent>
        <mc:Choice Requires="wps">
          <w:drawing>
            <wp:anchor distT="0" distB="0" distL="114300" distR="114300" simplePos="0" relativeHeight="251674624" behindDoc="0" locked="0" layoutInCell="1" allowOverlap="1">
              <wp:simplePos x="0" y="0"/>
              <wp:positionH relativeFrom="column">
                <wp:posOffset>-154940</wp:posOffset>
              </wp:positionH>
              <wp:positionV relativeFrom="paragraph">
                <wp:posOffset>-34290</wp:posOffset>
              </wp:positionV>
              <wp:extent cx="6507480" cy="0"/>
              <wp:effectExtent l="0" t="0" r="26670" b="19050"/>
              <wp:wrapNone/>
              <wp:docPr id="11" name="直线 5"/>
              <wp:cNvGraphicFramePr/>
              <a:graphic xmlns:a="http://schemas.openxmlformats.org/drawingml/2006/main">
                <a:graphicData uri="http://schemas.microsoft.com/office/word/2010/wordprocessingShape">
                  <wps:wsp>
                    <wps:cNvCnPr/>
                    <wps:spPr>
                      <a:xfrm>
                        <a:off x="0" y="0"/>
                        <a:ext cx="6507480" cy="0"/>
                      </a:xfrm>
                      <a:prstGeom prst="line">
                        <a:avLst/>
                      </a:prstGeom>
                      <a:ln w="12700" cap="flat" cmpd="sng">
                        <a:noFill/>
                        <a:prstDash val="solid"/>
                        <a:headEnd type="none" w="med" len="med"/>
                        <a:tailEnd type="none" w="med" len="med"/>
                      </a:ln>
                    </wps:spPr>
                    <wps:bodyPr/>
                  </wps:wsp>
                </a:graphicData>
              </a:graphic>
            </wp:anchor>
          </w:drawing>
        </mc:Choice>
        <mc:Fallback>
          <w:pict>
            <v:line id="直线 5" o:spid="_x0000_s1026" o:spt="20" style="position:absolute;left:0pt;margin-left:-12.2pt;margin-top:-2.7pt;height:0pt;width:512.4pt;z-index:251674624;mso-width-relative:page;mso-height-relative:page;" filled="f" stroked="f" coordsize="21600,21600" o:gfxdata="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e7ef1wAAAAoBAAAPAAAAAAAAAAEAIAAAACIAAABk&#10;cnMvZG93bnJldi54bWxQSwECFAAUAAAACACHTuJAy+Wt2s4BAACoAwAADgAAAAAAAAABACAAAAAm&#10;AQAAZHJzL2Uyb0RvYy54bWxQSwUGAAAAAAYABgBZAQAAZgUAAAAA&#10;">
              <v:fill on="f" focussize="0,0"/>
              <v:stroke on="f" weight="1pt"/>
              <v:imagedata o:title=""/>
              <o:lock v:ext="edit" aspectratio="f"/>
            </v:line>
          </w:pict>
        </mc:Fallback>
      </mc:AlternateConten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F075">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28E7066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1D08">
    <w:pPr>
      <w:pStyle w:val="8"/>
    </w:pPr>
    <w:r>
      <mc:AlternateContent>
        <mc:Choice Requires="wps">
          <w:drawing>
            <wp:anchor distT="0" distB="0" distL="114300" distR="114300" simplePos="0" relativeHeight="251672576" behindDoc="0" locked="0" layoutInCell="1" allowOverlap="1">
              <wp:simplePos x="0" y="0"/>
              <wp:positionH relativeFrom="column">
                <wp:posOffset>-183515</wp:posOffset>
              </wp:positionH>
              <wp:positionV relativeFrom="paragraph">
                <wp:posOffset>-35560</wp:posOffset>
              </wp:positionV>
              <wp:extent cx="6507480" cy="0"/>
              <wp:effectExtent l="0" t="0" r="26670" b="19050"/>
              <wp:wrapNone/>
              <wp:docPr id="8" name="直线 10"/>
              <wp:cNvGraphicFramePr/>
              <a:graphic xmlns:a="http://schemas.openxmlformats.org/drawingml/2006/main">
                <a:graphicData uri="http://schemas.microsoft.com/office/word/2010/wordprocessingShape">
                  <wps:wsp>
                    <wps:cNvCnPr/>
                    <wps:spPr>
                      <a:xfrm>
                        <a:off x="0" y="0"/>
                        <a:ext cx="650748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4.45pt;margin-top:-2.8pt;height:0pt;width:512.4pt;z-index:251672576;mso-width-relative:page;mso-height-relative:page;" filled="f" stroked="t" coordsize="21600,21600" o:gfxdata="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8a21V2AAAAAkBAAAP&#10;AAAAAAAAAAEAIAAAACIAAABkcnMvZG93bnJldi54bWxQSwECFAAUAAAACACHTuJAYjBO1N8BAADR&#10;AwAADgAAAAAAAAABACAAAAAnAQAAZHJzL2Uyb0RvYy54bWxQSwUGAAAAAAYABgBZAQAAeAUAAAAA&#10;">
              <v:fill on="f" focussize="0,0"/>
              <v:stroke weight="1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8DB2">
    <w:pPr>
      <w:rPr>
        <w:rFonts w:ascii="华文新魏" w:eastAsia="华文新魏"/>
        <w:b/>
        <w:i/>
        <w:sz w:val="28"/>
        <w:szCs w:val="28"/>
      </w:rPr>
    </w:pPr>
    <w:r>
      <mc:AlternateContent>
        <mc:Choice Requires="wps">
          <w:drawing>
            <wp:anchor distT="0" distB="0" distL="114300" distR="114300" simplePos="0" relativeHeight="251673600" behindDoc="0" locked="0" layoutInCell="1" allowOverlap="1">
              <wp:simplePos x="0" y="0"/>
              <wp:positionH relativeFrom="column">
                <wp:posOffset>-154940</wp:posOffset>
              </wp:positionH>
              <wp:positionV relativeFrom="paragraph">
                <wp:posOffset>209550</wp:posOffset>
              </wp:positionV>
              <wp:extent cx="6507480" cy="0"/>
              <wp:effectExtent l="0" t="0" r="26670" b="19050"/>
              <wp:wrapNone/>
              <wp:docPr id="10" name="直线 3"/>
              <wp:cNvGraphicFramePr/>
              <a:graphic xmlns:a="http://schemas.openxmlformats.org/drawingml/2006/main">
                <a:graphicData uri="http://schemas.microsoft.com/office/word/2010/wordprocessingShape">
                  <wps:wsp>
                    <wps:cNvCnPr/>
                    <wps:spPr>
                      <a:xfrm>
                        <a:off x="0" y="0"/>
                        <a:ext cx="6507480" cy="0"/>
                      </a:xfrm>
                      <a:prstGeom prst="line">
                        <a:avLst/>
                      </a:prstGeom>
                      <a:ln w="12700" cap="flat" cmpd="sng">
                        <a:noFill/>
                        <a:prstDash val="solid"/>
                        <a:headEnd type="none" w="med" len="med"/>
                        <a:tailEnd type="none" w="med" len="med"/>
                      </a:ln>
                    </wps:spPr>
                    <wps:bodyPr/>
                  </wps:wsp>
                </a:graphicData>
              </a:graphic>
            </wp:anchor>
          </w:drawing>
        </mc:Choice>
        <mc:Fallback>
          <w:pict>
            <v:line id="直线 3" o:spid="_x0000_s1026" o:spt="20" style="position:absolute;left:0pt;margin-left:-12.2pt;margin-top:16.5pt;height:0pt;width:512.4pt;z-index:251673600;mso-width-relative:page;mso-height-relative:page;" filled="f" stroked="f" coordsize="21600,21600" o:gfxdata="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JkfsnWAAAACgEAAA8AAAAAAAAAAQAgAAAAIgAAAGRy&#10;cy9kb3ducmV2LnhtbFBLAQIUABQAAAAIAIdO4kC5Kw1gzgEAAKgDAAAOAAAAAAAAAAEAIAAAACUB&#10;AABkcnMvZTJvRG9jLnhtbFBLBQYAAAAABgAGAFkBAABlBQAAAAA=&#10;">
              <v:fill on="f" focussize="0,0"/>
              <v:stroke on="f" weight="1pt"/>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3F42">
    <w:pPr>
      <w:ind w:right="-395" w:rightChars="-188" w:firstLine="1995" w:firstLineChars="950"/>
      <w:rPr>
        <w:rFonts w:ascii="华文新魏" w:eastAsia="华文新魏"/>
        <w:b/>
        <w:i/>
        <w:sz w:val="28"/>
        <w:szCs w:val="28"/>
      </w:rPr>
    </w:pPr>
    <w:r>
      <w:drawing>
        <wp:anchor distT="0" distB="0" distL="114300" distR="114300" simplePos="0" relativeHeight="251669504" behindDoc="0" locked="0" layoutInCell="1" allowOverlap="0">
          <wp:simplePos x="0" y="0"/>
          <wp:positionH relativeFrom="column">
            <wp:posOffset>508635</wp:posOffset>
          </wp:positionH>
          <wp:positionV relativeFrom="paragraph">
            <wp:posOffset>-403860</wp:posOffset>
          </wp:positionV>
          <wp:extent cx="649605" cy="655320"/>
          <wp:effectExtent l="1905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l="44635" t="42151" r="43758" b="37868"/>
                  <a:stretch>
                    <a:fillRect/>
                  </a:stretch>
                </pic:blipFill>
                <pic:spPr>
                  <a:xfrm>
                    <a:off x="0" y="0"/>
                    <a:ext cx="649605" cy="655320"/>
                  </a:xfrm>
                  <a:prstGeom prst="rect">
                    <a:avLst/>
                  </a:prstGeom>
                  <a:noFill/>
                </pic:spPr>
              </pic:pic>
            </a:graphicData>
          </a:graphic>
        </wp:anchor>
      </w:drawing>
    </w:r>
    <w:r>
      <mc:AlternateContent>
        <mc:Choice Requires="wps">
          <w:drawing>
            <wp:anchor distT="0" distB="0" distL="114300" distR="114300" simplePos="0" relativeHeight="251670528" behindDoc="0" locked="0" layoutInCell="1" allowOverlap="1">
              <wp:simplePos x="0" y="0"/>
              <wp:positionH relativeFrom="column">
                <wp:posOffset>7988935</wp:posOffset>
              </wp:positionH>
              <wp:positionV relativeFrom="paragraph">
                <wp:posOffset>295275</wp:posOffset>
              </wp:positionV>
              <wp:extent cx="6225540" cy="0"/>
              <wp:effectExtent l="0" t="0" r="22860" b="19050"/>
              <wp:wrapNone/>
              <wp:docPr id="5" name="Line 3"/>
              <wp:cNvGraphicFramePr/>
              <a:graphic xmlns:a="http://schemas.openxmlformats.org/drawingml/2006/main">
                <a:graphicData uri="http://schemas.microsoft.com/office/word/2010/wordprocessingShape">
                  <wps:wsp>
                    <wps:cNvCnPr/>
                    <wps:spPr>
                      <a:xfrm>
                        <a:off x="0" y="0"/>
                        <a:ext cx="62255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29.05pt;margin-top:23.25pt;height:0pt;width:490.2pt;z-index:251670528;mso-width-relative:page;mso-height-relative:page;" filled="f" stroked="t" coordsize="21600,21600" o:gfxdata="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63H1m2QAAAAsBAAAPAAAAAAAAAAEAIAAA&#10;ACIAAABkcnMvZG93bnJldi54bWxQSwECFAAUAAAACACHTuJAads+9tIBAADOAwAADgAAAAAAAAAB&#10;ACAAAAAoAQAAZHJzL2Uyb0RvYy54bWxQSwUGAAAAAAYABgBZAQAAbAUAAAAA&#10;">
              <v:fill on="f" focussize="0,0"/>
              <v:stroke weight="1pt" color="#000000" joinstyle="round"/>
              <v:imagedata o:title=""/>
              <o:lock v:ext="edit" aspectratio="f"/>
            </v:line>
          </w:pict>
        </mc:Fallback>
      </mc:AlternateContent>
    </w:r>
    <w:r>
      <w:rPr>
        <w:rFonts w:hint="eastAsia" w:ascii="华文新魏" w:eastAsia="华文新魏"/>
        <w:b/>
        <w:i/>
        <w:sz w:val="28"/>
        <w:szCs w:val="28"/>
      </w:rPr>
      <w:t>为您提供专业高效的电力报装、设计、施工及运维服务</w:t>
    </w:r>
  </w:p>
  <w:p w14:paraId="13A93CFE">
    <w:pPr>
      <w:ind w:right="-395" w:rightChars="-188" w:firstLine="11235" w:firstLineChars="5350"/>
      <w:rPr>
        <w:rFonts w:ascii="华文新魏" w:eastAsia="华文新魏"/>
        <w:b/>
        <w:i/>
        <w:sz w:val="28"/>
        <w:szCs w:val="28"/>
      </w:rPr>
    </w:pPr>
    <w:r>
      <mc:AlternateContent>
        <mc:Choice Requires="wps">
          <w:drawing>
            <wp:anchor distT="0" distB="0" distL="114300" distR="114300" simplePos="0" relativeHeight="251671552" behindDoc="0" locked="0" layoutInCell="1" allowOverlap="1">
              <wp:simplePos x="0" y="0"/>
              <wp:positionH relativeFrom="column">
                <wp:posOffset>-162560</wp:posOffset>
              </wp:positionH>
              <wp:positionV relativeFrom="paragraph">
                <wp:posOffset>27940</wp:posOffset>
              </wp:positionV>
              <wp:extent cx="6507480" cy="0"/>
              <wp:effectExtent l="0" t="0" r="26670" b="19050"/>
              <wp:wrapNone/>
              <wp:docPr id="7" name="直线 8"/>
              <wp:cNvGraphicFramePr/>
              <a:graphic xmlns:a="http://schemas.openxmlformats.org/drawingml/2006/main">
                <a:graphicData uri="http://schemas.microsoft.com/office/word/2010/wordprocessingShape">
                  <wps:wsp>
                    <wps:cNvCnPr/>
                    <wps:spPr>
                      <a:xfrm>
                        <a:off x="0" y="0"/>
                        <a:ext cx="650748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8pt;margin-top:2.2pt;height:0pt;width:512.4pt;z-index:251671552;mso-width-relative:page;mso-height-relative:page;" filled="f" stroked="t" coordsize="21600,21600" o:gfxdata="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UP149YAAAAHAQAADwAA&#10;AAAAAAABACAAAAAiAAAAZHJzL2Rvd25yZXYueG1sUEsBAhQAFAAAAAgAh07iQBvHgerfAQAA0AMA&#10;AA4AAAAAAAAAAQAgAAAAJQEAAGRycy9lMm9Eb2MueG1sUEsFBgAAAAAGAAYAWQEAAHYFAAAAAA==&#10;">
              <v:fill on="f" focussize="0,0"/>
              <v:stroke weight="1pt" color="#000000" joinstyle="round"/>
              <v:imagedata o:title=""/>
              <o:lock v:ext="edit" aspectratio="f"/>
            </v:line>
          </w:pict>
        </mc:Fallback>
      </mc:AlternateContent>
    </w:r>
    <w:r>
      <w:drawing>
        <wp:anchor distT="0" distB="0" distL="114300" distR="114300" simplePos="0" relativeHeight="251675648" behindDoc="1" locked="0" layoutInCell="1" allowOverlap="1">
          <wp:simplePos x="0" y="0"/>
          <wp:positionH relativeFrom="column">
            <wp:posOffset>7869555</wp:posOffset>
          </wp:positionH>
          <wp:positionV relativeFrom="paragraph">
            <wp:posOffset>1364615</wp:posOffset>
          </wp:positionV>
          <wp:extent cx="6087110" cy="5600700"/>
          <wp:effectExtent l="19050" t="0" r="8890" b="0"/>
          <wp:wrapNone/>
          <wp:docPr id="9" name="图片 9"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设计13_副本.jpg"/>
                  <pic:cNvPicPr>
                    <a:picLocks noChangeAspect="1" noChangeArrowheads="1"/>
                  </pic:cNvPicPr>
                </pic:nvPicPr>
                <pic:blipFill>
                  <a:blip r:embed="rId2">
                    <a:lum bright="8000" contrast="-12000"/>
                  </a:blip>
                  <a:srcRect/>
                  <a:stretch>
                    <a:fillRect/>
                  </a:stretch>
                </pic:blipFill>
                <pic:spPr>
                  <a:xfrm>
                    <a:off x="0" y="0"/>
                    <a:ext cx="6087110" cy="56007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5F235"/>
    <w:multiLevelType w:val="singleLevel"/>
    <w:tmpl w:val="CB05F235"/>
    <w:lvl w:ilvl="0" w:tentative="0">
      <w:start w:val="4"/>
      <w:numFmt w:val="chineseCounting"/>
      <w:suff w:val="nothing"/>
      <w:lvlText w:val="%1、"/>
      <w:lvlJc w:val="left"/>
      <w:rPr>
        <w:rFonts w:hint="eastAsia"/>
      </w:rPr>
    </w:lvl>
  </w:abstractNum>
  <w:abstractNum w:abstractNumId="1">
    <w:nsid w:val="17AD0642"/>
    <w:multiLevelType w:val="singleLevel"/>
    <w:tmpl w:val="17AD064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0"/>
  <w:bordersDoNotSurroundFooter w:val="0"/>
  <w:trackRevisions w:val="1"/>
  <w:documentProtection w:enforcement="0"/>
  <w:defaultTabStop w:val="420"/>
  <w:drawingGridHorizontalSpacing w:val="105"/>
  <w:drawingGridVerticalSpacing w:val="46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jg4NjNjMGQ5OWQxMjU2NzFkNWEwMzQxMDU5MzIifQ=="/>
  </w:docVars>
  <w:rsids>
    <w:rsidRoot w:val="004A213F"/>
    <w:rsid w:val="00014AF7"/>
    <w:rsid w:val="00023C0C"/>
    <w:rsid w:val="000333DD"/>
    <w:rsid w:val="00036CDD"/>
    <w:rsid w:val="000462E5"/>
    <w:rsid w:val="00050B04"/>
    <w:rsid w:val="00056FB5"/>
    <w:rsid w:val="000777DD"/>
    <w:rsid w:val="00080EED"/>
    <w:rsid w:val="00085C59"/>
    <w:rsid w:val="00092506"/>
    <w:rsid w:val="00094953"/>
    <w:rsid w:val="00094FA6"/>
    <w:rsid w:val="000A6CDB"/>
    <w:rsid w:val="000B6034"/>
    <w:rsid w:val="000B76B1"/>
    <w:rsid w:val="000F3AC7"/>
    <w:rsid w:val="000F3D74"/>
    <w:rsid w:val="00116D1E"/>
    <w:rsid w:val="00126705"/>
    <w:rsid w:val="001318C7"/>
    <w:rsid w:val="00133779"/>
    <w:rsid w:val="001349E0"/>
    <w:rsid w:val="0014783C"/>
    <w:rsid w:val="00152461"/>
    <w:rsid w:val="0016102C"/>
    <w:rsid w:val="001668E5"/>
    <w:rsid w:val="001763BA"/>
    <w:rsid w:val="00190B14"/>
    <w:rsid w:val="001A067D"/>
    <w:rsid w:val="001B5FCC"/>
    <w:rsid w:val="001C487B"/>
    <w:rsid w:val="001D429B"/>
    <w:rsid w:val="001D5CEB"/>
    <w:rsid w:val="001E736F"/>
    <w:rsid w:val="002010F0"/>
    <w:rsid w:val="002014EF"/>
    <w:rsid w:val="00206922"/>
    <w:rsid w:val="00222ED0"/>
    <w:rsid w:val="00230AC1"/>
    <w:rsid w:val="00233336"/>
    <w:rsid w:val="002701FA"/>
    <w:rsid w:val="00272F15"/>
    <w:rsid w:val="002747A0"/>
    <w:rsid w:val="002771F5"/>
    <w:rsid w:val="002812C5"/>
    <w:rsid w:val="00284510"/>
    <w:rsid w:val="00290A46"/>
    <w:rsid w:val="002A24A1"/>
    <w:rsid w:val="002A7C56"/>
    <w:rsid w:val="002B1483"/>
    <w:rsid w:val="002B2492"/>
    <w:rsid w:val="002D34BF"/>
    <w:rsid w:val="002E4B83"/>
    <w:rsid w:val="002E4DEC"/>
    <w:rsid w:val="002E6A39"/>
    <w:rsid w:val="002F28B4"/>
    <w:rsid w:val="002F627E"/>
    <w:rsid w:val="00300F4F"/>
    <w:rsid w:val="00306552"/>
    <w:rsid w:val="0031216C"/>
    <w:rsid w:val="00313463"/>
    <w:rsid w:val="00321203"/>
    <w:rsid w:val="003229EF"/>
    <w:rsid w:val="00331B43"/>
    <w:rsid w:val="00345D5A"/>
    <w:rsid w:val="00360018"/>
    <w:rsid w:val="00362A93"/>
    <w:rsid w:val="00362D31"/>
    <w:rsid w:val="00364F9B"/>
    <w:rsid w:val="00370F89"/>
    <w:rsid w:val="00371677"/>
    <w:rsid w:val="00380F65"/>
    <w:rsid w:val="003821CA"/>
    <w:rsid w:val="003A32D7"/>
    <w:rsid w:val="003B12FD"/>
    <w:rsid w:val="003C11AA"/>
    <w:rsid w:val="003C3672"/>
    <w:rsid w:val="003D1854"/>
    <w:rsid w:val="003D2851"/>
    <w:rsid w:val="003E7185"/>
    <w:rsid w:val="004264AC"/>
    <w:rsid w:val="004328B3"/>
    <w:rsid w:val="00437643"/>
    <w:rsid w:val="00444D0B"/>
    <w:rsid w:val="00451315"/>
    <w:rsid w:val="0046137C"/>
    <w:rsid w:val="00461BA4"/>
    <w:rsid w:val="0046753E"/>
    <w:rsid w:val="004742F5"/>
    <w:rsid w:val="00482A11"/>
    <w:rsid w:val="00483398"/>
    <w:rsid w:val="0048550F"/>
    <w:rsid w:val="004A213F"/>
    <w:rsid w:val="004A2C24"/>
    <w:rsid w:val="004A4E83"/>
    <w:rsid w:val="004A61E2"/>
    <w:rsid w:val="004B2C58"/>
    <w:rsid w:val="004C174A"/>
    <w:rsid w:val="004C4906"/>
    <w:rsid w:val="004D02C7"/>
    <w:rsid w:val="004D1E01"/>
    <w:rsid w:val="004E3361"/>
    <w:rsid w:val="00517974"/>
    <w:rsid w:val="00523233"/>
    <w:rsid w:val="005239DA"/>
    <w:rsid w:val="0052448B"/>
    <w:rsid w:val="00530B16"/>
    <w:rsid w:val="00546203"/>
    <w:rsid w:val="00547032"/>
    <w:rsid w:val="00547D5B"/>
    <w:rsid w:val="005530E7"/>
    <w:rsid w:val="00557A68"/>
    <w:rsid w:val="0058332D"/>
    <w:rsid w:val="00586CD8"/>
    <w:rsid w:val="005945C8"/>
    <w:rsid w:val="00596731"/>
    <w:rsid w:val="005A0C71"/>
    <w:rsid w:val="005A7E50"/>
    <w:rsid w:val="005B6D46"/>
    <w:rsid w:val="005C3C33"/>
    <w:rsid w:val="005D1D50"/>
    <w:rsid w:val="005E192A"/>
    <w:rsid w:val="005F1CE4"/>
    <w:rsid w:val="005F4E06"/>
    <w:rsid w:val="00606A73"/>
    <w:rsid w:val="00607F91"/>
    <w:rsid w:val="00614854"/>
    <w:rsid w:val="00617438"/>
    <w:rsid w:val="006212EE"/>
    <w:rsid w:val="00621546"/>
    <w:rsid w:val="006362FE"/>
    <w:rsid w:val="00641F3E"/>
    <w:rsid w:val="00645ECC"/>
    <w:rsid w:val="00671045"/>
    <w:rsid w:val="00685B49"/>
    <w:rsid w:val="006A4F91"/>
    <w:rsid w:val="006D35F1"/>
    <w:rsid w:val="006D4686"/>
    <w:rsid w:val="006D7D46"/>
    <w:rsid w:val="006F4823"/>
    <w:rsid w:val="006F6AEF"/>
    <w:rsid w:val="007024A3"/>
    <w:rsid w:val="00707BC9"/>
    <w:rsid w:val="00722FAD"/>
    <w:rsid w:val="00723101"/>
    <w:rsid w:val="00736CE6"/>
    <w:rsid w:val="00744995"/>
    <w:rsid w:val="00744A04"/>
    <w:rsid w:val="0074556D"/>
    <w:rsid w:val="00746013"/>
    <w:rsid w:val="00746061"/>
    <w:rsid w:val="00757D21"/>
    <w:rsid w:val="00771D52"/>
    <w:rsid w:val="007959A3"/>
    <w:rsid w:val="007A164F"/>
    <w:rsid w:val="007B7B41"/>
    <w:rsid w:val="007C2D13"/>
    <w:rsid w:val="007C4F1C"/>
    <w:rsid w:val="007C61C7"/>
    <w:rsid w:val="007D307B"/>
    <w:rsid w:val="007D3FC5"/>
    <w:rsid w:val="007E4B80"/>
    <w:rsid w:val="007E5652"/>
    <w:rsid w:val="007E602F"/>
    <w:rsid w:val="007E7011"/>
    <w:rsid w:val="00805ADC"/>
    <w:rsid w:val="008157BF"/>
    <w:rsid w:val="00815CDD"/>
    <w:rsid w:val="00817809"/>
    <w:rsid w:val="00817996"/>
    <w:rsid w:val="00824EAD"/>
    <w:rsid w:val="00825F96"/>
    <w:rsid w:val="0083002B"/>
    <w:rsid w:val="008330A6"/>
    <w:rsid w:val="00843441"/>
    <w:rsid w:val="00853967"/>
    <w:rsid w:val="0086595C"/>
    <w:rsid w:val="00865FA3"/>
    <w:rsid w:val="00893653"/>
    <w:rsid w:val="008A170E"/>
    <w:rsid w:val="008A6841"/>
    <w:rsid w:val="008B16B8"/>
    <w:rsid w:val="008B4220"/>
    <w:rsid w:val="008D1475"/>
    <w:rsid w:val="008D1A1D"/>
    <w:rsid w:val="008D591C"/>
    <w:rsid w:val="008E24A3"/>
    <w:rsid w:val="008F346B"/>
    <w:rsid w:val="008F4EF5"/>
    <w:rsid w:val="0092000B"/>
    <w:rsid w:val="0092525E"/>
    <w:rsid w:val="0093213D"/>
    <w:rsid w:val="00935A44"/>
    <w:rsid w:val="00941C29"/>
    <w:rsid w:val="009449F5"/>
    <w:rsid w:val="00954581"/>
    <w:rsid w:val="00960763"/>
    <w:rsid w:val="00962983"/>
    <w:rsid w:val="00966255"/>
    <w:rsid w:val="00971C10"/>
    <w:rsid w:val="00980446"/>
    <w:rsid w:val="009856AE"/>
    <w:rsid w:val="00992BB2"/>
    <w:rsid w:val="0099448D"/>
    <w:rsid w:val="0099648B"/>
    <w:rsid w:val="00997901"/>
    <w:rsid w:val="009A62EF"/>
    <w:rsid w:val="009B0C16"/>
    <w:rsid w:val="009B329F"/>
    <w:rsid w:val="009C50AD"/>
    <w:rsid w:val="009C535E"/>
    <w:rsid w:val="009D718F"/>
    <w:rsid w:val="009E07AA"/>
    <w:rsid w:val="00A0169F"/>
    <w:rsid w:val="00A17D89"/>
    <w:rsid w:val="00A539BC"/>
    <w:rsid w:val="00A62579"/>
    <w:rsid w:val="00A62808"/>
    <w:rsid w:val="00A6488D"/>
    <w:rsid w:val="00A73412"/>
    <w:rsid w:val="00A912ED"/>
    <w:rsid w:val="00A953E8"/>
    <w:rsid w:val="00A95587"/>
    <w:rsid w:val="00A96EC9"/>
    <w:rsid w:val="00AA02B1"/>
    <w:rsid w:val="00AA28A9"/>
    <w:rsid w:val="00AA6C25"/>
    <w:rsid w:val="00AB0352"/>
    <w:rsid w:val="00AB0C62"/>
    <w:rsid w:val="00AB391D"/>
    <w:rsid w:val="00AB3D78"/>
    <w:rsid w:val="00AB44AF"/>
    <w:rsid w:val="00AB5B28"/>
    <w:rsid w:val="00AC114F"/>
    <w:rsid w:val="00AD04E7"/>
    <w:rsid w:val="00AD6ADB"/>
    <w:rsid w:val="00AE3234"/>
    <w:rsid w:val="00AF3A87"/>
    <w:rsid w:val="00B01191"/>
    <w:rsid w:val="00B20D09"/>
    <w:rsid w:val="00B241B0"/>
    <w:rsid w:val="00B30526"/>
    <w:rsid w:val="00B30B93"/>
    <w:rsid w:val="00B36AA7"/>
    <w:rsid w:val="00B36E5C"/>
    <w:rsid w:val="00B51088"/>
    <w:rsid w:val="00B62631"/>
    <w:rsid w:val="00B62B04"/>
    <w:rsid w:val="00B86BB6"/>
    <w:rsid w:val="00B8726D"/>
    <w:rsid w:val="00B93A23"/>
    <w:rsid w:val="00B9658F"/>
    <w:rsid w:val="00BA2DFC"/>
    <w:rsid w:val="00BB025B"/>
    <w:rsid w:val="00BB4E3F"/>
    <w:rsid w:val="00BB6888"/>
    <w:rsid w:val="00BB76BA"/>
    <w:rsid w:val="00BC22F6"/>
    <w:rsid w:val="00BC445C"/>
    <w:rsid w:val="00BC4684"/>
    <w:rsid w:val="00BC7E2F"/>
    <w:rsid w:val="00BD4BA7"/>
    <w:rsid w:val="00BD5D92"/>
    <w:rsid w:val="00BE4F4E"/>
    <w:rsid w:val="00BF14CA"/>
    <w:rsid w:val="00C0344F"/>
    <w:rsid w:val="00C0514F"/>
    <w:rsid w:val="00C143F8"/>
    <w:rsid w:val="00C16BE7"/>
    <w:rsid w:val="00C21129"/>
    <w:rsid w:val="00C35A65"/>
    <w:rsid w:val="00C42F82"/>
    <w:rsid w:val="00C45056"/>
    <w:rsid w:val="00C57E3F"/>
    <w:rsid w:val="00C66306"/>
    <w:rsid w:val="00C66CE9"/>
    <w:rsid w:val="00C710BB"/>
    <w:rsid w:val="00C73B53"/>
    <w:rsid w:val="00C804B6"/>
    <w:rsid w:val="00C85BC6"/>
    <w:rsid w:val="00C8774E"/>
    <w:rsid w:val="00C87B90"/>
    <w:rsid w:val="00CA79C6"/>
    <w:rsid w:val="00CB299B"/>
    <w:rsid w:val="00CB5F80"/>
    <w:rsid w:val="00CC5F4A"/>
    <w:rsid w:val="00CE5AFA"/>
    <w:rsid w:val="00CF0C20"/>
    <w:rsid w:val="00CF2563"/>
    <w:rsid w:val="00D03817"/>
    <w:rsid w:val="00D15909"/>
    <w:rsid w:val="00D21972"/>
    <w:rsid w:val="00D22BDE"/>
    <w:rsid w:val="00D25CEE"/>
    <w:rsid w:val="00D30DDC"/>
    <w:rsid w:val="00D44FA9"/>
    <w:rsid w:val="00D53D4E"/>
    <w:rsid w:val="00D56614"/>
    <w:rsid w:val="00D63976"/>
    <w:rsid w:val="00D6450C"/>
    <w:rsid w:val="00D709FC"/>
    <w:rsid w:val="00D73FA6"/>
    <w:rsid w:val="00D806DB"/>
    <w:rsid w:val="00D86577"/>
    <w:rsid w:val="00D97B49"/>
    <w:rsid w:val="00DA1823"/>
    <w:rsid w:val="00DA3C00"/>
    <w:rsid w:val="00DB67D8"/>
    <w:rsid w:val="00DC1EB4"/>
    <w:rsid w:val="00DC553B"/>
    <w:rsid w:val="00DC62D5"/>
    <w:rsid w:val="00DD5A9B"/>
    <w:rsid w:val="00DD6264"/>
    <w:rsid w:val="00DE0D51"/>
    <w:rsid w:val="00DE2015"/>
    <w:rsid w:val="00DE416E"/>
    <w:rsid w:val="00DE5DA0"/>
    <w:rsid w:val="00DF289C"/>
    <w:rsid w:val="00E10CB2"/>
    <w:rsid w:val="00E14874"/>
    <w:rsid w:val="00E20C98"/>
    <w:rsid w:val="00E20F97"/>
    <w:rsid w:val="00E21844"/>
    <w:rsid w:val="00E21FE9"/>
    <w:rsid w:val="00E222C9"/>
    <w:rsid w:val="00E35C3A"/>
    <w:rsid w:val="00E45158"/>
    <w:rsid w:val="00E52787"/>
    <w:rsid w:val="00E608BF"/>
    <w:rsid w:val="00E80423"/>
    <w:rsid w:val="00E8285D"/>
    <w:rsid w:val="00E91686"/>
    <w:rsid w:val="00E9464E"/>
    <w:rsid w:val="00EA764E"/>
    <w:rsid w:val="00EB4111"/>
    <w:rsid w:val="00EB5E5E"/>
    <w:rsid w:val="00EB6401"/>
    <w:rsid w:val="00EC14BD"/>
    <w:rsid w:val="00EC1E72"/>
    <w:rsid w:val="00EC2B5D"/>
    <w:rsid w:val="00EC2CE7"/>
    <w:rsid w:val="00ED3DD7"/>
    <w:rsid w:val="00EE5D83"/>
    <w:rsid w:val="00EF1EFC"/>
    <w:rsid w:val="00F0430E"/>
    <w:rsid w:val="00F170C3"/>
    <w:rsid w:val="00F41E3F"/>
    <w:rsid w:val="00F43E61"/>
    <w:rsid w:val="00F44C6B"/>
    <w:rsid w:val="00F57B53"/>
    <w:rsid w:val="00F62C91"/>
    <w:rsid w:val="00F71C2B"/>
    <w:rsid w:val="00F76518"/>
    <w:rsid w:val="00F76909"/>
    <w:rsid w:val="00F77F47"/>
    <w:rsid w:val="00F81389"/>
    <w:rsid w:val="00F86C3C"/>
    <w:rsid w:val="00FA3EBA"/>
    <w:rsid w:val="00FA7A14"/>
    <w:rsid w:val="00FC6588"/>
    <w:rsid w:val="00FD7162"/>
    <w:rsid w:val="00FD7351"/>
    <w:rsid w:val="00FE1FFA"/>
    <w:rsid w:val="00FF23D7"/>
    <w:rsid w:val="01C93C19"/>
    <w:rsid w:val="023A5506"/>
    <w:rsid w:val="02C7010C"/>
    <w:rsid w:val="0314263A"/>
    <w:rsid w:val="042F6431"/>
    <w:rsid w:val="04FE6A55"/>
    <w:rsid w:val="0738703F"/>
    <w:rsid w:val="081928F7"/>
    <w:rsid w:val="0A834DB9"/>
    <w:rsid w:val="0AA81FA0"/>
    <w:rsid w:val="0AC72F14"/>
    <w:rsid w:val="0B7F7C93"/>
    <w:rsid w:val="0C5A2979"/>
    <w:rsid w:val="0C5A6760"/>
    <w:rsid w:val="0D0A3D73"/>
    <w:rsid w:val="0DEB5944"/>
    <w:rsid w:val="0E606003"/>
    <w:rsid w:val="0EE70DC8"/>
    <w:rsid w:val="0F6777C1"/>
    <w:rsid w:val="0FEB30A4"/>
    <w:rsid w:val="100422B6"/>
    <w:rsid w:val="111012A2"/>
    <w:rsid w:val="12DB1499"/>
    <w:rsid w:val="14D447A1"/>
    <w:rsid w:val="14FE7E7F"/>
    <w:rsid w:val="152E737F"/>
    <w:rsid w:val="1553757E"/>
    <w:rsid w:val="176C53FF"/>
    <w:rsid w:val="18A242DC"/>
    <w:rsid w:val="192D5062"/>
    <w:rsid w:val="1A582C4D"/>
    <w:rsid w:val="1AC262E4"/>
    <w:rsid w:val="1AEF7350"/>
    <w:rsid w:val="1C2C72C0"/>
    <w:rsid w:val="1C3C7525"/>
    <w:rsid w:val="1C933420"/>
    <w:rsid w:val="1DCE542C"/>
    <w:rsid w:val="1F0D4DFF"/>
    <w:rsid w:val="20D8494A"/>
    <w:rsid w:val="210F6AA0"/>
    <w:rsid w:val="21A05B05"/>
    <w:rsid w:val="22780917"/>
    <w:rsid w:val="22D80FF9"/>
    <w:rsid w:val="243721DF"/>
    <w:rsid w:val="247004CE"/>
    <w:rsid w:val="257A1AEE"/>
    <w:rsid w:val="27D8568C"/>
    <w:rsid w:val="27EB2FAE"/>
    <w:rsid w:val="29D15DB9"/>
    <w:rsid w:val="29E45876"/>
    <w:rsid w:val="2A5E793D"/>
    <w:rsid w:val="2AF14778"/>
    <w:rsid w:val="2B6C495A"/>
    <w:rsid w:val="2BA43DFF"/>
    <w:rsid w:val="2BC21ED0"/>
    <w:rsid w:val="2BFF0D15"/>
    <w:rsid w:val="2CDA0056"/>
    <w:rsid w:val="2D055C6E"/>
    <w:rsid w:val="2DFA1814"/>
    <w:rsid w:val="2E62727C"/>
    <w:rsid w:val="30383227"/>
    <w:rsid w:val="30BE6AE9"/>
    <w:rsid w:val="31A12004"/>
    <w:rsid w:val="324021D5"/>
    <w:rsid w:val="328F43A8"/>
    <w:rsid w:val="32B964BF"/>
    <w:rsid w:val="32C461E7"/>
    <w:rsid w:val="33A74EC2"/>
    <w:rsid w:val="33E13A0E"/>
    <w:rsid w:val="340616D1"/>
    <w:rsid w:val="35294BEB"/>
    <w:rsid w:val="35657FD0"/>
    <w:rsid w:val="35946345"/>
    <w:rsid w:val="369C43E4"/>
    <w:rsid w:val="385259AA"/>
    <w:rsid w:val="38BB1C18"/>
    <w:rsid w:val="391B4A7F"/>
    <w:rsid w:val="39F52739"/>
    <w:rsid w:val="3C5410AC"/>
    <w:rsid w:val="3D5C60C7"/>
    <w:rsid w:val="3D9D4674"/>
    <w:rsid w:val="3E287B29"/>
    <w:rsid w:val="3EBF35CC"/>
    <w:rsid w:val="3F457C66"/>
    <w:rsid w:val="3F6D1CCC"/>
    <w:rsid w:val="40884D83"/>
    <w:rsid w:val="409C0719"/>
    <w:rsid w:val="412E4CE5"/>
    <w:rsid w:val="41882A53"/>
    <w:rsid w:val="41AA5A3C"/>
    <w:rsid w:val="41BC5AAB"/>
    <w:rsid w:val="4331024F"/>
    <w:rsid w:val="446A27E3"/>
    <w:rsid w:val="44E35C6F"/>
    <w:rsid w:val="463D551C"/>
    <w:rsid w:val="464D0650"/>
    <w:rsid w:val="46E57588"/>
    <w:rsid w:val="46EC3B2F"/>
    <w:rsid w:val="483A09EE"/>
    <w:rsid w:val="489C53AF"/>
    <w:rsid w:val="4AA90A77"/>
    <w:rsid w:val="4D893BD4"/>
    <w:rsid w:val="4F971C31"/>
    <w:rsid w:val="508916FF"/>
    <w:rsid w:val="52C55F87"/>
    <w:rsid w:val="52D457D7"/>
    <w:rsid w:val="54CD67D6"/>
    <w:rsid w:val="586922BA"/>
    <w:rsid w:val="592279B1"/>
    <w:rsid w:val="59D51162"/>
    <w:rsid w:val="5D2064B6"/>
    <w:rsid w:val="5DA96979"/>
    <w:rsid w:val="5E29491A"/>
    <w:rsid w:val="5F1E08BF"/>
    <w:rsid w:val="5F5A6405"/>
    <w:rsid w:val="5FA83C16"/>
    <w:rsid w:val="62863DAE"/>
    <w:rsid w:val="631053EC"/>
    <w:rsid w:val="636724EC"/>
    <w:rsid w:val="63953280"/>
    <w:rsid w:val="64FE6FAF"/>
    <w:rsid w:val="65D11964"/>
    <w:rsid w:val="65EF17A0"/>
    <w:rsid w:val="690B6EA8"/>
    <w:rsid w:val="69477564"/>
    <w:rsid w:val="6A366774"/>
    <w:rsid w:val="6C730494"/>
    <w:rsid w:val="6F310201"/>
    <w:rsid w:val="6F834209"/>
    <w:rsid w:val="70FB2A4F"/>
    <w:rsid w:val="71E85364"/>
    <w:rsid w:val="73C365E1"/>
    <w:rsid w:val="740A238E"/>
    <w:rsid w:val="75C31D7E"/>
    <w:rsid w:val="75F3408F"/>
    <w:rsid w:val="76B34F66"/>
    <w:rsid w:val="77AA69E5"/>
    <w:rsid w:val="77E2426A"/>
    <w:rsid w:val="78E17CFD"/>
    <w:rsid w:val="798440F9"/>
    <w:rsid w:val="7B6F1AE6"/>
    <w:rsid w:val="7B990FF9"/>
    <w:rsid w:val="7C1A100D"/>
    <w:rsid w:val="7D642411"/>
    <w:rsid w:val="7E461CD3"/>
    <w:rsid w:val="7E5C6774"/>
    <w:rsid w:val="7E7D62F6"/>
    <w:rsid w:val="7FB012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0"/>
    <w:semiHidden/>
    <w:unhideWhenUsed/>
    <w:qFormat/>
    <w:uiPriority w:val="99"/>
    <w:pPr>
      <w:jc w:val="left"/>
    </w:pPr>
  </w:style>
  <w:style w:type="paragraph" w:styleId="3">
    <w:name w:val="Body Text"/>
    <w:basedOn w:val="1"/>
    <w:unhideWhenUsed/>
    <w:qFormat/>
    <w:uiPriority w:val="99"/>
    <w:pPr>
      <w:spacing w:after="120"/>
    </w:pPr>
  </w:style>
  <w:style w:type="paragraph" w:styleId="4">
    <w:name w:val="Body Text Indent"/>
    <w:basedOn w:val="1"/>
    <w:link w:val="19"/>
    <w:qFormat/>
    <w:uiPriority w:val="99"/>
    <w:pPr>
      <w:ind w:firstLine="570"/>
    </w:pPr>
    <w:rPr>
      <w:sz w:val="28"/>
    </w:rPr>
  </w:style>
  <w:style w:type="paragraph" w:styleId="5">
    <w:name w:val="Plain Text"/>
    <w:basedOn w:val="1"/>
    <w:qFormat/>
    <w:uiPriority w:val="0"/>
    <w:rPr>
      <w:rFonts w:ascii="宋体" w:hAnsi="宋体" w:cs="Courier New"/>
      <w:kern w:val="1"/>
      <w:sz w:val="24"/>
    </w:rPr>
  </w:style>
  <w:style w:type="paragraph" w:styleId="6">
    <w:name w:val="Body Text Indent 2"/>
    <w:basedOn w:val="1"/>
    <w:link w:val="20"/>
    <w:qFormat/>
    <w:uiPriority w:val="99"/>
    <w:pPr>
      <w:spacing w:line="460" w:lineRule="exact"/>
      <w:ind w:left="1" w:firstLine="598" w:firstLineChars="249"/>
    </w:pPr>
    <w:rPr>
      <w:rFonts w:ascii="宋体" w:hAnsi="宋体"/>
      <w:sz w:val="24"/>
    </w:rPr>
  </w:style>
  <w:style w:type="paragraph" w:styleId="7">
    <w:name w:val="Balloon Text"/>
    <w:basedOn w:val="1"/>
    <w:link w:val="21"/>
    <w:semiHidden/>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4"/>
    <w:qFormat/>
    <w:uiPriority w:val="99"/>
    <w:pPr>
      <w:spacing w:line="420" w:lineRule="exact"/>
      <w:ind w:firstLine="570"/>
    </w:pPr>
    <w:rPr>
      <w:rFonts w:ascii="宋体" w:hAnsi="宋体"/>
      <w:sz w:val="24"/>
    </w:rPr>
  </w:style>
  <w:style w:type="paragraph" w:styleId="11">
    <w:name w:val="annotation subject"/>
    <w:basedOn w:val="2"/>
    <w:next w:val="2"/>
    <w:link w:val="31"/>
    <w:semiHidden/>
    <w:unhideWhenUsed/>
    <w:qFormat/>
    <w:uiPriority w:val="99"/>
    <w:rPr>
      <w:b/>
      <w:bCs/>
    </w:rPr>
  </w:style>
  <w:style w:type="paragraph" w:styleId="12">
    <w:name w:val="Body Text First Indent"/>
    <w:basedOn w:val="3"/>
    <w:unhideWhenUsed/>
    <w:qFormat/>
    <w:uiPriority w:val="99"/>
    <w:pPr>
      <w:ind w:firstLine="420" w:firstLineChars="100"/>
    </w:pPr>
  </w:style>
  <w:style w:type="character" w:styleId="15">
    <w:name w:val="Strong"/>
    <w:basedOn w:val="14"/>
    <w:qFormat/>
    <w:locked/>
    <w:uiPriority w:val="99"/>
    <w:rPr>
      <w:rFonts w:cs="Times New Roman"/>
      <w:b/>
      <w:bCs/>
    </w:rPr>
  </w:style>
  <w:style w:type="character" w:styleId="16">
    <w:name w:val="page number"/>
    <w:basedOn w:val="14"/>
    <w:qFormat/>
    <w:uiPriority w:val="99"/>
    <w:rPr>
      <w:rFonts w:cs="Times New Roman"/>
    </w:rPr>
  </w:style>
  <w:style w:type="character" w:styleId="17">
    <w:name w:val="Hyperlink"/>
    <w:basedOn w:val="14"/>
    <w:semiHidden/>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正文文本缩进 Char"/>
    <w:basedOn w:val="14"/>
    <w:link w:val="4"/>
    <w:semiHidden/>
    <w:qFormat/>
    <w:locked/>
    <w:uiPriority w:val="99"/>
    <w:rPr>
      <w:rFonts w:cs="Times New Roman"/>
      <w:sz w:val="24"/>
      <w:szCs w:val="24"/>
    </w:rPr>
  </w:style>
  <w:style w:type="character" w:customStyle="1" w:styleId="20">
    <w:name w:val="正文文本缩进 2 Char"/>
    <w:basedOn w:val="14"/>
    <w:link w:val="6"/>
    <w:semiHidden/>
    <w:qFormat/>
    <w:locked/>
    <w:uiPriority w:val="99"/>
    <w:rPr>
      <w:rFonts w:cs="Times New Roman"/>
      <w:sz w:val="24"/>
      <w:szCs w:val="24"/>
    </w:rPr>
  </w:style>
  <w:style w:type="character" w:customStyle="1" w:styleId="21">
    <w:name w:val="批注框文本 Char"/>
    <w:basedOn w:val="14"/>
    <w:link w:val="7"/>
    <w:semiHidden/>
    <w:qFormat/>
    <w:locked/>
    <w:uiPriority w:val="99"/>
    <w:rPr>
      <w:rFonts w:cs="Times New Roman"/>
      <w:sz w:val="2"/>
    </w:rPr>
  </w:style>
  <w:style w:type="character" w:customStyle="1" w:styleId="22">
    <w:name w:val="页脚 Char"/>
    <w:basedOn w:val="14"/>
    <w:link w:val="8"/>
    <w:qFormat/>
    <w:locked/>
    <w:uiPriority w:val="99"/>
    <w:rPr>
      <w:rFonts w:cs="Times New Roman"/>
      <w:kern w:val="2"/>
      <w:sz w:val="18"/>
      <w:szCs w:val="18"/>
    </w:rPr>
  </w:style>
  <w:style w:type="character" w:customStyle="1" w:styleId="23">
    <w:name w:val="页眉 Char"/>
    <w:basedOn w:val="14"/>
    <w:link w:val="9"/>
    <w:qFormat/>
    <w:locked/>
    <w:uiPriority w:val="99"/>
    <w:rPr>
      <w:rFonts w:cs="Times New Roman"/>
      <w:kern w:val="2"/>
      <w:sz w:val="18"/>
      <w:szCs w:val="18"/>
    </w:rPr>
  </w:style>
  <w:style w:type="character" w:customStyle="1" w:styleId="24">
    <w:name w:val="正文文本缩进 3 Char"/>
    <w:basedOn w:val="14"/>
    <w:link w:val="10"/>
    <w:semiHidden/>
    <w:qFormat/>
    <w:locked/>
    <w:uiPriority w:val="99"/>
    <w:rPr>
      <w:rFonts w:cs="Times New Roman"/>
      <w:sz w:val="16"/>
      <w:szCs w:val="16"/>
    </w:rPr>
  </w:style>
  <w:style w:type="paragraph" w:customStyle="1" w:styleId="25">
    <w:name w:val="无间隔1"/>
    <w:link w:val="2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27">
    <w:name w:val="No Spacing Char"/>
    <w:basedOn w:val="14"/>
    <w:link w:val="25"/>
    <w:qFormat/>
    <w:locked/>
    <w:uiPriority w:val="99"/>
    <w:rPr>
      <w:kern w:val="2"/>
      <w:sz w:val="21"/>
      <w:szCs w:val="24"/>
      <w:lang w:val="en-US" w:eastAsia="zh-CN" w:bidi="ar-SA"/>
    </w:rPr>
  </w:style>
  <w:style w:type="paragraph" w:customStyle="1" w:styleId="28">
    <w:name w:val="Revision1"/>
    <w:hidden/>
    <w:qFormat/>
    <w:uiPriority w:val="99"/>
    <w:rPr>
      <w:rFonts w:ascii="Times New Roman" w:hAnsi="Times New Roman" w:eastAsia="宋体" w:cs="Times New Roman"/>
      <w:kern w:val="2"/>
      <w:sz w:val="21"/>
      <w:szCs w:val="24"/>
      <w:lang w:val="en-US" w:eastAsia="zh-CN" w:bidi="ar-SA"/>
    </w:rPr>
  </w:style>
  <w:style w:type="character" w:customStyle="1" w:styleId="29">
    <w:name w:val="NormalCharacter"/>
    <w:qFormat/>
    <w:uiPriority w:val="0"/>
  </w:style>
  <w:style w:type="character" w:customStyle="1" w:styleId="30">
    <w:name w:val="批注文字 Char"/>
    <w:basedOn w:val="14"/>
    <w:link w:val="2"/>
    <w:semiHidden/>
    <w:qFormat/>
    <w:uiPriority w:val="99"/>
    <w:rPr>
      <w:kern w:val="2"/>
      <w:sz w:val="21"/>
      <w:szCs w:val="24"/>
    </w:rPr>
  </w:style>
  <w:style w:type="character" w:customStyle="1" w:styleId="31">
    <w:name w:val="批注主题 Char"/>
    <w:basedOn w:val="30"/>
    <w:link w:val="11"/>
    <w:semiHidden/>
    <w:qFormat/>
    <w:uiPriority w:val="99"/>
    <w:rPr>
      <w:b/>
      <w:bCs/>
      <w:kern w:val="2"/>
      <w:sz w:val="21"/>
      <w:szCs w:val="24"/>
    </w:rPr>
  </w:style>
  <w:style w:type="paragraph" w:customStyle="1" w:styleId="32">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6778</Words>
  <Characters>6939</Characters>
  <Lines>55</Lines>
  <Paragraphs>15</Paragraphs>
  <TotalTime>5</TotalTime>
  <ScaleCrop>false</ScaleCrop>
  <LinksUpToDate>false</LinksUpToDate>
  <CharactersWithSpaces>7150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2023-05-19T02:31:00Z</dcterms:created>
  <dc:creator>Lenovo</dc:creator>
  <cp:lastModifiedBy>广州南沙经发建筑有限公司[广州南沙经发建筑有限公司]</cp:lastModifiedBy>
  <cp:lastPrinted>2018-12-16T04:41:00Z</cp:lastPrinted>
  <dcterms:modified xsi:type="dcterms:W3CDTF">2025-07-11T02:22:17Z</dcterms:modified>
  <dc:title>(参二)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C35D89098165470D958804D21049A5DD_13</vt:lpwstr>
  </property>
  <property fmtid="{D5CDD505-2E9C-101B-9397-08002B2CF9AE}" pid="4" name="KSOTemplateDocerSaveRecord">
    <vt:lpwstr>eyJoZGlkIjoiNWY1ZjliYzFmMGUxYjBmY2U5ZDZlZjE2ZGI3ZDYxMzUiLCJ1c2VySWQiOiI0MzI4Mjc0MDcifQ==</vt:lpwstr>
  </property>
</Properties>
</file>