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宋体" w:hAnsi="宋体" w:cs="宋体"/>
          <w:b/>
          <w:bCs/>
          <w:color w:val="auto"/>
          <w:sz w:val="48"/>
          <w:szCs w:val="4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b/>
          <w:bCs/>
          <w:color w:val="auto"/>
          <w:sz w:val="48"/>
          <w:szCs w:val="48"/>
          <w:highlight w:val="none"/>
        </w:rPr>
      </w:pPr>
      <w:r>
        <w:rPr>
          <w:rFonts w:hint="eastAsia" w:ascii="宋体" w:hAnsi="宋体" w:cs="宋体"/>
          <w:b/>
          <w:bCs/>
          <w:color w:val="auto"/>
          <w:sz w:val="48"/>
          <w:szCs w:val="48"/>
          <w:highlight w:val="none"/>
          <w:u w:val="none"/>
          <w:lang w:val="en-US" w:eastAsia="zh-CN"/>
        </w:rPr>
        <w:t>南沙大湿地生态价值实践区先行启动区企业配建提升项目设计施工总承包</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b/>
          <w:color w:val="auto"/>
          <w:sz w:val="72"/>
          <w:szCs w:val="84"/>
          <w:highlight w:val="none"/>
        </w:rPr>
      </w:pPr>
      <w:r>
        <w:rPr>
          <w:rFonts w:hint="eastAsia" w:ascii="宋体" w:hAnsi="宋体" w:eastAsia="宋体" w:cs="宋体"/>
          <w:b/>
          <w:color w:val="auto"/>
          <w:sz w:val="72"/>
          <w:szCs w:val="84"/>
          <w:highlight w:val="none"/>
        </w:rPr>
        <w:t>招 标 文 件</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pStyle w:val="38"/>
        <w:rPr>
          <w:rFonts w:hint="eastAsia"/>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1687" w:firstLineChars="600"/>
        <w:jc w:val="left"/>
        <w:textAlignment w:val="auto"/>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rPr>
        <w:t>招   标   人</w:t>
      </w:r>
      <w:r>
        <w:rPr>
          <w:rFonts w:hint="eastAsia" w:ascii="宋体" w:hAnsi="宋体" w:eastAsia="宋体" w:cs="宋体"/>
          <w:b/>
          <w:color w:val="auto"/>
          <w:sz w:val="28"/>
          <w:szCs w:val="28"/>
          <w:highlight w:val="none"/>
          <w:lang w:eastAsia="zh-CN"/>
        </w:rPr>
        <w:t>：广州南沙湿地旅游发展有限公司</w:t>
      </w:r>
    </w:p>
    <w:p>
      <w:pPr>
        <w:pStyle w:val="38"/>
        <w:keepNext w:val="0"/>
        <w:keepLines w:val="0"/>
        <w:pageBreakBefore w:val="0"/>
        <w:widowControl w:val="0"/>
        <w:kinsoku/>
        <w:wordWrap/>
        <w:overflowPunct/>
        <w:topLinePunct w:val="0"/>
        <w:autoSpaceDE/>
        <w:autoSpaceDN/>
        <w:bidi w:val="0"/>
        <w:adjustRightInd/>
        <w:snapToGrid/>
        <w:spacing w:after="0" w:line="600" w:lineRule="exact"/>
        <w:ind w:firstLine="1687" w:firstLineChars="6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项目建设管理单位：广州南沙建设维护管理有限公司</w:t>
      </w:r>
    </w:p>
    <w:p>
      <w:pPr>
        <w:keepNext w:val="0"/>
        <w:keepLines w:val="0"/>
        <w:pageBreakBefore w:val="0"/>
        <w:widowControl w:val="0"/>
        <w:kinsoku/>
        <w:wordWrap/>
        <w:overflowPunct/>
        <w:topLinePunct w:val="0"/>
        <w:autoSpaceDE/>
        <w:autoSpaceDN/>
        <w:bidi w:val="0"/>
        <w:adjustRightInd/>
        <w:snapToGrid/>
        <w:spacing w:line="600" w:lineRule="exact"/>
        <w:ind w:firstLine="1687" w:firstLineChars="600"/>
        <w:jc w:val="left"/>
        <w:textAlignment w:val="auto"/>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rPr>
        <w:t>招标代理机构：</w:t>
      </w:r>
      <w:r>
        <w:rPr>
          <w:rFonts w:hint="eastAsia" w:ascii="宋体" w:hAnsi="宋体" w:eastAsia="宋体" w:cs="宋体"/>
          <w:b/>
          <w:color w:val="auto"/>
          <w:sz w:val="28"/>
          <w:szCs w:val="28"/>
          <w:highlight w:val="none"/>
          <w:lang w:val="en-US" w:eastAsia="zh-CN"/>
        </w:rPr>
        <w:t>广东省机电设备招标有限公司</w:t>
      </w:r>
    </w:p>
    <w:p>
      <w:pPr>
        <w:pStyle w:val="38"/>
        <w:keepNext w:val="0"/>
        <w:keepLines w:val="0"/>
        <w:pageBreakBefore w:val="0"/>
        <w:widowControl w:val="0"/>
        <w:kinsoku/>
        <w:wordWrap/>
        <w:overflowPunct/>
        <w:topLinePunct w:val="0"/>
        <w:autoSpaceDE/>
        <w:autoSpaceDN/>
        <w:bidi w:val="0"/>
        <w:adjustRightInd/>
        <w:snapToGrid/>
        <w:spacing w:after="0" w:line="600" w:lineRule="exact"/>
        <w:ind w:firstLine="1687" w:firstLineChars="600"/>
        <w:textAlignment w:val="auto"/>
        <w:rPr>
          <w:rFonts w:hint="eastAsia"/>
          <w:color w:val="auto"/>
          <w:highlight w:val="none"/>
        </w:rPr>
        <w:sectPr>
          <w:headerReference r:id="rId3" w:type="default"/>
          <w:pgSz w:w="11906" w:h="16838"/>
          <w:pgMar w:top="1247" w:right="1134" w:bottom="1247" w:left="1361" w:header="851" w:footer="992" w:gutter="0"/>
          <w:cols w:space="720" w:num="1"/>
          <w:docGrid w:type="lines" w:linePitch="312" w:charSpace="0"/>
        </w:sect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none"/>
        </w:rPr>
        <w:t>202</w:t>
      </w:r>
      <w:r>
        <w:rPr>
          <w:rFonts w:hint="eastAsia" w:ascii="宋体" w:hAnsi="宋体" w:eastAsia="宋体" w:cs="宋体"/>
          <w:b/>
          <w:color w:val="auto"/>
          <w:sz w:val="28"/>
          <w:szCs w:val="28"/>
          <w:highlight w:val="none"/>
          <w:u w:val="none"/>
          <w:lang w:val="en-US" w:eastAsia="zh-CN"/>
        </w:rPr>
        <w:t>5</w:t>
      </w:r>
      <w:r>
        <w:rPr>
          <w:rFonts w:hint="eastAsia" w:ascii="宋体" w:hAnsi="宋体" w:eastAsia="宋体" w:cs="宋体"/>
          <w:b/>
          <w:color w:val="auto"/>
          <w:sz w:val="28"/>
          <w:szCs w:val="28"/>
          <w:highlight w:val="none"/>
          <w:u w:val="none"/>
        </w:rPr>
        <w:t>年</w:t>
      </w:r>
      <w:r>
        <w:rPr>
          <w:rFonts w:hint="eastAsia" w:ascii="宋体" w:hAnsi="宋体" w:cs="宋体"/>
          <w:b/>
          <w:color w:val="auto"/>
          <w:sz w:val="28"/>
          <w:szCs w:val="28"/>
          <w:highlight w:val="none"/>
          <w:u w:val="none"/>
          <w:lang w:val="en-US" w:eastAsia="zh-CN"/>
        </w:rPr>
        <w:t>7</w:t>
      </w:r>
      <w:r>
        <w:rPr>
          <w:rFonts w:hint="eastAsia" w:ascii="宋体" w:hAnsi="宋体" w:eastAsia="宋体" w:cs="宋体"/>
          <w:b/>
          <w:color w:val="auto"/>
          <w:sz w:val="28"/>
          <w:szCs w:val="28"/>
          <w:highlight w:val="none"/>
          <w:u w:val="none"/>
        </w:rPr>
        <w:t>月</w:t>
      </w:r>
      <w:bookmarkStart w:id="0" w:name="_Toc144974478"/>
      <w:bookmarkStart w:id="1" w:name="_Toc152042286"/>
    </w:p>
    <w:p>
      <w:pPr>
        <w:pStyle w:val="3"/>
        <w:jc w:val="center"/>
        <w:rPr>
          <w:rFonts w:hint="eastAsia" w:ascii="宋体" w:hAnsi="宋体" w:eastAsia="宋体" w:cs="宋体"/>
          <w:color w:val="auto"/>
          <w:highlight w:val="none"/>
        </w:rPr>
      </w:pPr>
      <w:bookmarkStart w:id="2" w:name="_Toc2752"/>
      <w:bookmarkStart w:id="3" w:name="_Toc27659"/>
      <w:bookmarkStart w:id="4" w:name="_Toc490141011"/>
      <w:bookmarkStart w:id="5" w:name="_Toc19474"/>
      <w:bookmarkStart w:id="6" w:name="_Toc23644"/>
      <w:bookmarkStart w:id="7" w:name="_Toc363"/>
      <w:bookmarkStart w:id="8" w:name="_Toc247527532"/>
      <w:bookmarkStart w:id="9" w:name="_Toc24129"/>
      <w:bookmarkStart w:id="10" w:name="_Toc32495"/>
      <w:bookmarkStart w:id="11" w:name="_Toc2977"/>
      <w:bookmarkStart w:id="12" w:name="_Toc300834926"/>
      <w:r>
        <w:rPr>
          <w:rFonts w:hint="eastAsia" w:ascii="宋体" w:hAnsi="宋体" w:eastAsia="宋体" w:cs="宋体"/>
          <w:color w:val="auto"/>
          <w:highlight w:val="none"/>
        </w:rPr>
        <w:t>目录</w:t>
      </w:r>
      <w:bookmarkEnd w:id="0"/>
      <w:bookmarkEnd w:id="1"/>
      <w:bookmarkEnd w:id="2"/>
      <w:bookmarkEnd w:id="3"/>
      <w:bookmarkEnd w:id="4"/>
      <w:bookmarkEnd w:id="5"/>
      <w:bookmarkEnd w:id="6"/>
      <w:bookmarkEnd w:id="7"/>
      <w:bookmarkEnd w:id="8"/>
      <w:bookmarkEnd w:id="9"/>
      <w:bookmarkEnd w:id="10"/>
      <w:bookmarkEnd w:id="11"/>
      <w:bookmarkEnd w:id="12"/>
    </w:p>
    <w:p>
      <w:pPr>
        <w:pStyle w:val="26"/>
        <w:tabs>
          <w:tab w:val="right" w:leader="dot" w:pos="9411"/>
        </w:tabs>
        <w:rPr>
          <w:rFonts w:hint="eastAsia" w:ascii="宋体" w:hAnsi="宋体" w:eastAsia="宋体" w:cs="宋体"/>
          <w:color w:val="auto"/>
          <w:highlight w:val="none"/>
        </w:rPr>
      </w:pPr>
      <w:bookmarkStart w:id="13" w:name="_Toc247527533"/>
      <w:bookmarkStart w:id="14" w:name="_Toc247513932"/>
      <w:bookmarkStart w:id="15" w:name="_Toc152045511"/>
      <w:bookmarkStart w:id="16" w:name="_Toc144974479"/>
      <w:bookmarkStart w:id="17" w:name="_Toc152042287"/>
      <w:r>
        <w:rPr>
          <w:rFonts w:hint="eastAsia" w:ascii="宋体" w:hAnsi="宋体" w:eastAsia="宋体" w:cs="宋体"/>
          <w:caps w:val="0"/>
          <w:color w:val="auto"/>
          <w:sz w:val="28"/>
          <w:szCs w:val="28"/>
          <w:highlight w:val="none"/>
        </w:rPr>
        <w:fldChar w:fldCharType="begin"/>
      </w:r>
      <w:r>
        <w:rPr>
          <w:rFonts w:hint="eastAsia" w:ascii="宋体" w:hAnsi="宋体" w:eastAsia="宋体" w:cs="宋体"/>
          <w:caps w:val="0"/>
          <w:color w:val="auto"/>
          <w:sz w:val="28"/>
          <w:szCs w:val="28"/>
          <w:highlight w:val="none"/>
        </w:rPr>
        <w:instrText xml:space="preserve"> TOC \o "1-3" \h \z \u </w:instrText>
      </w:r>
      <w:r>
        <w:rPr>
          <w:rFonts w:hint="eastAsia" w:ascii="宋体" w:hAnsi="宋体" w:eastAsia="宋体" w:cs="宋体"/>
          <w:caps w:val="0"/>
          <w:color w:val="auto"/>
          <w:sz w:val="28"/>
          <w:szCs w:val="28"/>
          <w:highlight w:val="none"/>
        </w:rPr>
        <w:fldChar w:fldCharType="separate"/>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_Toc14078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第一卷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_Toc14078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_Toc4947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kern w:val="44"/>
          <w:szCs w:val="44"/>
          <w:highlight w:val="none"/>
        </w:rPr>
        <w:t>第一章招标公告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_Toc882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kern w:val="44"/>
          <w:szCs w:val="44"/>
          <w:highlight w:val="none"/>
        </w:rPr>
        <w:t>第</w:t>
      </w:r>
      <w:bookmarkStart w:id="999" w:name="_GoBack"/>
      <w:bookmarkEnd w:id="999"/>
      <w:r>
        <w:rPr>
          <w:rFonts w:hint="eastAsia" w:ascii="宋体" w:hAnsi="宋体" w:eastAsia="宋体" w:cs="宋体"/>
          <w:color w:val="auto"/>
          <w:kern w:val="44"/>
          <w:szCs w:val="44"/>
          <w:highlight w:val="none"/>
        </w:rPr>
        <w:t>二章投标人须知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_Toc12975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第三章评标办法（</w:t>
      </w:r>
      <w:r>
        <w:rPr>
          <w:rFonts w:hint="eastAsia" w:ascii="宋体" w:hAnsi="宋体" w:eastAsia="宋体" w:cs="宋体"/>
          <w:color w:val="auto"/>
          <w:highlight w:val="none"/>
          <w:lang w:eastAsia="zh-CN"/>
        </w:rPr>
        <w:t>综合评审法</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_Toc32204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第四章合同条款及格</w:t>
      </w:r>
      <w:bookmarkStart w:id="18" w:name="_Hlt113026742"/>
      <w:r>
        <w:rPr>
          <w:rFonts w:hint="eastAsia" w:ascii="宋体" w:hAnsi="宋体" w:eastAsia="宋体" w:cs="宋体"/>
          <w:color w:val="auto"/>
          <w:highlight w:val="none"/>
        </w:rPr>
        <w:t>式</w:t>
      </w:r>
      <w:bookmarkEnd w:id="18"/>
      <w:r>
        <w:rPr>
          <w:rFonts w:hint="eastAsia" w:ascii="宋体" w:hAnsi="宋体" w:eastAsia="宋体" w:cs="宋体"/>
          <w:color w:val="auto"/>
          <w:highlight w:val="none"/>
        </w:rPr>
        <w:t>（</w:t>
      </w:r>
      <w:bookmarkStart w:id="19" w:name="_Hlt103866022"/>
      <w:r>
        <w:rPr>
          <w:rFonts w:hint="eastAsia" w:ascii="宋体" w:hAnsi="宋体" w:eastAsia="宋体" w:cs="宋体"/>
          <w:color w:val="auto"/>
          <w:highlight w:val="none"/>
        </w:rPr>
        <w:t>另</w:t>
      </w:r>
      <w:bookmarkEnd w:id="19"/>
      <w:r>
        <w:rPr>
          <w:rFonts w:hint="eastAsia" w:ascii="宋体" w:hAnsi="宋体" w:eastAsia="宋体" w:cs="宋体"/>
          <w:color w:val="auto"/>
          <w:highlight w:val="none"/>
        </w:rPr>
        <w:t>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_Toc32204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_Toc428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第二卷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strike w:val="0"/>
          <w:dstrike w:val="0"/>
          <w:color w:val="auto"/>
          <w:highlight w:val="none"/>
        </w:rPr>
      </w:pPr>
      <w:r>
        <w:rPr>
          <w:rFonts w:hint="eastAsia" w:ascii="宋体" w:hAnsi="宋体" w:eastAsia="宋体" w:cs="宋体"/>
          <w:caps w:val="0"/>
          <w:strike w:val="0"/>
          <w:dstrike w:val="0"/>
          <w:color w:val="auto"/>
          <w:szCs w:val="28"/>
          <w:highlight w:val="none"/>
        </w:rPr>
        <w:fldChar w:fldCharType="begin"/>
      </w:r>
      <w:r>
        <w:rPr>
          <w:rFonts w:hint="eastAsia" w:ascii="宋体" w:hAnsi="宋体" w:eastAsia="宋体" w:cs="宋体"/>
          <w:caps w:val="0"/>
          <w:strike w:val="0"/>
          <w:dstrike w:val="0"/>
          <w:color w:val="auto"/>
          <w:szCs w:val="28"/>
          <w:highlight w:val="none"/>
        </w:rPr>
        <w:instrText xml:space="preserve"> HYPERLINK \l _Toc18695 </w:instrText>
      </w:r>
      <w:r>
        <w:rPr>
          <w:rFonts w:hint="eastAsia" w:ascii="宋体" w:hAnsi="宋体" w:eastAsia="宋体" w:cs="宋体"/>
          <w:caps w:val="0"/>
          <w:strike w:val="0"/>
          <w:dstrike w:val="0"/>
          <w:color w:val="auto"/>
          <w:szCs w:val="28"/>
          <w:highlight w:val="none"/>
        </w:rPr>
        <w:fldChar w:fldCharType="separate"/>
      </w:r>
      <w:r>
        <w:rPr>
          <w:rFonts w:hint="eastAsia" w:ascii="宋体" w:hAnsi="宋体" w:eastAsia="宋体" w:cs="宋体"/>
          <w:strike w:val="0"/>
          <w:dstrike w:val="0"/>
          <w:color w:val="auto"/>
          <w:highlight w:val="none"/>
        </w:rPr>
        <w:t>第五章</w:t>
      </w:r>
      <w:r>
        <w:rPr>
          <w:rFonts w:hint="eastAsia" w:ascii="宋体" w:hAnsi="宋体" w:eastAsia="宋体" w:cs="宋体"/>
          <w:strike w:val="0"/>
          <w:dstrike w:val="0"/>
          <w:color w:val="auto"/>
          <w:highlight w:val="none"/>
          <w:lang w:eastAsia="zh-CN"/>
        </w:rPr>
        <w:t>招标人要求</w:t>
      </w:r>
      <w:r>
        <w:rPr>
          <w:rFonts w:hint="eastAsia" w:ascii="宋体" w:hAnsi="宋体" w:eastAsia="宋体" w:cs="宋体"/>
          <w:strike w:val="0"/>
          <w:dstrike w:val="0"/>
          <w:color w:val="auto"/>
          <w:highlight w:val="none"/>
        </w:rPr>
        <w:tab/>
      </w:r>
      <w:r>
        <w:rPr>
          <w:rFonts w:hint="eastAsia" w:ascii="宋体" w:hAnsi="宋体" w:eastAsia="宋体" w:cs="宋体"/>
          <w:strike w:val="0"/>
          <w:dstrike w:val="0"/>
          <w:color w:val="auto"/>
          <w:highlight w:val="none"/>
        </w:rPr>
        <w:fldChar w:fldCharType="begin"/>
      </w:r>
      <w:r>
        <w:rPr>
          <w:rFonts w:hint="eastAsia" w:ascii="宋体" w:hAnsi="宋体" w:eastAsia="宋体" w:cs="宋体"/>
          <w:strike w:val="0"/>
          <w:dstrike w:val="0"/>
          <w:color w:val="auto"/>
          <w:highlight w:val="none"/>
        </w:rPr>
        <w:instrText xml:space="preserve"> PAGEREF _Toc18695 \h </w:instrText>
      </w:r>
      <w:r>
        <w:rPr>
          <w:rFonts w:hint="eastAsia" w:ascii="宋体" w:hAnsi="宋体" w:eastAsia="宋体" w:cs="宋体"/>
          <w:strike w:val="0"/>
          <w:dstrike w:val="0"/>
          <w:color w:val="auto"/>
          <w:highlight w:val="none"/>
        </w:rPr>
        <w:fldChar w:fldCharType="separate"/>
      </w:r>
      <w:r>
        <w:rPr>
          <w:rFonts w:hint="eastAsia" w:ascii="宋体" w:hAnsi="宋体" w:eastAsia="宋体" w:cs="宋体"/>
          <w:strike w:val="0"/>
          <w:dstrike w:val="0"/>
          <w:color w:val="auto"/>
          <w:highlight w:val="none"/>
        </w:rPr>
        <w:t>49</w:t>
      </w:r>
      <w:r>
        <w:rPr>
          <w:rFonts w:hint="eastAsia" w:ascii="宋体" w:hAnsi="宋体" w:eastAsia="宋体" w:cs="宋体"/>
          <w:strike w:val="0"/>
          <w:dstrike w:val="0"/>
          <w:color w:val="auto"/>
          <w:highlight w:val="none"/>
        </w:rPr>
        <w:fldChar w:fldCharType="end"/>
      </w:r>
      <w:r>
        <w:rPr>
          <w:rFonts w:hint="eastAsia" w:ascii="宋体" w:hAnsi="宋体" w:eastAsia="宋体" w:cs="宋体"/>
          <w:caps w:val="0"/>
          <w:strike w:val="0"/>
          <w:dstrike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_Toc9073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第六章发包人提供的资料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_Toc9073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_Toc18028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第三卷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_Toc18028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aps w:val="0"/>
          <w:color w:val="auto"/>
          <w:szCs w:val="28"/>
          <w:highlight w:val="none"/>
        </w:rPr>
        <w:fldChar w:fldCharType="begin"/>
      </w:r>
      <w:r>
        <w:rPr>
          <w:rFonts w:hint="eastAsia" w:ascii="宋体" w:hAnsi="宋体" w:eastAsia="宋体" w:cs="宋体"/>
          <w:caps w:val="0"/>
          <w:color w:val="auto"/>
          <w:szCs w:val="28"/>
          <w:highlight w:val="none"/>
        </w:rPr>
        <w:instrText xml:space="preserve"> HYPERLINK \l _Toc15298 </w:instrText>
      </w:r>
      <w:r>
        <w:rPr>
          <w:rFonts w:hint="eastAsia" w:ascii="宋体" w:hAnsi="宋体" w:eastAsia="宋体" w:cs="宋体"/>
          <w:caps w:val="0"/>
          <w:color w:val="auto"/>
          <w:szCs w:val="28"/>
          <w:highlight w:val="none"/>
        </w:rPr>
        <w:fldChar w:fldCharType="separate"/>
      </w:r>
      <w:r>
        <w:rPr>
          <w:rFonts w:hint="eastAsia" w:ascii="宋体" w:hAnsi="宋体" w:eastAsia="宋体" w:cs="宋体"/>
          <w:color w:val="auto"/>
          <w:highlight w:val="none"/>
        </w:rPr>
        <w:t>第七章投标文件格式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aps w:val="0"/>
          <w:color w:val="auto"/>
          <w:szCs w:val="28"/>
          <w:highlight w:val="none"/>
        </w:rPr>
        <w:fldChar w:fldCharType="end"/>
      </w:r>
    </w:p>
    <w:p>
      <w:pPr>
        <w:pStyle w:val="26"/>
        <w:tabs>
          <w:tab w:val="right" w:leader="dot" w:pos="9411"/>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_Toc8733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第八章其他资料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_Toc8733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
        <w:jc w:val="center"/>
        <w:rPr>
          <w:rFonts w:hint="eastAsia" w:ascii="宋体" w:hAnsi="宋体" w:eastAsia="宋体" w:cs="宋体"/>
          <w:color w:val="auto"/>
          <w:highlight w:val="none"/>
        </w:rPr>
        <w:sectPr>
          <w:footerReference r:id="rId4" w:type="default"/>
          <w:pgSz w:w="11906" w:h="16838"/>
          <w:pgMar w:top="1247" w:right="1134" w:bottom="1247" w:left="1361" w:header="851" w:footer="992" w:gutter="0"/>
          <w:pgNumType w:fmt="upperRoman" w:start="1"/>
          <w:cols w:space="720" w:num="1"/>
          <w:docGrid w:type="lines" w:linePitch="312" w:charSpace="0"/>
        </w:sectPr>
      </w:pPr>
      <w:r>
        <w:rPr>
          <w:rFonts w:hint="eastAsia" w:ascii="宋体" w:hAnsi="宋体" w:eastAsia="宋体" w:cs="宋体"/>
          <w:caps/>
          <w:color w:val="auto"/>
          <w:sz w:val="28"/>
          <w:szCs w:val="28"/>
          <w:highlight w:val="none"/>
        </w:rPr>
        <w:fldChar w:fldCharType="end"/>
      </w:r>
    </w:p>
    <w:p>
      <w:pPr>
        <w:pStyle w:val="3"/>
        <w:jc w:val="center"/>
        <w:rPr>
          <w:rFonts w:hint="eastAsia" w:ascii="宋体" w:hAnsi="宋体" w:eastAsia="宋体" w:cs="宋体"/>
          <w:color w:val="auto"/>
          <w:highlight w:val="none"/>
        </w:rPr>
      </w:pPr>
      <w:bookmarkStart w:id="20" w:name="_Toc14078"/>
      <w:bookmarkStart w:id="21" w:name="_Toc5664"/>
      <w:bookmarkStart w:id="22" w:name="_Toc300834927"/>
      <w:bookmarkStart w:id="23" w:name="_Toc490141012"/>
      <w:bookmarkStart w:id="24" w:name="_Toc24226"/>
      <w:bookmarkStart w:id="25" w:name="_Toc11431"/>
      <w:bookmarkStart w:id="26" w:name="_Toc1856"/>
      <w:bookmarkStart w:id="27" w:name="_Toc9849"/>
      <w:bookmarkStart w:id="28" w:name="_Toc14632"/>
      <w:r>
        <w:rPr>
          <w:rFonts w:hint="eastAsia" w:ascii="宋体" w:hAnsi="宋体" w:eastAsia="宋体" w:cs="宋体"/>
          <w:color w:val="auto"/>
          <w:highlight w:val="none"/>
        </w:rPr>
        <w:t>第一卷</w:t>
      </w:r>
      <w:bookmarkEnd w:id="13"/>
      <w:bookmarkEnd w:id="14"/>
      <w:bookmarkEnd w:id="20"/>
      <w:bookmarkEnd w:id="21"/>
      <w:bookmarkEnd w:id="22"/>
      <w:bookmarkEnd w:id="23"/>
      <w:bookmarkEnd w:id="24"/>
      <w:bookmarkEnd w:id="25"/>
      <w:bookmarkEnd w:id="26"/>
      <w:bookmarkEnd w:id="27"/>
      <w:bookmarkEnd w:id="28"/>
    </w:p>
    <w:p>
      <w:pPr>
        <w:widowControl/>
        <w:jc w:val="left"/>
        <w:rPr>
          <w:rFonts w:hint="eastAsia" w:ascii="宋体" w:hAnsi="宋体" w:eastAsia="宋体" w:cs="宋体"/>
          <w:color w:val="auto"/>
          <w:sz w:val="24"/>
          <w:highlight w:val="none"/>
        </w:rPr>
      </w:pPr>
      <w:bookmarkStart w:id="29" w:name="_Toc247513933"/>
      <w:bookmarkStart w:id="30" w:name="_Toc300834928"/>
      <w:bookmarkStart w:id="31" w:name="_Toc247527534"/>
      <w:r>
        <w:rPr>
          <w:rFonts w:hint="eastAsia" w:ascii="宋体" w:hAnsi="宋体" w:eastAsia="宋体" w:cs="宋体"/>
          <w:color w:val="auto"/>
          <w:sz w:val="24"/>
          <w:highlight w:val="none"/>
        </w:rPr>
        <w:br w:type="page"/>
      </w:r>
    </w:p>
    <w:p>
      <w:pPr>
        <w:jc w:val="center"/>
        <w:outlineLvl w:val="0"/>
        <w:rPr>
          <w:rFonts w:hint="eastAsia" w:ascii="宋体" w:hAnsi="宋体" w:eastAsia="宋体" w:cs="宋体"/>
          <w:b/>
          <w:bCs/>
          <w:color w:val="auto"/>
          <w:kern w:val="44"/>
          <w:sz w:val="44"/>
          <w:szCs w:val="44"/>
          <w:highlight w:val="none"/>
        </w:rPr>
      </w:pPr>
      <w:bookmarkStart w:id="32" w:name="_Toc490141013"/>
      <w:bookmarkStart w:id="33" w:name="_Toc6753"/>
      <w:bookmarkStart w:id="34" w:name="_Toc4947"/>
      <w:r>
        <w:rPr>
          <w:rFonts w:hint="eastAsia" w:ascii="宋体" w:hAnsi="宋体" w:eastAsia="宋体" w:cs="宋体"/>
          <w:b/>
          <w:bCs/>
          <w:color w:val="auto"/>
          <w:kern w:val="44"/>
          <w:sz w:val="44"/>
          <w:szCs w:val="44"/>
          <w:highlight w:val="none"/>
        </w:rPr>
        <w:t>第一章招标公告</w:t>
      </w:r>
      <w:bookmarkEnd w:id="32"/>
      <w:bookmarkEnd w:id="33"/>
      <w:bookmarkEnd w:id="34"/>
    </w:p>
    <w:p>
      <w:pPr>
        <w:jc w:val="center"/>
        <w:outlineLvl w:val="0"/>
        <w:rPr>
          <w:rFonts w:hint="eastAsia" w:ascii="宋体" w:hAnsi="宋体" w:eastAsia="宋体" w:cs="宋体"/>
          <w:b/>
          <w:bCs/>
          <w:color w:val="auto"/>
          <w:kern w:val="44"/>
          <w:sz w:val="44"/>
          <w:szCs w:val="44"/>
          <w:highlight w:val="none"/>
        </w:rPr>
      </w:pPr>
    </w:p>
    <w:p>
      <w:pPr>
        <w:jc w:val="center"/>
        <w:outlineLvl w:val="0"/>
        <w:rPr>
          <w:rFonts w:hint="eastAsia" w:ascii="宋体" w:hAnsi="宋体" w:eastAsia="宋体" w:cs="宋体"/>
          <w:b/>
          <w:bCs/>
          <w:color w:val="auto"/>
          <w:kern w:val="44"/>
          <w:sz w:val="44"/>
          <w:szCs w:val="44"/>
          <w:highlight w:val="none"/>
        </w:rPr>
      </w:pPr>
      <w:bookmarkStart w:id="35" w:name="_Toc2011"/>
      <w:bookmarkStart w:id="36" w:name="_Toc2173"/>
      <w:r>
        <w:rPr>
          <w:rFonts w:hint="eastAsia" w:ascii="宋体" w:hAnsi="宋体" w:eastAsia="宋体" w:cs="宋体"/>
          <w:b/>
          <w:bCs/>
          <w:color w:val="auto"/>
          <w:kern w:val="44"/>
          <w:sz w:val="44"/>
          <w:szCs w:val="44"/>
          <w:highlight w:val="none"/>
        </w:rPr>
        <w:t>（另册）</w:t>
      </w:r>
      <w:bookmarkEnd w:id="35"/>
      <w:bookmarkEnd w:id="36"/>
    </w:p>
    <w:bookmarkEnd w:id="15"/>
    <w:bookmarkEnd w:id="16"/>
    <w:bookmarkEnd w:id="17"/>
    <w:bookmarkEnd w:id="29"/>
    <w:bookmarkEnd w:id="30"/>
    <w:bookmarkEnd w:id="31"/>
    <w:p>
      <w:pPr>
        <w:jc w:val="center"/>
        <w:outlineLvl w:val="0"/>
        <w:rPr>
          <w:rFonts w:hint="eastAsia" w:ascii="宋体" w:hAnsi="宋体" w:eastAsia="宋体" w:cs="宋体"/>
          <w:b/>
          <w:bCs/>
          <w:color w:val="auto"/>
          <w:kern w:val="44"/>
          <w:sz w:val="44"/>
          <w:szCs w:val="44"/>
          <w:highlight w:val="none"/>
        </w:rPr>
      </w:pPr>
      <w:bookmarkStart w:id="37" w:name="_Toc20453"/>
      <w:bookmarkStart w:id="38" w:name="_Toc247527551"/>
      <w:bookmarkStart w:id="39" w:name="_Toc18861"/>
      <w:bookmarkStart w:id="40" w:name="_Toc1178"/>
      <w:bookmarkStart w:id="41" w:name="_Toc247513950"/>
      <w:bookmarkStart w:id="42" w:name="_Toc300834947"/>
      <w:bookmarkStart w:id="43" w:name="_Toc144974495"/>
      <w:bookmarkStart w:id="44" w:name="_Toc152042303"/>
      <w:bookmarkStart w:id="45" w:name="_Toc152045527"/>
      <w:r>
        <w:rPr>
          <w:rFonts w:hint="eastAsia" w:ascii="宋体" w:hAnsi="宋体" w:eastAsia="宋体" w:cs="宋体"/>
          <w:b/>
          <w:bCs/>
          <w:color w:val="auto"/>
          <w:kern w:val="44"/>
          <w:sz w:val="44"/>
          <w:szCs w:val="44"/>
          <w:highlight w:val="none"/>
        </w:rPr>
        <w:br w:type="page"/>
      </w:r>
      <w:bookmarkStart w:id="46" w:name="_Toc882"/>
      <w:bookmarkStart w:id="47" w:name="_Toc9024"/>
      <w:bookmarkStart w:id="48" w:name="_Toc18570"/>
      <w:bookmarkStart w:id="49" w:name="_Toc490141014"/>
      <w:bookmarkStart w:id="50" w:name="_Toc15284"/>
      <w:r>
        <w:rPr>
          <w:rFonts w:hint="eastAsia" w:ascii="宋体" w:hAnsi="宋体" w:eastAsia="宋体" w:cs="宋体"/>
          <w:b/>
          <w:bCs/>
          <w:color w:val="auto"/>
          <w:kern w:val="44"/>
          <w:sz w:val="44"/>
          <w:szCs w:val="44"/>
          <w:highlight w:val="none"/>
        </w:rPr>
        <w:t>第二章投标人须知</w:t>
      </w:r>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4"/>
        <w:spacing w:line="240" w:lineRule="auto"/>
        <w:jc w:val="center"/>
        <w:rPr>
          <w:rFonts w:hint="eastAsia" w:ascii="宋体" w:hAnsi="宋体" w:eastAsia="宋体" w:cs="宋体"/>
          <w:color w:val="auto"/>
          <w:highlight w:val="none"/>
        </w:rPr>
      </w:pPr>
      <w:bookmarkStart w:id="51" w:name="_Toc24123"/>
      <w:bookmarkStart w:id="52" w:name="_Toc247513951"/>
      <w:bookmarkStart w:id="53" w:name="_Toc152045528"/>
      <w:bookmarkStart w:id="54" w:name="_Toc15181"/>
      <w:bookmarkStart w:id="55" w:name="_Toc19769"/>
      <w:bookmarkStart w:id="56" w:name="_Toc490141015"/>
      <w:bookmarkStart w:id="57" w:name="_Toc32027"/>
      <w:bookmarkStart w:id="58" w:name="_Toc20316"/>
      <w:bookmarkStart w:id="59" w:name="_Toc16066"/>
      <w:bookmarkStart w:id="60" w:name="_Toc12687"/>
      <w:bookmarkStart w:id="61" w:name="_Toc247527552"/>
      <w:bookmarkStart w:id="62" w:name="_Toc152042304"/>
      <w:bookmarkStart w:id="63" w:name="_Toc22631"/>
      <w:bookmarkStart w:id="64" w:name="_Toc144974496"/>
      <w:bookmarkStart w:id="65" w:name="_Toc300834948"/>
      <w:r>
        <w:rPr>
          <w:rFonts w:hint="eastAsia" w:ascii="宋体" w:hAnsi="宋体" w:eastAsia="宋体" w:cs="宋体"/>
          <w:color w:val="auto"/>
          <w:highlight w:val="none"/>
        </w:rPr>
        <w:t>投标人须知前附表</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bl>
      <w:tblPr>
        <w:tblStyle w:val="4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081"/>
        <w:gridCol w:w="62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165" w:type="dxa"/>
            <w:tcBorders>
              <w:top w:val="double" w:color="auto" w:sz="4" w:space="0"/>
              <w:bottom w:val="double" w:color="auto" w:sz="4" w:space="0"/>
            </w:tcBorders>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081" w:type="dxa"/>
            <w:tcBorders>
              <w:top w:val="double" w:color="auto" w:sz="4" w:space="0"/>
              <w:bottom w:val="double" w:color="auto" w:sz="4" w:space="0"/>
            </w:tcBorders>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218" w:type="dxa"/>
            <w:tcBorders>
              <w:top w:val="double" w:color="auto" w:sz="4" w:space="0"/>
              <w:bottom w:val="double" w:color="auto" w:sz="4" w:space="0"/>
            </w:tcBorders>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tcBorders>
              <w:top w:val="doub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081" w:type="dxa"/>
            <w:tcBorders>
              <w:top w:val="doub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218" w:type="dxa"/>
            <w:tcBorders>
              <w:top w:val="double" w:color="auto" w:sz="4" w:space="0"/>
            </w:tcBorders>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广州南沙湿地旅游发展有限公司</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i w:val="0"/>
                <w:iCs w:val="0"/>
                <w:caps w:val="0"/>
                <w:color w:val="auto"/>
                <w:spacing w:val="0"/>
                <w:sz w:val="21"/>
                <w:szCs w:val="21"/>
                <w:highlight w:val="none"/>
                <w:u w:val="single"/>
                <w:shd w:val="clear" w:color="auto" w:fill="auto"/>
                <w:lang w:val="en-US" w:eastAsia="zh-CN"/>
              </w:rPr>
              <w:t>广州市南沙区湿地景区</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联系人：</w:t>
            </w:r>
            <w:r>
              <w:rPr>
                <w:rFonts w:hint="eastAsia" w:ascii="宋体" w:hAnsi="宋体" w:cs="宋体"/>
                <w:color w:val="auto"/>
                <w:sz w:val="21"/>
                <w:szCs w:val="21"/>
                <w:highlight w:val="none"/>
                <w:u w:val="single"/>
                <w:lang w:val="en-US" w:eastAsia="zh-CN"/>
              </w:rPr>
              <w:t>李工</w:t>
            </w:r>
          </w:p>
          <w:p>
            <w:pPr>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hint="eastAsia" w:ascii="宋体" w:hAnsi="宋体" w:cs="宋体"/>
                <w:color w:val="auto"/>
                <w:sz w:val="21"/>
                <w:szCs w:val="21"/>
                <w:highlight w:val="none"/>
                <w:u w:val="single"/>
                <w:lang w:val="en-US" w:eastAsia="zh-CN"/>
              </w:rPr>
              <w:t>020-66806100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tcBorders>
              <w:top w:val="doub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081" w:type="dxa"/>
            <w:tcBorders>
              <w:top w:val="doub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项目建设管理单位</w:t>
            </w:r>
          </w:p>
        </w:tc>
        <w:tc>
          <w:tcPr>
            <w:tcW w:w="6218" w:type="dxa"/>
            <w:tcBorders>
              <w:top w:val="double" w:color="auto" w:sz="4" w:space="0"/>
            </w:tcBorders>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广州南沙建设维护管理有限公司</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 w:val="21"/>
                <w:szCs w:val="21"/>
                <w:highlight w:val="none"/>
                <w:u w:val="single"/>
                <w:lang w:val="en-US" w:eastAsia="zh-CN"/>
              </w:rPr>
              <w:t>广州市南沙区环市大道中富汇街3号楼</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rPr>
              <w:t>联系人：</w:t>
            </w:r>
            <w:r>
              <w:rPr>
                <w:rFonts w:hint="eastAsia" w:ascii="宋体" w:hAnsi="宋体" w:eastAsia="宋体" w:cs="宋体"/>
                <w:color w:val="auto"/>
                <w:sz w:val="21"/>
                <w:szCs w:val="21"/>
                <w:highlight w:val="none"/>
                <w:u w:val="single"/>
                <w:lang w:val="en-US" w:eastAsia="zh-CN"/>
              </w:rPr>
              <w:t>李工</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lang w:val="en-US" w:eastAsia="zh-CN"/>
              </w:rPr>
              <w:t>020-66806279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218" w:type="dxa"/>
            <w:noWrap w:val="0"/>
            <w:vAlign w:val="center"/>
          </w:tcPr>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val="en-US" w:eastAsia="zh-CN"/>
              </w:rPr>
              <w:t>广东省机电设备招标有限公司</w:t>
            </w:r>
          </w:p>
          <w:p>
            <w:pPr>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eastAsia="zh-CN"/>
              </w:rPr>
              <w:t>广州市越秀区环市中路316号金鹰大厦10楼</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val="en-US" w:eastAsia="zh-CN"/>
              </w:rPr>
              <w:t>刘工、朱工、王工</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lang w:eastAsia="zh-CN"/>
              </w:rPr>
              <w:t>020-83544076、83541820、83544078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218" w:type="dxa"/>
            <w:noWrap w:val="0"/>
            <w:vAlign w:val="center"/>
          </w:tcPr>
          <w:p>
            <w:pPr>
              <w:spacing w:line="360" w:lineRule="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lang w:val="en-US" w:eastAsia="zh-CN"/>
              </w:rPr>
              <w:t>南沙大湿地生态价值实践区先行启动区企业配建提升项目设计施工总承包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广州市南沙区</w:t>
            </w:r>
            <w:r>
              <w:rPr>
                <w:rFonts w:hint="eastAsia" w:ascii="宋体" w:hAnsi="宋体" w:eastAsia="宋体" w:cs="宋体"/>
                <w:color w:val="auto"/>
                <w:szCs w:val="21"/>
                <w:highlight w:val="none"/>
                <w:lang w:val="en-US" w:eastAsia="zh-CN"/>
              </w:rPr>
              <w:t>万顷沙镇湿地景区一期、二期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6218" w:type="dxa"/>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详见本项目招标公告。</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招标人有权根据项目的实际情况增加和减少工作内容。承包人资质承包范围不能涵盖或不具备相应能力(该能力须保证进度和质量且须获得发包人认可)的部分专业工程，可委托具备相应专业资质和能力的单位实施，但该专业实施单位需获得发包人批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6218" w:type="dxa"/>
            <w:noWrap w:val="0"/>
            <w:vAlign w:val="center"/>
          </w:tcPr>
          <w:p>
            <w:pPr>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1.设计质量标准：符合建设及装饰装修工程设计的相关标准、规范的要求。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2.施工质量标准：</w:t>
            </w:r>
            <w:r>
              <w:rPr>
                <w:rFonts w:hint="eastAsia" w:ascii="宋体" w:hAnsi="宋体" w:cs="宋体"/>
                <w:color w:val="auto"/>
                <w:szCs w:val="21"/>
                <w:highlight w:val="none"/>
              </w:rPr>
              <w:t>符合国家颁发现行的《建筑工程施工质量验收统一标准》（GB50300-2013）以及其他现行工程质量检验标准、强制性条文及合同文件中所有发包人之其他相关工程质量规定，并须在存有任何标准不一致时按较高标准的要求执行。工程质量目标：合格</w:t>
            </w:r>
            <w:r>
              <w:rPr>
                <w:rFonts w:hint="eastAsia" w:ascii="宋体" w:hAnsi="宋体" w:eastAsia="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65"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08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218" w:type="dxa"/>
            <w:noWrap w:val="0"/>
            <w:vAlign w:val="center"/>
          </w:tcPr>
          <w:p>
            <w:pPr>
              <w:snapToGrid w:val="0"/>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08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218" w:type="dxa"/>
            <w:noWrap w:val="0"/>
            <w:vAlign w:val="center"/>
          </w:tcPr>
          <w:p>
            <w:pPr>
              <w:pStyle w:val="16"/>
              <w:topLinePunct/>
              <w:snapToGrid w:val="0"/>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□不接受</w:t>
            </w:r>
          </w:p>
          <w:p>
            <w:pPr>
              <w:pStyle w:val="16"/>
              <w:topLinePunct/>
              <w:snapToGrid w:val="0"/>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hAnsi="宋体" w:eastAsia="宋体" w:cs="宋体"/>
                <w:color w:val="auto"/>
                <w:kern w:val="2"/>
                <w:sz w:val="21"/>
                <w:szCs w:val="21"/>
                <w:highlight w:val="none"/>
                <w:lang w:val="en-US" w:eastAsia="zh-CN"/>
              </w:rPr>
              <w:t>接受，应满足下列要求：</w:t>
            </w:r>
            <w:r>
              <w:rPr>
                <w:rFonts w:hint="eastAsia" w:hAnsi="宋体" w:eastAsia="宋体" w:cs="宋体"/>
                <w:color w:val="auto"/>
                <w:kern w:val="2"/>
                <w:sz w:val="21"/>
                <w:szCs w:val="21"/>
                <w:highlight w:val="none"/>
                <w:u w:val="single"/>
                <w:lang w:val="en-US" w:eastAsia="zh-CN"/>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81"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费用承担和设计成果（投标）补偿</w:t>
            </w:r>
          </w:p>
        </w:tc>
        <w:tc>
          <w:tcPr>
            <w:tcW w:w="6218" w:type="dxa"/>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不补偿</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□补偿，补偿标准：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不组织：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p>
          <w:p>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6218" w:type="dxa"/>
            <w:noWrap w:val="0"/>
            <w:vAlign w:val="center"/>
          </w:tcPr>
          <w:p>
            <w:pPr>
              <w:pStyle w:val="16"/>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hAnsi="宋体" w:eastAsia="宋体" w:cs="宋体"/>
                <w:color w:val="auto"/>
                <w:kern w:val="2"/>
                <w:sz w:val="21"/>
                <w:szCs w:val="21"/>
                <w:highlight w:val="none"/>
                <w:lang w:val="en-US" w:eastAsia="zh-CN"/>
              </w:rPr>
              <w:t>不召开</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tc>
        <w:tc>
          <w:tcPr>
            <w:tcW w:w="6218" w:type="dxa"/>
            <w:noWrap w:val="0"/>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1.截止时间：</w:t>
            </w:r>
            <w:r>
              <w:rPr>
                <w:rFonts w:hint="eastAsia" w:ascii="宋体" w:hAnsi="宋体" w:eastAsia="宋体" w:cs="宋体"/>
                <w:color w:val="auto"/>
                <w:szCs w:val="21"/>
                <w:highlight w:val="none"/>
                <w:u w:val="single"/>
              </w:rPr>
              <w:t>以</w:t>
            </w:r>
            <w:r>
              <w:rPr>
                <w:rFonts w:hint="eastAsia" w:ascii="宋体" w:hAnsi="宋体" w:eastAsia="宋体" w:cs="宋体"/>
                <w:color w:val="auto"/>
                <w:szCs w:val="21"/>
                <w:highlight w:val="none"/>
                <w:u w:val="single"/>
                <w:lang w:eastAsia="zh-CN"/>
              </w:rPr>
              <w:t>广州交易集团有限公司（广州公共资源交易中心）网站</w:t>
            </w:r>
            <w:r>
              <w:rPr>
                <w:rFonts w:hint="eastAsia" w:ascii="宋体" w:hAnsi="宋体" w:eastAsia="宋体" w:cs="宋体"/>
                <w:color w:val="auto"/>
                <w:szCs w:val="21"/>
                <w:highlight w:val="none"/>
                <w:u w:val="single"/>
              </w:rPr>
              <w:t>发布的时间为准。</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2.提出问题的方式：</w:t>
            </w:r>
            <w:r>
              <w:rPr>
                <w:rFonts w:hint="eastAsia" w:ascii="宋体" w:hAnsi="宋体" w:eastAsia="宋体" w:cs="宋体"/>
                <w:color w:val="auto"/>
                <w:szCs w:val="21"/>
                <w:highlight w:val="none"/>
                <w:u w:val="single"/>
              </w:rPr>
              <w:t>上传到</w:t>
            </w:r>
            <w:r>
              <w:rPr>
                <w:rFonts w:hint="eastAsia" w:ascii="宋体" w:hAnsi="宋体" w:eastAsia="宋体" w:cs="宋体"/>
                <w:color w:val="auto"/>
                <w:szCs w:val="21"/>
                <w:highlight w:val="none"/>
                <w:u w:val="single"/>
                <w:lang w:eastAsia="zh-CN"/>
              </w:rPr>
              <w:t>广州交易集团有限公司（广州公共资源交易中心）网站</w:t>
            </w:r>
            <w:r>
              <w:rPr>
                <w:rFonts w:hint="eastAsia" w:ascii="宋体" w:hAnsi="宋体" w:eastAsia="宋体" w:cs="宋体"/>
                <w:color w:val="auto"/>
                <w:szCs w:val="21"/>
                <w:highlight w:val="none"/>
                <w:u w:val="single"/>
              </w:rPr>
              <w:t>进行网上答疑。</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 网上答疑的操作指南为：</w:t>
            </w:r>
            <w:r>
              <w:rPr>
                <w:rFonts w:hint="eastAsia" w:ascii="宋体" w:hAnsi="宋体" w:eastAsia="宋体" w:cs="宋体"/>
                <w:color w:val="auto"/>
                <w:szCs w:val="21"/>
                <w:highlight w:val="none"/>
                <w:u w:val="single"/>
              </w:rPr>
              <w:t>投标人的疑问通过广州公共资源交易中心数字交易平台提交。具体操作方法详见</w:t>
            </w:r>
            <w:r>
              <w:rPr>
                <w:rFonts w:hint="eastAsia" w:ascii="宋体" w:hAnsi="宋体" w:eastAsia="宋体" w:cs="宋体"/>
                <w:color w:val="auto"/>
                <w:szCs w:val="21"/>
                <w:highlight w:val="none"/>
                <w:u w:val="single"/>
                <w:lang w:eastAsia="zh-CN"/>
              </w:rPr>
              <w:t>广州交易集团有限公司（广州公共资源交易中心）网站</w:t>
            </w:r>
            <w:r>
              <w:rPr>
                <w:rFonts w:hint="eastAsia" w:ascii="宋体" w:hAnsi="宋体" w:eastAsia="宋体" w:cs="宋体"/>
                <w:color w:val="auto"/>
                <w:szCs w:val="21"/>
                <w:highlight w:val="none"/>
                <w:u w:val="single"/>
              </w:rPr>
              <w:t>发布的《房屋建筑和市政基础设施工程全流程电子化项目专章》。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w:t>
            </w:r>
          </w:p>
        </w:tc>
        <w:tc>
          <w:tcPr>
            <w:tcW w:w="208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投标截止时间15天前。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w:t>
            </w:r>
          </w:p>
        </w:tc>
        <w:tc>
          <w:tcPr>
            <w:tcW w:w="208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招标人规定由分包人承担的工作</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投标人拟分包的工作</w:t>
            </w:r>
          </w:p>
        </w:tc>
        <w:tc>
          <w:tcPr>
            <w:tcW w:w="6218" w:type="dxa"/>
            <w:noWrap w:val="0"/>
            <w:vAlign w:val="center"/>
          </w:tcPr>
          <w:p>
            <w:pPr>
              <w:pStyle w:val="16"/>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□不允许</w:t>
            </w:r>
          </w:p>
          <w:p>
            <w:pPr>
              <w:pStyle w:val="16"/>
              <w:topLinePunct/>
              <w:spacing w:line="360" w:lineRule="auto"/>
              <w:rPr>
                <w:rFonts w:hint="eastAsia" w:hAnsi="宋体" w:eastAsia="宋体" w:cs="宋体"/>
                <w:color w:val="auto"/>
                <w:kern w:val="2"/>
                <w:sz w:val="21"/>
                <w:szCs w:val="21"/>
                <w:highlight w:val="none"/>
                <w:u w:val="single"/>
                <w:lang w:val="en-US" w:eastAsia="zh-CN"/>
              </w:rPr>
            </w:pPr>
            <w:r>
              <w:rPr>
                <w:rFonts w:hint="eastAsia" w:hAnsi="宋体" w:eastAsia="宋体" w:cs="宋体"/>
                <w:color w:val="auto"/>
                <w:sz w:val="21"/>
                <w:szCs w:val="21"/>
                <w:highlight w:val="none"/>
                <w:lang w:val="en-US" w:eastAsia="zh-CN"/>
              </w:rPr>
              <w:t>■</w:t>
            </w:r>
            <w:r>
              <w:rPr>
                <w:rFonts w:hint="eastAsia" w:hAnsi="宋体" w:eastAsia="宋体" w:cs="宋体"/>
                <w:color w:val="auto"/>
                <w:kern w:val="2"/>
                <w:sz w:val="21"/>
                <w:szCs w:val="21"/>
                <w:highlight w:val="none"/>
                <w:lang w:val="en-US" w:eastAsia="zh-CN"/>
              </w:rPr>
              <w:t>允许。</w:t>
            </w:r>
            <w:r>
              <w:rPr>
                <w:rFonts w:hint="eastAsia" w:hAnsi="宋体" w:eastAsia="宋体" w:cs="宋体"/>
                <w:color w:val="auto"/>
                <w:kern w:val="2"/>
                <w:sz w:val="21"/>
                <w:szCs w:val="21"/>
                <w:highlight w:val="none"/>
                <w:u w:val="single"/>
                <w:lang w:val="en-US" w:eastAsia="zh-CN"/>
              </w:rPr>
              <w:t>1、允许非主体结构工程、非关键性工作或现行法律法规允许进行分包的工作，承包人不具备相应资质的，需经发包人审查同意后分包给具有相应资质和能力的专业单位实施。</w:t>
            </w:r>
          </w:p>
          <w:p>
            <w:pPr>
              <w:pStyle w:val="89"/>
              <w:topLinePunct/>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single"/>
              </w:rPr>
              <w:t>2、如承包人不具备相关专业设计资质，应当自行完成本项目主体的设计业务，并在保证整个工程项目完整性的前提下，经发包方同意，将其他部分专业设计业务依法分包。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218" w:type="dxa"/>
            <w:noWrap w:val="0"/>
            <w:vAlign w:val="center"/>
          </w:tcPr>
          <w:p>
            <w:pPr>
              <w:pStyle w:val="16"/>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sz w:val="21"/>
                <w:szCs w:val="21"/>
                <w:highlight w:val="none"/>
                <w:lang w:val="en-US" w:eastAsia="zh-CN"/>
              </w:rPr>
              <w:t>■</w:t>
            </w:r>
            <w:r>
              <w:rPr>
                <w:rFonts w:hint="eastAsia" w:hAnsi="宋体" w:eastAsia="宋体" w:cs="宋体"/>
                <w:color w:val="auto"/>
                <w:kern w:val="2"/>
                <w:sz w:val="21"/>
                <w:szCs w:val="21"/>
                <w:highlight w:val="none"/>
                <w:lang w:val="en-US" w:eastAsia="zh-CN"/>
              </w:rPr>
              <w:t>不允许</w:t>
            </w:r>
          </w:p>
          <w:p>
            <w:pPr>
              <w:pStyle w:val="16"/>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08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答疑纪要、澄清文件等（如有）。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同投标人提出问题的截止时间。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投标人确认收到招标答疑纪要的时间</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招标答疑纪要一经在</w:t>
            </w:r>
            <w:r>
              <w:rPr>
                <w:rFonts w:hint="eastAsia" w:ascii="宋体" w:hAnsi="宋体" w:eastAsia="宋体" w:cs="宋体"/>
                <w:color w:val="auto"/>
                <w:kern w:val="0"/>
                <w:szCs w:val="21"/>
                <w:highlight w:val="none"/>
                <w:lang w:eastAsia="zh-CN"/>
              </w:rPr>
              <w:t>广州交易集团有限公司（广州公共资源交易中心）网站</w:t>
            </w:r>
            <w:r>
              <w:rPr>
                <w:rFonts w:hint="eastAsia" w:ascii="宋体" w:hAnsi="宋体" w:eastAsia="宋体" w:cs="宋体"/>
                <w:color w:val="auto"/>
                <w:kern w:val="0"/>
                <w:szCs w:val="21"/>
                <w:highlight w:val="none"/>
              </w:rPr>
              <w:t>发布，视作已发放给所有投标人。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投标人确认收到招标文件修改的时间</w:t>
            </w:r>
          </w:p>
        </w:tc>
        <w:tc>
          <w:tcPr>
            <w:tcW w:w="6218" w:type="dxa"/>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招标文件的澄清或修改在</w:t>
            </w:r>
            <w:r>
              <w:rPr>
                <w:rFonts w:hint="eastAsia" w:ascii="宋体" w:hAnsi="宋体" w:eastAsia="宋体" w:cs="宋体"/>
                <w:color w:val="auto"/>
                <w:kern w:val="0"/>
                <w:szCs w:val="21"/>
                <w:highlight w:val="none"/>
                <w:lang w:eastAsia="zh-CN"/>
              </w:rPr>
              <w:t>广州交易集团有限公司（广州公共资源交易中心）网站</w:t>
            </w:r>
            <w:r>
              <w:rPr>
                <w:rFonts w:hint="eastAsia" w:ascii="宋体" w:hAnsi="宋体" w:eastAsia="宋体" w:cs="宋体"/>
                <w:color w:val="auto"/>
                <w:kern w:val="0"/>
                <w:szCs w:val="21"/>
                <w:highlight w:val="none"/>
              </w:rPr>
              <w:t>发布。招标文件的澄清或修改一经在</w:t>
            </w:r>
            <w:r>
              <w:rPr>
                <w:rFonts w:hint="eastAsia" w:ascii="宋体" w:hAnsi="宋体" w:eastAsia="宋体" w:cs="宋体"/>
                <w:color w:val="auto"/>
                <w:kern w:val="0"/>
                <w:szCs w:val="21"/>
                <w:highlight w:val="none"/>
                <w:lang w:eastAsia="zh-CN"/>
              </w:rPr>
              <w:t>广州交易集团有限公司（广州公共资源交易中心）网站</w:t>
            </w:r>
            <w:r>
              <w:rPr>
                <w:rFonts w:hint="eastAsia" w:ascii="宋体" w:hAnsi="宋体" w:eastAsia="宋体" w:cs="宋体"/>
                <w:color w:val="auto"/>
                <w:kern w:val="0"/>
                <w:szCs w:val="21"/>
                <w:highlight w:val="none"/>
              </w:rPr>
              <w:t>发布，视作已发放给所有投标人，招标文件的修改内容作为招标文件的组成部分，具有约束作用。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见第七章《投标文件格式》要求。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6218" w:type="dxa"/>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本项目最高投标限价详见本项目招标公告。</w:t>
            </w:r>
          </w:p>
          <w:p>
            <w:pPr>
              <w:spacing w:line="360" w:lineRule="auto"/>
              <w:rPr>
                <w:rFonts w:hint="eastAsia" w:ascii="宋体" w:hAnsi="宋体" w:eastAsia="宋体" w:cs="宋体"/>
                <w:b/>
                <w:color w:val="auto"/>
                <w:szCs w:val="21"/>
                <w:highlight w:val="none"/>
                <w:u w:val="single"/>
              </w:rPr>
            </w:pPr>
            <w:r>
              <w:rPr>
                <w:rFonts w:hint="eastAsia" w:ascii="宋体" w:hAnsi="宋体" w:eastAsia="宋体" w:cs="宋体"/>
                <w:color w:val="auto"/>
                <w:kern w:val="0"/>
                <w:szCs w:val="21"/>
                <w:highlight w:val="none"/>
              </w:rPr>
              <w:t>投标人的投标报价超过对应最高投标限价的为无效标。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w:t>
            </w:r>
          </w:p>
        </w:tc>
        <w:tc>
          <w:tcPr>
            <w:tcW w:w="208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6218" w:type="dxa"/>
            <w:noWrap w:val="0"/>
            <w:vAlign w:val="center"/>
          </w:tcPr>
          <w:p>
            <w:pPr>
              <w:widowControl/>
              <w:spacing w:line="360" w:lineRule="exact"/>
              <w:rPr>
                <w:rFonts w:hint="eastAsia" w:ascii="宋体" w:hAnsi="宋体" w:eastAsia="宋体" w:cs="宋体"/>
                <w:color w:val="auto"/>
                <w:kern w:val="2"/>
                <w:szCs w:val="21"/>
                <w:highlight w:val="none"/>
              </w:rPr>
            </w:pPr>
            <w:r>
              <w:rPr>
                <w:rFonts w:hint="eastAsia" w:ascii="宋体" w:hAnsi="宋体" w:eastAsia="宋体" w:cs="宋体"/>
                <w:color w:val="auto"/>
                <w:kern w:val="0"/>
                <w:szCs w:val="21"/>
                <w:highlight w:val="none"/>
              </w:rPr>
              <w:t>投标报</w:t>
            </w:r>
            <w:r>
              <w:rPr>
                <w:rFonts w:hint="eastAsia" w:ascii="宋体" w:hAnsi="宋体" w:eastAsia="宋体" w:cs="宋体"/>
                <w:color w:val="auto"/>
                <w:kern w:val="2"/>
                <w:szCs w:val="21"/>
                <w:highlight w:val="none"/>
              </w:rPr>
              <w:t>价由</w:t>
            </w:r>
            <w:r>
              <w:rPr>
                <w:rFonts w:hint="eastAsia" w:ascii="宋体" w:hAnsi="宋体" w:eastAsia="宋体" w:cs="宋体"/>
                <w:color w:val="auto"/>
                <w:szCs w:val="21"/>
                <w:highlight w:val="none"/>
              </w:rPr>
              <w:t>工程设计费</w:t>
            </w:r>
            <w:r>
              <w:rPr>
                <w:rFonts w:hint="eastAsia" w:ascii="宋体" w:hAnsi="宋体" w:eastAsia="宋体" w:cs="宋体"/>
                <w:color w:val="auto"/>
                <w:kern w:val="2"/>
                <w:szCs w:val="21"/>
                <w:highlight w:val="none"/>
              </w:rPr>
              <w:t>、建安工程费报价组成。</w:t>
            </w:r>
          </w:p>
          <w:p>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1、工程设计费：</w:t>
            </w:r>
          </w:p>
          <w:p>
            <w:pPr>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工程设计费</w:t>
            </w:r>
            <w:r>
              <w:rPr>
                <w:rFonts w:hint="eastAsia" w:ascii="宋体" w:hAnsi="宋体" w:eastAsia="宋体" w:cs="宋体"/>
                <w:color w:val="auto"/>
                <w:szCs w:val="21"/>
                <w:highlight w:val="none"/>
                <w:lang w:val="en-US" w:eastAsia="zh-CN"/>
              </w:rPr>
              <w:t>投标报价=</w:t>
            </w:r>
            <w:r>
              <w:rPr>
                <w:rFonts w:hint="eastAsia" w:ascii="宋体" w:hAnsi="宋体" w:eastAsia="宋体" w:cs="宋体"/>
                <w:color w:val="auto"/>
                <w:szCs w:val="21"/>
                <w:highlight w:val="none"/>
              </w:rPr>
              <w:t>设计费最高投标限价×（1-</w:t>
            </w:r>
            <w:r>
              <w:rPr>
                <w:rFonts w:hint="eastAsia" w:ascii="宋体" w:hAnsi="宋体" w:eastAsia="宋体" w:cs="宋体"/>
                <w:color w:val="auto"/>
                <w:szCs w:val="21"/>
                <w:highlight w:val="none"/>
                <w:lang w:eastAsia="zh-CN"/>
              </w:rPr>
              <w:t>投标下浮率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结算方式及最终结算价以合同文件约定为准。</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2、建安工程费：</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建安工程费由投标人根据招标文件要求及企业自身情况填报投标报价及下浮率，建安工程费投标报价=建安工程费最高限价×(1-下浮率)，下浮率以百分比计算，精确到小数点后2位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结算方式及最终结算价以合同文件约定为准。</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3、本项目施工图审查通过后，根据最终确认的施工图纸，采用清单模式编制施工图预算，经</w:t>
            </w:r>
            <w:r>
              <w:rPr>
                <w:rFonts w:hint="eastAsia" w:ascii="宋体" w:hAnsi="宋体" w:eastAsia="宋体" w:cs="宋体"/>
                <w:color w:val="auto"/>
                <w:szCs w:val="21"/>
                <w:highlight w:val="none"/>
                <w:lang w:val="en-US" w:eastAsia="zh-CN"/>
              </w:rPr>
              <w:t>招标人/项目建设管理单位</w:t>
            </w:r>
            <w:r>
              <w:rPr>
                <w:rFonts w:hint="eastAsia" w:ascii="宋体" w:hAnsi="宋体" w:eastAsia="宋体" w:cs="宋体"/>
                <w:color w:val="auto"/>
                <w:szCs w:val="21"/>
                <w:highlight w:val="none"/>
              </w:rPr>
              <w:t>审核后，按投标下浮率及合同约定的方法，得出合同价格清单</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单价</w:t>
            </w:r>
            <w:r>
              <w:rPr>
                <w:rFonts w:hint="eastAsia" w:ascii="宋体" w:hAnsi="宋体" w:eastAsia="宋体" w:cs="宋体"/>
                <w:color w:val="auto"/>
                <w:szCs w:val="21"/>
                <w:highlight w:val="none"/>
                <w:lang w:eastAsia="zh-CN"/>
              </w:rPr>
              <w:t>组成的新总价</w:t>
            </w:r>
            <w:r>
              <w:rPr>
                <w:rFonts w:hint="eastAsia" w:ascii="宋体" w:hAnsi="宋体" w:eastAsia="宋体" w:cs="宋体"/>
                <w:color w:val="auto"/>
                <w:szCs w:val="21"/>
                <w:highlight w:val="none"/>
              </w:rPr>
              <w:t>，作为计量和结算的依据；建安工程费结算原则以合同约定为准。</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4、本项目实行全过程限额设计施工，限额投资。经审定的预算金额不超过审定概算中的建安工程费和发布的建安工程费最高投标限价</w:t>
            </w:r>
            <w:r>
              <w:rPr>
                <w:rFonts w:hint="eastAsia" w:ascii="宋体" w:hAnsi="宋体" w:eastAsia="宋体" w:cs="宋体"/>
                <w:color w:val="auto"/>
                <w:szCs w:val="21"/>
                <w:highlight w:val="none"/>
                <w:lang w:eastAsia="zh-CN"/>
              </w:rPr>
              <w:t>。</w:t>
            </w:r>
          </w:p>
          <w:p>
            <w:pPr>
              <w:adjustRightIn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5、合同签订时，以中标价为暂定合同价。合同结算价最终以</w:t>
            </w:r>
            <w:r>
              <w:rPr>
                <w:rFonts w:hint="eastAsia" w:ascii="宋体" w:hAnsi="宋体" w:eastAsia="宋体" w:cs="宋体"/>
                <w:color w:val="auto"/>
                <w:szCs w:val="21"/>
                <w:highlight w:val="none"/>
                <w:lang w:val="en-US" w:eastAsia="zh-CN"/>
              </w:rPr>
              <w:t>招标人/项目建设管理单位</w:t>
            </w:r>
            <w:r>
              <w:rPr>
                <w:rFonts w:hint="eastAsia" w:ascii="宋体" w:hAnsi="宋体" w:eastAsia="宋体" w:cs="宋体"/>
                <w:color w:val="auto"/>
                <w:szCs w:val="21"/>
                <w:highlight w:val="none"/>
              </w:rPr>
              <w:t>审定金额为准。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120</w:t>
            </w:r>
            <w:r>
              <w:rPr>
                <w:rFonts w:hint="eastAsia" w:ascii="宋体" w:hAnsi="宋体" w:eastAsia="宋体" w:cs="宋体"/>
                <w:color w:val="auto"/>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218" w:type="dxa"/>
            <w:noWrap w:val="0"/>
            <w:vAlign w:val="center"/>
          </w:tcPr>
          <w:p>
            <w:pPr>
              <w:pStyle w:val="16"/>
              <w:rPr>
                <w:rFonts w:hint="eastAsia" w:hAnsi="宋体" w:cs="宋体"/>
                <w:color w:val="auto"/>
                <w:kern w:val="1"/>
                <w:sz w:val="21"/>
                <w:szCs w:val="21"/>
                <w:highlight w:val="none"/>
              </w:rPr>
            </w:pPr>
            <w:r>
              <w:rPr>
                <w:rFonts w:hint="eastAsia" w:hAnsi="宋体" w:cs="宋体"/>
                <w:color w:val="auto"/>
                <w:kern w:val="1"/>
                <w:sz w:val="21"/>
                <w:szCs w:val="21"/>
                <w:highlight w:val="none"/>
              </w:rPr>
              <w:t>是否要求投标人递交投标保证金：</w:t>
            </w:r>
          </w:p>
          <w:p>
            <w:pPr>
              <w:pStyle w:val="16"/>
              <w:rPr>
                <w:rFonts w:hint="eastAsia" w:hAnsi="宋体" w:cs="宋体"/>
                <w:color w:val="auto"/>
                <w:kern w:val="1"/>
                <w:sz w:val="21"/>
                <w:szCs w:val="21"/>
                <w:highlight w:val="none"/>
              </w:rPr>
            </w:pPr>
            <w:r>
              <w:rPr>
                <w:rFonts w:hint="eastAsia" w:ascii="宋体" w:hAnsi="宋体" w:cs="宋体"/>
                <w:color w:val="auto"/>
                <w:kern w:val="1"/>
                <w:sz w:val="21"/>
                <w:szCs w:val="21"/>
                <w:highlight w:val="none"/>
                <w:lang w:eastAsia="zh-CN"/>
              </w:rPr>
              <w:t>□</w:t>
            </w:r>
            <w:r>
              <w:rPr>
                <w:rFonts w:hint="eastAsia" w:hAnsi="宋体" w:cs="宋体"/>
                <w:color w:val="auto"/>
                <w:kern w:val="1"/>
                <w:sz w:val="21"/>
                <w:szCs w:val="21"/>
                <w:highlight w:val="none"/>
              </w:rPr>
              <w:t>不要求</w:t>
            </w:r>
          </w:p>
          <w:p>
            <w:pPr>
              <w:widowControl/>
              <w:ind w:left="-2" w:firstLine="2"/>
              <w:rPr>
                <w:rFonts w:hint="eastAsia" w:ascii="宋体" w:hAnsi="宋体" w:cs="宋体"/>
                <w:color w:val="auto"/>
                <w:kern w:val="1"/>
                <w:szCs w:val="21"/>
                <w:highlight w:val="none"/>
              </w:rPr>
            </w:pPr>
            <w:r>
              <w:rPr>
                <w:rFonts w:hint="eastAsia" w:hAnsi="宋体" w:cs="宋体"/>
                <w:color w:val="auto"/>
                <w:kern w:val="1"/>
                <w:sz w:val="21"/>
                <w:szCs w:val="21"/>
                <w:highlight w:val="none"/>
              </w:rPr>
              <w:t>■</w:t>
            </w:r>
            <w:r>
              <w:rPr>
                <w:rFonts w:hint="eastAsia" w:ascii="宋体" w:hAnsi="宋体" w:cs="宋体"/>
                <w:color w:val="auto"/>
                <w:kern w:val="1"/>
                <w:szCs w:val="21"/>
                <w:highlight w:val="none"/>
              </w:rPr>
              <w:t>要求</w:t>
            </w:r>
          </w:p>
          <w:p>
            <w:pPr>
              <w:rPr>
                <w:rFonts w:ascii="宋体"/>
                <w:color w:val="auto"/>
                <w:szCs w:val="21"/>
                <w:highlight w:val="none"/>
                <w:u w:val="single"/>
              </w:rPr>
            </w:pPr>
            <w:r>
              <w:rPr>
                <w:rFonts w:hint="eastAsia" w:ascii="宋体" w:hAnsi="宋体"/>
                <w:color w:val="auto"/>
                <w:szCs w:val="21"/>
                <w:highlight w:val="none"/>
                <w:u w:val="single"/>
                <w:lang w:val="en-US" w:eastAsia="zh-CN"/>
              </w:rPr>
              <w:t xml:space="preserve">    40</w:t>
            </w:r>
            <w:r>
              <w:rPr>
                <w:rFonts w:hint="eastAsia" w:ascii="宋体" w:hAnsi="宋体"/>
                <w:color w:val="auto"/>
                <w:szCs w:val="21"/>
                <w:highlight w:val="none"/>
                <w:u w:val="single"/>
              </w:rPr>
              <w:t>万元人民币，缴纳时间在投标截止时间之前。</w:t>
            </w:r>
          </w:p>
          <w:p>
            <w:pPr>
              <w:numPr>
                <w:ilvl w:val="0"/>
                <w:numId w:val="0"/>
              </w:numPr>
              <w:rPr>
                <w:rFonts w:ascii="宋体"/>
                <w:color w:val="auto"/>
                <w:szCs w:val="21"/>
                <w:highlight w:val="none"/>
                <w:u w:val="single"/>
              </w:rPr>
            </w:pPr>
            <w:r>
              <w:rPr>
                <w:rFonts w:ascii="宋体" w:hAnsi="Times New Roman" w:eastAsia="宋体" w:cs="Times New Roman"/>
                <w:color w:val="auto"/>
                <w:kern w:val="2"/>
                <w:sz w:val="21"/>
                <w:szCs w:val="21"/>
                <w:highlight w:val="none"/>
                <w:lang w:val="en-US" w:eastAsia="zh-CN" w:bidi="ar-SA"/>
              </w:rPr>
              <w:t>1、</w:t>
            </w:r>
            <w:r>
              <w:rPr>
                <w:rFonts w:hint="eastAsia" w:ascii="宋体" w:hAnsi="宋体"/>
                <w:color w:val="auto"/>
                <w:szCs w:val="21"/>
                <w:highlight w:val="none"/>
                <w:u w:val="single"/>
              </w:rPr>
              <w:t>投标保证金可采用现金、支票、汇票、信用证、保函、保险</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专业工程担保公司担保【银行保函或保险</w:t>
            </w:r>
            <w:r>
              <w:rPr>
                <w:rFonts w:hint="eastAsia" w:ascii="宋体" w:hAnsi="宋体"/>
                <w:color w:val="auto"/>
                <w:szCs w:val="21"/>
                <w:highlight w:val="none"/>
                <w:u w:val="single"/>
                <w:lang w:val="en-US" w:eastAsia="zh-CN"/>
              </w:rPr>
              <w:t>或担保</w:t>
            </w:r>
            <w:r>
              <w:rPr>
                <w:rFonts w:hint="eastAsia" w:ascii="宋体" w:hAnsi="宋体"/>
                <w:color w:val="auto"/>
                <w:szCs w:val="21"/>
                <w:highlight w:val="none"/>
                <w:u w:val="single"/>
              </w:rPr>
              <w:t>需开具给招标人（受益人也必须是招标人）。】等能够实现保证目的的方式，须在递交投标文件截止时间前完成缴纳。</w:t>
            </w:r>
          </w:p>
          <w:p>
            <w:pPr>
              <w:rPr>
                <w:rFonts w:ascii="宋体"/>
                <w:color w:val="auto"/>
                <w:szCs w:val="21"/>
                <w:highlight w:val="none"/>
                <w:u w:val="single"/>
              </w:rPr>
            </w:pPr>
            <w:r>
              <w:rPr>
                <w:rFonts w:ascii="宋体" w:hAnsi="宋体"/>
                <w:color w:val="auto"/>
                <w:szCs w:val="21"/>
                <w:highlight w:val="none"/>
                <w:u w:val="single"/>
              </w:rPr>
              <w:t>2</w:t>
            </w:r>
            <w:r>
              <w:rPr>
                <w:rFonts w:hint="eastAsia" w:ascii="宋体" w:hAnsi="宋体"/>
                <w:color w:val="auto"/>
                <w:szCs w:val="21"/>
                <w:highlight w:val="none"/>
                <w:u w:val="single"/>
              </w:rPr>
              <w:t>、如采用现金、支票或汇票形式提交的，由</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代收（保证金从投标人基本账户转账至</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。具体操作要求详见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最新的投标保证金缴纳操作流程及有关指引，递交事宜请自行咨询交易中心；请各投标人在投标文件递交截止时间前按上述金额递交至</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，到账情况以开标时</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数据库查询的信息为准。</w:t>
            </w:r>
          </w:p>
          <w:p>
            <w:pPr>
              <w:rPr>
                <w:rFonts w:ascii="宋体" w:hAnsi="宋体"/>
                <w:color w:val="auto"/>
                <w:szCs w:val="21"/>
                <w:highlight w:val="none"/>
                <w:u w:val="single"/>
              </w:rPr>
            </w:pPr>
            <w:r>
              <w:rPr>
                <w:rFonts w:ascii="宋体" w:hAnsi="宋体"/>
                <w:color w:val="auto"/>
                <w:szCs w:val="21"/>
                <w:highlight w:val="none"/>
                <w:u w:val="single"/>
              </w:rPr>
              <w:t>3</w:t>
            </w:r>
            <w:r>
              <w:rPr>
                <w:rFonts w:hint="eastAsia" w:ascii="宋体" w:hAnsi="宋体"/>
                <w:color w:val="auto"/>
                <w:szCs w:val="21"/>
                <w:highlight w:val="none"/>
                <w:u w:val="single"/>
              </w:rPr>
              <w:t>、如采用非电子形式的投标保函或投标保证保险</w:t>
            </w:r>
            <w:r>
              <w:rPr>
                <w:rFonts w:hint="eastAsia" w:ascii="宋体" w:hAnsi="宋体"/>
                <w:color w:val="auto"/>
                <w:szCs w:val="21"/>
                <w:highlight w:val="none"/>
                <w:u w:val="single"/>
                <w:lang w:val="en-US" w:eastAsia="zh-CN"/>
              </w:rPr>
              <w:t>或专业工程担保公司担保</w:t>
            </w:r>
            <w:r>
              <w:rPr>
                <w:rFonts w:hint="eastAsia" w:ascii="宋体" w:hAnsi="宋体"/>
                <w:color w:val="auto"/>
                <w:szCs w:val="21"/>
                <w:highlight w:val="none"/>
                <w:u w:val="single"/>
              </w:rPr>
              <w:t>提交投标保证金的，在开标前不强制要求投标人提交纸质原件，由中标候选人在中标候选人公示前提交并在网上公示，投标人应在投标文件中提交投标保函或投标保证保险扫描件并加盖投标人电子印章。</w:t>
            </w:r>
          </w:p>
          <w:p>
            <w:pPr>
              <w:rPr>
                <w:rFonts w:ascii="宋体" w:hAnsi="宋体" w:cs="Courier New"/>
                <w:b/>
                <w:color w:val="auto"/>
                <w:szCs w:val="21"/>
                <w:highlight w:val="none"/>
                <w:u w:val="single"/>
              </w:rPr>
            </w:pPr>
            <w:r>
              <w:rPr>
                <w:rFonts w:hint="eastAsia" w:ascii="宋体" w:hAnsi="宋体"/>
                <w:color w:val="auto"/>
                <w:szCs w:val="21"/>
                <w:highlight w:val="none"/>
                <w:u w:val="single"/>
              </w:rPr>
              <w:t>纸质保函或保险等凭证纸质原件也可在投标截止时间前将原件单独密封（封口处加盖投标人单位公章）递交至开标室。</w:t>
            </w:r>
            <w:r>
              <w:rPr>
                <w:rFonts w:hint="eastAsia" w:ascii="宋体" w:hAnsi="宋体" w:cs="Courier New"/>
                <w:b/>
                <w:color w:val="auto"/>
                <w:szCs w:val="21"/>
                <w:highlight w:val="none"/>
                <w:u w:val="single"/>
              </w:rPr>
              <w:t>递交</w:t>
            </w:r>
            <w:r>
              <w:rPr>
                <w:rFonts w:hint="eastAsia" w:ascii="宋体" w:hAnsi="宋体"/>
                <w:b/>
                <w:color w:val="auto"/>
                <w:szCs w:val="21"/>
                <w:highlight w:val="none"/>
                <w:u w:val="single"/>
              </w:rPr>
              <w:t>纸质保函或保险等凭证纸质</w:t>
            </w:r>
            <w:r>
              <w:rPr>
                <w:rFonts w:hint="eastAsia" w:ascii="宋体" w:hAnsi="宋体" w:cs="Courier New"/>
                <w:b/>
                <w:color w:val="auto"/>
                <w:szCs w:val="21"/>
                <w:highlight w:val="none"/>
                <w:u w:val="single"/>
              </w:rPr>
              <w:t>原件时需提供法定代表人证明书；委托投标的还应提供法人授权委托证明书。</w:t>
            </w:r>
          </w:p>
          <w:p>
            <w:pPr>
              <w:rPr>
                <w:rFonts w:ascii="宋体" w:hAnsi="宋体"/>
                <w:color w:val="auto"/>
                <w:szCs w:val="21"/>
                <w:highlight w:val="none"/>
                <w:u w:val="single"/>
              </w:rPr>
            </w:pPr>
            <w:r>
              <w:rPr>
                <w:rFonts w:hint="eastAsia" w:ascii="宋体" w:hAnsi="宋体"/>
                <w:color w:val="auto"/>
                <w:szCs w:val="21"/>
                <w:highlight w:val="none"/>
                <w:u w:val="single"/>
              </w:rPr>
              <w:t>4、采用电子保函提交投标保证金的，具体操作要求详见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有关指引，递交事宜请自行咨询交易中心。</w:t>
            </w:r>
          </w:p>
          <w:p>
            <w:pPr>
              <w:adjustRightInd w:val="0"/>
              <w:spacing w:line="360" w:lineRule="auto"/>
              <w:rPr>
                <w:rFonts w:hint="eastAsia" w:ascii="宋体" w:hAnsi="宋体" w:eastAsia="宋体" w:cs="宋体"/>
                <w:color w:val="auto"/>
                <w:szCs w:val="21"/>
                <w:highlight w:val="none"/>
              </w:rPr>
            </w:pPr>
            <w:r>
              <w:rPr>
                <w:rFonts w:hint="eastAsia" w:ascii="宋体" w:hAnsi="宋体"/>
                <w:color w:val="auto"/>
                <w:szCs w:val="21"/>
                <w:highlight w:val="none"/>
                <w:u w:val="single"/>
              </w:rPr>
              <w:t>5、投标保证金有效期应当与投标有效期一致。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218" w:type="dxa"/>
            <w:noWrap w:val="0"/>
            <w:vAlign w:val="center"/>
          </w:tcPr>
          <w:p>
            <w:pPr>
              <w:pStyle w:val="16"/>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■不允许</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6218" w:type="dxa"/>
            <w:noWrap w:val="0"/>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联合体投标时，除</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联合体共同投标协议</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必须联合体各方分别按要求进行签字或盖章[法定代表人证明书及授权委托证明书可由联合体主办方出具（其中“单位”一栏可只填写联合体主办方名称）]外，其他资料若需要签字或盖章的均可由联合体主办方签字或盖章；其他内容及落款中的“投标人”、“投标单位”、“声明企业”应填写联合体各方的单位全称【格式表示为：(主)单位全称（成)单位全称（成)……】，由联合体主办方按格式要求签字或盖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218" w:type="dxa"/>
            <w:noWrap w:val="0"/>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5"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2081" w:type="dxa"/>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封套上应载明的信息</w:t>
            </w:r>
          </w:p>
        </w:tc>
        <w:tc>
          <w:tcPr>
            <w:tcW w:w="6218" w:type="dxa"/>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6218" w:type="dxa"/>
            <w:noWrap w:val="0"/>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投标人应在截止时间前通过广州交易集团有限公司（广州公共资源交易中心）交易平台递交电子投标文件。</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递交备用光盘（或U盘）地点：广州交易集团有限公司（广州公共资源交易中心）南沙交易部第    开标室。</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递交备用光盘（或U盘）时间：     年  月  日  时  分。</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具体时间、地点可在广州公共资源交易中心站本项目招标公告日程安排进行查询。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p>
        </w:tc>
        <w:tc>
          <w:tcPr>
            <w:tcW w:w="6218" w:type="dxa"/>
            <w:noWrap w:val="0"/>
            <w:vAlign w:val="center"/>
          </w:tcPr>
          <w:p>
            <w:pPr>
              <w:pStyle w:val="16"/>
              <w:topLinePunct/>
              <w:spacing w:line="360" w:lineRule="auto"/>
              <w:rPr>
                <w:rFonts w:hint="eastAsia"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开标地点：在</w:t>
            </w:r>
            <w:r>
              <w:rPr>
                <w:rFonts w:hint="eastAsia" w:ascii="宋体" w:hAnsi="宋体" w:eastAsia="宋体" w:cs="宋体"/>
                <w:color w:val="auto"/>
                <w:szCs w:val="21"/>
                <w:highlight w:val="none"/>
                <w:u w:val="single"/>
              </w:rPr>
              <w:t>广州交易集团有限公司（广州公共资源交易中心）</w:t>
            </w:r>
            <w:r>
              <w:rPr>
                <w:rFonts w:hint="eastAsia" w:ascii="宋体" w:hAnsi="宋体" w:eastAsia="宋体" w:cs="宋体"/>
                <w:color w:val="auto"/>
                <w:szCs w:val="21"/>
                <w:highlight w:val="none"/>
              </w:rPr>
              <w:t>数字交易平台进行电子开标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具体时间可以到广州交易集团有限公司（广州公共资源交易中心）网站输入本项目编号或项目名称进行查询。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218" w:type="dxa"/>
            <w:noWrap w:val="0"/>
            <w:vAlign w:val="center"/>
          </w:tcPr>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详见招标公告。</w:t>
            </w:r>
          </w:p>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具体时间地点可以到</w:t>
            </w:r>
            <w:r>
              <w:rPr>
                <w:rFonts w:hint="eastAsia" w:ascii="宋体" w:hAnsi="宋体" w:eastAsia="宋体" w:cs="宋体"/>
                <w:color w:val="auto"/>
                <w:kern w:val="0"/>
                <w:szCs w:val="21"/>
                <w:highlight w:val="none"/>
                <w:u w:val="single"/>
                <w:lang w:eastAsia="zh-CN"/>
              </w:rPr>
              <w:t>广州交易集团有限公司（广州公共资源交易中心）网站</w:t>
            </w:r>
            <w:r>
              <w:rPr>
                <w:rFonts w:hint="eastAsia" w:ascii="宋体" w:hAnsi="宋体" w:eastAsia="宋体" w:cs="宋体"/>
                <w:color w:val="auto"/>
                <w:kern w:val="0"/>
                <w:szCs w:val="21"/>
                <w:highlight w:val="none"/>
                <w:u w:val="single"/>
              </w:rPr>
              <w:t>的服务指南中的交易活动安排输入本项目编号或项目名称进行查询。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w:t>
            </w:r>
          </w:p>
        </w:tc>
        <w:tc>
          <w:tcPr>
            <w:tcW w:w="2081" w:type="dxa"/>
            <w:noWrap w:val="0"/>
            <w:vAlign w:val="center"/>
          </w:tcPr>
          <w:p>
            <w:pPr>
              <w:widowControl/>
              <w:jc w:val="center"/>
              <w:rPr>
                <w:rFonts w:hint="eastAsia" w:ascii="宋体" w:hAnsi="宋体" w:eastAsia="宋体" w:cs="宋体"/>
                <w:color w:val="auto"/>
                <w:szCs w:val="21"/>
                <w:highlight w:val="none"/>
              </w:rPr>
            </w:pPr>
            <w:r>
              <w:rPr>
                <w:rFonts w:hint="eastAsia" w:ascii="宋体" w:hAnsi="宋体" w:cs="宋体"/>
                <w:color w:val="auto"/>
                <w:kern w:val="0"/>
                <w:szCs w:val="21"/>
                <w:highlight w:val="none"/>
                <w:lang w:bidi="ar"/>
              </w:rPr>
              <w:t>开标程序</w:t>
            </w:r>
          </w:p>
        </w:tc>
        <w:tc>
          <w:tcPr>
            <w:tcW w:w="6218" w:type="dxa"/>
            <w:noWrap w:val="0"/>
            <w:vAlign w:val="center"/>
          </w:tcPr>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主持人按下列程序进行开标：</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（1）宣布开标纪律；</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（2）公布在投标截止时间前递交投标文件的投标人名称；</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（3）在投标截止时间后</w:t>
            </w:r>
            <w:r>
              <w:rPr>
                <w:rFonts w:hint="eastAsia" w:ascii="宋体" w:hAnsi="宋体" w:cs="宋体"/>
                <w:color w:val="auto"/>
                <w:kern w:val="0"/>
                <w:szCs w:val="21"/>
                <w:highlight w:val="none"/>
                <w:lang w:val="en-US" w:eastAsia="zh-CN" w:bidi="ar"/>
              </w:rPr>
              <w:t>一</w:t>
            </w:r>
            <w:r>
              <w:rPr>
                <w:rFonts w:hint="eastAsia" w:ascii="宋体" w:hAnsi="宋体" w:cs="宋体"/>
                <w:color w:val="auto"/>
                <w:kern w:val="0"/>
                <w:szCs w:val="21"/>
                <w:highlight w:val="none"/>
                <w:lang w:bidi="ar"/>
              </w:rPr>
              <w:t>小时内，投标人通过递交投标文件的交易平台对已递交的电子投标文件进行解密。投标人完成解密后，再由招标人进行解密（投标人只用执行一次解密，招标人执行解密次数根据招标文件开标次数确定）。</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解密完成后，公布：a投标人名称；b投标文件递交情况；c投标文件解密情况；d投标担保递交情况；e项目负责人、设计负责人、专职安全员；f投标报价（含设计报价和施工报价）；g工期；h投标人的加密打包投标文件电脑机器特征码等主要内容，并记录在案。未在规定时间内解密的投标文件不参与开标、评标。</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（5）截标后，开标开始时间因故推迟的，相关评标信息仍以原定的开标开始时间的信息为准。</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（6）备用光盘的读取按“10 电子招标投标”第6点的规定执行。</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（9）投标人未参加开标或在规定的时间内未提出异议的，视为对开标无异议。</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（10）开标时，两个（含两个）以上的投标人加密打包投标文件电脑机器特征码一致的，不参与下一程序，并由评标委员会否决其投标。</w:t>
            </w:r>
          </w:p>
          <w:p>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（11）投标人代表、招标人代表、监标人、记录人等有关人员在开标记录上签字确认；若有关人员不签字的，不影响开标程序；</w:t>
            </w:r>
          </w:p>
          <w:p>
            <w:pPr>
              <w:widowControl/>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bidi="ar"/>
              </w:rPr>
              <w:t>（12）开标结束。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由招标人依法组建评标委员会。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■否。由评标委员会推荐的中标候选人数：</w:t>
            </w:r>
            <w:r>
              <w:rPr>
                <w:rFonts w:hint="eastAsia" w:ascii="宋体" w:hAnsi="宋体" w:eastAsia="宋体" w:cs="宋体"/>
                <w:color w:val="auto"/>
                <w:szCs w:val="21"/>
                <w:highlight w:val="none"/>
                <w:u w:val="single"/>
              </w:rPr>
              <w:t>3人。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w:t>
            </w:r>
          </w:p>
        </w:tc>
        <w:tc>
          <w:tcPr>
            <w:tcW w:w="6218" w:type="dxa"/>
            <w:noWrap w:val="0"/>
            <w:vAlign w:val="center"/>
          </w:tcPr>
          <w:p>
            <w:pPr>
              <w:widowControl/>
              <w:shd w:val="clear" w:color="auto" w:fil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公示媒介：</w:t>
            </w:r>
            <w:r>
              <w:rPr>
                <w:rFonts w:hint="eastAsia" w:ascii="宋体" w:hAnsi="宋体" w:cs="宋体"/>
                <w:color w:val="auto"/>
                <w:szCs w:val="21"/>
                <w:highlight w:val="none"/>
                <w:lang w:eastAsia="zh-CN"/>
              </w:rPr>
              <w:t>广州交易集团有限公司（广州</w:t>
            </w:r>
            <w:r>
              <w:rPr>
                <w:rFonts w:hint="eastAsia" w:ascii="宋体" w:hAnsi="宋体" w:eastAsia="宋体" w:cs="宋体"/>
                <w:color w:val="auto"/>
                <w:szCs w:val="21"/>
                <w:highlight w:val="none"/>
                <w:lang w:eastAsia="zh-CN"/>
              </w:rPr>
              <w:t>公共资源交易中心）网</w:t>
            </w:r>
          </w:p>
          <w:p>
            <w:pPr>
              <w:widowControl/>
              <w:shd w:val="clear" w:color="auto" w:fil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、广东省招标投标监管网、中国招标投标公共服务平台、广州国企阳光采购信息发布平台、</w:t>
            </w:r>
            <w:r>
              <w:rPr>
                <w:rFonts w:hint="eastAsia" w:ascii="宋体" w:hAnsi="宋体" w:eastAsia="宋体" w:cs="宋体"/>
                <w:color w:val="auto"/>
                <w:szCs w:val="21"/>
                <w:highlight w:val="none"/>
                <w:lang w:val="en-US" w:eastAsia="zh-CN"/>
              </w:rPr>
              <w:t>广州南沙资产经营集团有限公司网站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218" w:type="dxa"/>
            <w:noWrap w:val="0"/>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履约担保的形式：</w:t>
            </w:r>
            <w:r>
              <w:rPr>
                <w:rFonts w:hint="eastAsia" w:ascii="宋体" w:hAnsi="宋体" w:eastAsia="宋体" w:cs="宋体"/>
                <w:color w:val="auto"/>
                <w:szCs w:val="21"/>
                <w:highlight w:val="none"/>
                <w:u w:val="single"/>
              </w:rPr>
              <w:t>以合同约定为准。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w:t>
            </w:r>
            <w:r>
              <w:rPr>
                <w:rFonts w:hint="eastAsia" w:ascii="宋体" w:hAnsi="宋体" w:eastAsia="宋体" w:cs="宋体"/>
                <w:color w:val="auto"/>
                <w:szCs w:val="21"/>
                <w:highlight w:val="none"/>
                <w:u w:val="single"/>
              </w:rPr>
              <w:t>中标价款的</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8299" w:type="dxa"/>
            <w:gridSpan w:val="2"/>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需要补充的其他内容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9.2</w:t>
            </w:r>
          </w:p>
        </w:tc>
        <w:tc>
          <w:tcPr>
            <w:tcW w:w="2081"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rPr>
              <w:t>建设工程质量检测单位</w:t>
            </w:r>
          </w:p>
        </w:tc>
        <w:tc>
          <w:tcPr>
            <w:tcW w:w="6218" w:type="dxa"/>
            <w:noWrap w:val="0"/>
            <w:vAlign w:val="center"/>
          </w:tcPr>
          <w:p>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根据《建设工程质量检测管理办法》（建设部令第141号）第十二条规定，建设工程质量、安全检测业务应由建设单位依法委托，不列入本次招标范围。招标文件中与此条不一致的，以此条为准。</w:t>
            </w:r>
            <w:r>
              <w:rPr>
                <w:rFonts w:hint="eastAsia" w:ascii="宋体" w:hAnsi="宋体" w:eastAsia="宋体" w:cs="宋体"/>
                <w:bCs/>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9.3</w:t>
            </w:r>
          </w:p>
        </w:tc>
        <w:tc>
          <w:tcPr>
            <w:tcW w:w="2081"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数据资料</w:t>
            </w:r>
          </w:p>
        </w:tc>
        <w:tc>
          <w:tcPr>
            <w:tcW w:w="6218" w:type="dxa"/>
            <w:noWrap w:val="0"/>
            <w:vAlign w:val="center"/>
          </w:tcPr>
          <w:p>
            <w:pPr>
              <w:spacing w:line="360" w:lineRule="auto"/>
              <w:rPr>
                <w:rFonts w:hint="eastAsia" w:ascii="宋体" w:hAnsi="宋体" w:eastAsia="宋体" w:cs="宋体"/>
                <w:bCs/>
                <w:color w:val="auto"/>
                <w:szCs w:val="21"/>
                <w:highlight w:val="none"/>
              </w:rPr>
            </w:pPr>
            <w:r>
              <w:rPr>
                <w:rFonts w:hint="eastAsia" w:ascii="宋体" w:hAnsi="宋体" w:cs="宋体"/>
                <w:color w:val="auto"/>
                <w:szCs w:val="21"/>
                <w:highlight w:val="none"/>
                <w:u w:val="single"/>
              </w:rPr>
              <w:t>招标人向投标人提供的有关现场的数据和资料，是招标人现有的能被投标人利用的资料，一切以投标人实际踏勘现场情况为准，招标人对投标人做出的任何推论、理解和结论均不负责任。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9.4</w:t>
            </w:r>
          </w:p>
        </w:tc>
        <w:tc>
          <w:tcPr>
            <w:tcW w:w="2081"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承包方式</w:t>
            </w:r>
          </w:p>
        </w:tc>
        <w:tc>
          <w:tcPr>
            <w:tcW w:w="6218" w:type="dxa"/>
            <w:noWrap w:val="0"/>
            <w:vAlign w:val="center"/>
          </w:tcPr>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承包方式（包括但不限于）：</w:t>
            </w:r>
            <w:r>
              <w:rPr>
                <w:rFonts w:hint="eastAsia" w:ascii="宋体" w:hAnsi="宋体" w:cs="宋体"/>
                <w:color w:val="auto"/>
                <w:szCs w:val="21"/>
                <w:highlight w:val="none"/>
              </w:rPr>
              <w:t>包工、包材料、包设计（包</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深化设计、初步设计（含概算编制）、施工图设计（含第三方审图合格通过）、施工图预算及工程量清单编制）、包施工（包工、包料、包工期、包质量、包安全、包文明施工、包余泥垃圾清理外运等）、</w:t>
            </w:r>
            <w:r>
              <w:rPr>
                <w:rFonts w:hint="eastAsia" w:ascii="宋体" w:hAnsi="宋体" w:cs="宋体"/>
                <w:color w:val="auto"/>
                <w:szCs w:val="21"/>
                <w:highlight w:val="none"/>
                <w:lang w:val="en-US" w:eastAsia="zh-CN"/>
              </w:rPr>
              <w:t>包措施费、</w:t>
            </w:r>
            <w:r>
              <w:rPr>
                <w:rFonts w:hint="eastAsia" w:ascii="宋体" w:hAnsi="宋体" w:cs="宋体"/>
                <w:color w:val="auto"/>
                <w:szCs w:val="21"/>
                <w:highlight w:val="none"/>
              </w:rPr>
              <w:t>包各系统调试及联合调试、包试运行、包合同范围内工程竣工验收通过、包培训、包移交、包结算和资料整理、包专家评审或论证费、包验收（专家）费、包购买项目保险、包竣工图编制（须满足各专项验收要求）、包配合报奖项、包室内环境质量检测合格、包合同明示或暗示的所有一切风险、责任和义务等一切相关内容的全部费用等，自竣工验收合格后两年的保修服务。本工程实行全过程限额设计施工，限额投资。工程变更需经过建设单位审定后方可实施</w:t>
            </w:r>
            <w:r>
              <w:rPr>
                <w:rFonts w:hint="eastAsia" w:ascii="宋体" w:hAnsi="宋体" w:cs="宋体"/>
                <w:bCs/>
                <w:color w:val="auto"/>
                <w:szCs w:val="21"/>
                <w:highlight w:val="none"/>
                <w:u w:val="none"/>
              </w:rPr>
              <w:t>。</w:t>
            </w:r>
          </w:p>
          <w:p>
            <w:pPr>
              <w:spacing w:line="360" w:lineRule="auto"/>
              <w:rPr>
                <w:rFonts w:hint="eastAsia" w:ascii="宋体" w:hAnsi="宋体" w:eastAsia="宋体" w:cs="宋体"/>
                <w:bCs/>
                <w:color w:val="auto"/>
                <w:szCs w:val="21"/>
                <w:highlight w:val="none"/>
              </w:rPr>
            </w:pPr>
            <w:r>
              <w:rPr>
                <w:rFonts w:hint="eastAsia" w:ascii="宋体" w:hAnsi="宋体" w:cs="宋体"/>
                <w:bCs/>
                <w:color w:val="auto"/>
                <w:szCs w:val="21"/>
                <w:highlight w:val="none"/>
              </w:rPr>
              <w:t>结算方式具体按合同条款规定。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9.5</w:t>
            </w:r>
          </w:p>
        </w:tc>
        <w:tc>
          <w:tcPr>
            <w:tcW w:w="2081" w:type="dxa"/>
            <w:noWrap w:val="0"/>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w:t>
            </w:r>
          </w:p>
        </w:tc>
        <w:tc>
          <w:tcPr>
            <w:tcW w:w="6218" w:type="dxa"/>
            <w:noWrap w:val="0"/>
            <w:vAlign w:val="center"/>
          </w:tcPr>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自行解决施工所需的临时用水、用电。承包人应配合发包人做好场地接收工作。在施工过程中，由于承包人原因造成其损伤而引起的责任和损失由承包人承担，相关费用已包含在签约合同价中，发包人不另行计量支付，若承包人不按要求修复或赔偿损失的，则发包人有权另行委托其它单位修复，相关费用从承包人工程款中扣除；</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需按照《广州市建设工程文明施工管理规定》（广州市人民政府令第62号）、《关于完善广州市建设工程施工围蔽管理提升实施技术要求和标准图集的通知》（穗建质〔2016〕1085号）、《关于进一步完善南沙区建设工程施工围蔽管理要求的通知》（穗南建〔2016〕291号）、《广东省建设工程施工扬尘污染防治管理办法（试行）》（粤办函〔2017〕708号）、《广东省住房和城乡建设厅关于采取切实措施坚决遏制施工扬尘污染的紧急通知》（粤建电发〔2018〕20号）、《住房和城乡建设部办公厅关于进一步加强施工工地和道路扬尘管控工作的通知》（建办质〔2019〕23号）、《广州市住房和城乡建设局等9部门关于印发广州市建设工程绿色施工围蔽指导图集（V2.0）的通知》（穗建质〔2020〕1号）等文件以及国家、广东省、广州市、南沙区有关规定做好安全文明施工各项工作，否则由招标人另行委托队伍施工，其费用由中标人自行负责。如以上相关指导文件已废止或有更新，按最新的相关指导文件规定执行。</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3、中标人的临设布置方案需经招标人审核通过后方可实施；</w:t>
            </w:r>
            <w:r>
              <w:rPr>
                <w:rFonts w:hint="eastAsia" w:ascii="宋体" w:hAnsi="宋体" w:eastAsia="宋体" w:cs="宋体"/>
                <w:b/>
                <w:bCs/>
                <w:color w:val="auto"/>
                <w:sz w:val="21"/>
                <w:szCs w:val="21"/>
                <w:highlight w:val="none"/>
                <w:u w:val="none"/>
                <w:lang w:val="en-US" w:eastAsia="zh-CN"/>
              </w:rPr>
              <w:t>中标人的交通疏解方案需经招标人审核通过后方可实施，如中标人实际的实施方案造价超出审核方案造价，则按审核方案造价进行结算。</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必须根据招标文件规定的格式及时间要求及时出具履约保函，如中标人未按招标文件的要求提交履约担保的，招标人有权解除中标通知书，招标人可以按照评标委员会推荐的中标候选人名单排序依次确定其他中标候选人为中标人，也可以重新招标。</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6、投标人投入本项目的主要材料、设备须保证满足招标人所提出的材料、设备的技术标准、质量要求；同时，投标人投入本项目主要材料、设备须符合或优于招标人提出的参考品牌。（如有）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w:t>
            </w:r>
          </w:p>
        </w:tc>
        <w:tc>
          <w:tcPr>
            <w:tcW w:w="6218" w:type="dxa"/>
            <w:noWrap w:val="0"/>
            <w:vAlign w:val="center"/>
          </w:tcPr>
          <w:p>
            <w:pPr>
              <w:spacing w:line="360" w:lineRule="auto"/>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■是，具体要求：</w:t>
            </w:r>
          </w:p>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1、投标文件形式：投标文件全部采用电子文档，投标文件应按交易平台相关操作指南编制。如不按上述要求编制引起系统无法</w:t>
            </w:r>
            <w:r>
              <w:rPr>
                <w:rFonts w:hint="eastAsia" w:ascii="宋体" w:hAnsi="宋体" w:eastAsia="宋体" w:cs="宋体"/>
                <w:color w:val="auto"/>
                <w:szCs w:val="21"/>
                <w:highlight w:val="none"/>
                <w:u w:val="single"/>
              </w:rPr>
              <w:t>检索、读取相关信息的，其后果由投标人承担。</w:t>
            </w:r>
            <w:r>
              <w:rPr>
                <w:rFonts w:hint="eastAsia" w:ascii="宋体" w:hAnsi="宋体" w:eastAsia="宋体" w:cs="宋体"/>
                <w:color w:val="auto"/>
                <w:kern w:val="0"/>
                <w:szCs w:val="21"/>
                <w:highlight w:val="none"/>
                <w:u w:val="single"/>
              </w:rPr>
              <w:t>投标文件所附证书证件均为原件扫描件，并采用单位数字证书，按招标文件要求在相应位置加盖电子印章。投标文件中需个人签字或盖章的，应</w:t>
            </w:r>
            <w:r>
              <w:rPr>
                <w:rFonts w:hint="eastAsia" w:ascii="宋体" w:hAnsi="宋体" w:eastAsia="宋体" w:cs="宋体"/>
                <w:color w:val="auto"/>
                <w:szCs w:val="21"/>
                <w:highlight w:val="none"/>
                <w:u w:val="single"/>
              </w:rPr>
              <w:t>加盖个人电子印章或在</w:t>
            </w:r>
            <w:r>
              <w:rPr>
                <w:rFonts w:hint="eastAsia" w:ascii="宋体" w:hAnsi="宋体" w:eastAsia="宋体" w:cs="宋体"/>
                <w:color w:val="auto"/>
                <w:kern w:val="0"/>
                <w:szCs w:val="21"/>
                <w:highlight w:val="none"/>
                <w:u w:val="single"/>
              </w:rPr>
              <w:t>线下完成后扫描上传。具体操作详见</w:t>
            </w:r>
            <w:r>
              <w:rPr>
                <w:rFonts w:hint="eastAsia" w:ascii="宋体" w:hAnsi="宋体" w:eastAsia="宋体" w:cs="宋体"/>
                <w:color w:val="auto"/>
                <w:szCs w:val="21"/>
                <w:highlight w:val="none"/>
                <w:u w:val="single"/>
              </w:rPr>
              <w:t>交易平台相关操作指南</w:t>
            </w:r>
            <w:r>
              <w:rPr>
                <w:rFonts w:hint="eastAsia" w:ascii="宋体" w:hAnsi="宋体" w:eastAsia="宋体" w:cs="宋体"/>
                <w:color w:val="auto"/>
                <w:kern w:val="0"/>
                <w:szCs w:val="21"/>
                <w:highlight w:val="none"/>
                <w:u w:val="single"/>
              </w:rPr>
              <w:t>。</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u w:val="single"/>
              </w:rPr>
              <w:t>2、</w:t>
            </w:r>
            <w:r>
              <w:rPr>
                <w:rFonts w:hint="eastAsia" w:ascii="宋体" w:hAnsi="宋体" w:eastAsia="宋体" w:cs="宋体"/>
                <w:color w:val="auto"/>
                <w:szCs w:val="21"/>
                <w:highlight w:val="none"/>
                <w:u w:val="single"/>
              </w:rPr>
              <w:t>投标文件的修改与撤回：投标人修改或撤回已递交的投标文件，需在交易平台发出撤回通知，并按要求加盖电子印章。电子招标投标交易平台收到通知后，即时向投标人发出确认回执通知。</w:t>
            </w:r>
          </w:p>
          <w:p>
            <w:pPr>
              <w:spacing w:line="360" w:lineRule="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u w:val="single"/>
              </w:rPr>
              <w:t>3、（重要风险提示）备用光盘或u盘。</w:t>
            </w:r>
            <w:r>
              <w:rPr>
                <w:rFonts w:hint="eastAsia" w:ascii="宋体" w:hAnsi="宋体" w:eastAsia="宋体" w:cs="宋体"/>
                <w:color w:val="auto"/>
                <w:kern w:val="0"/>
                <w:szCs w:val="21"/>
                <w:highlight w:val="none"/>
                <w:u w:val="single"/>
              </w:rPr>
              <w:t>投标人可使用投标文件制作工具生成非</w:t>
            </w:r>
            <w:r>
              <w:rPr>
                <w:rFonts w:hint="eastAsia" w:ascii="宋体" w:hAnsi="宋体" w:eastAsia="宋体" w:cs="宋体"/>
                <w:bCs/>
                <w:color w:val="auto"/>
                <w:szCs w:val="21"/>
                <w:highlight w:val="none"/>
                <w:u w:val="single"/>
              </w:rPr>
              <w:t>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pPr>
              <w:tabs>
                <w:tab w:val="left" w:pos="360"/>
              </w:tabs>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4、投标文件的递交：</w:t>
            </w: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①投标文件递交的截止时间（投标截止时间，下同），投标人应在截止时间前通过电子招标投标交易平台递交电子投标文件。（截止时间投标人自行登陆广州公共资源交易中心查看），投标文件截止时间及开标时间是否有变化，请密切留意</w:t>
            </w:r>
            <w:r>
              <w:rPr>
                <w:rFonts w:hint="eastAsia" w:ascii="宋体" w:hAnsi="宋体" w:eastAsia="宋体" w:cs="宋体"/>
                <w:color w:val="auto"/>
                <w:kern w:val="0"/>
                <w:szCs w:val="21"/>
                <w:highlight w:val="none"/>
                <w:u w:val="single"/>
                <w:lang w:eastAsia="zh-CN"/>
              </w:rPr>
              <w:t>广州交易集团有限公司（广州公共资源交易中心）网站</w:t>
            </w:r>
            <w:r>
              <w:rPr>
                <w:rFonts w:hint="eastAsia" w:ascii="宋体" w:hAnsi="宋体" w:eastAsia="宋体" w:cs="宋体"/>
                <w:color w:val="auto"/>
                <w:kern w:val="0"/>
                <w:szCs w:val="21"/>
                <w:highlight w:val="none"/>
                <w:u w:val="single"/>
              </w:rPr>
              <w:t>的相关信息。</w:t>
            </w: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②提交投标文件备用光盘或u盘时间：投标文件递交的截止时间前15分钟。</w:t>
            </w: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③投标人完成电子投标上传后，电子招标投标交易平台即时向投标人发出递交回执通知。递交时间以递交回执通知载明的传输时间为准。</w:t>
            </w: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④逾期送达的投标文件，电子招标投标交易平台将予以拒收。</w:t>
            </w:r>
            <w:r>
              <w:rPr>
                <w:rFonts w:hint="eastAsia" w:ascii="宋体" w:hAnsi="宋体" w:eastAsia="宋体" w:cs="宋体"/>
                <w:color w:val="auto"/>
                <w:szCs w:val="21"/>
                <w:highlight w:val="none"/>
                <w:u w:val="single"/>
              </w:rPr>
              <w:t>5、</w:t>
            </w:r>
            <w:r>
              <w:rPr>
                <w:rFonts w:hint="eastAsia" w:ascii="宋体" w:hAnsi="宋体" w:eastAsia="宋体" w:cs="宋体"/>
                <w:color w:val="auto"/>
                <w:kern w:val="0"/>
                <w:szCs w:val="21"/>
                <w:highlight w:val="none"/>
                <w:u w:val="single"/>
              </w:rPr>
              <w:t>投标文件加密要求：</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1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①</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网上递交的电子投标文件须进行加密。具体操作详见交易平台相关操作指南。</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 2 \* GB3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②</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未按要求加密的投标文件，招标人将予以拒收。</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w:t>
            </w:r>
            <w:r>
              <w:rPr>
                <w:rFonts w:hint="eastAsia" w:ascii="宋体" w:hAnsi="宋体" w:eastAsia="宋体" w:cs="宋体"/>
                <w:color w:val="auto"/>
                <w:kern w:val="0"/>
                <w:szCs w:val="21"/>
                <w:highlight w:val="none"/>
                <w:u w:val="single"/>
              </w:rPr>
              <w:t>投标文件解密失败的</w:t>
            </w:r>
            <w:r>
              <w:rPr>
                <w:rFonts w:hint="eastAsia" w:ascii="宋体" w:hAnsi="宋体" w:eastAsia="宋体" w:cs="宋体"/>
                <w:color w:val="auto"/>
                <w:szCs w:val="21"/>
                <w:highlight w:val="none"/>
                <w:u w:val="single"/>
              </w:rPr>
              <w:t>补救方案：</w:t>
            </w:r>
          </w:p>
          <w:p>
            <w:pPr>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11</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企业综合诚信评价</w:t>
            </w:r>
          </w:p>
        </w:tc>
        <w:tc>
          <w:tcPr>
            <w:tcW w:w="6218" w:type="dxa"/>
            <w:noWrap w:val="0"/>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08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w:t>
            </w:r>
          </w:p>
        </w:tc>
        <w:tc>
          <w:tcPr>
            <w:tcW w:w="621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1、中标人在发放中标通知书后3天内需将在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下载的投标文件打印，投标文件需与中标人在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提交的投标文件一致，投标人加盖公章，一正</w:t>
            </w:r>
            <w:r>
              <w:rPr>
                <w:rFonts w:hint="eastAsia" w:ascii="宋体" w:hAnsi="宋体" w:eastAsia="宋体" w:cs="宋体"/>
                <w:color w:val="auto"/>
                <w:szCs w:val="21"/>
                <w:highlight w:val="none"/>
                <w:lang w:val="en-US" w:eastAsia="zh-CN"/>
              </w:rPr>
              <w:t>两</w:t>
            </w:r>
            <w:r>
              <w:rPr>
                <w:rFonts w:hint="eastAsia" w:ascii="宋体" w:hAnsi="宋体" w:eastAsia="宋体" w:cs="宋体"/>
                <w:color w:val="auto"/>
                <w:szCs w:val="21"/>
                <w:highlight w:val="none"/>
              </w:rPr>
              <w:t>副（加盖公章），合共</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套投标文件提供给招标人，相关费用由投标人支付。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80" w:lineRule="exact"/>
              <w:jc w:val="center"/>
              <w:rPr>
                <w:rFonts w:hint="eastAsia" w:ascii="宋体" w:hAnsi="宋体" w:eastAsia="宋体" w:cs="宋体"/>
                <w:color w:val="auto"/>
                <w:szCs w:val="21"/>
                <w:highlight w:val="none"/>
              </w:rPr>
            </w:pPr>
            <w:bookmarkStart w:id="66" w:name="_Toc22983"/>
            <w:bookmarkStart w:id="67" w:name="_Toc5556"/>
            <w:bookmarkStart w:id="68" w:name="_Toc152045529"/>
            <w:bookmarkStart w:id="69" w:name="_Toc247527553"/>
            <w:bookmarkStart w:id="70" w:name="_Toc376"/>
            <w:bookmarkStart w:id="71" w:name="_Toc144974497"/>
            <w:bookmarkStart w:id="72" w:name="_Toc31351"/>
            <w:bookmarkStart w:id="73" w:name="_Toc300834949"/>
            <w:bookmarkStart w:id="74" w:name="_Toc493"/>
            <w:bookmarkStart w:id="75" w:name="_Toc2174"/>
            <w:bookmarkStart w:id="76" w:name="_Toc152042305"/>
            <w:bookmarkStart w:id="77" w:name="_Toc247513952"/>
            <w:r>
              <w:rPr>
                <w:rFonts w:ascii="宋体" w:hAnsi="宋体" w:eastAsia="宋体" w:cs="新宋体"/>
                <w:color w:val="auto"/>
                <w:szCs w:val="21"/>
                <w:highlight w:val="none"/>
              </w:rPr>
              <w:t>13</w:t>
            </w:r>
          </w:p>
        </w:tc>
        <w:tc>
          <w:tcPr>
            <w:tcW w:w="208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项目负责人和专职安全员注意事项</w:t>
            </w:r>
          </w:p>
        </w:tc>
        <w:tc>
          <w:tcPr>
            <w:tcW w:w="6218" w:type="dxa"/>
            <w:noWrap w:val="0"/>
            <w:vAlign w:val="center"/>
          </w:tcPr>
          <w:p>
            <w:pPr>
              <w:snapToGrid w:val="0"/>
              <w:spacing w:line="380" w:lineRule="exact"/>
              <w:ind w:left="-55" w:leftChars="-26" w:right="-59" w:rightChars="-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1．投标人如违反《广州市住房和城乡建设局关于加强建筑工程项目负责人管理的通知》（穗建规字〔2020〕32号）有关规定，如经查实取消其本项目中标资格；</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2．本工程项目负责人与专职安全员不得为同一人。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80" w:lineRule="exact"/>
              <w:jc w:val="center"/>
              <w:rPr>
                <w:rFonts w:hint="eastAsia" w:ascii="宋体" w:hAnsi="宋体" w:eastAsia="宋体" w:cs="宋体"/>
                <w:color w:val="auto"/>
                <w:szCs w:val="21"/>
                <w:highlight w:val="none"/>
              </w:rPr>
            </w:pPr>
            <w:r>
              <w:rPr>
                <w:rFonts w:ascii="宋体" w:hAnsi="宋体" w:eastAsia="宋体" w:cs="新宋体"/>
                <w:color w:val="auto"/>
                <w:szCs w:val="21"/>
                <w:highlight w:val="none"/>
              </w:rPr>
              <w:t>1</w:t>
            </w:r>
            <w:r>
              <w:rPr>
                <w:rFonts w:hint="default" w:ascii="宋体" w:hAnsi="宋体" w:eastAsia="宋体" w:cs="新宋体"/>
                <w:color w:val="auto"/>
                <w:szCs w:val="21"/>
                <w:highlight w:val="none"/>
              </w:rPr>
              <w:t>4</w:t>
            </w:r>
          </w:p>
        </w:tc>
        <w:tc>
          <w:tcPr>
            <w:tcW w:w="208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施工实名制</w:t>
            </w:r>
          </w:p>
        </w:tc>
        <w:tc>
          <w:tcPr>
            <w:tcW w:w="6218" w:type="dxa"/>
            <w:noWrap w:val="0"/>
            <w:vAlign w:val="center"/>
          </w:tcPr>
          <w:p>
            <w:pPr>
              <w:snapToGrid w:val="0"/>
              <w:spacing w:line="380" w:lineRule="exact"/>
              <w:ind w:right="-59" w:rightChars="-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本工程按《住房城乡建设部人力资源社会保障部关于印发建筑工人实名管理办法（试行）的通知》（建市〔2019〕18号），实施建筑施工实名制。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80" w:lineRule="exact"/>
              <w:jc w:val="center"/>
              <w:rPr>
                <w:rFonts w:hint="eastAsia" w:ascii="宋体" w:hAnsi="宋体" w:eastAsia="宋体" w:cs="宋体"/>
                <w:color w:val="auto"/>
                <w:szCs w:val="21"/>
                <w:highlight w:val="none"/>
              </w:rPr>
            </w:pPr>
            <w:r>
              <w:rPr>
                <w:rFonts w:ascii="宋体" w:hAnsi="宋体" w:eastAsia="宋体" w:cs="新宋体"/>
                <w:color w:val="auto"/>
                <w:szCs w:val="21"/>
                <w:highlight w:val="none"/>
              </w:rPr>
              <w:t>1</w:t>
            </w:r>
            <w:r>
              <w:rPr>
                <w:rFonts w:hint="default" w:ascii="宋体" w:hAnsi="宋体" w:eastAsia="宋体" w:cs="新宋体"/>
                <w:color w:val="auto"/>
                <w:szCs w:val="21"/>
                <w:highlight w:val="none"/>
              </w:rPr>
              <w:t>5</w:t>
            </w:r>
          </w:p>
        </w:tc>
        <w:tc>
          <w:tcPr>
            <w:tcW w:w="208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工人工资分账管理</w:t>
            </w:r>
          </w:p>
        </w:tc>
        <w:tc>
          <w:tcPr>
            <w:tcW w:w="6218"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本项目按照《关于印发广州市建设领域工人工资支付分账管理实施细则的通知》（穗建规字〔2020〕37号）实行工人工资分账管理。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noWrap w:val="0"/>
            <w:vAlign w:val="center"/>
          </w:tcPr>
          <w:p>
            <w:pPr>
              <w:spacing w:line="380" w:lineRule="exact"/>
              <w:jc w:val="center"/>
              <w:rPr>
                <w:rFonts w:hint="eastAsia" w:ascii="宋体" w:hAnsi="宋体" w:eastAsia="宋体" w:cs="宋体"/>
                <w:color w:val="auto"/>
                <w:szCs w:val="21"/>
                <w:highlight w:val="none"/>
              </w:rPr>
            </w:pPr>
            <w:r>
              <w:rPr>
                <w:rFonts w:ascii="宋体" w:hAnsi="宋体" w:eastAsia="宋体" w:cs="新宋体"/>
                <w:color w:val="auto"/>
                <w:szCs w:val="21"/>
                <w:highlight w:val="none"/>
              </w:rPr>
              <w:t>1</w:t>
            </w:r>
            <w:r>
              <w:rPr>
                <w:rFonts w:hint="default" w:ascii="宋体" w:hAnsi="宋体" w:eastAsia="宋体" w:cs="新宋体"/>
                <w:color w:val="auto"/>
                <w:szCs w:val="21"/>
                <w:highlight w:val="none"/>
              </w:rPr>
              <w:t>6</w:t>
            </w:r>
          </w:p>
        </w:tc>
        <w:tc>
          <w:tcPr>
            <w:tcW w:w="208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危险性较大的分部分项工程清单及超过-定规模的危险性较大的分部分项清单</w:t>
            </w:r>
          </w:p>
        </w:tc>
        <w:tc>
          <w:tcPr>
            <w:tcW w:w="6218" w:type="dxa"/>
            <w:noWrap w:val="0"/>
            <w:vAlign w:val="center"/>
          </w:tcPr>
          <w:p>
            <w:pPr>
              <w:snapToGrid w:val="0"/>
              <w:spacing w:line="380" w:lineRule="exact"/>
              <w:ind w:left="-55" w:leftChars="-26" w:right="-59" w:rightChars="-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现阶段无法明确危险性较大的分部分项工程清单及超过一定规模的危险性较大的分部分项清单，投标单位中标后，在施工图设计批复后，须根据项目实际情况，对危险性较大的分部分项工程清单及超过一定规模的危险性较大的分部分项清单部分工程内容明确相应的安全管理措施。投标人应充分考虑该部分工作内容及相关措施费。</w:t>
            </w:r>
          </w:p>
        </w:tc>
      </w:tr>
    </w:tbl>
    <w:p>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8" w:name="_Toc490141016"/>
      <w:bookmarkStart w:id="79" w:name="_Toc10791"/>
      <w:bookmarkStart w:id="80" w:name="_Toc1473"/>
      <w:r>
        <w:rPr>
          <w:rFonts w:hint="eastAsia" w:ascii="宋体" w:hAnsi="宋体" w:eastAsia="宋体" w:cs="宋体"/>
          <w:color w:val="auto"/>
          <w:highlight w:val="none"/>
        </w:rPr>
        <w:t>1. 总则</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5"/>
        <w:rPr>
          <w:rFonts w:hint="eastAsia" w:ascii="宋体" w:eastAsia="宋体" w:cs="宋体"/>
          <w:color w:val="auto"/>
          <w:highlight w:val="none"/>
        </w:rPr>
      </w:pPr>
      <w:bookmarkStart w:id="81" w:name="_Toc300834950"/>
      <w:bookmarkStart w:id="82" w:name="_Toc152045530"/>
      <w:bookmarkStart w:id="83" w:name="_Toc23702"/>
      <w:bookmarkStart w:id="84" w:name="_Toc247527554"/>
      <w:bookmarkStart w:id="85" w:name="_Toc8430"/>
      <w:bookmarkStart w:id="86" w:name="_Toc22928"/>
      <w:bookmarkStart w:id="87" w:name="_Toc152042306"/>
      <w:bookmarkStart w:id="88" w:name="_Toc13159"/>
      <w:bookmarkStart w:id="89" w:name="_Toc30762"/>
      <w:bookmarkStart w:id="90" w:name="_Toc247513953"/>
      <w:bookmarkStart w:id="91" w:name="_Toc6706"/>
      <w:bookmarkStart w:id="92" w:name="_Toc12263"/>
      <w:bookmarkStart w:id="93" w:name="_Toc144974498"/>
      <w:bookmarkStart w:id="94" w:name="_Toc16159"/>
      <w:bookmarkStart w:id="95" w:name="_Toc490141017"/>
      <w:r>
        <w:rPr>
          <w:rFonts w:hint="eastAsia" w:ascii="宋体" w:eastAsia="宋体" w:cs="宋体"/>
          <w:color w:val="auto"/>
          <w:highlight w:val="none"/>
        </w:rPr>
        <w:t>1.1 项目概况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1.1.1根据《中华人民共和国招标投标法》等有关法律、法规和规章的规定，本招标项目已具备招标条件，现对该项目设计施工进行总承包招标。</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招标人：见投标人须知前附表。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1.1.3项目建设管理单位：见投标人须知前附表。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招标代理机构：见投标人须知前附表。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招标项目名称：见投标人须知前附表。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1.1.6 项目建设地点：见投标人须知前附表。</w:t>
      </w:r>
    </w:p>
    <w:p>
      <w:pPr>
        <w:pStyle w:val="5"/>
        <w:rPr>
          <w:rFonts w:hint="eastAsia" w:ascii="宋体" w:eastAsia="宋体" w:cs="宋体"/>
          <w:color w:val="auto"/>
          <w:highlight w:val="none"/>
        </w:rPr>
      </w:pPr>
      <w:bookmarkStart w:id="96" w:name="_Toc28164"/>
      <w:bookmarkStart w:id="97" w:name="_Toc5082"/>
      <w:bookmarkStart w:id="98" w:name="_Toc22426"/>
      <w:bookmarkStart w:id="99" w:name="_Toc21962"/>
      <w:bookmarkStart w:id="100" w:name="_Toc152045531"/>
      <w:bookmarkStart w:id="101" w:name="_Toc247513954"/>
      <w:bookmarkStart w:id="102" w:name="_Toc490141018"/>
      <w:bookmarkStart w:id="103" w:name="_Toc144974499"/>
      <w:bookmarkStart w:id="104" w:name="_Toc247527555"/>
      <w:bookmarkStart w:id="105" w:name="_Toc152042307"/>
      <w:bookmarkStart w:id="106" w:name="_Toc11621"/>
      <w:bookmarkStart w:id="107" w:name="_Toc10866"/>
      <w:bookmarkStart w:id="108" w:name="_Toc300834951"/>
      <w:bookmarkStart w:id="109" w:name="_Toc234"/>
      <w:bookmarkStart w:id="110" w:name="_Toc6619"/>
      <w:r>
        <w:rPr>
          <w:rFonts w:hint="eastAsia" w:ascii="宋体" w:eastAsia="宋体" w:cs="宋体"/>
          <w:color w:val="auto"/>
          <w:highlight w:val="none"/>
        </w:rPr>
        <w:t>1.2 项目的资金来源和落实情况</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资金来源及比例：见投标人须知前附表。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资金落实情况：见投标人须知前附表。</w:t>
      </w:r>
    </w:p>
    <w:p>
      <w:pPr>
        <w:pStyle w:val="5"/>
        <w:rPr>
          <w:rFonts w:hint="eastAsia" w:ascii="宋体" w:eastAsia="宋体" w:cs="宋体"/>
          <w:color w:val="auto"/>
          <w:highlight w:val="none"/>
        </w:rPr>
      </w:pPr>
      <w:bookmarkStart w:id="111" w:name="_Toc152042308"/>
      <w:bookmarkStart w:id="112" w:name="_Toc247513955"/>
      <w:bookmarkStart w:id="113" w:name="_Toc144974500"/>
      <w:bookmarkStart w:id="114" w:name="_Toc247527556"/>
      <w:bookmarkStart w:id="115" w:name="_Toc152045532"/>
      <w:bookmarkStart w:id="116" w:name="_Toc24250"/>
      <w:bookmarkStart w:id="117" w:name="_Toc16396"/>
      <w:bookmarkStart w:id="118" w:name="_Toc21315"/>
      <w:bookmarkStart w:id="119" w:name="_Toc490141019"/>
      <w:bookmarkStart w:id="120" w:name="_Toc12223"/>
      <w:bookmarkStart w:id="121" w:name="_Toc12072"/>
      <w:bookmarkStart w:id="122" w:name="_Toc20564"/>
      <w:bookmarkStart w:id="123" w:name="_Toc6852"/>
      <w:bookmarkStart w:id="124" w:name="_Toc300834952"/>
      <w:bookmarkStart w:id="125" w:name="_Toc12593"/>
      <w:r>
        <w:rPr>
          <w:rFonts w:hint="eastAsia" w:ascii="宋体" w:eastAsia="宋体" w:cs="宋体"/>
          <w:color w:val="auto"/>
          <w:highlight w:val="none"/>
        </w:rPr>
        <w:t>1.3 招标范围、计划工期和</w:t>
      </w:r>
      <w:bookmarkEnd w:id="111"/>
      <w:bookmarkEnd w:id="112"/>
      <w:bookmarkEnd w:id="113"/>
      <w:bookmarkEnd w:id="114"/>
      <w:bookmarkEnd w:id="115"/>
      <w:r>
        <w:rPr>
          <w:rFonts w:hint="eastAsia" w:ascii="宋体" w:eastAsia="宋体" w:cs="宋体"/>
          <w:color w:val="auto"/>
          <w:highlight w:val="none"/>
        </w:rPr>
        <w:t>质量标准</w:t>
      </w:r>
      <w:bookmarkEnd w:id="116"/>
      <w:bookmarkEnd w:id="117"/>
      <w:bookmarkEnd w:id="118"/>
      <w:bookmarkEnd w:id="119"/>
      <w:bookmarkEnd w:id="120"/>
      <w:bookmarkEnd w:id="121"/>
      <w:bookmarkEnd w:id="122"/>
      <w:bookmarkEnd w:id="123"/>
      <w:bookmarkEnd w:id="124"/>
      <w:bookmarkEnd w:id="12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招标范围：见投标人须知前附表。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计划工期：见投标人须知前附表。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质量标准：见投标人须知前附表。</w:t>
      </w:r>
    </w:p>
    <w:p>
      <w:pPr>
        <w:pStyle w:val="5"/>
        <w:rPr>
          <w:rFonts w:hint="eastAsia" w:ascii="宋体" w:eastAsia="宋体" w:cs="宋体"/>
          <w:color w:val="auto"/>
          <w:highlight w:val="none"/>
        </w:rPr>
      </w:pPr>
      <w:bookmarkStart w:id="126" w:name="_Toc8537"/>
      <w:bookmarkStart w:id="127" w:name="_Toc247527557"/>
      <w:bookmarkStart w:id="128" w:name="_Toc300834953"/>
      <w:bookmarkStart w:id="129" w:name="_Toc21278"/>
      <w:bookmarkStart w:id="130" w:name="_Toc27548"/>
      <w:bookmarkStart w:id="131" w:name="_Toc152042309"/>
      <w:bookmarkStart w:id="132" w:name="_Toc144974501"/>
      <w:bookmarkStart w:id="133" w:name="_Toc152045533"/>
      <w:bookmarkStart w:id="134" w:name="_Toc490141020"/>
      <w:bookmarkStart w:id="135" w:name="_Toc25165"/>
      <w:bookmarkStart w:id="136" w:name="_Toc9786"/>
      <w:bookmarkStart w:id="137" w:name="_Toc247513956"/>
      <w:bookmarkStart w:id="138" w:name="_Toc29837"/>
      <w:bookmarkStart w:id="139" w:name="_Toc15022"/>
      <w:bookmarkStart w:id="140" w:name="_Toc12538"/>
      <w:r>
        <w:rPr>
          <w:rFonts w:hint="eastAsia" w:ascii="宋体" w:eastAsia="宋体" w:cs="宋体"/>
          <w:color w:val="auto"/>
          <w:highlight w:val="none"/>
        </w:rPr>
        <w:t>1.4 投标人资格要求</w:t>
      </w:r>
      <w:bookmarkEnd w:id="126"/>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投标人应具备承担本招标项目资质条件、能力。</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（1）资质要求：见投标人须知前附表；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（2）财务要求：</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（3）业绩要求：见投标人须知前附表；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（4）信誉要求：见投标人须知前附表；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（5）项目负责人的资格要求：见投标人须知前附表；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（6）设计负责人的资格要求：见投标人须知前附表；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（7）技术负责人的资格要求：见投标人须知前附表；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（8）专职安全员的资格要求：见投标人须知前附表；</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（9）施工机械设备：</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（10）项目管理机构及人员：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（11）其他要求：见投标人须知前附表。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1.4.2 投标人须知前附表规定接受联合体投标的，除应符合本章第1.4.1项和投标人须知前附表的要求外，还应遵守以下规定： </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（1）联合体各方应按招标文件提供的格式签订</w:t>
      </w:r>
      <w:r>
        <w:rPr>
          <w:rFonts w:hint="eastAsia" w:ascii="宋体" w:hAnsi="宋体" w:cs="宋体"/>
          <w:color w:val="auto"/>
          <w:highlight w:val="none"/>
          <w:u w:val="single"/>
          <w:lang w:val="zh-CN"/>
        </w:rPr>
        <w:t>联合体共同投标协议</w:t>
      </w:r>
      <w:r>
        <w:rPr>
          <w:rFonts w:hint="eastAsia" w:ascii="宋体" w:hAnsi="宋体" w:cs="宋体"/>
          <w:color w:val="auto"/>
          <w:highlight w:val="none"/>
        </w:rPr>
        <w:t>，明确联合体</w:t>
      </w:r>
      <w:r>
        <w:rPr>
          <w:rFonts w:hint="eastAsia" w:ascii="宋体" w:hAnsi="宋体" w:cs="宋体"/>
          <w:color w:val="auto"/>
          <w:highlight w:val="none"/>
          <w:u w:val="single"/>
        </w:rPr>
        <w:t>主办方</w:t>
      </w:r>
      <w:r>
        <w:rPr>
          <w:rFonts w:hint="eastAsia" w:ascii="宋体" w:hAnsi="宋体" w:cs="宋体"/>
          <w:color w:val="auto"/>
          <w:highlight w:val="none"/>
        </w:rPr>
        <w:t>和各方权利义务；</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（3）联合体各方不得再以自己名义单独或参加其他联合体在本招标项目中投标。</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1.4.3 投标人不得存在下列情形之一：以《投标人声明》第三点的规定为准。</w:t>
      </w:r>
    </w:p>
    <w:p>
      <w:pPr>
        <w:spacing w:line="400" w:lineRule="exact"/>
        <w:ind w:firstLine="420" w:firstLineChars="200"/>
        <w:rPr>
          <w:rFonts w:hint="eastAsia" w:ascii="宋体" w:hAnsi="宋体" w:eastAsia="宋体" w:cs="宋体"/>
          <w:color w:val="auto"/>
          <w:highlight w:val="none"/>
        </w:rPr>
      </w:pPr>
      <w:r>
        <w:rPr>
          <w:rFonts w:hint="eastAsia" w:ascii="宋体" w:hAnsi="宋体" w:cs="宋体"/>
          <w:color w:val="auto"/>
          <w:highlight w:val="none"/>
        </w:rPr>
        <w:t>1.4.4 单位负责人为同一人或者存在控股、管理关系的不同单位，不得同时参加本招标项目投标。（联合体内各成员之间不受本条限制）。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5"/>
        <w:rPr>
          <w:rFonts w:hint="eastAsia" w:ascii="宋体" w:eastAsia="宋体" w:cs="宋体"/>
          <w:color w:val="auto"/>
          <w:highlight w:val="none"/>
        </w:rPr>
      </w:pPr>
      <w:bookmarkStart w:id="141" w:name="_Toc144974503"/>
      <w:bookmarkStart w:id="142" w:name="_Toc247513958"/>
      <w:bookmarkStart w:id="143" w:name="_Toc247527559"/>
      <w:bookmarkStart w:id="144" w:name="_Toc152045535"/>
      <w:bookmarkStart w:id="145" w:name="_Toc152042311"/>
      <w:bookmarkStart w:id="146" w:name="_Toc300834955"/>
      <w:bookmarkStart w:id="147" w:name="_Toc16859"/>
      <w:bookmarkStart w:id="148" w:name="_Toc19085"/>
      <w:bookmarkStart w:id="149" w:name="_Toc10918"/>
      <w:bookmarkStart w:id="150" w:name="_Toc24166"/>
      <w:bookmarkStart w:id="151" w:name="_Toc3468"/>
      <w:bookmarkStart w:id="152" w:name="_Toc490141021"/>
      <w:bookmarkStart w:id="153" w:name="_Toc8263"/>
      <w:bookmarkStart w:id="154" w:name="_Toc30071"/>
      <w:bookmarkStart w:id="155" w:name="_Toc27985"/>
      <w:r>
        <w:rPr>
          <w:rFonts w:hint="eastAsia" w:ascii="宋体" w:eastAsia="宋体" w:cs="宋体"/>
          <w:color w:val="auto"/>
          <w:highlight w:val="none"/>
        </w:rPr>
        <w:t>1.5 费用承担</w:t>
      </w:r>
      <w:bookmarkEnd w:id="141"/>
      <w:bookmarkEnd w:id="142"/>
      <w:bookmarkEnd w:id="143"/>
      <w:bookmarkEnd w:id="144"/>
      <w:bookmarkEnd w:id="145"/>
      <w:r>
        <w:rPr>
          <w:rFonts w:hint="eastAsia" w:ascii="宋体" w:eastAsia="宋体" w:cs="宋体"/>
          <w:color w:val="auto"/>
          <w:highlight w:val="none"/>
        </w:rPr>
        <w:t>和设计成果（投标）补偿</w:t>
      </w:r>
      <w:bookmarkEnd w:id="146"/>
      <w:bookmarkEnd w:id="147"/>
      <w:bookmarkEnd w:id="148"/>
      <w:bookmarkEnd w:id="149"/>
      <w:bookmarkEnd w:id="150"/>
      <w:bookmarkEnd w:id="151"/>
      <w:bookmarkEnd w:id="152"/>
      <w:bookmarkEnd w:id="153"/>
      <w:bookmarkEnd w:id="154"/>
      <w:bookmarkEnd w:id="15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1.5.1 投标人准备和参加投标活动发生的费用自理。</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1.5.2 </w:t>
      </w:r>
      <w:r>
        <w:rPr>
          <w:rFonts w:hint="eastAsia" w:ascii="宋体" w:hAnsi="宋体" w:eastAsia="宋体" w:cs="宋体"/>
          <w:color w:val="auto"/>
          <w:highlight w:val="none"/>
          <w:u w:val="single"/>
        </w:rPr>
        <w:t>招标人在</w:t>
      </w:r>
      <w:r>
        <w:rPr>
          <w:rFonts w:hint="eastAsia" w:ascii="宋体" w:hAnsi="宋体" w:cs="宋体"/>
          <w:color w:val="auto"/>
          <w:highlight w:val="none"/>
          <w:u w:val="single"/>
        </w:rPr>
        <w:t>征得未中标人的同意后</w:t>
      </w:r>
      <w:r>
        <w:rPr>
          <w:rFonts w:hint="eastAsia" w:ascii="宋体" w:hAnsi="宋体" w:eastAsia="宋体" w:cs="宋体"/>
          <w:color w:val="auto"/>
          <w:highlight w:val="none"/>
          <w:u w:val="single"/>
        </w:rPr>
        <w:t>有权免费使用未中标人设计成果</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中标人应根据有关规定，向</w:t>
      </w:r>
      <w:r>
        <w:rPr>
          <w:rFonts w:hint="eastAsia" w:ascii="宋体" w:hAnsi="宋体" w:eastAsia="宋体" w:cs="宋体"/>
          <w:color w:val="auto"/>
          <w:szCs w:val="21"/>
          <w:highlight w:val="none"/>
        </w:rPr>
        <w:t>广州交易集团有限公司</w:t>
      </w:r>
      <w:r>
        <w:rPr>
          <w:rFonts w:hint="eastAsia" w:ascii="宋体" w:hAnsi="宋体" w:eastAsia="宋体" w:cs="宋体"/>
          <w:color w:val="auto"/>
          <w:highlight w:val="none"/>
        </w:rPr>
        <w:t>交纳交易服务费，该部分费用由投标人综合考虑在投标报价中，招标人不另行支付。</w:t>
      </w:r>
    </w:p>
    <w:p>
      <w:pPr>
        <w:pStyle w:val="5"/>
        <w:tabs>
          <w:tab w:val="left" w:pos="5769"/>
        </w:tabs>
        <w:rPr>
          <w:rFonts w:hint="eastAsia" w:ascii="宋体" w:eastAsia="宋体" w:cs="宋体"/>
          <w:color w:val="auto"/>
          <w:highlight w:val="none"/>
        </w:rPr>
      </w:pPr>
      <w:bookmarkStart w:id="156" w:name="_Toc17135"/>
      <w:bookmarkStart w:id="157" w:name="_Toc13053"/>
      <w:bookmarkStart w:id="158" w:name="_Toc32297"/>
      <w:bookmarkStart w:id="159" w:name="_Toc152045536"/>
      <w:bookmarkStart w:id="160" w:name="_Toc152042312"/>
      <w:bookmarkStart w:id="161" w:name="_Toc300834956"/>
      <w:bookmarkStart w:id="162" w:name="_Toc29204"/>
      <w:bookmarkStart w:id="163" w:name="_Toc490141022"/>
      <w:bookmarkStart w:id="164" w:name="_Toc247513959"/>
      <w:bookmarkStart w:id="165" w:name="_Toc25667"/>
      <w:bookmarkStart w:id="166" w:name="_Toc247527560"/>
      <w:bookmarkStart w:id="167" w:name="_Toc144974504"/>
      <w:bookmarkStart w:id="168" w:name="_Toc29962"/>
      <w:bookmarkStart w:id="169" w:name="_Toc17087"/>
      <w:bookmarkStart w:id="170" w:name="_Toc15250"/>
      <w:r>
        <w:rPr>
          <w:rFonts w:hint="eastAsia" w:ascii="宋体" w:eastAsia="宋体" w:cs="宋体"/>
          <w:color w:val="auto"/>
          <w:highlight w:val="none"/>
        </w:rPr>
        <w:t>1.6 保密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eastAsia="宋体" w:cs="宋体"/>
          <w:color w:val="auto"/>
          <w:highlight w:val="none"/>
        </w:rPr>
        <w:tab/>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参与招标投标活动的各方应对招标文件和投标文件中的商业和技术等秘密保密，否则应承担相应的法律责任。</w:t>
      </w:r>
    </w:p>
    <w:p>
      <w:pPr>
        <w:pStyle w:val="5"/>
        <w:rPr>
          <w:rFonts w:hint="eastAsia" w:ascii="宋体" w:eastAsia="宋体" w:cs="宋体"/>
          <w:color w:val="auto"/>
          <w:highlight w:val="none"/>
        </w:rPr>
      </w:pPr>
      <w:bookmarkStart w:id="171" w:name="_Toc144974505"/>
      <w:bookmarkStart w:id="172" w:name="_Toc11478"/>
      <w:bookmarkStart w:id="173" w:name="_Toc152045537"/>
      <w:bookmarkStart w:id="174" w:name="_Toc490141023"/>
      <w:bookmarkStart w:id="175" w:name="_Toc31702"/>
      <w:bookmarkStart w:id="176" w:name="_Toc152042313"/>
      <w:bookmarkStart w:id="177" w:name="_Toc21141"/>
      <w:bookmarkStart w:id="178" w:name="_Toc8732"/>
      <w:bookmarkStart w:id="179" w:name="_Toc300834957"/>
      <w:bookmarkStart w:id="180" w:name="_Toc10710"/>
      <w:bookmarkStart w:id="181" w:name="_Toc247527561"/>
      <w:bookmarkStart w:id="182" w:name="_Toc27206"/>
      <w:bookmarkStart w:id="183" w:name="_Toc247513960"/>
      <w:bookmarkStart w:id="184" w:name="_Toc15952"/>
      <w:bookmarkStart w:id="185" w:name="_Toc19186"/>
      <w:r>
        <w:rPr>
          <w:rFonts w:hint="eastAsia" w:ascii="宋体" w:eastAsia="宋体" w:cs="宋体"/>
          <w:color w:val="auto"/>
          <w:highlight w:val="none"/>
        </w:rPr>
        <w:t>1.7 语言</w:t>
      </w:r>
      <w:bookmarkEnd w:id="171"/>
      <w:r>
        <w:rPr>
          <w:rFonts w:hint="eastAsia" w:ascii="宋体" w:eastAsia="宋体" w:cs="宋体"/>
          <w:color w:val="auto"/>
          <w:highlight w:val="none"/>
        </w:rPr>
        <w:t>文字</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招标投标文件使用的语言文字为中文。专用术语使用外文的，应附有中文注释。</w:t>
      </w:r>
    </w:p>
    <w:p>
      <w:pPr>
        <w:pStyle w:val="5"/>
        <w:rPr>
          <w:rFonts w:hint="eastAsia" w:ascii="宋体" w:eastAsia="宋体" w:cs="宋体"/>
          <w:color w:val="auto"/>
          <w:highlight w:val="none"/>
        </w:rPr>
      </w:pPr>
      <w:bookmarkStart w:id="186" w:name="_Toc247513961"/>
      <w:bookmarkStart w:id="187" w:name="_Toc3577"/>
      <w:bookmarkStart w:id="188" w:name="_Toc18979"/>
      <w:bookmarkStart w:id="189" w:name="_Toc152045538"/>
      <w:bookmarkStart w:id="190" w:name="_Toc3503"/>
      <w:bookmarkStart w:id="191" w:name="_Toc31715"/>
      <w:bookmarkStart w:id="192" w:name="_Toc32144"/>
      <w:bookmarkStart w:id="193" w:name="_Toc9387"/>
      <w:bookmarkStart w:id="194" w:name="_Toc490141024"/>
      <w:bookmarkStart w:id="195" w:name="_Toc152042314"/>
      <w:bookmarkStart w:id="196" w:name="_Toc27006"/>
      <w:bookmarkStart w:id="197" w:name="_Toc27884"/>
      <w:bookmarkStart w:id="198" w:name="_Toc247527562"/>
      <w:bookmarkStart w:id="199" w:name="_Toc144974506"/>
      <w:bookmarkStart w:id="200" w:name="_Toc300834958"/>
      <w:r>
        <w:rPr>
          <w:rFonts w:hint="eastAsia" w:ascii="宋体" w:eastAsia="宋体" w:cs="宋体"/>
          <w:color w:val="auto"/>
          <w:highlight w:val="none"/>
        </w:rPr>
        <w:t>1.8 计量单位</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1.8.1所有计量均采用中华人民共和国法定计量单位。</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 本工程投标报价采用的的币种为人民币。</w:t>
      </w:r>
    </w:p>
    <w:p>
      <w:pPr>
        <w:pStyle w:val="5"/>
        <w:rPr>
          <w:rFonts w:hint="eastAsia" w:ascii="宋体" w:eastAsia="宋体" w:cs="宋体"/>
          <w:color w:val="auto"/>
          <w:highlight w:val="none"/>
        </w:rPr>
      </w:pPr>
      <w:bookmarkStart w:id="201" w:name="_Toc24491"/>
      <w:bookmarkStart w:id="202" w:name="_Toc21627"/>
      <w:bookmarkStart w:id="203" w:name="_Toc247513962"/>
      <w:bookmarkStart w:id="204" w:name="_Toc144974507"/>
      <w:bookmarkStart w:id="205" w:name="_Toc26270"/>
      <w:bookmarkStart w:id="206" w:name="_Toc247527563"/>
      <w:bookmarkStart w:id="207" w:name="_Toc490141025"/>
      <w:bookmarkStart w:id="208" w:name="_Toc152045539"/>
      <w:bookmarkStart w:id="209" w:name="_Toc13153"/>
      <w:bookmarkStart w:id="210" w:name="_Toc29360"/>
      <w:bookmarkStart w:id="211" w:name="_Toc152042315"/>
      <w:bookmarkStart w:id="212" w:name="_Toc7578"/>
      <w:bookmarkStart w:id="213" w:name="_Toc300834959"/>
      <w:bookmarkStart w:id="214" w:name="_Toc13354"/>
      <w:bookmarkStart w:id="215" w:name="_Toc32089"/>
      <w:r>
        <w:rPr>
          <w:rFonts w:hint="eastAsia" w:ascii="宋体" w:eastAsia="宋体" w:cs="宋体"/>
          <w:color w:val="auto"/>
          <w:highlight w:val="none"/>
        </w:rPr>
        <w:t>1.9 踏勘现场</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 投标人须知前附表规定组织踏勘现场的，招标人按投标人须知前附表规定的时间、地点组织投标人踏勘项目现场。</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1.9.4 现场由投标人自行踏勘，投标人不进行踏勘的，视为已熟知现场条件，自行承担相关风险。招标人不对投标人自行踏勘现场作出的判断和决策负责。</w:t>
      </w:r>
    </w:p>
    <w:p>
      <w:pPr>
        <w:pStyle w:val="5"/>
        <w:rPr>
          <w:rFonts w:hint="eastAsia" w:ascii="宋体" w:eastAsia="宋体" w:cs="宋体"/>
          <w:color w:val="auto"/>
          <w:highlight w:val="none"/>
        </w:rPr>
      </w:pPr>
      <w:bookmarkStart w:id="216" w:name="_Toc490141026"/>
      <w:bookmarkStart w:id="217" w:name="_Toc152042316"/>
      <w:bookmarkStart w:id="218" w:name="_Toc32090"/>
      <w:bookmarkStart w:id="219" w:name="_Toc144974508"/>
      <w:bookmarkStart w:id="220" w:name="_Toc28643"/>
      <w:bookmarkStart w:id="221" w:name="_Toc31677"/>
      <w:bookmarkStart w:id="222" w:name="_Toc6621"/>
      <w:bookmarkStart w:id="223" w:name="_Toc247527564"/>
      <w:bookmarkStart w:id="224" w:name="_Toc30904"/>
      <w:bookmarkStart w:id="225" w:name="_Toc247513963"/>
      <w:bookmarkStart w:id="226" w:name="_Toc152045540"/>
      <w:bookmarkStart w:id="227" w:name="_Toc229"/>
      <w:bookmarkStart w:id="228" w:name="_Toc30407"/>
      <w:bookmarkStart w:id="229" w:name="_Toc14181"/>
      <w:bookmarkStart w:id="230" w:name="_Toc300834960"/>
      <w:r>
        <w:rPr>
          <w:rFonts w:hint="eastAsia" w:ascii="宋体" w:eastAsia="宋体" w:cs="宋体"/>
          <w:color w:val="auto"/>
          <w:highlight w:val="none"/>
        </w:rPr>
        <w:t>1.10 投标预备会</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投标人须知前附表规定不召开投标预备会的。</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1.10.2 投标人应在投标人须知前附表规定的时间前，进行网上答疑。</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1.10.3 招标人在投标人须知前附表规定的时间内，将对投标人所提问题的澄清，以网上发布形式通知所有潜在投标人，文件一经在</w:t>
      </w:r>
      <w:r>
        <w:rPr>
          <w:rFonts w:hint="eastAsia" w:ascii="宋体" w:hAnsi="宋体" w:eastAsia="宋体" w:cs="宋体"/>
          <w:color w:val="auto"/>
          <w:highlight w:val="none"/>
          <w:lang w:eastAsia="zh-CN"/>
        </w:rPr>
        <w:t>广州交易集团有限公司（广州公共资源交易中心）网站</w:t>
      </w:r>
      <w:r>
        <w:rPr>
          <w:rFonts w:hint="eastAsia" w:ascii="宋体" w:hAnsi="宋体" w:eastAsia="宋体" w:cs="宋体"/>
          <w:color w:val="auto"/>
          <w:highlight w:val="none"/>
        </w:rPr>
        <w:t>发布，视作已发放给所有投标人。该澄清内容为招标文件的组成部分。</w:t>
      </w:r>
    </w:p>
    <w:p>
      <w:pPr>
        <w:pStyle w:val="5"/>
        <w:rPr>
          <w:rFonts w:hint="eastAsia" w:ascii="宋体" w:eastAsia="宋体" w:cs="宋体"/>
          <w:color w:val="auto"/>
          <w:highlight w:val="none"/>
        </w:rPr>
      </w:pPr>
      <w:bookmarkStart w:id="231" w:name="_Toc28481"/>
      <w:bookmarkStart w:id="232" w:name="_Toc152042317"/>
      <w:bookmarkStart w:id="233" w:name="_Toc11358"/>
      <w:bookmarkStart w:id="234" w:name="_Toc247513964"/>
      <w:bookmarkStart w:id="235" w:name="_Toc300834961"/>
      <w:bookmarkStart w:id="236" w:name="_Toc490141027"/>
      <w:bookmarkStart w:id="237" w:name="_Toc247527565"/>
      <w:bookmarkStart w:id="238" w:name="_Toc9946"/>
      <w:bookmarkStart w:id="239" w:name="_Toc30604"/>
      <w:bookmarkStart w:id="240" w:name="_Toc24355"/>
      <w:bookmarkStart w:id="241" w:name="_Toc152045541"/>
      <w:bookmarkStart w:id="242" w:name="_Toc21156"/>
      <w:bookmarkStart w:id="243" w:name="_Toc26268"/>
      <w:bookmarkStart w:id="244" w:name="_Toc27471"/>
      <w:bookmarkStart w:id="245" w:name="_Toc144974509"/>
      <w:r>
        <w:rPr>
          <w:rFonts w:hint="eastAsia" w:ascii="宋体" w:eastAsia="宋体" w:cs="宋体"/>
          <w:color w:val="auto"/>
          <w:highlight w:val="none"/>
        </w:rPr>
        <w:t>1.11 分包</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40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1.11.1 投标人须知前附表规定应当由分包人实施的非主体、非关键性工作，按发包人规定执行。</w:t>
      </w:r>
    </w:p>
    <w:p>
      <w:pPr>
        <w:spacing w:line="400" w:lineRule="exact"/>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1.11.2 投标人拟在中标后将中标项目的部分非主体结构工程、非关键性工作或现行法律法规允许进行分包的，应符合投标人须知前附表规定的分包内容、分包金额和资质要求等限制性条件。</w:t>
      </w:r>
    </w:p>
    <w:p>
      <w:pPr>
        <w:pStyle w:val="5"/>
        <w:rPr>
          <w:rFonts w:hint="eastAsia" w:ascii="宋体" w:eastAsia="宋体" w:cs="宋体"/>
          <w:color w:val="auto"/>
          <w:highlight w:val="none"/>
        </w:rPr>
      </w:pPr>
      <w:bookmarkStart w:id="246" w:name="_Toc30147"/>
      <w:bookmarkStart w:id="247" w:name="_Toc21343"/>
      <w:bookmarkStart w:id="248" w:name="_Toc490141028"/>
      <w:bookmarkStart w:id="249" w:name="_Toc1533"/>
      <w:bookmarkStart w:id="250" w:name="_Toc12145"/>
      <w:bookmarkStart w:id="251" w:name="_Toc7843"/>
      <w:bookmarkStart w:id="252" w:name="_Toc300834962"/>
      <w:bookmarkStart w:id="253" w:name="_Toc27672"/>
      <w:bookmarkStart w:id="254" w:name="_Toc21193"/>
      <w:bookmarkStart w:id="255" w:name="_Toc247513965"/>
      <w:bookmarkStart w:id="256" w:name="_Toc247527566"/>
      <w:bookmarkStart w:id="257" w:name="_Toc15799"/>
      <w:r>
        <w:rPr>
          <w:rFonts w:hint="eastAsia" w:ascii="宋体" w:eastAsia="宋体" w:cs="宋体"/>
          <w:color w:val="auto"/>
          <w:highlight w:val="none"/>
        </w:rPr>
        <w:t>1.12 偏离</w:t>
      </w:r>
      <w:bookmarkEnd w:id="246"/>
      <w:bookmarkEnd w:id="247"/>
      <w:bookmarkEnd w:id="248"/>
      <w:bookmarkEnd w:id="249"/>
      <w:bookmarkEnd w:id="250"/>
      <w:bookmarkEnd w:id="251"/>
      <w:bookmarkEnd w:id="252"/>
      <w:bookmarkEnd w:id="253"/>
      <w:bookmarkEnd w:id="254"/>
      <w:bookmarkEnd w:id="255"/>
      <w:bookmarkEnd w:id="256"/>
      <w:bookmarkEnd w:id="257"/>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见投标人须知前附表。</w:t>
      </w:r>
    </w:p>
    <w:p>
      <w:pPr>
        <w:pStyle w:val="4"/>
        <w:rPr>
          <w:rFonts w:hint="eastAsia" w:ascii="宋体" w:hAnsi="宋体" w:eastAsia="宋体" w:cs="宋体"/>
          <w:color w:val="auto"/>
          <w:highlight w:val="none"/>
        </w:rPr>
      </w:pPr>
      <w:bookmarkStart w:id="258" w:name="_Toc152045542"/>
      <w:bookmarkStart w:id="259" w:name="_Toc18406"/>
      <w:bookmarkStart w:id="260" w:name="_Toc152042318"/>
      <w:bookmarkStart w:id="261" w:name="_Toc490141029"/>
      <w:bookmarkStart w:id="262" w:name="_Toc13096"/>
      <w:bookmarkStart w:id="263" w:name="_Toc22778"/>
      <w:bookmarkStart w:id="264" w:name="_Toc247513966"/>
      <w:bookmarkStart w:id="265" w:name="_Toc2570"/>
      <w:bookmarkStart w:id="266" w:name="_Toc247527567"/>
      <w:bookmarkStart w:id="267" w:name="_Toc144974510"/>
      <w:bookmarkStart w:id="268" w:name="_Toc14358"/>
      <w:bookmarkStart w:id="269" w:name="_Toc29932"/>
      <w:bookmarkStart w:id="270" w:name="_Toc300834963"/>
      <w:bookmarkStart w:id="271" w:name="_Toc22361"/>
      <w:bookmarkStart w:id="272" w:name="_Toc9925"/>
      <w:r>
        <w:rPr>
          <w:rFonts w:hint="eastAsia" w:ascii="宋体" w:hAnsi="宋体" w:eastAsia="宋体" w:cs="宋体"/>
          <w:color w:val="auto"/>
          <w:highlight w:val="none"/>
        </w:rPr>
        <w:t>2. 招标文件</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5"/>
        <w:rPr>
          <w:rFonts w:hint="eastAsia" w:ascii="宋体" w:eastAsia="宋体" w:cs="宋体"/>
          <w:color w:val="auto"/>
          <w:highlight w:val="none"/>
        </w:rPr>
      </w:pPr>
      <w:bookmarkStart w:id="273" w:name="_Toc144974511"/>
      <w:bookmarkStart w:id="274" w:name="_Toc12130"/>
      <w:bookmarkStart w:id="275" w:name="_Toc152045543"/>
      <w:bookmarkStart w:id="276" w:name="_Toc15444"/>
      <w:bookmarkStart w:id="277" w:name="_Toc300834964"/>
      <w:bookmarkStart w:id="278" w:name="_Toc247513967"/>
      <w:bookmarkStart w:id="279" w:name="_Toc19518"/>
      <w:bookmarkStart w:id="280" w:name="_Toc247527568"/>
      <w:bookmarkStart w:id="281" w:name="_Toc30260"/>
      <w:bookmarkStart w:id="282" w:name="_Toc18571"/>
      <w:bookmarkStart w:id="283" w:name="_Toc11154"/>
      <w:bookmarkStart w:id="284" w:name="_Toc16384"/>
      <w:bookmarkStart w:id="285" w:name="_Toc152042319"/>
      <w:bookmarkStart w:id="286" w:name="_Toc644"/>
      <w:bookmarkStart w:id="287" w:name="_Toc490141030"/>
      <w:r>
        <w:rPr>
          <w:rFonts w:hint="eastAsia" w:ascii="宋体" w:eastAsia="宋体" w:cs="宋体"/>
          <w:color w:val="auto"/>
          <w:highlight w:val="none"/>
        </w:rPr>
        <w:t>2.1 招标文件的组成</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本招标文件包括：</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（1）招标公告（或投标邀请书）；</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（3）评标办法；</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（4）合同条款及格式（另册）；</w:t>
      </w:r>
    </w:p>
    <w:p>
      <w:pPr>
        <w:spacing w:line="400" w:lineRule="exact"/>
        <w:ind w:firstLine="359" w:firstLineChars="171"/>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（5）</w:t>
      </w:r>
      <w:r>
        <w:rPr>
          <w:rFonts w:hint="eastAsia" w:ascii="宋体" w:hAnsi="宋体" w:eastAsia="宋体" w:cs="宋体"/>
          <w:strike w:val="0"/>
          <w:color w:val="auto"/>
          <w:szCs w:val="21"/>
          <w:highlight w:val="none"/>
          <w:lang w:val="en-US" w:eastAsia="zh-CN"/>
        </w:rPr>
        <w:t>发包人要求</w:t>
      </w:r>
      <w:r>
        <w:rPr>
          <w:rFonts w:hint="eastAsia" w:ascii="宋体" w:hAnsi="宋体" w:eastAsia="宋体" w:cs="宋体"/>
          <w:strike w:val="0"/>
          <w:color w:val="auto"/>
          <w:szCs w:val="21"/>
          <w:highlight w:val="none"/>
        </w:rPr>
        <w:t>（另册）；</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（6）发包人提供的资料（另册）；</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（8）投标人须知前附表规定的其他资料。</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根据本章第1.10款、第2.2款和第2.3款对招标文件所作的澄清、修改，构成招标文件的组成部分。当招标文件的澄清、修改等在同一内容的表述不一致时，以最后发出的书面文件为准。</w:t>
      </w:r>
    </w:p>
    <w:p>
      <w:pPr>
        <w:pStyle w:val="5"/>
        <w:rPr>
          <w:rFonts w:hint="eastAsia" w:ascii="宋体" w:eastAsia="宋体" w:cs="宋体"/>
          <w:color w:val="auto"/>
          <w:highlight w:val="none"/>
        </w:rPr>
      </w:pPr>
      <w:bookmarkStart w:id="288" w:name="_Toc300834965"/>
      <w:bookmarkStart w:id="289" w:name="_Toc152042320"/>
      <w:bookmarkStart w:id="290" w:name="_Toc247527569"/>
      <w:bookmarkStart w:id="291" w:name="_Toc6072"/>
      <w:bookmarkStart w:id="292" w:name="_Toc152045544"/>
      <w:bookmarkStart w:id="293" w:name="_Toc247513968"/>
      <w:bookmarkStart w:id="294" w:name="_Toc24802"/>
      <w:bookmarkStart w:id="295" w:name="_Toc13489"/>
      <w:bookmarkStart w:id="296" w:name="_Toc490141031"/>
      <w:bookmarkStart w:id="297" w:name="_Toc144974512"/>
      <w:bookmarkStart w:id="298" w:name="_Toc3890"/>
      <w:bookmarkStart w:id="299" w:name="_Toc14693"/>
      <w:bookmarkStart w:id="300" w:name="_Toc24191"/>
      <w:bookmarkStart w:id="301" w:name="_Toc22165"/>
      <w:bookmarkStart w:id="302" w:name="_Toc2920"/>
      <w:r>
        <w:rPr>
          <w:rFonts w:hint="eastAsia" w:ascii="宋体" w:eastAsia="宋体" w:cs="宋体"/>
          <w:color w:val="auto"/>
          <w:highlight w:val="none"/>
        </w:rPr>
        <w:t>2.2 招标文件的澄清</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2.2.1 投标人应仔细阅读和检查招标文件的全部内容。</w:t>
      </w:r>
      <w:r>
        <w:rPr>
          <w:rFonts w:hint="eastAsia" w:ascii="宋体" w:hAnsi="宋体" w:eastAsia="宋体" w:cs="宋体"/>
          <w:color w:val="auto"/>
          <w:szCs w:val="21"/>
          <w:highlight w:val="none"/>
        </w:rPr>
        <w:t>如发现缺页或附件不全，应及时向招标人提出，以便补齐。</w:t>
      </w:r>
      <w:r>
        <w:rPr>
          <w:rFonts w:hint="eastAsia" w:ascii="宋体" w:hAnsi="宋体" w:eastAsia="宋体" w:cs="宋体"/>
          <w:color w:val="auto"/>
          <w:highlight w:val="none"/>
        </w:rPr>
        <w:t>如有疑问，应在投标人须知前附表规定的时间前</w:t>
      </w:r>
      <w:r>
        <w:rPr>
          <w:rFonts w:hint="eastAsia" w:ascii="宋体" w:hAnsi="宋体" w:eastAsia="宋体" w:cs="宋体"/>
          <w:color w:val="auto"/>
          <w:highlight w:val="none"/>
          <w:u w:val="single"/>
        </w:rPr>
        <w:t>通过</w:t>
      </w:r>
      <w:r>
        <w:rPr>
          <w:rFonts w:hint="eastAsia" w:ascii="宋体" w:hAnsi="宋体" w:eastAsia="宋体" w:cs="宋体"/>
          <w:color w:val="auto"/>
          <w:highlight w:val="none"/>
          <w:u w:val="single"/>
          <w:lang w:eastAsia="zh-CN"/>
        </w:rPr>
        <w:t>广州交易集团有限公司（广州公共资源交易中心）网站</w:t>
      </w:r>
      <w:r>
        <w:rPr>
          <w:rFonts w:hint="eastAsia" w:ascii="宋体" w:hAnsi="宋体" w:eastAsia="宋体" w:cs="宋体"/>
          <w:color w:val="auto"/>
          <w:highlight w:val="none"/>
          <w:u w:val="single"/>
        </w:rPr>
        <w:t>进入提问区域将问题提交给招标人或招标代理人</w:t>
      </w:r>
      <w:r>
        <w:rPr>
          <w:rFonts w:hint="eastAsia" w:ascii="宋体" w:hAnsi="宋体" w:eastAsia="宋体" w:cs="宋体"/>
          <w:color w:val="auto"/>
          <w:highlight w:val="none"/>
        </w:rPr>
        <w:t>，要求招标人对招标文件予以澄清。</w:t>
      </w:r>
    </w:p>
    <w:p>
      <w:pPr>
        <w:spacing w:line="4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网上答疑的操作指南为：登陆</w:t>
      </w:r>
      <w:r>
        <w:rPr>
          <w:rFonts w:hint="eastAsia" w:ascii="宋体" w:hAnsi="宋体" w:eastAsia="宋体" w:cs="宋体"/>
          <w:color w:val="auto"/>
          <w:highlight w:val="none"/>
          <w:u w:val="single"/>
          <w:lang w:eastAsia="zh-CN"/>
        </w:rPr>
        <w:t>广州交易集团有限公司（广州公共资源交易中心）网站</w:t>
      </w:r>
      <w:r>
        <w:rPr>
          <w:rFonts w:hint="eastAsia" w:ascii="宋体" w:hAnsi="宋体" w:eastAsia="宋体" w:cs="宋体"/>
          <w:color w:val="auto"/>
          <w:highlight w:val="none"/>
          <w:u w:val="single"/>
        </w:rPr>
        <w:t>（http://www.gzggzy.cn）→进入“我是投标人”→进入“新建设工程交易平台”→进入“我的投标”→进入“招标答疑提问”→通过项目编号或名称找到所需的项目→在上述的答疑时间内点击“答疑提问”进入到提问区域→无记名或匿名提出问题。具体操作方法按照</w:t>
      </w:r>
      <w:r>
        <w:rPr>
          <w:rFonts w:hint="eastAsia" w:ascii="宋体" w:hAnsi="宋体" w:eastAsia="宋体" w:cs="宋体"/>
          <w:color w:val="auto"/>
          <w:highlight w:val="none"/>
          <w:u w:val="single"/>
          <w:lang w:eastAsia="zh-CN"/>
        </w:rPr>
        <w:t>广州交易集团有限公司（广州公共资源交易中心）网站</w:t>
      </w:r>
      <w:r>
        <w:rPr>
          <w:rFonts w:hint="eastAsia" w:ascii="宋体" w:hAnsi="宋体" w:eastAsia="宋体" w:cs="宋体"/>
          <w:color w:val="auto"/>
          <w:highlight w:val="none"/>
          <w:u w:val="single"/>
        </w:rPr>
        <w:t>发布的相关指南和操作指引进行操作。</w:t>
      </w:r>
    </w:p>
    <w:p>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2.2.2 </w:t>
      </w:r>
      <w:r>
        <w:rPr>
          <w:rFonts w:hint="eastAsia" w:ascii="宋体" w:hAnsi="宋体" w:eastAsia="宋体" w:cs="宋体"/>
          <w:color w:val="auto"/>
          <w:szCs w:val="21"/>
          <w:highlight w:val="none"/>
        </w:rPr>
        <w:t>招标人应在投标截止时间15日前解答投标人对招标文件提出的疑问，形成答疑纪要，并在交易中心网站“首页/交易业务/建设工程/项目查询（日程安排、答疑纪要）”公开发布。</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2.2.3 </w:t>
      </w:r>
      <w:r>
        <w:rPr>
          <w:rFonts w:hint="eastAsia" w:ascii="宋体" w:hAnsi="宋体" w:eastAsia="宋体" w:cs="宋体"/>
          <w:color w:val="auto"/>
          <w:szCs w:val="21"/>
          <w:highlight w:val="none"/>
        </w:rPr>
        <w:t>招标答疑纪要一经在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发布，视作已发放给所有投标人。</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2.2.4招标答疑纪要为招标文件的一部分。投标人可在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浏览、下载招标答疑纪要。</w:t>
      </w:r>
      <w:r>
        <w:rPr>
          <w:rFonts w:hint="eastAsia" w:ascii="宋体" w:hAnsi="宋体" w:cs="宋体"/>
          <w:color w:val="auto"/>
          <w:highlight w:val="none"/>
          <w:u w:val="single"/>
        </w:rPr>
        <w:t>投标人可直接从交易中心网站“项目查询（日程安排、答疑纪要）”专区进入，下载项目的招标答疑及澄清文件；也可以登录交易中心数字交易平台进入“我是投标人”→进入“新建设工程交易平台”→进入“我的投标项目”→进入“答疑纪要”</w:t>
      </w:r>
      <w:r>
        <w:rPr>
          <w:rFonts w:hint="eastAsia" w:ascii="宋体" w:hAnsi="宋体" w:cs="宋体"/>
          <w:color w:val="auto"/>
          <w:highlight w:val="none"/>
          <w:u w:val="single"/>
          <w:lang w:eastAsia="zh-CN"/>
        </w:rPr>
        <w:t>。</w:t>
      </w:r>
    </w:p>
    <w:p>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2.2.5若招标答疑纪要与招标文件有矛盾时，以</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最后发布的答疑纪要为准。</w:t>
      </w:r>
    </w:p>
    <w:p>
      <w:pPr>
        <w:pStyle w:val="5"/>
        <w:rPr>
          <w:rFonts w:hint="eastAsia" w:ascii="宋体" w:eastAsia="宋体" w:cs="宋体"/>
          <w:color w:val="auto"/>
          <w:highlight w:val="none"/>
        </w:rPr>
      </w:pPr>
      <w:bookmarkStart w:id="303" w:name="_Toc18567"/>
      <w:bookmarkStart w:id="304" w:name="_Toc152042321"/>
      <w:bookmarkStart w:id="305" w:name="_Toc247527570"/>
      <w:bookmarkStart w:id="306" w:name="_Toc13973"/>
      <w:bookmarkStart w:id="307" w:name="_Toc152045545"/>
      <w:bookmarkStart w:id="308" w:name="_Toc28453"/>
      <w:bookmarkStart w:id="309" w:name="_Toc21917"/>
      <w:bookmarkStart w:id="310" w:name="_Toc247513969"/>
      <w:bookmarkStart w:id="311" w:name="_Toc300834966"/>
      <w:bookmarkStart w:id="312" w:name="_Toc144974513"/>
      <w:bookmarkStart w:id="313" w:name="_Toc24839"/>
      <w:bookmarkStart w:id="314" w:name="_Toc29656"/>
      <w:bookmarkStart w:id="315" w:name="_Toc18275"/>
      <w:bookmarkStart w:id="316" w:name="_Toc3897"/>
      <w:bookmarkStart w:id="317" w:name="_Toc490141032"/>
      <w:r>
        <w:rPr>
          <w:rFonts w:hint="eastAsia" w:ascii="宋体" w:eastAsia="宋体" w:cs="宋体"/>
          <w:color w:val="auto"/>
          <w:highlight w:val="none"/>
        </w:rPr>
        <w:t>2.3 招标文件的修改</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2.3.1招标文件发出后,在提交投标文件截止时间15日前，招标人可对招标文件进行必要的澄清或修改。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2.3.2招标文件的澄清或修改在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发布。招标文件的澄清或修改一经在</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发布，视作已发放给所有投标人，招标文件的修改内容作为招标文件的组成部分，具有约束作用。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2.3.3招标文件的澄清、修改均以</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发布的内容为准。当招标文件的澄清、修改在同一内容的表述不一致时，以</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最后发布的内容为准。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rPr>
          <w:rFonts w:hint="eastAsia" w:ascii="宋体" w:hAnsi="宋体" w:eastAsia="宋体" w:cs="宋体"/>
          <w:color w:val="auto"/>
          <w:highlight w:val="none"/>
        </w:rPr>
      </w:pPr>
      <w:bookmarkStart w:id="318" w:name="_Toc29199"/>
      <w:bookmarkStart w:id="319" w:name="_Toc152042322"/>
      <w:bookmarkStart w:id="320" w:name="_Toc16234"/>
      <w:bookmarkStart w:id="321" w:name="_Toc13531"/>
      <w:bookmarkStart w:id="322" w:name="_Toc2051"/>
      <w:bookmarkStart w:id="323" w:name="_Toc3337"/>
      <w:bookmarkStart w:id="324" w:name="_Toc300834967"/>
      <w:bookmarkStart w:id="325" w:name="_Toc247513970"/>
      <w:bookmarkStart w:id="326" w:name="_Toc247527571"/>
      <w:bookmarkStart w:id="327" w:name="_Toc152045546"/>
      <w:bookmarkStart w:id="328" w:name="_Toc5391"/>
      <w:bookmarkStart w:id="329" w:name="_Toc490141033"/>
      <w:bookmarkStart w:id="330" w:name="_Toc8312"/>
      <w:bookmarkStart w:id="331" w:name="_Toc144974514"/>
      <w:bookmarkStart w:id="332" w:name="_Toc31255"/>
      <w:r>
        <w:rPr>
          <w:rFonts w:hint="eastAsia" w:ascii="宋体" w:hAnsi="宋体" w:eastAsia="宋体" w:cs="宋体"/>
          <w:color w:val="auto"/>
          <w:highlight w:val="none"/>
        </w:rPr>
        <w:t>3. 投标文件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pStyle w:val="5"/>
        <w:rPr>
          <w:rFonts w:hint="eastAsia" w:ascii="宋体" w:eastAsia="宋体" w:cs="宋体"/>
          <w:color w:val="auto"/>
          <w:highlight w:val="none"/>
        </w:rPr>
      </w:pPr>
      <w:bookmarkStart w:id="333" w:name="_Toc21128"/>
      <w:bookmarkStart w:id="334" w:name="_Toc247527572"/>
      <w:bookmarkStart w:id="335" w:name="_Toc144974515"/>
      <w:bookmarkStart w:id="336" w:name="_Toc3005"/>
      <w:bookmarkStart w:id="337" w:name="_Toc3199"/>
      <w:bookmarkStart w:id="338" w:name="_Toc152042323"/>
      <w:bookmarkStart w:id="339" w:name="_Toc26505"/>
      <w:bookmarkStart w:id="340" w:name="_Toc20713"/>
      <w:bookmarkStart w:id="341" w:name="_Toc10837"/>
      <w:bookmarkStart w:id="342" w:name="_Toc24076"/>
      <w:bookmarkStart w:id="343" w:name="_Toc247513971"/>
      <w:bookmarkStart w:id="344" w:name="_Toc490141034"/>
      <w:bookmarkStart w:id="345" w:name="_Toc18809"/>
      <w:bookmarkStart w:id="346" w:name="_Toc300834968"/>
      <w:bookmarkStart w:id="347" w:name="_Toc152045547"/>
      <w:r>
        <w:rPr>
          <w:rFonts w:hint="eastAsia" w:ascii="宋体" w:eastAsia="宋体" w:cs="宋体"/>
          <w:color w:val="auto"/>
          <w:highlight w:val="none"/>
        </w:rPr>
        <w:t>3.1 投标文件的组成</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400" w:lineRule="exact"/>
        <w:ind w:firstLine="422" w:firstLineChars="200"/>
        <w:rPr>
          <w:rFonts w:hint="eastAsia" w:ascii="宋体" w:hAnsi="宋体" w:eastAsia="宋体" w:cs="宋体"/>
          <w:b/>
          <w:color w:val="auto"/>
          <w:szCs w:val="21"/>
          <w:highlight w:val="none"/>
          <w:u w:val="single"/>
        </w:rPr>
      </w:pPr>
      <w:bookmarkStart w:id="348" w:name="_Toc247513972"/>
      <w:bookmarkStart w:id="349" w:name="_Toc247527573"/>
      <w:bookmarkStart w:id="350" w:name="_Toc300834969"/>
      <w:bookmarkStart w:id="351" w:name="_Toc144974516"/>
      <w:bookmarkStart w:id="352" w:name="_Toc152042324"/>
      <w:bookmarkStart w:id="353" w:name="_Toc152045548"/>
      <w:r>
        <w:rPr>
          <w:rFonts w:hint="eastAsia" w:ascii="宋体" w:hAnsi="宋体" w:eastAsia="宋体" w:cs="宋体"/>
          <w:b/>
          <w:color w:val="auto"/>
          <w:szCs w:val="21"/>
          <w:highlight w:val="none"/>
          <w:u w:val="single"/>
        </w:rPr>
        <w:t>3.1.1投标文件</w:t>
      </w:r>
    </w:p>
    <w:p>
      <w:pPr>
        <w:spacing w:line="40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u w:val="single"/>
        </w:rPr>
        <w:t>3.1.2投标文件主要包括下列内容（包括资格审查文件，工程总承包实施方案，经济标文件）</w:t>
      </w:r>
      <w:r>
        <w:rPr>
          <w:rFonts w:hint="eastAsia" w:ascii="宋体" w:hAnsi="宋体" w:eastAsia="宋体" w:cs="宋体"/>
          <w:b/>
          <w:color w:val="auto"/>
          <w:szCs w:val="21"/>
          <w:highlight w:val="none"/>
          <w:u w:val="single"/>
          <w:lang w:eastAsia="zh-CN"/>
        </w:rPr>
        <w:t>，如招标文件没有格式规定的，由投标人自行编制</w:t>
      </w:r>
      <w:r>
        <w:rPr>
          <w:rFonts w:hint="eastAsia" w:ascii="宋体" w:hAnsi="宋体" w:eastAsia="宋体" w:cs="宋体"/>
          <w:b/>
          <w:color w:val="auto"/>
          <w:szCs w:val="21"/>
          <w:highlight w:val="none"/>
          <w:u w:val="single"/>
        </w:rPr>
        <w:t>：</w:t>
      </w:r>
    </w:p>
    <w:p>
      <w:pPr>
        <w:spacing w:line="400" w:lineRule="exact"/>
        <w:ind w:firstLine="422" w:firstLineChars="200"/>
        <w:rPr>
          <w:rFonts w:hint="eastAsia" w:ascii="宋体" w:hAnsi="宋体" w:eastAsia="宋体" w:cs="宋体"/>
          <w:b/>
          <w:color w:val="auto"/>
          <w:szCs w:val="21"/>
          <w:highlight w:val="none"/>
          <w:u w:val="single"/>
        </w:rPr>
      </w:pPr>
    </w:p>
    <w:p>
      <w:pPr>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（1）资格审查文件</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封面（格式见第七章）</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目录</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法定代表人证明书，如投标文件为委托代理人签署应同时附上法定代表人证明书和法定代表人授权书。（联合体投标的，由联合体主办方提供）（详见第七章投标文件格式）；</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投标人代表的法定代表人授权委托书（联合体投标的，由联合体主办方出具）（详见第七章投标文件格式）</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按招标公告附件一盖章签署的《投标人声明》（联合体投标的，由联合体主办方出具）</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投标人证明满足招标公告第3条单列的投标人资格要求的相关证明资料</w:t>
      </w:r>
      <w:r>
        <w:rPr>
          <w:rFonts w:hint="eastAsia" w:ascii="宋体" w:hAnsi="宋体" w:eastAsia="宋体" w:cs="宋体"/>
          <w:bCs/>
          <w:color w:val="auto"/>
          <w:szCs w:val="21"/>
          <w:highlight w:val="none"/>
          <w:u w:val="single"/>
          <w:lang w:eastAsia="zh-CN"/>
        </w:rPr>
        <w:t>；</w:t>
      </w:r>
    </w:p>
    <w:p>
      <w:pPr>
        <w:numPr>
          <w:ilvl w:val="0"/>
          <w:numId w:val="1"/>
        </w:numPr>
        <w:spacing w:line="400" w:lineRule="exact"/>
        <w:ind w:left="0"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招标公告附件二盖章签署的《联合体共同投标协议书》（如有）；</w:t>
      </w:r>
    </w:p>
    <w:p>
      <w:pPr>
        <w:numPr>
          <w:ilvl w:val="0"/>
          <w:numId w:val="1"/>
        </w:numPr>
        <w:spacing w:line="400" w:lineRule="exact"/>
        <w:ind w:left="0" w:firstLine="420" w:firstLineChars="200"/>
        <w:rPr>
          <w:rFonts w:hint="eastAsia" w:ascii="宋体" w:hAnsi="宋体" w:eastAsia="宋体" w:cs="宋体"/>
          <w:bCs/>
          <w:color w:val="auto"/>
          <w:kern w:val="0"/>
          <w:szCs w:val="21"/>
          <w:highlight w:val="none"/>
          <w:u w:val="single"/>
        </w:rPr>
      </w:pPr>
      <w:r>
        <w:rPr>
          <w:rFonts w:hint="eastAsia" w:ascii="宋体" w:hAnsi="宋体"/>
          <w:color w:val="auto"/>
          <w:highlight w:val="none"/>
          <w:u w:val="single"/>
        </w:rPr>
        <w:t>投标人认为应该提供的其他资料</w:t>
      </w:r>
      <w:r>
        <w:rPr>
          <w:rFonts w:hint="eastAsia" w:ascii="宋体" w:hAnsi="宋体" w:eastAsia="宋体" w:cs="宋体"/>
          <w:bCs/>
          <w:color w:val="auto"/>
          <w:kern w:val="0"/>
          <w:szCs w:val="21"/>
          <w:highlight w:val="none"/>
          <w:u w:val="single"/>
        </w:rPr>
        <w:t>。</w:t>
      </w:r>
    </w:p>
    <w:p>
      <w:pPr>
        <w:spacing w:line="400" w:lineRule="exact"/>
        <w:rPr>
          <w:rFonts w:hint="eastAsia" w:ascii="宋体" w:hAnsi="宋体" w:eastAsia="宋体" w:cs="宋体"/>
          <w:b/>
          <w:bCs/>
          <w:color w:val="auto"/>
          <w:szCs w:val="21"/>
          <w:highlight w:val="none"/>
          <w:u w:val="single"/>
        </w:rPr>
      </w:pPr>
    </w:p>
    <w:p>
      <w:pPr>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（2）工程总承包实施方案</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1）封面</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2）目录</w:t>
      </w:r>
      <w:r>
        <w:rPr>
          <w:rFonts w:hint="eastAsia" w:ascii="宋体" w:hAnsi="宋体" w:eastAsia="宋体" w:cs="宋体"/>
          <w:color w:val="auto"/>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3）</w:t>
      </w:r>
      <w:r>
        <w:rPr>
          <w:rFonts w:hint="eastAsia" w:ascii="宋体" w:hAnsi="宋体" w:eastAsia="宋体" w:cs="宋体"/>
          <w:color w:val="auto"/>
          <w:highlight w:val="none"/>
          <w:u w:val="single"/>
          <w:lang w:val="zh-CN"/>
        </w:rPr>
        <w:t>投标书</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bCs/>
          <w:color w:val="auto"/>
          <w:kern w:val="0"/>
          <w:szCs w:val="21"/>
          <w:highlight w:val="none"/>
          <w:u w:val="single"/>
          <w:lang w:eastAsia="zh-CN"/>
        </w:rPr>
      </w:pPr>
      <w:r>
        <w:rPr>
          <w:rFonts w:hint="eastAsia" w:ascii="宋体" w:hAnsi="宋体" w:eastAsia="宋体" w:cs="宋体"/>
          <w:color w:val="auto"/>
          <w:highlight w:val="none"/>
          <w:u w:val="single"/>
        </w:rPr>
        <w:t>4）</w:t>
      </w:r>
      <w:r>
        <w:rPr>
          <w:rFonts w:hint="eastAsia" w:ascii="宋体" w:hAnsi="宋体" w:eastAsia="宋体" w:cs="宋体"/>
          <w:color w:val="auto"/>
          <w:highlight w:val="none"/>
          <w:u w:val="single"/>
          <w:lang w:val="zh-CN"/>
        </w:rPr>
        <w:t>投标承诺书</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strike w:val="0"/>
          <w:color w:val="auto"/>
          <w:highlight w:val="none"/>
          <w:u w:val="single"/>
          <w:lang w:val="zh-CN"/>
        </w:rPr>
      </w:pPr>
      <w:r>
        <w:rPr>
          <w:rFonts w:hint="eastAsia" w:ascii="宋体" w:hAnsi="宋体" w:eastAsia="宋体" w:cs="宋体"/>
          <w:strike w:val="0"/>
          <w:color w:val="auto"/>
          <w:highlight w:val="none"/>
          <w:u w:val="single"/>
        </w:rPr>
        <w:t>5）</w:t>
      </w:r>
      <w:r>
        <w:rPr>
          <w:rFonts w:hint="eastAsia" w:ascii="宋体" w:hAnsi="宋体" w:eastAsia="宋体" w:cs="宋体"/>
          <w:strike w:val="0"/>
          <w:color w:val="auto"/>
          <w:highlight w:val="none"/>
          <w:u w:val="single"/>
          <w:lang w:val="zh-CN"/>
        </w:rPr>
        <w:t>投标保证金凭证；</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6）资信业绩部分</w:t>
      </w:r>
      <w:r>
        <w:rPr>
          <w:rFonts w:hint="eastAsia" w:ascii="宋体" w:hAnsi="宋体" w:eastAsia="宋体" w:cs="宋体"/>
          <w:color w:val="auto"/>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7）项目实施方案</w:t>
      </w:r>
      <w:r>
        <w:rPr>
          <w:rFonts w:hint="eastAsia" w:ascii="宋体" w:hAnsi="宋体" w:eastAsia="宋体" w:cs="宋体"/>
          <w:color w:val="auto"/>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8）</w:t>
      </w:r>
      <w:r>
        <w:rPr>
          <w:rFonts w:hint="eastAsia" w:ascii="宋体" w:hAnsi="宋体" w:eastAsia="宋体" w:cs="宋体"/>
          <w:color w:val="auto"/>
          <w:highlight w:val="none"/>
          <w:u w:val="single"/>
          <w:lang w:val="zh-CN"/>
        </w:rPr>
        <w:t>参与编制</w:t>
      </w:r>
      <w:r>
        <w:rPr>
          <w:rFonts w:hint="eastAsia" w:ascii="宋体" w:hAnsi="宋体" w:eastAsia="宋体" w:cs="宋体"/>
          <w:color w:val="auto"/>
          <w:highlight w:val="none"/>
          <w:u w:val="single"/>
        </w:rPr>
        <w:t>工程总承包实施方案</w:t>
      </w:r>
      <w:r>
        <w:rPr>
          <w:rFonts w:hint="eastAsia" w:ascii="宋体" w:hAnsi="宋体" w:eastAsia="宋体" w:cs="宋体"/>
          <w:color w:val="auto"/>
          <w:highlight w:val="none"/>
          <w:u w:val="single"/>
          <w:lang w:val="zh-CN"/>
        </w:rPr>
        <w:t>投标文件人员名单</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9）投标人认为应该提供的其他资料</w:t>
      </w:r>
      <w:r>
        <w:rPr>
          <w:rFonts w:hint="eastAsia" w:ascii="宋体" w:hAnsi="宋体" w:eastAsia="宋体" w:cs="宋体"/>
          <w:color w:val="auto"/>
          <w:highlight w:val="none"/>
          <w:u w:val="single"/>
          <w:lang w:eastAsia="zh-CN"/>
        </w:rPr>
        <w:t>。</w:t>
      </w:r>
    </w:p>
    <w:p>
      <w:pPr>
        <w:spacing w:line="400" w:lineRule="exact"/>
        <w:rPr>
          <w:rFonts w:hint="eastAsia" w:ascii="宋体" w:hAnsi="宋体" w:eastAsia="宋体" w:cs="宋体"/>
          <w:b/>
          <w:bCs/>
          <w:color w:val="auto"/>
          <w:szCs w:val="21"/>
          <w:highlight w:val="none"/>
          <w:u w:val="single"/>
        </w:rPr>
      </w:pPr>
    </w:p>
    <w:p>
      <w:pPr>
        <w:spacing w:line="400" w:lineRule="exact"/>
        <w:ind w:firstLine="422" w:firstLineChars="200"/>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rPr>
        <w:t>（3）经济标</w:t>
      </w:r>
      <w:r>
        <w:rPr>
          <w:rFonts w:hint="eastAsia" w:ascii="宋体" w:hAnsi="宋体" w:eastAsia="宋体" w:cs="宋体"/>
          <w:b/>
          <w:color w:val="auto"/>
          <w:szCs w:val="21"/>
          <w:highlight w:val="none"/>
          <w:u w:val="single"/>
          <w:lang w:val="en-US" w:eastAsia="zh-CN"/>
        </w:rPr>
        <w:t>文件</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1）封面</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2）目录</w:t>
      </w:r>
      <w:r>
        <w:rPr>
          <w:rFonts w:hint="eastAsia" w:ascii="宋体" w:hAnsi="宋体" w:eastAsia="宋体" w:cs="宋体"/>
          <w:color w:val="auto"/>
          <w:highlight w:val="none"/>
          <w:u w:val="single"/>
          <w:lang w:eastAsia="zh-CN"/>
        </w:rPr>
        <w:t>；</w:t>
      </w:r>
    </w:p>
    <w:p>
      <w:pPr>
        <w:spacing w:line="400" w:lineRule="exact"/>
        <w:ind w:firstLine="420" w:firstLineChars="200"/>
        <w:jc w:val="left"/>
        <w:rPr>
          <w:rFonts w:hint="eastAsia" w:ascii="宋体" w:hAnsi="宋体" w:eastAsia="宋体" w:cs="宋体"/>
          <w:bCs/>
          <w:color w:val="auto"/>
          <w:kern w:val="0"/>
          <w:szCs w:val="21"/>
          <w:highlight w:val="none"/>
          <w:u w:val="single"/>
          <w:lang w:eastAsia="zh-CN"/>
        </w:rPr>
      </w:pPr>
      <w:r>
        <w:rPr>
          <w:rFonts w:hint="eastAsia" w:ascii="宋体" w:hAnsi="宋体" w:eastAsia="宋体" w:cs="宋体"/>
          <w:color w:val="auto"/>
          <w:highlight w:val="none"/>
          <w:u w:val="single"/>
        </w:rPr>
        <w:t>3）</w:t>
      </w:r>
      <w:r>
        <w:rPr>
          <w:rFonts w:hint="eastAsia" w:ascii="宋体" w:hAnsi="宋体" w:eastAsia="宋体" w:cs="宋体"/>
          <w:color w:val="auto"/>
          <w:highlight w:val="none"/>
          <w:u w:val="single"/>
          <w:lang w:val="zh-CN"/>
        </w:rPr>
        <w:t>投标书</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jc w:val="left"/>
        <w:rPr>
          <w:rFonts w:hint="eastAsia" w:ascii="宋体" w:hAnsi="宋体" w:eastAsia="宋体" w:cs="宋体"/>
          <w:color w:val="auto"/>
          <w:highlight w:val="none"/>
          <w:u w:val="single"/>
          <w:lang w:val="zh-CN" w:eastAsia="zh-CN"/>
        </w:rPr>
      </w:pPr>
      <w:r>
        <w:rPr>
          <w:rFonts w:hint="eastAsia" w:ascii="宋体" w:hAnsi="宋体" w:eastAsia="宋体" w:cs="宋体"/>
          <w:color w:val="auto"/>
          <w:highlight w:val="none"/>
          <w:u w:val="single"/>
        </w:rPr>
        <w:t>4）设计</w:t>
      </w:r>
      <w:r>
        <w:rPr>
          <w:rFonts w:hint="eastAsia" w:ascii="宋体" w:hAnsi="宋体" w:eastAsia="宋体" w:cs="宋体"/>
          <w:color w:val="auto"/>
          <w:highlight w:val="none"/>
          <w:u w:val="single"/>
          <w:lang w:val="zh-CN"/>
        </w:rPr>
        <w:t>投标书</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jc w:val="left"/>
        <w:rPr>
          <w:rFonts w:hint="eastAsia" w:ascii="宋体" w:hAnsi="宋体" w:eastAsia="宋体" w:cs="宋体"/>
          <w:color w:val="auto"/>
          <w:highlight w:val="none"/>
          <w:u w:val="single"/>
          <w:lang w:val="zh-CN" w:eastAsia="zh-CN"/>
        </w:rPr>
      </w:pPr>
      <w:r>
        <w:rPr>
          <w:rFonts w:hint="eastAsia" w:ascii="宋体" w:hAnsi="宋体" w:eastAsia="宋体" w:cs="宋体"/>
          <w:color w:val="auto"/>
          <w:highlight w:val="none"/>
          <w:u w:val="single"/>
        </w:rPr>
        <w:t>5）</w:t>
      </w:r>
      <w:r>
        <w:rPr>
          <w:rFonts w:hint="eastAsia" w:ascii="宋体" w:hAnsi="宋体" w:eastAsia="宋体" w:cs="宋体"/>
          <w:color w:val="auto"/>
          <w:highlight w:val="none"/>
          <w:u w:val="single"/>
          <w:lang w:val="zh-CN"/>
        </w:rPr>
        <w:t>参与编制经济标投标文件人员名单</w:t>
      </w:r>
      <w:r>
        <w:rPr>
          <w:rFonts w:hint="eastAsia" w:ascii="宋体" w:hAnsi="宋体" w:eastAsia="宋体" w:cs="宋体"/>
          <w:bCs/>
          <w:color w:val="auto"/>
          <w:kern w:val="0"/>
          <w:szCs w:val="21"/>
          <w:highlight w:val="none"/>
          <w:u w:val="single"/>
        </w:rPr>
        <w:t>（格式见第七章）</w:t>
      </w:r>
      <w:r>
        <w:rPr>
          <w:rFonts w:hint="eastAsia" w:ascii="宋体" w:hAnsi="宋体" w:eastAsia="宋体" w:cs="宋体"/>
          <w:bCs/>
          <w:color w:val="auto"/>
          <w:kern w:val="0"/>
          <w:szCs w:val="21"/>
          <w:highlight w:val="none"/>
          <w:u w:val="single"/>
          <w:lang w:eastAsia="zh-CN"/>
        </w:rPr>
        <w:t>；</w:t>
      </w:r>
    </w:p>
    <w:p>
      <w:pPr>
        <w:spacing w:line="400" w:lineRule="exact"/>
        <w:ind w:firstLine="420" w:firstLineChars="20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rPr>
        <w:t>6）投标人认为应该提供的其他资料</w:t>
      </w:r>
      <w:r>
        <w:rPr>
          <w:rFonts w:hint="eastAsia" w:ascii="宋体" w:hAnsi="宋体" w:eastAsia="宋体" w:cs="宋体"/>
          <w:color w:val="auto"/>
          <w:highlight w:val="none"/>
          <w:u w:val="single"/>
          <w:lang w:eastAsia="zh-CN"/>
        </w:rPr>
        <w:t>。</w:t>
      </w:r>
    </w:p>
    <w:p>
      <w:pPr>
        <w:spacing w:line="400" w:lineRule="exact"/>
        <w:ind w:firstLine="420" w:firstLineChars="200"/>
        <w:rPr>
          <w:rFonts w:hint="eastAsia" w:ascii="宋体" w:hAnsi="宋体" w:eastAsia="宋体" w:cs="宋体"/>
          <w:bCs/>
          <w:color w:val="auto"/>
          <w:kern w:val="0"/>
          <w:szCs w:val="21"/>
          <w:highlight w:val="none"/>
        </w:rPr>
      </w:pPr>
    </w:p>
    <w:p>
      <w:pPr>
        <w:pStyle w:val="5"/>
        <w:rPr>
          <w:rFonts w:hint="eastAsia" w:ascii="宋体" w:eastAsia="宋体" w:cs="宋体"/>
          <w:color w:val="auto"/>
          <w:highlight w:val="none"/>
        </w:rPr>
      </w:pPr>
      <w:bookmarkStart w:id="354" w:name="_Toc25844"/>
      <w:bookmarkStart w:id="355" w:name="_Toc30945"/>
      <w:bookmarkStart w:id="356" w:name="_Toc16226"/>
      <w:bookmarkStart w:id="357" w:name="_Toc27324"/>
      <w:bookmarkStart w:id="358" w:name="_Toc18309"/>
      <w:bookmarkStart w:id="359" w:name="_Toc490141035"/>
      <w:bookmarkStart w:id="360" w:name="_Toc8747"/>
      <w:bookmarkStart w:id="361" w:name="_Toc7389"/>
      <w:bookmarkStart w:id="362" w:name="_Toc32538"/>
      <w:r>
        <w:rPr>
          <w:rFonts w:hint="eastAsia" w:ascii="宋体" w:eastAsia="宋体" w:cs="宋体"/>
          <w:color w:val="auto"/>
          <w:highlight w:val="none"/>
        </w:rPr>
        <w:t>3.2 投标报价</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 本工程的投标报价采用投标须知前附表第3.2.4项所规定的方式。</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3.2.2 </w:t>
      </w:r>
      <w:r>
        <w:rPr>
          <w:rFonts w:hint="eastAsia" w:ascii="宋体" w:hAnsi="宋体" w:eastAsia="宋体" w:cs="宋体"/>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3.2.3 招标人设有最高投标限价的，投标人的投标报价不得超过最高投标限价。</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3.2.4 投标报价的其他要求见投标人须知前附表。</w:t>
      </w:r>
    </w:p>
    <w:p>
      <w:pPr>
        <w:pStyle w:val="5"/>
        <w:rPr>
          <w:rFonts w:hint="eastAsia" w:ascii="宋体" w:eastAsia="宋体" w:cs="宋体"/>
          <w:color w:val="auto"/>
          <w:highlight w:val="none"/>
        </w:rPr>
      </w:pPr>
      <w:bookmarkStart w:id="363" w:name="_Toc15196"/>
      <w:bookmarkStart w:id="364" w:name="_Toc152042325"/>
      <w:bookmarkStart w:id="365" w:name="_Toc144974517"/>
      <w:bookmarkStart w:id="366" w:name="_Toc25301"/>
      <w:bookmarkStart w:id="367" w:name="_Toc152045549"/>
      <w:bookmarkStart w:id="368" w:name="_Toc8426"/>
      <w:bookmarkStart w:id="369" w:name="_Toc490141036"/>
      <w:bookmarkStart w:id="370" w:name="_Toc5732"/>
      <w:bookmarkStart w:id="371" w:name="_Toc25744"/>
      <w:bookmarkStart w:id="372" w:name="_Toc300834970"/>
      <w:bookmarkStart w:id="373" w:name="_Toc1581"/>
      <w:bookmarkStart w:id="374" w:name="_Toc247513973"/>
      <w:bookmarkStart w:id="375" w:name="_Toc22353"/>
      <w:bookmarkStart w:id="376" w:name="_Toc247527574"/>
      <w:bookmarkStart w:id="377" w:name="_Toc32500"/>
      <w:r>
        <w:rPr>
          <w:rFonts w:hint="eastAsia" w:ascii="宋体" w:eastAsia="宋体" w:cs="宋体"/>
          <w:color w:val="auto"/>
          <w:highlight w:val="none"/>
        </w:rPr>
        <w:t>3.3 投标有效期</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投标有效期按须知前附表的规定。</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在投标有效期内，投标人撤销或修改其投标文件的，应承担招标文件和法律规定的责任。</w:t>
      </w:r>
    </w:p>
    <w:p>
      <w:pPr>
        <w:spacing w:line="400" w:lineRule="exact"/>
        <w:ind w:firstLine="420" w:firstLineChars="200"/>
        <w:rPr>
          <w:rFonts w:hint="eastAsia" w:ascii="宋体" w:hAnsi="宋体" w:eastAsia="宋体" w:cs="宋体"/>
          <w:strike w:val="0"/>
          <w:dstrike w:val="0"/>
          <w:color w:val="auto"/>
          <w:highlight w:val="none"/>
        </w:rPr>
      </w:pPr>
      <w:r>
        <w:rPr>
          <w:rFonts w:hint="eastAsia" w:ascii="宋体" w:hAnsi="宋体" w:eastAsia="宋体" w:cs="宋体"/>
          <w:color w:val="auto"/>
          <w:highlight w:val="none"/>
        </w:rPr>
        <w:t>3.3.3 出现特殊情况需要延长投标有效期的，招标人以书面形式通知所有投标人延长投标有效期。投标人同</w:t>
      </w:r>
      <w:r>
        <w:rPr>
          <w:rFonts w:hint="eastAsia" w:ascii="宋体" w:hAnsi="宋体" w:eastAsia="宋体" w:cs="宋体"/>
          <w:strike w:val="0"/>
          <w:dstrike w:val="0"/>
          <w:color w:val="auto"/>
          <w:highlight w:val="none"/>
        </w:rPr>
        <w:t>意延长的，应相应延长其投标保证金的有效期，但不得要求或被允许修改或撤销其投标文件；投标人拒绝延长的，其投标失效，但投标人有权收回其投标保证金。</w:t>
      </w:r>
    </w:p>
    <w:p>
      <w:pPr>
        <w:pStyle w:val="5"/>
        <w:rPr>
          <w:rFonts w:hint="eastAsia" w:ascii="宋体" w:eastAsia="宋体" w:cs="宋体"/>
          <w:strike w:val="0"/>
          <w:color w:val="auto"/>
          <w:highlight w:val="none"/>
        </w:rPr>
      </w:pPr>
      <w:bookmarkStart w:id="378" w:name="_Toc28467"/>
      <w:bookmarkStart w:id="379" w:name="_Toc21863"/>
      <w:bookmarkStart w:id="380" w:name="_Toc247527575"/>
      <w:bookmarkStart w:id="381" w:name="_Toc204"/>
      <w:bookmarkStart w:id="382" w:name="_Toc300834971"/>
      <w:bookmarkStart w:id="383" w:name="_Toc24047"/>
      <w:bookmarkStart w:id="384" w:name="_Toc490141037"/>
      <w:bookmarkStart w:id="385" w:name="_Toc31972"/>
      <w:bookmarkStart w:id="386" w:name="_Toc152042326"/>
      <w:bookmarkStart w:id="387" w:name="_Toc20406"/>
      <w:bookmarkStart w:id="388" w:name="_Toc3081"/>
      <w:bookmarkStart w:id="389" w:name="_Toc144974518"/>
      <w:bookmarkStart w:id="390" w:name="_Toc25607"/>
      <w:bookmarkStart w:id="391" w:name="_Toc247513974"/>
      <w:bookmarkStart w:id="392" w:name="_Toc152045550"/>
      <w:r>
        <w:rPr>
          <w:rFonts w:hint="eastAsia" w:ascii="宋体" w:eastAsia="宋体" w:cs="宋体"/>
          <w:strike w:val="0"/>
          <w:color w:val="auto"/>
          <w:highlight w:val="none"/>
        </w:rPr>
        <w:t>3.4 投标保证金</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3.4.1 投标人须在开标前按投标人须知前附表规定的金额、担保形式递交投标保证金。联合体投标的，其投标保证金由主办方递交，并应符合投标人须知前附表的规定。</w:t>
      </w:r>
    </w:p>
    <w:p>
      <w:pPr>
        <w:spacing w:line="400" w:lineRule="exact"/>
        <w:ind w:firstLine="420" w:firstLineChars="20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3.4.2中标候选人以外的投标人的投标保证金在中标通知书发出之日起五日内退还。中标人和其他中标候选人的投标保证金在书面合同订立之日起五日内退还。</w:t>
      </w:r>
    </w:p>
    <w:p>
      <w:pPr>
        <w:spacing w:line="400" w:lineRule="exact"/>
        <w:ind w:firstLine="420" w:firstLineChars="20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3.4.3 有下列情形之一的，投标保证金将不予退还：</w:t>
      </w:r>
    </w:p>
    <w:p>
      <w:pPr>
        <w:spacing w:line="400" w:lineRule="exact"/>
        <w:ind w:firstLine="315" w:firstLineChars="15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（1）投标人在投标有效期内撤回投标标书；</w:t>
      </w:r>
    </w:p>
    <w:p>
      <w:pPr>
        <w:spacing w:line="400" w:lineRule="exact"/>
        <w:ind w:firstLine="315" w:firstLineChars="15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（2）中标人未在规定期限内按要求递交履约担保；</w:t>
      </w:r>
    </w:p>
    <w:p>
      <w:pPr>
        <w:spacing w:line="400" w:lineRule="exact"/>
        <w:ind w:firstLine="315" w:firstLineChars="15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（3）中标人未在规定期限内签署合同协议。</w:t>
      </w:r>
    </w:p>
    <w:p>
      <w:pPr>
        <w:spacing w:line="400" w:lineRule="exact"/>
        <w:ind w:firstLine="315" w:firstLineChars="150"/>
        <w:rPr>
          <w:rFonts w:hint="eastAsia" w:ascii="宋体" w:hAnsi="宋体" w:eastAsia="宋体" w:cs="宋体"/>
          <w:strike w:val="0"/>
          <w:color w:val="auto"/>
          <w:highlight w:val="none"/>
        </w:rPr>
      </w:pPr>
      <w:r>
        <w:rPr>
          <w:rFonts w:hint="eastAsia" w:ascii="宋体" w:hAnsi="宋体" w:eastAsia="宋体" w:cs="宋体"/>
          <w:strike w:val="0"/>
          <w:color w:val="auto"/>
          <w:highlight w:val="none"/>
        </w:rPr>
        <w:t>（4）投标人在本项目投标过程中有违法违规行为的。</w:t>
      </w:r>
    </w:p>
    <w:p>
      <w:pPr>
        <w:pStyle w:val="5"/>
        <w:rPr>
          <w:rFonts w:hint="eastAsia" w:ascii="宋体" w:eastAsia="宋体" w:cs="宋体"/>
          <w:color w:val="auto"/>
          <w:highlight w:val="none"/>
        </w:rPr>
      </w:pPr>
      <w:bookmarkStart w:id="393" w:name="_Toc28635"/>
      <w:bookmarkStart w:id="394" w:name="_Toc247527577"/>
      <w:bookmarkStart w:id="395" w:name="_Toc300834973"/>
      <w:bookmarkStart w:id="396" w:name="_Toc152042328"/>
      <w:bookmarkStart w:id="397" w:name="_Toc5908"/>
      <w:bookmarkStart w:id="398" w:name="_Toc8480"/>
      <w:bookmarkStart w:id="399" w:name="_Toc26931"/>
      <w:bookmarkStart w:id="400" w:name="_Toc24242"/>
      <w:bookmarkStart w:id="401" w:name="_Toc152045552"/>
      <w:bookmarkStart w:id="402" w:name="_Toc29993"/>
      <w:bookmarkStart w:id="403" w:name="_Toc30516"/>
      <w:bookmarkStart w:id="404" w:name="_Toc955"/>
      <w:bookmarkStart w:id="405" w:name="_Toc490141038"/>
      <w:bookmarkStart w:id="406" w:name="_Toc144974520"/>
      <w:bookmarkStart w:id="407" w:name="_Toc247513976"/>
      <w:r>
        <w:rPr>
          <w:rFonts w:hint="eastAsia" w:ascii="宋体" w:eastAsia="宋体" w:cs="宋体"/>
          <w:color w:val="auto"/>
          <w:highlight w:val="none"/>
        </w:rPr>
        <w:t>3.5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本项目采用电子化资格后审，由评标委员会负责对投标人的资格进行审查，</w:t>
      </w:r>
      <w:r>
        <w:rPr>
          <w:rFonts w:hint="eastAsia" w:ascii="宋体" w:hAnsi="宋体" w:eastAsia="宋体" w:cs="宋体"/>
          <w:color w:val="auto"/>
          <w:szCs w:val="21"/>
          <w:highlight w:val="none"/>
        </w:rPr>
        <w:t>评标时只对通过资格审查的投标人进行下一阶段的评审。</w:t>
      </w:r>
    </w:p>
    <w:p>
      <w:pPr>
        <w:pStyle w:val="38"/>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资审合格后，投标人的资格发生变化而不满足投标人合格条件，在发出中标通知书前，资格问题仍未解决的，招标人将取消其中标资格。</w:t>
      </w:r>
    </w:p>
    <w:p>
      <w:pPr>
        <w:pStyle w:val="5"/>
        <w:rPr>
          <w:rFonts w:hint="eastAsia" w:ascii="宋体" w:eastAsia="宋体" w:cs="宋体"/>
          <w:color w:val="auto"/>
          <w:highlight w:val="none"/>
        </w:rPr>
      </w:pPr>
      <w:bookmarkStart w:id="408" w:name="_Toc19668"/>
      <w:bookmarkStart w:id="409" w:name="_Toc30086"/>
      <w:bookmarkStart w:id="410" w:name="_Toc23417"/>
      <w:bookmarkStart w:id="411" w:name="_Toc300834974"/>
      <w:bookmarkStart w:id="412" w:name="_Toc144974521"/>
      <w:bookmarkStart w:id="413" w:name="_Toc17749"/>
      <w:bookmarkStart w:id="414" w:name="_Toc25266"/>
      <w:bookmarkStart w:id="415" w:name="_Toc152042329"/>
      <w:bookmarkStart w:id="416" w:name="_Toc32042"/>
      <w:bookmarkStart w:id="417" w:name="_Toc25534"/>
      <w:bookmarkStart w:id="418" w:name="_Toc152045553"/>
      <w:bookmarkStart w:id="419" w:name="_Toc490141039"/>
      <w:bookmarkStart w:id="420" w:name="_Toc12542"/>
      <w:bookmarkStart w:id="421" w:name="_Toc247513977"/>
      <w:bookmarkStart w:id="422" w:name="_Toc247527578"/>
      <w:r>
        <w:rPr>
          <w:rFonts w:hint="eastAsia" w:ascii="宋体" w:eastAsia="宋体" w:cs="宋体"/>
          <w:color w:val="auto"/>
          <w:highlight w:val="none"/>
        </w:rPr>
        <w:t>3.6 备选投标方案</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w:t>
      </w:r>
    </w:p>
    <w:p>
      <w:pPr>
        <w:pStyle w:val="5"/>
        <w:rPr>
          <w:rFonts w:hint="eastAsia" w:ascii="宋体" w:eastAsia="宋体" w:cs="宋体"/>
          <w:color w:val="auto"/>
          <w:highlight w:val="none"/>
        </w:rPr>
      </w:pPr>
      <w:bookmarkStart w:id="423" w:name="_Toc152045554"/>
      <w:bookmarkStart w:id="424" w:name="_Toc32158"/>
      <w:bookmarkStart w:id="425" w:name="_Toc4267"/>
      <w:bookmarkStart w:id="426" w:name="_Toc8230"/>
      <w:bookmarkStart w:id="427" w:name="_Toc152042330"/>
      <w:bookmarkStart w:id="428" w:name="_Toc247513978"/>
      <w:bookmarkStart w:id="429" w:name="_Toc144974522"/>
      <w:bookmarkStart w:id="430" w:name="_Toc490141040"/>
      <w:bookmarkStart w:id="431" w:name="_Toc247527579"/>
      <w:bookmarkStart w:id="432" w:name="_Toc12571"/>
      <w:bookmarkStart w:id="433" w:name="_Toc12555"/>
      <w:bookmarkStart w:id="434" w:name="_Toc300834975"/>
      <w:bookmarkStart w:id="435" w:name="_Toc2595"/>
      <w:bookmarkStart w:id="436" w:name="_Toc6939"/>
      <w:bookmarkStart w:id="437" w:name="_Toc26110"/>
      <w:r>
        <w:rPr>
          <w:rFonts w:hint="eastAsia" w:ascii="宋体" w:eastAsia="宋体" w:cs="宋体"/>
          <w:color w:val="auto"/>
          <w:highlight w:val="none"/>
        </w:rPr>
        <w:t>3.7 投标文件的编制</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3.7.1 投标文件应按“投标文件格式”进行编写，如有必要，可以增加附页，作为投标文件的组成部分。其中，设投标承诺书在满足招标文件实质性要求的基础上，可以提出比招标文件要求更有利于招标人的承诺。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3.7.2 投标文件应当对招标文件有关</w:t>
      </w:r>
      <w:r>
        <w:rPr>
          <w:rFonts w:hint="eastAsia" w:ascii="宋体" w:hAnsi="宋体" w:eastAsia="宋体" w:cs="宋体"/>
          <w:color w:val="auto"/>
          <w:szCs w:val="21"/>
          <w:highlight w:val="none"/>
        </w:rPr>
        <w:t>招标范围、投标有效期、工期、质量标准、发包人要求等实质性内容作出响应。</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3.7.3 投标文件编制要求：按须知前附表的规定。</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3.7.4 投标文件份数：按须知前附表的规定。</w:t>
      </w:r>
    </w:p>
    <w:p>
      <w:pPr>
        <w:spacing w:line="40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3.7.5</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u w:val="single"/>
        </w:rPr>
        <w:t>联合体投标的，除《联合体共同投标协议》必须由联合体各方分别按要求进行签字、盖章[法定代表人证明书及授权委托证明书可由联合体主办方出具（其中“单位”一栏可只填写联合体主办方名称）]外，其他资料若需要签字或盖章的均可由联合体主办方签字或盖章；其他内容及落款中的“投标人”、“投标单位”、“声明企业”应填写联合体各方的单位全称【格式表示为：(主)单位全称（成)单位全称（成)……】，由联合体主办方按格式要求签字或盖章即可。</w:t>
      </w:r>
    </w:p>
    <w:p>
      <w:pPr>
        <w:pStyle w:val="38"/>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3.7.6投标文件所附证书证件要求：证书证件证明材料需为原件清晰扫描件，并采用单位数字证书，按照招标文件要求在相应位置加盖电子印章。</w:t>
      </w:r>
    </w:p>
    <w:p>
      <w:pPr>
        <w:pStyle w:val="4"/>
        <w:rPr>
          <w:rFonts w:hint="eastAsia" w:ascii="宋体" w:hAnsi="宋体" w:eastAsia="宋体" w:cs="宋体"/>
          <w:color w:val="auto"/>
          <w:highlight w:val="none"/>
        </w:rPr>
      </w:pPr>
      <w:bookmarkStart w:id="438" w:name="_Toc28992"/>
      <w:bookmarkStart w:id="439" w:name="_Toc490141041"/>
      <w:bookmarkStart w:id="440" w:name="_Toc24077"/>
      <w:bookmarkStart w:id="441" w:name="_Toc2578"/>
      <w:bookmarkStart w:id="442" w:name="_Toc16206"/>
      <w:bookmarkStart w:id="443" w:name="_Toc152045555"/>
      <w:bookmarkStart w:id="444" w:name="_Toc12730"/>
      <w:bookmarkStart w:id="445" w:name="_Toc300834976"/>
      <w:bookmarkStart w:id="446" w:name="_Toc247527580"/>
      <w:bookmarkStart w:id="447" w:name="_Toc247513979"/>
      <w:bookmarkStart w:id="448" w:name="_Toc26855"/>
      <w:bookmarkStart w:id="449" w:name="_Toc152042331"/>
      <w:bookmarkStart w:id="450" w:name="_Toc144974523"/>
      <w:bookmarkStart w:id="451" w:name="_Toc21390"/>
      <w:bookmarkStart w:id="452" w:name="_Toc3719"/>
      <w:r>
        <w:rPr>
          <w:rFonts w:hint="eastAsia" w:ascii="宋体" w:hAnsi="宋体" w:eastAsia="宋体" w:cs="宋体"/>
          <w:color w:val="auto"/>
          <w:highlight w:val="none"/>
        </w:rPr>
        <w:t>4. 投标</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5"/>
        <w:rPr>
          <w:rFonts w:hint="eastAsia" w:ascii="宋体" w:eastAsia="宋体" w:cs="宋体"/>
          <w:color w:val="auto"/>
          <w:highlight w:val="none"/>
        </w:rPr>
      </w:pPr>
      <w:bookmarkStart w:id="453" w:name="_Toc152045556"/>
      <w:bookmarkStart w:id="454" w:name="_Toc300834977"/>
      <w:bookmarkStart w:id="455" w:name="_Toc247513980"/>
      <w:bookmarkStart w:id="456" w:name="_Toc11788"/>
      <w:bookmarkStart w:id="457" w:name="_Toc152042332"/>
      <w:bookmarkStart w:id="458" w:name="_Toc490141042"/>
      <w:bookmarkStart w:id="459" w:name="_Toc22232"/>
      <w:bookmarkStart w:id="460" w:name="_Toc10107"/>
      <w:bookmarkStart w:id="461" w:name="_Toc7358"/>
      <w:bookmarkStart w:id="462" w:name="_Toc144974524"/>
      <w:bookmarkStart w:id="463" w:name="_Toc17815"/>
      <w:bookmarkStart w:id="464" w:name="_Toc7880"/>
      <w:bookmarkStart w:id="465" w:name="_Toc247527581"/>
      <w:bookmarkStart w:id="466" w:name="_Toc563"/>
      <w:bookmarkStart w:id="467" w:name="_Toc20972"/>
      <w:r>
        <w:rPr>
          <w:rFonts w:hint="eastAsia" w:ascii="宋体" w:eastAsia="宋体" w:cs="宋体"/>
          <w:color w:val="auto"/>
          <w:highlight w:val="none"/>
        </w:rPr>
        <w:t>4.1 投标文件的密封和标记</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4.1.1 </w:t>
      </w:r>
      <w:r>
        <w:rPr>
          <w:rFonts w:hint="eastAsia" w:ascii="宋体" w:hAnsi="宋体" w:eastAsia="宋体" w:cs="宋体"/>
          <w:color w:val="auto"/>
          <w:szCs w:val="21"/>
          <w:highlight w:val="none"/>
        </w:rPr>
        <w:t>投标人应当按照招标文件和电子招标投标交易平台的要求加密投标文件，具体要求见投标人须知前附表</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4.1.2 </w:t>
      </w:r>
      <w:r>
        <w:rPr>
          <w:rFonts w:hint="eastAsia" w:ascii="宋体" w:hAnsi="宋体" w:eastAsia="宋体" w:cs="宋体"/>
          <w:color w:val="auto"/>
          <w:szCs w:val="21"/>
          <w:highlight w:val="none"/>
        </w:rPr>
        <w:t>未按本章第4.1.1项要求密封的投标文件，招标人将予以拒收</w:t>
      </w:r>
      <w:r>
        <w:rPr>
          <w:rFonts w:hint="eastAsia" w:ascii="宋体" w:hAnsi="宋体" w:eastAsia="宋体" w:cs="宋体"/>
          <w:color w:val="auto"/>
          <w:highlight w:val="none"/>
        </w:rPr>
        <w:t>。</w:t>
      </w:r>
    </w:p>
    <w:p>
      <w:pPr>
        <w:pStyle w:val="5"/>
        <w:rPr>
          <w:rFonts w:hint="eastAsia" w:ascii="宋体" w:eastAsia="宋体" w:cs="宋体"/>
          <w:color w:val="auto"/>
          <w:highlight w:val="none"/>
        </w:rPr>
      </w:pPr>
      <w:bookmarkStart w:id="468" w:name="_Toc247513981"/>
      <w:bookmarkStart w:id="469" w:name="_Toc6725"/>
      <w:bookmarkStart w:id="470" w:name="_Toc152045557"/>
      <w:bookmarkStart w:id="471" w:name="_Toc152042333"/>
      <w:bookmarkStart w:id="472" w:name="_Toc490141043"/>
      <w:bookmarkStart w:id="473" w:name="_Toc144974525"/>
      <w:bookmarkStart w:id="474" w:name="_Toc16217"/>
      <w:bookmarkStart w:id="475" w:name="_Toc300834978"/>
      <w:bookmarkStart w:id="476" w:name="_Toc7700"/>
      <w:bookmarkStart w:id="477" w:name="_Toc2556"/>
      <w:bookmarkStart w:id="478" w:name="_Toc17435"/>
      <w:bookmarkStart w:id="479" w:name="_Toc20865"/>
      <w:bookmarkStart w:id="480" w:name="_Toc22929"/>
      <w:bookmarkStart w:id="481" w:name="_Toc17033"/>
      <w:bookmarkStart w:id="482" w:name="_Toc247527582"/>
      <w:r>
        <w:rPr>
          <w:rFonts w:hint="eastAsia" w:ascii="宋体" w:eastAsia="宋体" w:cs="宋体"/>
          <w:color w:val="auto"/>
          <w:highlight w:val="none"/>
        </w:rPr>
        <w:t>4.2 投标文件的递交</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 投标人通过广州交易集团有限公司（广州公共资源交易中心）交易平台递交电子投标文件。</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 投标人递交投标文件的地点：见投标人须知前附表。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4.2.4 投标人完成电子投标文件上传后，电子招标投标交易平台即时向投标人发出递交回执通知。递交时间以递交回执通知载明的传输完成时间为准。</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4.2.5 逾期送达的投标文件，电子招标投标交易平台将予以拒收。</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到投标截止时间止，若收到的投标文件少于3家的，本项目招标失败，将依法重新招标。</w:t>
      </w:r>
    </w:p>
    <w:p>
      <w:pPr>
        <w:spacing w:line="400" w:lineRule="exact"/>
        <w:ind w:firstLine="420" w:firstLineChars="200"/>
        <w:rPr>
          <w:rFonts w:hint="eastAsia" w:ascii="宋体" w:hAnsi="宋体" w:eastAsia="宋体" w:cs="宋体"/>
          <w:color w:val="auto"/>
          <w:highlight w:val="none"/>
          <w:u w:val="single"/>
        </w:rPr>
      </w:pPr>
    </w:p>
    <w:p>
      <w:pPr>
        <w:pStyle w:val="5"/>
        <w:rPr>
          <w:rFonts w:hint="eastAsia" w:ascii="宋体" w:eastAsia="宋体" w:cs="宋体"/>
          <w:color w:val="auto"/>
          <w:highlight w:val="none"/>
        </w:rPr>
      </w:pPr>
      <w:bookmarkStart w:id="483" w:name="_Toc22363"/>
      <w:bookmarkStart w:id="484" w:name="_Toc3022"/>
      <w:bookmarkStart w:id="485" w:name="_Toc1732"/>
      <w:bookmarkStart w:id="486" w:name="_Toc247527583"/>
      <w:bookmarkStart w:id="487" w:name="_Toc144974526"/>
      <w:bookmarkStart w:id="488" w:name="_Toc23867"/>
      <w:bookmarkStart w:id="489" w:name="_Toc27188"/>
      <w:bookmarkStart w:id="490" w:name="_Toc152042334"/>
      <w:bookmarkStart w:id="491" w:name="_Toc24863"/>
      <w:bookmarkStart w:id="492" w:name="_Toc490141044"/>
      <w:bookmarkStart w:id="493" w:name="_Toc152045558"/>
      <w:bookmarkStart w:id="494" w:name="_Toc300834979"/>
      <w:bookmarkStart w:id="495" w:name="_Toc29846"/>
      <w:bookmarkStart w:id="496" w:name="_Toc247513982"/>
      <w:bookmarkStart w:id="497" w:name="_Toc12258"/>
      <w:r>
        <w:rPr>
          <w:rFonts w:hint="eastAsia" w:ascii="宋体" w:eastAsia="宋体" w:cs="宋体"/>
          <w:color w:val="auto"/>
          <w:highlight w:val="none"/>
        </w:rPr>
        <w:t>4.3 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4.3.1 在规定的投标截止时间前，投标人可以修改或撤回已递交的投标文件，但应以书面形式通知招标人。</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4.3.2 投标人修改或撤回已递交投标文件的通知，应按照本章第3.7.3项的要求加盖电子印章。电子招标投标交易平台收到通知后，即时向投标人发出确认回执通知。</w:t>
      </w:r>
    </w:p>
    <w:p>
      <w:pPr>
        <w:spacing w:line="400" w:lineRule="exact"/>
        <w:ind w:firstLine="420" w:firstLineChars="200"/>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highlight w:val="none"/>
        </w:rPr>
        <w:t>4.3.3 投标人撤回投标文件的，招标人自收到投标人书面撤回通知之日起5日内退还已收取的投标保证金。</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4.3.4 修改的内容为投标文件的组成部分。修改的投标文件应按照本章第3条、第4条规定进行编制、密封、标记和递交，并标明“修改”字样。</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4.3.5 在投标截止时间之后，投标人不得补充、修改和更换投标文件。</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4.3.6 在投标截止后，投标人在投标文件格式中规定的有效期终止日前，投标人不能撤回投标文件，否则其投标担保将被没收，且招标人有权就其撤回行为报告政府主管部门载入不良信用记录。</w:t>
      </w:r>
    </w:p>
    <w:p>
      <w:pPr>
        <w:spacing w:line="400" w:lineRule="exact"/>
        <w:ind w:firstLine="420" w:firstLineChars="200"/>
        <w:rPr>
          <w:rFonts w:hint="eastAsia" w:ascii="宋体" w:hAnsi="宋体" w:eastAsia="宋体" w:cs="宋体"/>
          <w:color w:val="auto"/>
          <w:highlight w:val="none"/>
        </w:rPr>
      </w:pPr>
    </w:p>
    <w:p>
      <w:pPr>
        <w:pStyle w:val="4"/>
        <w:rPr>
          <w:rFonts w:hint="eastAsia" w:ascii="宋体" w:hAnsi="宋体" w:eastAsia="宋体" w:cs="宋体"/>
          <w:color w:val="auto"/>
          <w:highlight w:val="none"/>
        </w:rPr>
      </w:pPr>
      <w:bookmarkStart w:id="498" w:name="_Toc32001"/>
      <w:bookmarkStart w:id="499" w:name="_Toc21626"/>
      <w:bookmarkStart w:id="500" w:name="_Toc247527584"/>
      <w:bookmarkStart w:id="501" w:name="_Toc29122"/>
      <w:bookmarkStart w:id="502" w:name="_Toc300834980"/>
      <w:bookmarkStart w:id="503" w:name="_Toc20912"/>
      <w:bookmarkStart w:id="504" w:name="_Toc21324"/>
      <w:bookmarkStart w:id="505" w:name="_Toc247513983"/>
      <w:bookmarkStart w:id="506" w:name="_Toc152045559"/>
      <w:bookmarkStart w:id="507" w:name="_Toc152042335"/>
      <w:bookmarkStart w:id="508" w:name="_Toc27364"/>
      <w:bookmarkStart w:id="509" w:name="_Toc19988"/>
      <w:bookmarkStart w:id="510" w:name="_Toc490141045"/>
      <w:bookmarkStart w:id="511" w:name="_Toc19353"/>
      <w:bookmarkStart w:id="512" w:name="_Toc144974527"/>
      <w:r>
        <w:rPr>
          <w:rFonts w:hint="eastAsia" w:ascii="宋体" w:hAnsi="宋体" w:eastAsia="宋体" w:cs="宋体"/>
          <w:color w:val="auto"/>
          <w:highlight w:val="none"/>
        </w:rPr>
        <w:t>5. 开标</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Style w:val="5"/>
        <w:rPr>
          <w:rFonts w:hint="eastAsia" w:ascii="宋体" w:eastAsia="宋体" w:cs="宋体"/>
          <w:color w:val="auto"/>
          <w:highlight w:val="none"/>
        </w:rPr>
      </w:pPr>
      <w:bookmarkStart w:id="513" w:name="_Toc549"/>
      <w:bookmarkStart w:id="514" w:name="_Toc152042336"/>
      <w:bookmarkStart w:id="515" w:name="_Toc22910"/>
      <w:bookmarkStart w:id="516" w:name="_Toc795"/>
      <w:bookmarkStart w:id="517" w:name="_Toc26711"/>
      <w:bookmarkStart w:id="518" w:name="_Toc247527585"/>
      <w:bookmarkStart w:id="519" w:name="_Toc25808"/>
      <w:bookmarkStart w:id="520" w:name="_Toc300834981"/>
      <w:bookmarkStart w:id="521" w:name="_Toc11445"/>
      <w:bookmarkStart w:id="522" w:name="_Toc11407"/>
      <w:bookmarkStart w:id="523" w:name="_Toc144974528"/>
      <w:bookmarkStart w:id="524" w:name="_Toc490141046"/>
      <w:bookmarkStart w:id="525" w:name="_Toc152045560"/>
      <w:bookmarkStart w:id="526" w:name="_Toc247513984"/>
      <w:bookmarkStart w:id="527" w:name="_Toc25302"/>
      <w:r>
        <w:rPr>
          <w:rFonts w:hint="eastAsia" w:ascii="宋体" w:eastAsia="宋体" w:cs="宋体"/>
          <w:color w:val="auto"/>
          <w:highlight w:val="none"/>
        </w:rPr>
        <w:t>5.1 开标时间和地点</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在规定的投标截止时间（开标时间）和投标人须知前附表规定的地点公开开标，并邀请所有投标人的法定代表人或其委托代理人准时参加。若投标人不参加开标会的，其投标文件在开标现场的投标人、招标人代表、招标代理机构代表及交易中心代表见证下公开开启，并视同该投标人认可开标结果。</w:t>
      </w:r>
    </w:p>
    <w:p>
      <w:pPr>
        <w:pStyle w:val="5"/>
        <w:rPr>
          <w:rFonts w:hint="eastAsia" w:ascii="宋体" w:eastAsia="宋体" w:cs="宋体"/>
          <w:color w:val="auto"/>
          <w:highlight w:val="none"/>
        </w:rPr>
      </w:pPr>
      <w:bookmarkStart w:id="528" w:name="_Toc22540"/>
      <w:bookmarkStart w:id="529" w:name="_Toc25227"/>
      <w:bookmarkStart w:id="530" w:name="_Toc490141047"/>
      <w:bookmarkStart w:id="531" w:name="_Toc3230"/>
      <w:bookmarkStart w:id="532" w:name="_Toc300834982"/>
      <w:bookmarkStart w:id="533" w:name="_Toc152045561"/>
      <w:bookmarkStart w:id="534" w:name="_Toc16004"/>
      <w:bookmarkStart w:id="535" w:name="_Toc152042337"/>
      <w:bookmarkStart w:id="536" w:name="_Toc15353"/>
      <w:bookmarkStart w:id="537" w:name="_Toc247527586"/>
      <w:bookmarkStart w:id="538" w:name="_Toc247513985"/>
      <w:bookmarkStart w:id="539" w:name="_Toc22308"/>
      <w:bookmarkStart w:id="540" w:name="_Toc2530"/>
      <w:bookmarkStart w:id="541" w:name="_Toc144974529"/>
      <w:bookmarkStart w:id="542" w:name="_Toc25280"/>
      <w:r>
        <w:rPr>
          <w:rFonts w:hint="eastAsia" w:ascii="宋体" w:eastAsia="宋体" w:cs="宋体"/>
          <w:color w:val="auto"/>
          <w:highlight w:val="none"/>
        </w:rPr>
        <w:t>5.2 开标程序</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360" w:lineRule="auto"/>
        <w:ind w:firstLine="420" w:firstLineChars="200"/>
        <w:rPr>
          <w:rFonts w:hint="eastAsia" w:ascii="宋体" w:hAnsi="宋体" w:eastAsia="宋体" w:cs="宋体"/>
          <w:color w:val="auto"/>
          <w:highlight w:val="none"/>
          <w:u w:val="single"/>
        </w:rPr>
      </w:pPr>
      <w:bookmarkStart w:id="543" w:name="_Toc16449"/>
      <w:bookmarkStart w:id="544" w:name="_Toc300834983"/>
      <w:bookmarkStart w:id="545" w:name="_Toc25032"/>
      <w:bookmarkStart w:id="546" w:name="_Toc29859"/>
      <w:bookmarkStart w:id="547" w:name="_Toc24887"/>
      <w:bookmarkStart w:id="548" w:name="_Toc12520"/>
      <w:bookmarkStart w:id="549" w:name="_Toc490141048"/>
      <w:bookmarkStart w:id="550" w:name="_Toc3531"/>
      <w:r>
        <w:rPr>
          <w:rFonts w:hint="eastAsia" w:ascii="宋体" w:hAnsi="宋体" w:eastAsia="宋体" w:cs="宋体"/>
          <w:color w:val="auto"/>
          <w:highlight w:val="none"/>
          <w:u w:val="single"/>
        </w:rPr>
        <w:t>电子招投标项目开标按下列程序进行：</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5.2.1主持人按下列程序进行开标：</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（1）宣布开标纪律</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（2）公布在投标截止时间前递交投标文件的投标人名称</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w:t>
      </w:r>
      <w:r>
        <w:rPr>
          <w:rFonts w:hint="eastAsia" w:ascii="宋体" w:hAnsi="宋体" w:eastAsia="宋体" w:cs="宋体"/>
          <w:b/>
          <w:color w:val="auto"/>
          <w:highlight w:val="none"/>
          <w:u w:val="single"/>
        </w:rPr>
        <w:t>在投标截止时间后</w:t>
      </w:r>
      <w:r>
        <w:rPr>
          <w:rFonts w:hint="eastAsia" w:ascii="宋体" w:hAnsi="宋体" w:eastAsia="宋体" w:cs="宋体"/>
          <w:b/>
          <w:color w:val="auto"/>
          <w:highlight w:val="none"/>
          <w:u w:val="single"/>
          <w:lang w:val="en-US" w:eastAsia="zh-CN"/>
        </w:rPr>
        <w:t>一</w:t>
      </w:r>
      <w:r>
        <w:rPr>
          <w:rFonts w:hint="eastAsia" w:ascii="宋体" w:hAnsi="宋体" w:eastAsia="宋体" w:cs="宋体"/>
          <w:b/>
          <w:color w:val="auto"/>
          <w:highlight w:val="none"/>
          <w:u w:val="single"/>
        </w:rPr>
        <w:t>小时内</w:t>
      </w:r>
      <w:r>
        <w:rPr>
          <w:rFonts w:hint="eastAsia" w:ascii="宋体" w:hAnsi="宋体" w:eastAsia="宋体" w:cs="宋体"/>
          <w:color w:val="auto"/>
          <w:highlight w:val="none"/>
          <w:u w:val="single"/>
        </w:rPr>
        <w:t>，投标人通过递交投标文件的交易平台对已递交的电子投标文件进行解密。投标人完成解密后，再由招标人进行解密（投标人只用执行一次解密，招标人执行解密次数根据招标文件开标次数确定）。</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（4）解密完成后，公布：a投标人名称；b投标文件递交情况；c投标文件解密情</w:t>
      </w:r>
      <w:r>
        <w:rPr>
          <w:rFonts w:hint="eastAsia" w:ascii="宋体" w:hAnsi="宋体" w:eastAsia="宋体" w:cs="宋体"/>
          <w:strike w:val="0"/>
          <w:dstrike w:val="0"/>
          <w:color w:val="auto"/>
          <w:highlight w:val="none"/>
          <w:u w:val="single"/>
        </w:rPr>
        <w:t>况；d投标担保递交情况；e项目负责人（施工负责人）、设计负责人、施工技术负责人、专职安全员；f</w:t>
      </w:r>
      <w:r>
        <w:rPr>
          <w:rFonts w:hint="eastAsia" w:ascii="宋体" w:hAnsi="宋体" w:eastAsia="宋体" w:cs="宋体"/>
          <w:color w:val="auto"/>
          <w:highlight w:val="none"/>
          <w:u w:val="single"/>
        </w:rPr>
        <w:t>投标报价；g工期；h投标人的加密打包投标文件电脑机器特征码等主要内容，并记录在案。未在规定时间内解密的投标文件不参与开标、评标。</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（5）截标后，开标开始时间因故推迟的，相关评标信息仍以原定的开标开始时间的信息为准。</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（6）备用光盘的读取按“10 电子招标投标”第6点的规定执行。</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（9）投标人未参加开标或在规定的时间内未提出异议的，视为对开标无异议。</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（10）开标时，两个（含两个）以上的投标人加密打包投标文件电脑机器特征码一致的，不参与下一程序，并由评标委员会否决其投标。</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rPr>
        <w:t>（11）</w:t>
      </w:r>
      <w:r>
        <w:rPr>
          <w:rFonts w:hint="eastAsia" w:ascii="宋体" w:hAnsi="宋体" w:eastAsia="宋体" w:cs="宋体"/>
          <w:color w:val="auto"/>
          <w:highlight w:val="none"/>
          <w:u w:val="single"/>
        </w:rPr>
        <w:t>投标人代表、招标人代表、监标人、记录人等有关人员在开标记录上签字确认；若有关人员不签字的，不影响开标程序；</w:t>
      </w:r>
    </w:p>
    <w:p>
      <w:pPr>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（12）开标结束。</w:t>
      </w:r>
    </w:p>
    <w:p>
      <w:pPr>
        <w:spacing w:line="360" w:lineRule="auto"/>
        <w:ind w:firstLine="420" w:firstLineChars="200"/>
        <w:rPr>
          <w:rFonts w:hint="eastAsia" w:ascii="宋体" w:hAnsi="宋体" w:eastAsia="宋体" w:cs="宋体"/>
          <w:color w:val="auto"/>
          <w:szCs w:val="21"/>
          <w:highlight w:val="none"/>
          <w:u w:val="single"/>
        </w:rPr>
      </w:pPr>
      <w:bookmarkStart w:id="551" w:name="_Toc27924"/>
      <w:bookmarkStart w:id="552" w:name="_Toc11355"/>
      <w:r>
        <w:rPr>
          <w:rFonts w:hint="eastAsia" w:ascii="宋体" w:hAnsi="宋体" w:eastAsia="宋体" w:cs="宋体"/>
          <w:color w:val="auto"/>
          <w:szCs w:val="21"/>
          <w:highlight w:val="none"/>
        </w:rPr>
        <w:t>5.2.2</w:t>
      </w:r>
      <w:r>
        <w:rPr>
          <w:rFonts w:hint="eastAsia" w:ascii="宋体" w:hAnsi="宋体" w:eastAsia="宋体" w:cs="宋体"/>
          <w:color w:val="auto"/>
          <w:szCs w:val="21"/>
          <w:highlight w:val="none"/>
          <w:u w:val="single"/>
        </w:rPr>
        <w:t>投标截止时间前未完成投标文件传输的或因投标人之外的原因造成投标文件未解密</w:t>
      </w:r>
      <w:r>
        <w:rPr>
          <w:rFonts w:hint="eastAsia" w:ascii="宋体" w:hAnsi="宋体" w:eastAsia="宋体" w:cs="宋体"/>
          <w:color w:val="auto"/>
          <w:kern w:val="0"/>
          <w:szCs w:val="21"/>
          <w:highlight w:val="none"/>
          <w:u w:val="single"/>
          <w:lang w:bidi="ar"/>
        </w:rPr>
        <w:t>且未按要求递交备用光盘（或U盘）</w:t>
      </w:r>
      <w:r>
        <w:rPr>
          <w:rFonts w:hint="eastAsia" w:ascii="宋体" w:hAnsi="宋体" w:eastAsia="宋体" w:cs="宋体"/>
          <w:color w:val="auto"/>
          <w:szCs w:val="21"/>
          <w:highlight w:val="none"/>
          <w:u w:val="single"/>
        </w:rPr>
        <w:t>的，视为投标人其撤回投标文件。因投标人原因造成投标文件未解密的或未在</w:t>
      </w:r>
      <w:r>
        <w:rPr>
          <w:rFonts w:hint="eastAsia" w:ascii="宋体" w:hAnsi="宋体" w:eastAsia="宋体" w:cs="宋体"/>
          <w:b/>
          <w:color w:val="auto"/>
          <w:szCs w:val="21"/>
          <w:highlight w:val="none"/>
          <w:u w:val="single"/>
        </w:rPr>
        <w:t>投标截止时间后</w:t>
      </w:r>
      <w:r>
        <w:rPr>
          <w:rFonts w:hint="eastAsia" w:ascii="宋体" w:hAnsi="宋体" w:eastAsia="宋体" w:cs="宋体"/>
          <w:b/>
          <w:color w:val="auto"/>
          <w:szCs w:val="21"/>
          <w:highlight w:val="none"/>
          <w:u w:val="single"/>
          <w:lang w:val="en-US" w:eastAsia="zh-CN"/>
        </w:rPr>
        <w:t>一</w:t>
      </w:r>
      <w:r>
        <w:rPr>
          <w:rFonts w:hint="eastAsia" w:ascii="宋体" w:hAnsi="宋体" w:eastAsia="宋体" w:cs="宋体"/>
          <w:b/>
          <w:color w:val="auto"/>
          <w:szCs w:val="21"/>
          <w:highlight w:val="none"/>
          <w:u w:val="single"/>
        </w:rPr>
        <w:t>小时解密</w:t>
      </w:r>
      <w:r>
        <w:rPr>
          <w:rFonts w:hint="eastAsia" w:ascii="宋体" w:hAnsi="宋体" w:eastAsia="宋体" w:cs="宋体"/>
          <w:color w:val="auto"/>
          <w:szCs w:val="21"/>
          <w:highlight w:val="none"/>
          <w:u w:val="single"/>
        </w:rPr>
        <w:t>的，视为撤销其投标文件</w:t>
      </w:r>
      <w:bookmarkEnd w:id="551"/>
      <w:r>
        <w:rPr>
          <w:rFonts w:hint="eastAsia" w:ascii="宋体" w:hAnsi="宋体" w:eastAsia="宋体" w:cs="宋体"/>
          <w:color w:val="auto"/>
          <w:szCs w:val="21"/>
          <w:highlight w:val="none"/>
          <w:u w:val="single"/>
        </w:rPr>
        <w:t>。</w:t>
      </w:r>
      <w:bookmarkEnd w:id="552"/>
    </w:p>
    <w:p>
      <w:pPr>
        <w:pStyle w:val="5"/>
        <w:rPr>
          <w:rFonts w:hint="eastAsia" w:ascii="宋体" w:eastAsia="宋体" w:cs="宋体"/>
          <w:color w:val="auto"/>
          <w:highlight w:val="none"/>
        </w:rPr>
      </w:pPr>
      <w:bookmarkStart w:id="553" w:name="_Toc15856"/>
      <w:bookmarkStart w:id="554" w:name="_Toc26086"/>
      <w:r>
        <w:rPr>
          <w:rFonts w:hint="eastAsia" w:ascii="宋体" w:eastAsia="宋体" w:cs="宋体"/>
          <w:color w:val="auto"/>
          <w:highlight w:val="none"/>
        </w:rPr>
        <w:t>5.3 开标异议</w:t>
      </w:r>
      <w:bookmarkEnd w:id="543"/>
      <w:bookmarkEnd w:id="544"/>
      <w:bookmarkEnd w:id="545"/>
      <w:bookmarkEnd w:id="546"/>
      <w:bookmarkEnd w:id="547"/>
      <w:bookmarkEnd w:id="548"/>
      <w:bookmarkEnd w:id="549"/>
      <w:bookmarkEnd w:id="550"/>
      <w:bookmarkEnd w:id="553"/>
      <w:bookmarkEnd w:id="554"/>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5.3.1</w:t>
      </w:r>
      <w:r>
        <w:rPr>
          <w:rFonts w:hint="eastAsia" w:ascii="宋体" w:hAnsi="宋体" w:eastAsia="宋体" w:cs="宋体"/>
          <w:color w:val="auto"/>
          <w:highlight w:val="none"/>
        </w:rPr>
        <w:t>参加现场开标的投标人对开标结果有异议的，应当在开标现场提出，同时出示本人身份证原件，招标人应当当场作出答复，并制作记录。参加在线开标的投标人对开标结果有异议的，应当在唱标结束后的规定时间内通过广州交易集团有限公司（广州公共资源交易中心）交易平台在线提出。招标人授权招标代理机构工作人员通过交易平台答复，答复后方可结束开标。</w:t>
      </w:r>
    </w:p>
    <w:p>
      <w:pPr>
        <w:spacing w:line="40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5.3.2投标人未参加开标或在规定的时间内未提出异议的，视为对开标无异议。</w:t>
      </w:r>
    </w:p>
    <w:p>
      <w:pPr>
        <w:pStyle w:val="4"/>
        <w:rPr>
          <w:rFonts w:hint="eastAsia" w:ascii="宋体" w:hAnsi="宋体" w:eastAsia="宋体" w:cs="宋体"/>
          <w:color w:val="auto"/>
          <w:highlight w:val="none"/>
        </w:rPr>
      </w:pPr>
      <w:bookmarkStart w:id="555" w:name="_Toc490141049"/>
      <w:bookmarkStart w:id="556" w:name="_Toc12313"/>
      <w:bookmarkStart w:id="557" w:name="_Toc152045562"/>
      <w:bookmarkStart w:id="558" w:name="_Toc3149"/>
      <w:bookmarkStart w:id="559" w:name="_Toc247527587"/>
      <w:bookmarkStart w:id="560" w:name="_Toc144974530"/>
      <w:bookmarkStart w:id="561" w:name="_Toc30683"/>
      <w:bookmarkStart w:id="562" w:name="_Toc7998"/>
      <w:bookmarkStart w:id="563" w:name="_Toc15719"/>
      <w:bookmarkStart w:id="564" w:name="_Toc13144"/>
      <w:bookmarkStart w:id="565" w:name="_Toc198"/>
      <w:bookmarkStart w:id="566" w:name="_Toc109"/>
      <w:bookmarkStart w:id="567" w:name="_Toc300834984"/>
      <w:bookmarkStart w:id="568" w:name="_Toc152042338"/>
      <w:bookmarkStart w:id="569" w:name="_Toc247513986"/>
      <w:r>
        <w:rPr>
          <w:rFonts w:hint="eastAsia" w:ascii="宋体" w:hAnsi="宋体" w:eastAsia="宋体" w:cs="宋体"/>
          <w:color w:val="auto"/>
          <w:highlight w:val="none"/>
        </w:rPr>
        <w:t>6. 评标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pStyle w:val="5"/>
        <w:rPr>
          <w:rFonts w:hint="eastAsia" w:ascii="宋体" w:eastAsia="宋体" w:cs="宋体"/>
          <w:color w:val="auto"/>
          <w:highlight w:val="none"/>
        </w:rPr>
      </w:pPr>
      <w:bookmarkStart w:id="570" w:name="_Toc8891"/>
      <w:bookmarkStart w:id="571" w:name="_Toc18724"/>
      <w:bookmarkStart w:id="572" w:name="_Toc247513987"/>
      <w:bookmarkStart w:id="573" w:name="_Toc3086"/>
      <w:bookmarkStart w:id="574" w:name="_Toc19646"/>
      <w:bookmarkStart w:id="575" w:name="_Toc490141050"/>
      <w:bookmarkStart w:id="576" w:name="_Toc32379"/>
      <w:bookmarkStart w:id="577" w:name="_Toc247527588"/>
      <w:bookmarkStart w:id="578" w:name="_Toc300834985"/>
      <w:bookmarkStart w:id="579" w:name="_Toc25177"/>
      <w:bookmarkStart w:id="580" w:name="_Toc152045563"/>
      <w:bookmarkStart w:id="581" w:name="_Toc7043"/>
      <w:bookmarkStart w:id="582" w:name="_Toc144974531"/>
      <w:bookmarkStart w:id="583" w:name="_Toc15741"/>
      <w:bookmarkStart w:id="584" w:name="_Toc152042339"/>
      <w:r>
        <w:rPr>
          <w:rFonts w:hint="eastAsia" w:ascii="宋体" w:eastAsia="宋体" w:cs="宋体"/>
          <w:color w:val="auto"/>
          <w:highlight w:val="none"/>
        </w:rPr>
        <w:t>6.1 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评标委员会</w:t>
      </w:r>
      <w:r>
        <w:rPr>
          <w:rFonts w:hint="eastAsia" w:ascii="宋体" w:hAnsi="宋体" w:eastAsia="宋体" w:cs="宋体"/>
          <w:color w:val="auto"/>
          <w:szCs w:val="21"/>
          <w:highlight w:val="none"/>
          <w:u w:val="single"/>
        </w:rPr>
        <w:t>由招标人依法组建</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评标委员会成员有下列情形之一的，应当回避：</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（1）投标人或投标人主要负责人的近亲属；</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pPr>
        <w:spacing w:line="400" w:lineRule="exact"/>
        <w:ind w:firstLine="718" w:firstLineChars="342"/>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6.1.4评标委员会在开始评标前，应了解评标专家的职责及守则，认真阅读附件四《评标委员会成员声明》的内容并签名，签字后方可进行评标。</w:t>
      </w:r>
    </w:p>
    <w:p>
      <w:pPr>
        <w:pStyle w:val="5"/>
        <w:rPr>
          <w:rFonts w:hint="eastAsia" w:ascii="宋体" w:eastAsia="宋体" w:cs="宋体"/>
          <w:color w:val="auto"/>
          <w:highlight w:val="none"/>
        </w:rPr>
      </w:pPr>
      <w:bookmarkStart w:id="585" w:name="_Toc152045564"/>
      <w:bookmarkStart w:id="586" w:name="_Toc1462"/>
      <w:bookmarkStart w:id="587" w:name="_Toc490141051"/>
      <w:bookmarkStart w:id="588" w:name="_Toc300834986"/>
      <w:bookmarkStart w:id="589" w:name="_Toc144974532"/>
      <w:bookmarkStart w:id="590" w:name="_Toc14458"/>
      <w:bookmarkStart w:id="591" w:name="_Toc16028"/>
      <w:bookmarkStart w:id="592" w:name="_Toc26316"/>
      <w:bookmarkStart w:id="593" w:name="_Toc247513988"/>
      <w:bookmarkStart w:id="594" w:name="_Toc152042340"/>
      <w:bookmarkStart w:id="595" w:name="_Toc247527589"/>
      <w:bookmarkStart w:id="596" w:name="_Toc18883"/>
      <w:bookmarkStart w:id="597" w:name="_Toc10447"/>
      <w:bookmarkStart w:id="598" w:name="_Toc12970"/>
      <w:bookmarkStart w:id="599" w:name="_Toc6886"/>
      <w:r>
        <w:rPr>
          <w:rFonts w:hint="eastAsia" w:ascii="宋体" w:eastAsia="宋体" w:cs="宋体"/>
          <w:color w:val="auto"/>
          <w:highlight w:val="none"/>
        </w:rPr>
        <w:t>6.2 评标原则</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hint="eastAsia" w:ascii="宋体" w:eastAsia="宋体" w:cs="宋体"/>
          <w:color w:val="auto"/>
          <w:highlight w:val="none"/>
        </w:rPr>
        <w:tab/>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pPr>
        <w:pStyle w:val="5"/>
        <w:rPr>
          <w:rFonts w:hint="eastAsia" w:ascii="宋体" w:eastAsia="宋体" w:cs="宋体"/>
          <w:color w:val="auto"/>
          <w:highlight w:val="none"/>
        </w:rPr>
      </w:pPr>
      <w:bookmarkStart w:id="600" w:name="_Toc247513989"/>
      <w:bookmarkStart w:id="601" w:name="_Toc144974533"/>
      <w:bookmarkStart w:id="602" w:name="_Toc247527590"/>
      <w:bookmarkStart w:id="603" w:name="_Toc300834987"/>
      <w:bookmarkStart w:id="604" w:name="_Toc8724"/>
      <w:bookmarkStart w:id="605" w:name="_Toc31163"/>
      <w:bookmarkStart w:id="606" w:name="_Toc21339"/>
      <w:bookmarkStart w:id="607" w:name="_Toc152042341"/>
      <w:bookmarkStart w:id="608" w:name="_Toc152045565"/>
      <w:bookmarkStart w:id="609" w:name="_Toc30595"/>
      <w:bookmarkStart w:id="610" w:name="_Toc17295"/>
      <w:bookmarkStart w:id="611" w:name="_Toc25099"/>
      <w:bookmarkStart w:id="612" w:name="_Toc490141052"/>
      <w:bookmarkStart w:id="613" w:name="_Toc25394"/>
      <w:bookmarkStart w:id="614" w:name="_Toc10168"/>
      <w:r>
        <w:rPr>
          <w:rFonts w:hint="eastAsia" w:ascii="宋体" w:eastAsia="宋体" w:cs="宋体"/>
          <w:color w:val="auto"/>
          <w:highlight w:val="none"/>
        </w:rPr>
        <w:t>6.3 评标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6.3.1</w:t>
      </w:r>
      <w:r>
        <w:rPr>
          <w:rFonts w:hint="eastAsia" w:ascii="宋体" w:hAnsi="宋体" w:eastAsia="宋体" w:cs="宋体"/>
          <w:color w:val="auto"/>
          <w:highlight w:val="none"/>
        </w:rPr>
        <w:t>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6.3.2</w:t>
      </w:r>
      <w:r>
        <w:rPr>
          <w:rFonts w:hint="eastAsia" w:ascii="宋体" w:hAnsi="宋体" w:eastAsia="宋体" w:cs="宋体"/>
          <w:color w:val="auto"/>
          <w:highlight w:val="none"/>
        </w:rPr>
        <w:t>评标完成后，评标委员会应当向招标人提交书面评标报告和中标候选人名单。评标委员会推荐中标候选人的人数见投标人须知前附表。</w:t>
      </w:r>
    </w:p>
    <w:p>
      <w:pPr>
        <w:pStyle w:val="4"/>
        <w:rPr>
          <w:rFonts w:hint="eastAsia" w:ascii="宋体" w:hAnsi="宋体" w:eastAsia="宋体" w:cs="宋体"/>
          <w:color w:val="auto"/>
          <w:highlight w:val="none"/>
        </w:rPr>
      </w:pPr>
      <w:bookmarkStart w:id="615" w:name="_Toc6130"/>
      <w:bookmarkStart w:id="616" w:name="_Toc490141053"/>
      <w:bookmarkStart w:id="617" w:name="_Toc5422"/>
      <w:bookmarkStart w:id="618" w:name="_Toc22306"/>
      <w:bookmarkStart w:id="619" w:name="_Toc152045566"/>
      <w:bookmarkStart w:id="620" w:name="_Toc17020"/>
      <w:bookmarkStart w:id="621" w:name="_Toc5557"/>
      <w:bookmarkStart w:id="622" w:name="_Toc247513990"/>
      <w:bookmarkStart w:id="623" w:name="_Toc12877"/>
      <w:bookmarkStart w:id="624" w:name="_Toc144974534"/>
      <w:bookmarkStart w:id="625" w:name="_Toc247527591"/>
      <w:bookmarkStart w:id="626" w:name="_Toc4650"/>
      <w:bookmarkStart w:id="627" w:name="_Toc300834988"/>
      <w:bookmarkStart w:id="628" w:name="_Toc27626"/>
      <w:bookmarkStart w:id="629" w:name="_Toc152042342"/>
      <w:r>
        <w:rPr>
          <w:rFonts w:hint="eastAsia" w:ascii="宋体" w:hAnsi="宋体" w:eastAsia="宋体" w:cs="宋体"/>
          <w:color w:val="auto"/>
          <w:highlight w:val="none"/>
        </w:rPr>
        <w:t>7. 合同授予</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pStyle w:val="5"/>
        <w:rPr>
          <w:rFonts w:hint="eastAsia" w:ascii="宋体" w:eastAsia="宋体" w:cs="宋体"/>
          <w:color w:val="auto"/>
          <w:highlight w:val="none"/>
        </w:rPr>
      </w:pPr>
      <w:bookmarkStart w:id="630" w:name="_Toc300834989"/>
      <w:bookmarkStart w:id="631" w:name="_Toc620"/>
      <w:bookmarkStart w:id="632" w:name="_Toc10016"/>
      <w:bookmarkStart w:id="633" w:name="_Toc7596"/>
      <w:bookmarkStart w:id="634" w:name="_Toc247513991"/>
      <w:bookmarkStart w:id="635" w:name="_Toc490141054"/>
      <w:bookmarkStart w:id="636" w:name="_Toc27220"/>
      <w:bookmarkStart w:id="637" w:name="_Toc2434"/>
      <w:bookmarkStart w:id="638" w:name="_Toc247527592"/>
      <w:bookmarkStart w:id="639" w:name="_Toc29318"/>
      <w:bookmarkStart w:id="640" w:name="_Toc152045567"/>
      <w:bookmarkStart w:id="641" w:name="_Toc28811"/>
      <w:bookmarkStart w:id="642" w:name="_Toc144974535"/>
      <w:bookmarkStart w:id="643" w:name="_Toc27639"/>
      <w:bookmarkStart w:id="644" w:name="_Toc152042343"/>
      <w:r>
        <w:rPr>
          <w:rFonts w:hint="eastAsia" w:ascii="宋体" w:eastAsia="宋体" w:cs="宋体"/>
          <w:color w:val="auto"/>
          <w:highlight w:val="none"/>
        </w:rPr>
        <w:t>7.1 定标方式</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7.1.1除投标人须知前附表规定评标委员会直接确定中标人外，招标人依据评标委员会推荐的中标候选人确定中标人，评标委员会推荐中标候选人的人数见投标人须知前附表。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7.1.2依法必须进行公开招标的项目，招标人应当确定排名第一的中标候选人为中标人。</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7.1.3排名第一的中标候选人放弃中标、或被取消中标资格，或因不可抗力提出不能履行合同，或者招标文件规定应当提交履约担保而在规定的期限内未能提交的，或经核查发现委派的施工负责人已在其他在建项目中任本职的，或者被查实存在影响中标结果的违法行为等情形，不符合中标条件的，招标人可以按照中标候选人顺序依次上升替补定标，以此类推，也可以依法重新招标。如所有中标候选人均出现上述所列的情形，为招标失败，招标人依法重新招标。</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7.1.4</w:t>
      </w:r>
      <w:r>
        <w:rPr>
          <w:rFonts w:hint="eastAsia" w:ascii="宋体" w:hAnsi="宋体" w:eastAsia="宋体" w:cs="宋体"/>
          <w:color w:val="auto"/>
          <w:highlight w:val="none"/>
        </w:rPr>
        <w:t>重新评标的，评标信息（含业绩、奖项等）仍以投标截止时投标人的信息为准。因特殊原因需要延长投标有效期，投标人拒绝延长投标有效期的，仍参与评标，但不被推荐为中标候选人。</w:t>
      </w:r>
    </w:p>
    <w:p>
      <w:pPr>
        <w:spacing w:line="400" w:lineRule="exact"/>
        <w:ind w:firstLine="420" w:firstLineChars="200"/>
        <w:rPr>
          <w:rFonts w:hint="eastAsia" w:ascii="宋体" w:hAnsi="宋体" w:eastAsia="宋体" w:cs="宋体"/>
          <w:color w:val="auto"/>
          <w:highlight w:val="none"/>
        </w:rPr>
      </w:pPr>
    </w:p>
    <w:p>
      <w:pPr>
        <w:pStyle w:val="5"/>
        <w:rPr>
          <w:rFonts w:hint="eastAsia" w:ascii="宋体" w:eastAsia="宋体" w:cs="宋体"/>
          <w:color w:val="auto"/>
          <w:highlight w:val="none"/>
        </w:rPr>
      </w:pPr>
      <w:bookmarkStart w:id="645" w:name="_Toc10691"/>
      <w:bookmarkStart w:id="646" w:name="_Toc25140"/>
      <w:bookmarkStart w:id="647" w:name="_Toc16401"/>
      <w:bookmarkStart w:id="648" w:name="_Toc29763"/>
      <w:bookmarkStart w:id="649" w:name="_Toc9281"/>
      <w:bookmarkStart w:id="650" w:name="_Toc490141055"/>
      <w:bookmarkStart w:id="651" w:name="_Toc3190"/>
      <w:bookmarkStart w:id="652" w:name="_Toc31309"/>
      <w:bookmarkStart w:id="653" w:name="_Toc300834990"/>
      <w:bookmarkStart w:id="654" w:name="_Toc8069"/>
      <w:r>
        <w:rPr>
          <w:rFonts w:hint="eastAsia" w:ascii="宋体" w:eastAsia="宋体" w:cs="宋体"/>
          <w:color w:val="auto"/>
          <w:highlight w:val="none"/>
        </w:rPr>
        <w:t>7.2 中标候选人公示</w:t>
      </w:r>
      <w:bookmarkEnd w:id="645"/>
      <w:bookmarkEnd w:id="646"/>
      <w:bookmarkEnd w:id="647"/>
      <w:bookmarkEnd w:id="648"/>
      <w:bookmarkEnd w:id="649"/>
      <w:bookmarkEnd w:id="650"/>
      <w:bookmarkEnd w:id="651"/>
      <w:bookmarkEnd w:id="652"/>
      <w:bookmarkEnd w:id="653"/>
      <w:bookmarkEnd w:id="65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招标人在投标人须知前附表规定的媒介公示中标候选人。公示时间为3天，公示期间的最后1天应当为工作日，否则将公示期的最后1天顺延至下一个工作日。</w:t>
      </w:r>
    </w:p>
    <w:p>
      <w:pPr>
        <w:pStyle w:val="5"/>
        <w:rPr>
          <w:rFonts w:hint="eastAsia" w:ascii="宋体" w:eastAsia="宋体" w:cs="宋体"/>
          <w:color w:val="auto"/>
          <w:highlight w:val="none"/>
        </w:rPr>
      </w:pPr>
      <w:bookmarkStart w:id="655" w:name="_Toc152045568"/>
      <w:bookmarkStart w:id="656" w:name="_Toc9148"/>
      <w:bookmarkStart w:id="657" w:name="_Toc300834991"/>
      <w:bookmarkStart w:id="658" w:name="_Toc16751"/>
      <w:bookmarkStart w:id="659" w:name="_Toc152042344"/>
      <w:bookmarkStart w:id="660" w:name="_Toc28319"/>
      <w:bookmarkStart w:id="661" w:name="_Toc490141056"/>
      <w:bookmarkStart w:id="662" w:name="_Toc144974536"/>
      <w:bookmarkStart w:id="663" w:name="_Toc3421"/>
      <w:bookmarkStart w:id="664" w:name="_Toc247513992"/>
      <w:bookmarkStart w:id="665" w:name="_Toc2863"/>
      <w:bookmarkStart w:id="666" w:name="_Toc15630"/>
      <w:bookmarkStart w:id="667" w:name="_Toc8897"/>
      <w:bookmarkStart w:id="668" w:name="_Toc247527593"/>
      <w:bookmarkStart w:id="669" w:name="_Toc14168"/>
      <w:r>
        <w:rPr>
          <w:rFonts w:hint="eastAsia" w:ascii="宋体" w:eastAsia="宋体" w:cs="宋体"/>
          <w:color w:val="auto"/>
          <w:highlight w:val="none"/>
        </w:rPr>
        <w:t>7.3 中标通知</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7.3.1 评标公示后，在本章第3.3 款规定的投标有效期内，招标人以书面形式向中标人发出中标通知书，中标通知书发出前须经广州公共资源交易中心盖章确认。</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7.3.2 招标人应当自确定中标人后，向招投标监管机构提交招标投标情况的书面报告；经招投标监管机构备案后，方可发出中标通知书。中标通知书由招标人颁发，并经广州公共资源交易中心确认。</w:t>
      </w:r>
    </w:p>
    <w:p>
      <w:pPr>
        <w:pStyle w:val="5"/>
        <w:rPr>
          <w:rFonts w:hint="eastAsia" w:ascii="宋体" w:eastAsia="宋体" w:cs="宋体"/>
          <w:color w:val="auto"/>
          <w:highlight w:val="none"/>
        </w:rPr>
      </w:pPr>
      <w:bookmarkStart w:id="670" w:name="_Toc13919"/>
      <w:bookmarkStart w:id="671" w:name="_Toc14852"/>
      <w:bookmarkStart w:id="672" w:name="_Toc29014"/>
      <w:bookmarkStart w:id="673" w:name="_Toc247527594"/>
      <w:bookmarkStart w:id="674" w:name="_Toc152042345"/>
      <w:bookmarkStart w:id="675" w:name="_Toc6262"/>
      <w:bookmarkStart w:id="676" w:name="_Toc2240"/>
      <w:bookmarkStart w:id="677" w:name="_Toc26813"/>
      <w:bookmarkStart w:id="678" w:name="_Toc16099"/>
      <w:bookmarkStart w:id="679" w:name="_Toc247513993"/>
      <w:bookmarkStart w:id="680" w:name="_Toc22838"/>
      <w:bookmarkStart w:id="681" w:name="_Toc300834992"/>
      <w:bookmarkStart w:id="682" w:name="_Toc152045569"/>
      <w:bookmarkStart w:id="683" w:name="_Toc490141057"/>
      <w:bookmarkStart w:id="684" w:name="_Toc144974537"/>
      <w:r>
        <w:rPr>
          <w:rFonts w:hint="eastAsia" w:ascii="宋体" w:eastAsia="宋体" w:cs="宋体"/>
          <w:color w:val="auto"/>
          <w:highlight w:val="none"/>
        </w:rPr>
        <w:t>7.4 履约担保</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7.4.1 中标人应按投标人须知前附表规定的担保形式和招标文件第四章“合同条款及格式”规定的或者事先经过招标人书面认可的履约担保格式向招标人提交履约担保，履约担保若以银行保函的形式提供，</w:t>
      </w:r>
      <w:r>
        <w:rPr>
          <w:rFonts w:hint="eastAsia" w:ascii="宋体" w:hAnsi="宋体" w:cs="宋体"/>
          <w:color w:val="auto"/>
          <w:highlight w:val="none"/>
          <w:u w:val="single"/>
        </w:rPr>
        <w:t>则该银行保函是在中国境内银行开具的不可撤销银行保函</w:t>
      </w:r>
      <w:r>
        <w:rPr>
          <w:rFonts w:hint="eastAsia" w:ascii="宋体" w:hAnsi="宋体" w:eastAsia="宋体" w:cs="宋体"/>
          <w:color w:val="auto"/>
          <w:highlight w:val="none"/>
          <w:u w:val="single"/>
        </w:rPr>
        <w:t>。如发现承包人提供虚假银行保函，发包人将取消其中标资格，并追究法律责任。除投标人须知前附表另有规定外，履约担保金额为中标合同金额的</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%。联合体中标的，其履约担保由联合体中主办方的名义提交。</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7.4.2 中标人不能按本章第7.4.1项要求提交履约担保的，视为放弃中标，</w:t>
      </w:r>
      <w:r>
        <w:rPr>
          <w:rFonts w:hint="eastAsia" w:ascii="宋体" w:hAnsi="宋体" w:eastAsia="宋体" w:cs="宋体"/>
          <w:strike w:val="0"/>
          <w:color w:val="auto"/>
          <w:highlight w:val="none"/>
          <w:u w:val="single"/>
        </w:rPr>
        <w:t>其投标保证金不予退还</w:t>
      </w:r>
      <w:r>
        <w:rPr>
          <w:rFonts w:hint="eastAsia" w:ascii="宋体" w:hAnsi="宋体" w:eastAsia="宋体" w:cs="宋体"/>
          <w:strike/>
          <w:color w:val="auto"/>
          <w:highlight w:val="none"/>
          <w:u w:val="single"/>
        </w:rPr>
        <w:t>，</w:t>
      </w:r>
      <w:r>
        <w:rPr>
          <w:rFonts w:hint="eastAsia" w:ascii="宋体" w:hAnsi="宋体" w:eastAsia="宋体" w:cs="宋体"/>
          <w:color w:val="auto"/>
          <w:highlight w:val="none"/>
          <w:u w:val="single"/>
        </w:rPr>
        <w:t>给招标人造成的损</w:t>
      </w:r>
      <w:r>
        <w:rPr>
          <w:rFonts w:hint="eastAsia" w:ascii="宋体" w:hAnsi="宋体" w:eastAsia="宋体" w:cs="宋体"/>
          <w:strike w:val="0"/>
          <w:dstrike w:val="0"/>
          <w:color w:val="auto"/>
          <w:highlight w:val="none"/>
          <w:u w:val="single"/>
        </w:rPr>
        <w:t>失超过投标保证金数额的，</w:t>
      </w:r>
      <w:r>
        <w:rPr>
          <w:rFonts w:hint="eastAsia" w:ascii="宋体" w:hAnsi="宋体" w:eastAsia="宋体" w:cs="宋体"/>
          <w:color w:val="auto"/>
          <w:highlight w:val="none"/>
          <w:u w:val="single"/>
        </w:rPr>
        <w:t>中标人还应当</w:t>
      </w:r>
      <w:r>
        <w:rPr>
          <w:rFonts w:hint="eastAsia" w:ascii="宋体" w:hAnsi="宋体" w:eastAsia="宋体" w:cs="宋体"/>
          <w:color w:val="auto"/>
          <w:highlight w:val="none"/>
          <w:u w:val="single"/>
          <w:lang w:eastAsia="zh-CN"/>
        </w:rPr>
        <w:t>依法</w:t>
      </w:r>
      <w:r>
        <w:rPr>
          <w:rFonts w:hint="eastAsia" w:ascii="宋体" w:hAnsi="宋体" w:eastAsia="宋体" w:cs="宋体"/>
          <w:color w:val="auto"/>
          <w:highlight w:val="none"/>
          <w:u w:val="single"/>
        </w:rPr>
        <w:t>予以赔偿。</w:t>
      </w:r>
    </w:p>
    <w:p>
      <w:pPr>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7.4.3相关要求按合同条款执行。</w:t>
      </w:r>
    </w:p>
    <w:p>
      <w:pPr>
        <w:pStyle w:val="5"/>
        <w:rPr>
          <w:rFonts w:hint="eastAsia" w:ascii="宋体" w:eastAsia="宋体" w:cs="宋体"/>
          <w:color w:val="auto"/>
          <w:highlight w:val="none"/>
        </w:rPr>
      </w:pPr>
      <w:bookmarkStart w:id="685" w:name="_Toc247527595"/>
      <w:bookmarkStart w:id="686" w:name="_Toc5220"/>
      <w:bookmarkStart w:id="687" w:name="_Toc17360"/>
      <w:bookmarkStart w:id="688" w:name="_Toc8137"/>
      <w:bookmarkStart w:id="689" w:name="_Toc247513994"/>
      <w:bookmarkStart w:id="690" w:name="_Toc152042346"/>
      <w:bookmarkStart w:id="691" w:name="_Toc21116"/>
      <w:bookmarkStart w:id="692" w:name="_Toc14095"/>
      <w:bookmarkStart w:id="693" w:name="_Toc12825"/>
      <w:bookmarkStart w:id="694" w:name="_Toc144974538"/>
      <w:bookmarkStart w:id="695" w:name="_Toc490141058"/>
      <w:bookmarkStart w:id="696" w:name="_Toc300834993"/>
      <w:bookmarkStart w:id="697" w:name="_Toc152045570"/>
      <w:bookmarkStart w:id="698" w:name="_Toc17963"/>
      <w:bookmarkStart w:id="699" w:name="_Toc27052"/>
      <w:r>
        <w:rPr>
          <w:rFonts w:hint="eastAsia" w:ascii="宋体" w:eastAsia="宋体" w:cs="宋体"/>
          <w:color w:val="auto"/>
          <w:highlight w:val="none"/>
        </w:rPr>
        <w:t>7.5 签订合同</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7.5.1 招标人和中标人应当自中标通知书发出之日起30天内，根据招标文件和中标人的投标文件订立书面合同。中标人无正当理由拒签合同的，招标人取消其中标资</w:t>
      </w:r>
      <w:r>
        <w:rPr>
          <w:rFonts w:hint="eastAsia" w:ascii="宋体" w:hAnsi="宋体" w:eastAsia="宋体" w:cs="宋体"/>
          <w:strike w:val="0"/>
          <w:dstrike w:val="0"/>
          <w:color w:val="auto"/>
          <w:highlight w:val="none"/>
        </w:rPr>
        <w:t>格，</w:t>
      </w:r>
      <w:r>
        <w:rPr>
          <w:rFonts w:hint="eastAsia" w:ascii="宋体" w:hAnsi="宋体" w:eastAsia="宋体" w:cs="宋体"/>
          <w:strike w:val="0"/>
          <w:dstrike w:val="0"/>
          <w:color w:val="auto"/>
          <w:highlight w:val="none"/>
          <w:u w:val="single"/>
        </w:rPr>
        <w:t>其投标保证金不予退还，给招标人造成的损失超过投标保证金数额的，中标人还应当</w:t>
      </w:r>
      <w:r>
        <w:rPr>
          <w:rFonts w:hint="eastAsia" w:ascii="宋体" w:hAnsi="宋体" w:eastAsia="宋体" w:cs="宋体"/>
          <w:strike w:val="0"/>
          <w:dstrike w:val="0"/>
          <w:color w:val="auto"/>
          <w:highlight w:val="none"/>
          <w:u w:val="single"/>
          <w:lang w:eastAsia="zh-CN"/>
        </w:rPr>
        <w:t>依法</w:t>
      </w:r>
      <w:r>
        <w:rPr>
          <w:rFonts w:hint="eastAsia" w:ascii="宋体" w:hAnsi="宋体" w:eastAsia="宋体" w:cs="宋体"/>
          <w:strike w:val="0"/>
          <w:dstrike w:val="0"/>
          <w:color w:val="auto"/>
          <w:highlight w:val="none"/>
          <w:u w:val="single"/>
        </w:rPr>
        <w:t>予以赔</w:t>
      </w:r>
      <w:r>
        <w:rPr>
          <w:rFonts w:hint="eastAsia" w:ascii="宋体" w:hAnsi="宋体" w:eastAsia="宋体" w:cs="宋体"/>
          <w:color w:val="auto"/>
          <w:highlight w:val="none"/>
          <w:u w:val="single"/>
        </w:rPr>
        <w:t>偿</w:t>
      </w:r>
      <w:r>
        <w:rPr>
          <w:rFonts w:hint="eastAsia" w:ascii="宋体" w:hAnsi="宋体" w:eastAsia="宋体" w:cs="宋体"/>
          <w:color w:val="auto"/>
          <w:highlight w:val="none"/>
        </w:rPr>
        <w:t>。</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7.5.2 发出中标通知书后，招标人无正当理由拒签合同</w:t>
      </w:r>
      <w:r>
        <w:rPr>
          <w:rFonts w:hint="eastAsia" w:ascii="宋体" w:hAnsi="宋体" w:eastAsia="宋体" w:cs="宋体"/>
          <w:strike w:val="0"/>
          <w:dstrike w:val="0"/>
          <w:color w:val="auto"/>
          <w:highlight w:val="none"/>
        </w:rPr>
        <w:t>的，招标人向中标人退还投标保证金；</w:t>
      </w:r>
      <w:r>
        <w:rPr>
          <w:rFonts w:hint="eastAsia" w:ascii="宋体" w:hAnsi="宋体" w:eastAsia="宋体" w:cs="宋体"/>
          <w:color w:val="auto"/>
          <w:highlight w:val="none"/>
        </w:rPr>
        <w:t>给中标人造成损失的，还应当赔偿损失。</w:t>
      </w:r>
    </w:p>
    <w:p>
      <w:pPr>
        <w:pStyle w:val="4"/>
        <w:rPr>
          <w:rFonts w:hint="eastAsia" w:ascii="宋体" w:hAnsi="宋体" w:eastAsia="宋体" w:cs="宋体"/>
          <w:color w:val="auto"/>
          <w:highlight w:val="none"/>
        </w:rPr>
      </w:pPr>
      <w:bookmarkStart w:id="700" w:name="_Toc144974539"/>
      <w:bookmarkStart w:id="701" w:name="_Toc152045571"/>
      <w:bookmarkStart w:id="702" w:name="_Toc247513995"/>
      <w:bookmarkStart w:id="703" w:name="_Toc247527596"/>
      <w:bookmarkStart w:id="704" w:name="_Toc152042347"/>
      <w:bookmarkStart w:id="705" w:name="_Toc490141059"/>
      <w:bookmarkStart w:id="706" w:name="_Toc5006"/>
      <w:bookmarkStart w:id="707" w:name="_Toc7104"/>
      <w:bookmarkStart w:id="708" w:name="_Toc3080"/>
      <w:bookmarkStart w:id="709" w:name="_Toc24208"/>
      <w:bookmarkStart w:id="710" w:name="_Toc300834994"/>
      <w:bookmarkStart w:id="711" w:name="_Toc27652"/>
      <w:bookmarkStart w:id="712" w:name="_Toc18961"/>
      <w:bookmarkStart w:id="713" w:name="_Toc1819"/>
      <w:bookmarkStart w:id="714" w:name="_Toc6189"/>
      <w:r>
        <w:rPr>
          <w:rFonts w:hint="eastAsia" w:ascii="宋体" w:hAnsi="宋体" w:eastAsia="宋体" w:cs="宋体"/>
          <w:color w:val="auto"/>
          <w:highlight w:val="none"/>
        </w:rPr>
        <w:t>8.</w:t>
      </w:r>
      <w:bookmarkEnd w:id="700"/>
      <w:bookmarkEnd w:id="701"/>
      <w:bookmarkEnd w:id="702"/>
      <w:bookmarkEnd w:id="703"/>
      <w:bookmarkEnd w:id="704"/>
      <w:bookmarkStart w:id="715" w:name="_Toc247513998"/>
      <w:bookmarkStart w:id="716" w:name="_Toc152045574"/>
      <w:bookmarkStart w:id="717" w:name="_Toc152042350"/>
      <w:bookmarkStart w:id="718" w:name="_Toc144974542"/>
      <w:bookmarkStart w:id="719" w:name="_Toc247527599"/>
      <w:r>
        <w:rPr>
          <w:rFonts w:hint="eastAsia" w:ascii="宋体" w:hAnsi="宋体" w:eastAsia="宋体" w:cs="宋体"/>
          <w:color w:val="auto"/>
          <w:highlight w:val="none"/>
        </w:rPr>
        <w:t>纪律和监督</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5"/>
        <w:rPr>
          <w:rFonts w:hint="eastAsia" w:ascii="宋体" w:eastAsia="宋体" w:cs="宋体"/>
          <w:color w:val="auto"/>
          <w:highlight w:val="none"/>
        </w:rPr>
      </w:pPr>
      <w:bookmarkStart w:id="720" w:name="_Toc247527600"/>
      <w:bookmarkStart w:id="721" w:name="_Toc300834995"/>
      <w:bookmarkStart w:id="722" w:name="_Toc7513"/>
      <w:bookmarkStart w:id="723" w:name="_Toc490141060"/>
      <w:bookmarkStart w:id="724" w:name="_Toc144974543"/>
      <w:bookmarkStart w:id="725" w:name="_Toc22388"/>
      <w:bookmarkStart w:id="726" w:name="_Toc152045575"/>
      <w:bookmarkStart w:id="727" w:name="_Toc13879"/>
      <w:bookmarkStart w:id="728" w:name="_Toc22738"/>
      <w:bookmarkStart w:id="729" w:name="_Toc152042351"/>
      <w:bookmarkStart w:id="730" w:name="_Toc247513999"/>
      <w:bookmarkStart w:id="731" w:name="_Toc27050"/>
      <w:bookmarkStart w:id="732" w:name="_Toc32569"/>
      <w:bookmarkStart w:id="733" w:name="_Toc15178"/>
      <w:bookmarkStart w:id="734" w:name="_Toc15792"/>
      <w:r>
        <w:rPr>
          <w:rFonts w:hint="eastAsia" w:ascii="宋体" w:eastAsia="宋体" w:cs="宋体"/>
          <w:color w:val="auto"/>
          <w:highlight w:val="none"/>
        </w:rPr>
        <w:t>8.1 对招标人的纪律要求</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pPr>
        <w:pStyle w:val="5"/>
        <w:rPr>
          <w:rFonts w:hint="eastAsia" w:ascii="宋体" w:eastAsia="宋体" w:cs="宋体"/>
          <w:color w:val="auto"/>
          <w:highlight w:val="none"/>
        </w:rPr>
      </w:pPr>
      <w:bookmarkStart w:id="735" w:name="_Toc31880"/>
      <w:bookmarkStart w:id="736" w:name="_Toc152042352"/>
      <w:bookmarkStart w:id="737" w:name="_Toc20530"/>
      <w:bookmarkStart w:id="738" w:name="_Toc31828"/>
      <w:bookmarkStart w:id="739" w:name="_Toc247514000"/>
      <w:bookmarkStart w:id="740" w:name="_Toc490141061"/>
      <w:bookmarkStart w:id="741" w:name="_Toc7879"/>
      <w:bookmarkStart w:id="742" w:name="_Toc144974544"/>
      <w:bookmarkStart w:id="743" w:name="_Toc14942"/>
      <w:bookmarkStart w:id="744" w:name="_Toc26587"/>
      <w:bookmarkStart w:id="745" w:name="_Toc19057"/>
      <w:bookmarkStart w:id="746" w:name="_Toc300834996"/>
      <w:bookmarkStart w:id="747" w:name="_Toc152045576"/>
      <w:bookmarkStart w:id="748" w:name="_Toc247527601"/>
      <w:bookmarkStart w:id="749" w:name="_Toc4332"/>
      <w:r>
        <w:rPr>
          <w:rFonts w:hint="eastAsia" w:ascii="宋体" w:eastAsia="宋体" w:cs="宋体"/>
          <w:color w:val="auto"/>
          <w:highlight w:val="none"/>
        </w:rPr>
        <w:t>8.2 对投标人的纪律要求</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hint="eastAsia" w:ascii="宋体" w:eastAsia="宋体" w:cs="宋体"/>
          <w:color w:val="auto"/>
          <w:highlight w:val="none"/>
        </w:rPr>
      </w:pPr>
      <w:bookmarkStart w:id="750" w:name="_Toc17070"/>
      <w:bookmarkStart w:id="751" w:name="_Toc17347"/>
      <w:bookmarkStart w:id="752" w:name="_Toc402"/>
      <w:bookmarkStart w:id="753" w:name="_Toc152045577"/>
      <w:bookmarkStart w:id="754" w:name="_Toc152042353"/>
      <w:bookmarkStart w:id="755" w:name="_Toc300834997"/>
      <w:bookmarkStart w:id="756" w:name="_Toc490141062"/>
      <w:bookmarkStart w:id="757" w:name="_Toc144974545"/>
      <w:bookmarkStart w:id="758" w:name="_Toc247527602"/>
      <w:bookmarkStart w:id="759" w:name="_Toc15492"/>
      <w:bookmarkStart w:id="760" w:name="_Toc15857"/>
      <w:bookmarkStart w:id="761" w:name="_Toc9880"/>
      <w:bookmarkStart w:id="762" w:name="_Toc247514001"/>
      <w:bookmarkStart w:id="763" w:name="_Toc21624"/>
      <w:bookmarkStart w:id="764" w:name="_Toc11809"/>
      <w:r>
        <w:rPr>
          <w:rFonts w:hint="eastAsia" w:ascii="宋体" w:eastAsia="宋体" w:cs="宋体"/>
          <w:color w:val="auto"/>
          <w:highlight w:val="none"/>
        </w:rPr>
        <w:t>8.3 对评标委员会成员的纪律要求</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rFonts w:hint="eastAsia" w:ascii="宋体" w:eastAsia="宋体" w:cs="宋体"/>
          <w:color w:val="auto"/>
          <w:highlight w:val="none"/>
        </w:rPr>
      </w:pPr>
      <w:bookmarkStart w:id="765" w:name="_Toc490141063"/>
      <w:bookmarkStart w:id="766" w:name="_Toc21492"/>
      <w:bookmarkStart w:id="767" w:name="_Toc300834998"/>
      <w:bookmarkStart w:id="768" w:name="_Toc152045578"/>
      <w:bookmarkStart w:id="769" w:name="_Toc1194"/>
      <w:bookmarkStart w:id="770" w:name="_Toc14210"/>
      <w:bookmarkStart w:id="771" w:name="_Toc29753"/>
      <w:bookmarkStart w:id="772" w:name="_Toc30457"/>
      <w:bookmarkStart w:id="773" w:name="_Toc10968"/>
      <w:bookmarkStart w:id="774" w:name="_Toc23511"/>
      <w:bookmarkStart w:id="775" w:name="_Toc152042354"/>
      <w:bookmarkStart w:id="776" w:name="_Toc247527603"/>
      <w:bookmarkStart w:id="777" w:name="_Toc247514002"/>
      <w:bookmarkStart w:id="778" w:name="_Toc15170"/>
      <w:bookmarkStart w:id="779" w:name="_Toc144974546"/>
      <w:r>
        <w:rPr>
          <w:rFonts w:hint="eastAsia" w:ascii="宋体" w:eastAsia="宋体" w:cs="宋体"/>
          <w:color w:val="auto"/>
          <w:highlight w:val="none"/>
        </w:rPr>
        <w:t>8.4 对与评标活动有关的工作人员的纪律要求</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400" w:lineRule="exact"/>
        <w:ind w:firstLine="420" w:firstLineChars="200"/>
        <w:rPr>
          <w:rFonts w:hint="eastAsia" w:ascii="宋体" w:hAnsi="宋体" w:eastAsia="宋体" w:cs="宋体"/>
          <w:color w:val="auto"/>
          <w:highlight w:val="none"/>
        </w:rPr>
      </w:pPr>
      <w:bookmarkStart w:id="780" w:name="_Toc152042355"/>
      <w:r>
        <w:rPr>
          <w:rFonts w:hint="eastAsia" w:ascii="宋体" w:hAnsi="宋体" w:eastAsia="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80"/>
    </w:p>
    <w:p>
      <w:pPr>
        <w:pStyle w:val="5"/>
        <w:rPr>
          <w:rFonts w:hint="eastAsia" w:ascii="宋体" w:eastAsia="宋体" w:cs="宋体"/>
          <w:color w:val="auto"/>
          <w:highlight w:val="none"/>
        </w:rPr>
      </w:pPr>
      <w:bookmarkStart w:id="781" w:name="_Toc6099"/>
      <w:bookmarkStart w:id="782" w:name="_Toc1588"/>
      <w:bookmarkStart w:id="783" w:name="_Toc11104"/>
      <w:bookmarkStart w:id="784" w:name="_Toc247527604"/>
      <w:bookmarkStart w:id="785" w:name="_Toc300834999"/>
      <w:bookmarkStart w:id="786" w:name="_Toc18798"/>
      <w:bookmarkStart w:id="787" w:name="_Toc490141064"/>
      <w:bookmarkStart w:id="788" w:name="_Toc152045579"/>
      <w:bookmarkStart w:id="789" w:name="_Toc9764"/>
      <w:bookmarkStart w:id="790" w:name="_Toc247514003"/>
      <w:bookmarkStart w:id="791" w:name="_Toc26570"/>
      <w:bookmarkStart w:id="792" w:name="_Toc152042356"/>
      <w:bookmarkStart w:id="793" w:name="_Toc21044"/>
      <w:bookmarkStart w:id="794" w:name="_Toc19195"/>
      <w:r>
        <w:rPr>
          <w:rFonts w:hint="eastAsia" w:ascii="宋体" w:eastAsia="宋体" w:cs="宋体"/>
          <w:color w:val="auto"/>
          <w:highlight w:val="none"/>
        </w:rPr>
        <w:t>8.5 投诉</w:t>
      </w:r>
      <w:bookmarkEnd w:id="779"/>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投标人和其他利害关系人认为本次招标活动违反法律、法规和规章规定的，有权向有关行政监督部门投诉。</w:t>
      </w:r>
    </w:p>
    <w:p>
      <w:pPr>
        <w:pStyle w:val="4"/>
        <w:rPr>
          <w:rFonts w:hint="eastAsia" w:ascii="宋体" w:hAnsi="宋体" w:eastAsia="宋体" w:cs="宋体"/>
          <w:color w:val="auto"/>
          <w:highlight w:val="none"/>
        </w:rPr>
      </w:pPr>
      <w:bookmarkStart w:id="795" w:name="_Toc490141065"/>
      <w:bookmarkStart w:id="796" w:name="_Toc11552"/>
      <w:bookmarkStart w:id="797" w:name="_Toc300835000"/>
      <w:bookmarkStart w:id="798" w:name="_Toc29474"/>
      <w:bookmarkStart w:id="799" w:name="_Toc152042357"/>
      <w:bookmarkStart w:id="800" w:name="_Toc15576"/>
      <w:bookmarkStart w:id="801" w:name="_Toc247514004"/>
      <w:bookmarkStart w:id="802" w:name="_Toc27752"/>
      <w:bookmarkStart w:id="803" w:name="_Toc28094"/>
      <w:bookmarkStart w:id="804" w:name="_Toc22887"/>
      <w:bookmarkStart w:id="805" w:name="_Toc144974547"/>
      <w:bookmarkStart w:id="806" w:name="_Toc247527605"/>
      <w:bookmarkStart w:id="807" w:name="_Toc32584"/>
      <w:bookmarkStart w:id="808" w:name="_Toc152045580"/>
      <w:bookmarkStart w:id="809" w:name="_Toc25605"/>
      <w:r>
        <w:rPr>
          <w:rFonts w:hint="eastAsia" w:ascii="宋体" w:hAnsi="宋体" w:eastAsia="宋体" w:cs="宋体"/>
          <w:color w:val="auto"/>
          <w:highlight w:val="none"/>
        </w:rPr>
        <w:t>9. 需要补充的其他内容</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pPr>
        <w:pStyle w:val="4"/>
        <w:rPr>
          <w:rFonts w:hint="eastAsia" w:ascii="宋体" w:hAnsi="宋体" w:eastAsia="宋体" w:cs="宋体"/>
          <w:color w:val="auto"/>
          <w:highlight w:val="none"/>
        </w:rPr>
      </w:pPr>
      <w:bookmarkStart w:id="810" w:name="_Toc30130"/>
      <w:bookmarkStart w:id="811" w:name="_Toc14252"/>
      <w:bookmarkStart w:id="812" w:name="_Toc300835001"/>
      <w:bookmarkStart w:id="813" w:name="_Toc490141066"/>
      <w:bookmarkStart w:id="814" w:name="_Toc21867"/>
      <w:bookmarkStart w:id="815" w:name="_Toc2682"/>
      <w:bookmarkStart w:id="816" w:name="_Toc21360"/>
      <w:bookmarkStart w:id="817" w:name="_Toc4836"/>
      <w:bookmarkStart w:id="818" w:name="_Toc11321"/>
      <w:bookmarkStart w:id="819" w:name="_Toc125"/>
      <w:r>
        <w:rPr>
          <w:rFonts w:hint="eastAsia" w:ascii="宋体" w:hAnsi="宋体" w:eastAsia="宋体" w:cs="宋体"/>
          <w:color w:val="auto"/>
          <w:highlight w:val="none"/>
        </w:rPr>
        <w:t>10. 电子招标投标</w:t>
      </w:r>
      <w:bookmarkEnd w:id="810"/>
      <w:bookmarkEnd w:id="811"/>
      <w:bookmarkEnd w:id="812"/>
      <w:bookmarkEnd w:id="813"/>
      <w:bookmarkEnd w:id="814"/>
      <w:bookmarkEnd w:id="815"/>
      <w:bookmarkEnd w:id="816"/>
      <w:bookmarkEnd w:id="817"/>
      <w:bookmarkEnd w:id="818"/>
      <w:bookmarkEnd w:id="819"/>
    </w:p>
    <w:p>
      <w:pPr>
        <w:spacing w:line="400" w:lineRule="exact"/>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highlight w:val="none"/>
        </w:rPr>
        <w:t>本项目采用电子招标投标。</w:t>
      </w:r>
      <w:r>
        <w:rPr>
          <w:rFonts w:hint="eastAsia" w:ascii="宋体" w:hAnsi="宋体" w:eastAsia="宋体" w:cs="宋体"/>
          <w:color w:val="auto"/>
          <w:highlight w:val="none"/>
          <w:u w:val="single"/>
        </w:rPr>
        <w:t>具体要求见投标人须知前附表</w:t>
      </w:r>
      <w:r>
        <w:rPr>
          <w:rFonts w:hint="eastAsia" w:ascii="宋体" w:hAnsi="宋体" w:eastAsia="宋体" w:cs="宋体"/>
          <w:color w:val="auto"/>
          <w:szCs w:val="21"/>
          <w:highlight w:val="none"/>
          <w:shd w:val="clear" w:color="auto" w:fill="FFFFFF"/>
        </w:rPr>
        <w:t>。</w:t>
      </w:r>
    </w:p>
    <w:p>
      <w:pPr>
        <w:spacing w:line="400" w:lineRule="exact"/>
        <w:ind w:firstLine="420" w:firstLineChars="200"/>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highlight w:val="none"/>
        </w:rPr>
        <w:sectPr>
          <w:footerReference r:id="rId5" w:type="default"/>
          <w:pgSz w:w="11906" w:h="16838"/>
          <w:pgMar w:top="1247" w:right="1134" w:bottom="1247" w:left="1361" w:header="851" w:footer="992" w:gutter="0"/>
          <w:cols w:space="720" w:num="1"/>
          <w:docGrid w:type="lines" w:linePitch="312" w:charSpace="0"/>
        </w:sectPr>
      </w:pPr>
    </w:p>
    <w:p>
      <w:pPr>
        <w:pStyle w:val="5"/>
        <w:rPr>
          <w:rFonts w:hint="eastAsia" w:ascii="宋体" w:eastAsia="宋体" w:cs="宋体"/>
          <w:color w:val="auto"/>
          <w:highlight w:val="none"/>
        </w:rPr>
      </w:pPr>
      <w:bookmarkStart w:id="820" w:name="_Toc32753"/>
      <w:bookmarkStart w:id="821" w:name="_Toc144974548"/>
      <w:bookmarkStart w:id="822" w:name="_Toc29517"/>
      <w:bookmarkStart w:id="823" w:name="_Toc32210"/>
      <w:bookmarkStart w:id="824" w:name="_Toc15442"/>
      <w:bookmarkStart w:id="825" w:name="_Toc300835002"/>
      <w:bookmarkStart w:id="826" w:name="_Toc2797"/>
      <w:bookmarkStart w:id="827" w:name="_Toc152045581"/>
      <w:bookmarkStart w:id="828" w:name="_Toc152042358"/>
      <w:bookmarkStart w:id="829" w:name="_Toc247527606"/>
      <w:bookmarkStart w:id="830" w:name="_Toc8334"/>
      <w:bookmarkStart w:id="831" w:name="_Toc490141067"/>
      <w:bookmarkStart w:id="832" w:name="_Toc9735"/>
      <w:bookmarkStart w:id="833" w:name="_Toc247514005"/>
      <w:bookmarkStart w:id="834" w:name="_Toc19905"/>
      <w:r>
        <w:rPr>
          <w:rFonts w:hint="eastAsia" w:ascii="宋体" w:eastAsia="宋体" w:cs="宋体"/>
          <w:color w:val="auto"/>
          <w:highlight w:val="none"/>
        </w:rPr>
        <w:t>附表：开标记录表</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开标记录表</w:t>
      </w:r>
    </w:p>
    <w:p>
      <w:pPr>
        <w:spacing w:line="400" w:lineRule="exact"/>
        <w:ind w:right="420"/>
        <w:jc w:val="left"/>
        <w:rPr>
          <w:rFonts w:hint="eastAsia" w:ascii="宋体" w:hAnsi="宋体" w:eastAsia="宋体" w:cs="宋体"/>
          <w:color w:val="auto"/>
          <w:highlight w:val="none"/>
        </w:rPr>
      </w:pPr>
      <w:r>
        <w:rPr>
          <w:rFonts w:hint="eastAsia" w:ascii="宋体" w:hAnsi="宋体" w:eastAsia="宋体" w:cs="宋体"/>
          <w:color w:val="auto"/>
          <w:szCs w:val="21"/>
          <w:highlight w:val="none"/>
        </w:rPr>
        <w:t>项目名称：</w:t>
      </w:r>
    </w:p>
    <w:tbl>
      <w:tblPr>
        <w:tblStyle w:val="40"/>
        <w:tblW w:w="4996" w:type="pct"/>
        <w:jc w:val="center"/>
        <w:tblLayout w:type="autofit"/>
        <w:tblCellMar>
          <w:top w:w="0" w:type="dxa"/>
          <w:left w:w="108" w:type="dxa"/>
          <w:bottom w:w="0" w:type="dxa"/>
          <w:right w:w="108" w:type="dxa"/>
        </w:tblCellMar>
      </w:tblPr>
      <w:tblGrid>
        <w:gridCol w:w="431"/>
        <w:gridCol w:w="894"/>
        <w:gridCol w:w="886"/>
        <w:gridCol w:w="886"/>
        <w:gridCol w:w="862"/>
        <w:gridCol w:w="836"/>
        <w:gridCol w:w="839"/>
        <w:gridCol w:w="839"/>
        <w:gridCol w:w="839"/>
        <w:gridCol w:w="1069"/>
        <w:gridCol w:w="1069"/>
        <w:gridCol w:w="1069"/>
        <w:gridCol w:w="1069"/>
        <w:gridCol w:w="705"/>
        <w:gridCol w:w="705"/>
        <w:gridCol w:w="1018"/>
        <w:gridCol w:w="531"/>
      </w:tblGrid>
      <w:tr>
        <w:tblPrEx>
          <w:tblCellMar>
            <w:top w:w="0" w:type="dxa"/>
            <w:left w:w="108" w:type="dxa"/>
            <w:bottom w:w="0" w:type="dxa"/>
            <w:right w:w="108" w:type="dxa"/>
          </w:tblCellMar>
        </w:tblPrEx>
        <w:trPr>
          <w:trHeight w:val="90"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投标单位名称</w:t>
            </w: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cs="宋体"/>
                <w:color w:val="auto"/>
                <w:kern w:val="1"/>
                <w:sz w:val="18"/>
                <w:szCs w:val="18"/>
                <w:highlight w:val="none"/>
              </w:rPr>
            </w:pPr>
            <w:r>
              <w:rPr>
                <w:rFonts w:hint="eastAsia" w:ascii="宋体" w:hAnsi="宋体" w:cs="宋体"/>
                <w:color w:val="auto"/>
                <w:sz w:val="18"/>
                <w:szCs w:val="18"/>
                <w:highlight w:val="none"/>
              </w:rPr>
              <w:t>投标文件递交情况</w:t>
            </w: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color w:val="auto"/>
                <w:sz w:val="18"/>
                <w:szCs w:val="18"/>
                <w:highlight w:val="none"/>
              </w:rPr>
              <w:t>投标文件解密情况</w:t>
            </w:r>
          </w:p>
        </w:tc>
        <w:tc>
          <w:tcPr>
            <w:tcW w:w="296" w:type="pct"/>
            <w:tcBorders>
              <w:top w:val="single" w:color="000000" w:sz="4" w:space="0"/>
              <w:left w:val="single" w:color="000000" w:sz="4" w:space="0"/>
              <w:right w:val="single" w:color="auto" w:sz="4" w:space="0"/>
            </w:tcBorders>
            <w:noWrap w:val="0"/>
            <w:vAlign w:val="center"/>
          </w:tcPr>
          <w:p>
            <w:pPr>
              <w:shd w:val="clear" w:color="auto" w:fill="auto"/>
              <w:jc w:val="center"/>
              <w:rPr>
                <w:rFonts w:ascii="宋体" w:hAnsi="宋体" w:cs="宋体"/>
                <w:strike w:val="0"/>
                <w:color w:val="auto"/>
                <w:kern w:val="1"/>
                <w:sz w:val="18"/>
                <w:szCs w:val="18"/>
                <w:highlight w:val="none"/>
              </w:rPr>
            </w:pPr>
            <w:r>
              <w:rPr>
                <w:rFonts w:hint="eastAsia" w:ascii="宋体" w:hAnsi="宋体" w:cs="宋体"/>
                <w:strike w:val="0"/>
                <w:color w:val="auto"/>
                <w:sz w:val="18"/>
                <w:szCs w:val="18"/>
                <w:highlight w:val="none"/>
              </w:rPr>
              <w:t>投标保证金金额</w:t>
            </w:r>
          </w:p>
        </w:tc>
        <w:tc>
          <w:tcPr>
            <w:tcW w:w="287" w:type="pct"/>
            <w:tcBorders>
              <w:top w:val="single" w:color="000000" w:sz="4" w:space="0"/>
              <w:left w:val="single" w:color="000000" w:sz="4" w:space="0"/>
              <w:right w:val="single" w:color="auto" w:sz="4" w:space="0"/>
            </w:tcBorders>
            <w:noWrap w:val="0"/>
            <w:vAlign w:val="center"/>
          </w:tcPr>
          <w:p>
            <w:pPr>
              <w:shd w:val="clear" w:color="auto" w:fill="auto"/>
              <w:jc w:val="center"/>
              <w:rPr>
                <w:strike w:val="0"/>
                <w:color w:val="auto"/>
                <w:sz w:val="18"/>
                <w:szCs w:val="18"/>
                <w:highlight w:val="none"/>
              </w:rPr>
            </w:pPr>
            <w:r>
              <w:rPr>
                <w:rFonts w:hint="eastAsia"/>
                <w:strike w:val="0"/>
                <w:color w:val="auto"/>
                <w:sz w:val="18"/>
                <w:szCs w:val="18"/>
                <w:highlight w:val="none"/>
              </w:rPr>
              <w:t>投标保证金递交情况</w:t>
            </w:r>
          </w:p>
        </w:tc>
        <w:tc>
          <w:tcPr>
            <w:tcW w:w="288" w:type="pct"/>
            <w:tcBorders>
              <w:top w:val="single" w:color="000000" w:sz="4" w:space="0"/>
              <w:left w:val="single" w:color="000000" w:sz="4" w:space="0"/>
              <w:right w:val="single" w:color="auto" w:sz="4" w:space="0"/>
            </w:tcBorders>
            <w:noWrap w:val="0"/>
            <w:vAlign w:val="center"/>
          </w:tcPr>
          <w:p>
            <w:pPr>
              <w:shd w:val="clear" w:color="auto" w:fill="auto"/>
              <w:jc w:val="center"/>
              <w:rPr>
                <w:rFonts w:hint="eastAsia" w:ascii="宋体" w:hAnsi="宋体" w:eastAsia="宋体" w:cs="宋体"/>
                <w:color w:val="auto"/>
                <w:kern w:val="1"/>
                <w:sz w:val="18"/>
                <w:szCs w:val="18"/>
                <w:highlight w:val="none"/>
                <w:lang w:eastAsia="zh-CN"/>
              </w:rPr>
            </w:pPr>
            <w:r>
              <w:rPr>
                <w:rFonts w:hint="eastAsia"/>
                <w:color w:val="auto"/>
                <w:sz w:val="18"/>
                <w:szCs w:val="18"/>
                <w:highlight w:val="none"/>
              </w:rPr>
              <w:t>项目负责人</w:t>
            </w:r>
            <w:r>
              <w:rPr>
                <w:rFonts w:hint="eastAsia"/>
                <w:color w:val="auto"/>
                <w:sz w:val="18"/>
                <w:szCs w:val="18"/>
                <w:highlight w:val="none"/>
                <w:lang w:eastAsia="zh-CN"/>
              </w:rPr>
              <w:t>（</w:t>
            </w:r>
            <w:r>
              <w:rPr>
                <w:rFonts w:hint="eastAsia"/>
                <w:color w:val="auto"/>
                <w:sz w:val="18"/>
                <w:szCs w:val="18"/>
                <w:highlight w:val="none"/>
                <w:lang w:val="en-US" w:eastAsia="zh-CN"/>
              </w:rPr>
              <w:t>兼任</w:t>
            </w:r>
            <w:r>
              <w:rPr>
                <w:rFonts w:hint="eastAsia"/>
                <w:color w:val="auto"/>
                <w:sz w:val="18"/>
                <w:szCs w:val="18"/>
                <w:highlight w:val="none"/>
              </w:rPr>
              <w:t>施工负责人</w:t>
            </w:r>
            <w:r>
              <w:rPr>
                <w:rFonts w:hint="eastAsia"/>
                <w:color w:val="auto"/>
                <w:sz w:val="18"/>
                <w:szCs w:val="18"/>
                <w:highlight w:val="none"/>
                <w:lang w:eastAsia="zh-CN"/>
              </w:rPr>
              <w:t>）</w:t>
            </w:r>
          </w:p>
        </w:tc>
        <w:tc>
          <w:tcPr>
            <w:tcW w:w="288" w:type="pct"/>
            <w:tcBorders>
              <w:top w:val="single" w:color="000000" w:sz="4" w:space="0"/>
              <w:left w:val="single" w:color="000000" w:sz="4" w:space="0"/>
              <w:right w:val="single" w:color="auto"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color w:val="auto"/>
                <w:sz w:val="18"/>
                <w:szCs w:val="18"/>
                <w:highlight w:val="none"/>
              </w:rPr>
              <w:t>设计负责</w:t>
            </w:r>
            <w:r>
              <w:rPr>
                <w:rFonts w:hint="eastAsia" w:ascii="宋体" w:hAnsi="宋体" w:cs="宋体"/>
                <w:color w:val="auto"/>
                <w:kern w:val="1"/>
                <w:sz w:val="18"/>
                <w:szCs w:val="18"/>
                <w:highlight w:val="none"/>
              </w:rPr>
              <w:t>人</w:t>
            </w:r>
          </w:p>
        </w:tc>
        <w:tc>
          <w:tcPr>
            <w:tcW w:w="288" w:type="pct"/>
            <w:tcBorders>
              <w:top w:val="single" w:color="000000" w:sz="4" w:space="0"/>
              <w:left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施工技术负责人</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highlight w:val="none"/>
              </w:rPr>
            </w:pPr>
            <w:r>
              <w:rPr>
                <w:rFonts w:hint="eastAsia" w:ascii="宋体" w:hAnsi="宋体" w:cs="宋体"/>
                <w:color w:val="auto"/>
                <w:kern w:val="1"/>
                <w:sz w:val="18"/>
                <w:szCs w:val="18"/>
                <w:highlight w:val="none"/>
              </w:rPr>
              <w:t>专职安全员</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投标总报价（元）</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建安工程费报价（元）</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设计费报价（元）</w:t>
            </w:r>
          </w:p>
        </w:tc>
        <w:tc>
          <w:tcPr>
            <w:tcW w:w="242" w:type="pct"/>
            <w:tcBorders>
              <w:top w:val="single" w:color="000000" w:sz="4" w:space="0"/>
              <w:left w:val="single" w:color="000000" w:sz="4" w:space="0"/>
              <w:right w:val="single" w:color="000000" w:sz="4" w:space="0"/>
            </w:tcBorders>
            <w:noWrap w:val="0"/>
            <w:vAlign w:val="center"/>
          </w:tcPr>
          <w:p>
            <w:pPr>
              <w:shd w:val="clear" w:color="auto" w:fill="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工期</w:t>
            </w:r>
          </w:p>
        </w:tc>
        <w:tc>
          <w:tcPr>
            <w:tcW w:w="242" w:type="pct"/>
            <w:tcBorders>
              <w:top w:val="single" w:color="000000" w:sz="4" w:space="0"/>
              <w:left w:val="single" w:color="000000" w:sz="4" w:space="0"/>
              <w:right w:val="single" w:color="000000" w:sz="4" w:space="0"/>
            </w:tcBorders>
            <w:noWrap w:val="0"/>
            <w:vAlign w:val="center"/>
          </w:tcPr>
          <w:p>
            <w:pPr>
              <w:shd w:val="clear" w:color="auto" w:fill="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质量</w:t>
            </w:r>
          </w:p>
          <w:p>
            <w:pPr>
              <w:shd w:val="clear" w:color="auto" w:fill="auto"/>
              <w:jc w:val="center"/>
              <w:rPr>
                <w:rFonts w:ascii="宋体" w:hAnsi="宋体" w:cs="宋体"/>
                <w:color w:val="auto"/>
                <w:sz w:val="18"/>
                <w:szCs w:val="18"/>
                <w:highlight w:val="none"/>
              </w:rPr>
            </w:pPr>
            <w:r>
              <w:rPr>
                <w:rFonts w:hint="eastAsia" w:ascii="宋体" w:hAnsi="宋体" w:cs="宋体"/>
                <w:color w:val="auto"/>
                <w:kern w:val="1"/>
                <w:sz w:val="18"/>
                <w:szCs w:val="18"/>
                <w:highlight w:val="none"/>
              </w:rPr>
              <w:t>标准</w:t>
            </w:r>
          </w:p>
        </w:tc>
        <w:tc>
          <w:tcPr>
            <w:tcW w:w="349" w:type="pct"/>
            <w:tcBorders>
              <w:top w:val="single" w:color="000000" w:sz="4" w:space="0"/>
              <w:left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182" w:type="pct"/>
            <w:tcBorders>
              <w:top w:val="single" w:color="000000" w:sz="4" w:space="0"/>
              <w:left w:val="single" w:color="000000" w:sz="4" w:space="0"/>
              <w:right w:val="single" w:color="000000" w:sz="4" w:space="0"/>
            </w:tcBorders>
            <w:noWrap w:val="0"/>
            <w:vAlign w:val="center"/>
          </w:tcPr>
          <w:p>
            <w:pPr>
              <w:shd w:val="clear" w:color="auto" w:fill="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trHeight w:val="577" w:hRule="atLeast"/>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r>
        <w:tblPrEx>
          <w:tblCellMar>
            <w:top w:w="0" w:type="dxa"/>
            <w:left w:w="108" w:type="dxa"/>
            <w:bottom w:w="0" w:type="dxa"/>
            <w:right w:w="108" w:type="dxa"/>
          </w:tblCellMar>
        </w:tblPrEx>
        <w:trPr>
          <w:jc w:val="center"/>
        </w:trPr>
        <w:tc>
          <w:tcPr>
            <w:tcW w:w="14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67"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349"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c>
          <w:tcPr>
            <w:tcW w:w="182" w:type="pct"/>
            <w:tcBorders>
              <w:top w:val="single" w:color="000000" w:sz="4" w:space="0"/>
              <w:left w:val="single" w:color="000000" w:sz="4" w:space="0"/>
              <w:bottom w:val="single" w:color="000000" w:sz="4" w:space="0"/>
              <w:right w:val="single" w:color="000000" w:sz="4" w:space="0"/>
            </w:tcBorders>
            <w:noWrap w:val="0"/>
            <w:vAlign w:val="top"/>
          </w:tcPr>
          <w:p>
            <w:pPr>
              <w:shd w:val="clear" w:color="auto" w:fill="auto"/>
              <w:spacing w:line="620" w:lineRule="exact"/>
              <w:jc w:val="center"/>
              <w:rPr>
                <w:rFonts w:ascii="宋体" w:hAnsi="宋体" w:cs="宋体"/>
                <w:color w:val="auto"/>
                <w:kern w:val="1"/>
                <w:szCs w:val="21"/>
                <w:highlight w:val="none"/>
              </w:rPr>
            </w:pPr>
          </w:p>
        </w:tc>
      </w:tr>
    </w:tbl>
    <w:p>
      <w:pPr>
        <w:spacing w:line="6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监管单位：                                             招标人：</w:t>
      </w:r>
    </w:p>
    <w:p>
      <w:pPr>
        <w:spacing w:line="6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w:t>
      </w:r>
    </w:p>
    <w:p>
      <w:pPr>
        <w:pStyle w:val="71"/>
        <w:ind w:firstLine="400"/>
        <w:rPr>
          <w:rFonts w:hint="eastAsia" w:ascii="宋体" w:hAnsi="宋体" w:eastAsia="宋体" w:cs="宋体"/>
          <w:color w:val="auto"/>
          <w:szCs w:val="21"/>
          <w:highlight w:val="none"/>
        </w:rPr>
      </w:pPr>
    </w:p>
    <w:p>
      <w:pPr>
        <w:pStyle w:val="71"/>
        <w:ind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注：以上格式只供参考，最终以广州公共资源交易中心系统生成格式为准。</w:t>
      </w:r>
    </w:p>
    <w:p>
      <w:pPr>
        <w:shd w:val="clear" w:color="auto" w:fill="auto"/>
        <w:spacing w:line="440" w:lineRule="exact"/>
        <w:rPr>
          <w:rFonts w:hint="eastAsia" w:ascii="宋体" w:hAnsi="宋体" w:eastAsia="宋体" w:cs="宋体"/>
          <w:color w:val="auto"/>
          <w:szCs w:val="21"/>
          <w:highlight w:val="none"/>
        </w:rPr>
        <w:sectPr>
          <w:pgSz w:w="16838" w:h="11906" w:orient="landscape"/>
          <w:pgMar w:top="1247" w:right="1134" w:bottom="1247" w:left="1361" w:header="851" w:footer="992" w:gutter="0"/>
          <w:cols w:space="720" w:num="1"/>
          <w:docGrid w:linePitch="312" w:charSpace="0"/>
        </w:sect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附件二：问题澄清通知</w:t>
      </w:r>
    </w:p>
    <w:p>
      <w:pPr>
        <w:shd w:val="clear" w:color="auto" w:fill="auto"/>
        <w:spacing w:line="440" w:lineRule="exact"/>
        <w:jc w:val="center"/>
        <w:rPr>
          <w:rFonts w:ascii="宋体" w:hAnsi="宋体" w:cs="宋体"/>
          <w:color w:val="auto"/>
          <w:szCs w:val="21"/>
          <w:highlight w:val="none"/>
        </w:rPr>
      </w:pPr>
    </w:p>
    <w:p>
      <w:pPr>
        <w:shd w:val="clear" w:color="auto" w:fill="auto"/>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问题澄清通知</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编号：</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（投标人名称）：</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（工程名称）设计施工总承包招标的评标委员会，对你方的投标文件进行了仔细的审查，现需你方对下列问题以书面形式予以澄清：</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1.</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2.</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请将上述问题的澄清于年月日时前递交至（详细地址）或传真至（传真号码）。采用传真方式的，应在年月日时前将原件递交至（详细地址）。</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评标委员会授权的招标人或招标代理机构：（签字或盖章）</w:t>
      </w:r>
    </w:p>
    <w:p>
      <w:pPr>
        <w:shd w:val="clear" w:color="auto" w:fill="auto"/>
        <w:spacing w:line="440" w:lineRule="exact"/>
        <w:rPr>
          <w:rFonts w:ascii="宋体" w:hAnsi="宋体" w:cs="宋体"/>
          <w:color w:val="auto"/>
          <w:szCs w:val="21"/>
          <w:highlight w:val="none"/>
        </w:rPr>
      </w:pPr>
    </w:p>
    <w:p>
      <w:pPr>
        <w:shd w:val="clear" w:color="auto" w:fill="auto"/>
        <w:spacing w:line="440" w:lineRule="exact"/>
        <w:jc w:val="right"/>
        <w:rPr>
          <w:rFonts w:ascii="宋体" w:hAnsi="宋体" w:cs="宋体"/>
          <w:color w:val="auto"/>
          <w:szCs w:val="21"/>
          <w:highlight w:val="none"/>
        </w:rPr>
      </w:pPr>
      <w:r>
        <w:rPr>
          <w:rFonts w:hint="eastAsia" w:ascii="宋体" w:hAnsi="宋体" w:cs="宋体"/>
          <w:color w:val="auto"/>
          <w:szCs w:val="21"/>
          <w:highlight w:val="none"/>
        </w:rPr>
        <w:t xml:space="preserve">年 </w:t>
      </w:r>
      <w:r>
        <w:rPr>
          <w:rFonts w:ascii="宋体" w:hAnsi="宋体" w:cs="宋体"/>
          <w:color w:val="auto"/>
          <w:szCs w:val="21"/>
          <w:highlight w:val="none"/>
        </w:rPr>
        <w:t xml:space="preserve">  </w:t>
      </w:r>
      <w:r>
        <w:rPr>
          <w:rFonts w:hint="eastAsia" w:ascii="宋体" w:hAnsi="宋体" w:cs="宋体"/>
          <w:color w:val="auto"/>
          <w:szCs w:val="21"/>
          <w:highlight w:val="none"/>
        </w:rPr>
        <w:t xml:space="preserve">月 </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hd w:val="clear" w:color="auto" w:fill="auto"/>
        <w:spacing w:line="400" w:lineRule="exact"/>
        <w:rPr>
          <w:rFonts w:ascii="宋体" w:hAnsi="宋体" w:cs="宋体"/>
          <w:color w:val="auto"/>
          <w:szCs w:val="21"/>
          <w:highlight w:val="none"/>
        </w:rPr>
      </w:pPr>
    </w:p>
    <w:p>
      <w:pPr>
        <w:shd w:val="clear" w:color="auto" w:fill="auto"/>
        <w:spacing w:line="400" w:lineRule="exact"/>
        <w:rPr>
          <w:rFonts w:ascii="宋体" w:hAnsi="宋体" w:cs="宋体"/>
          <w:color w:val="auto"/>
          <w:szCs w:val="21"/>
          <w:highlight w:val="none"/>
        </w:rPr>
      </w:pPr>
      <w:r>
        <w:rPr>
          <w:rFonts w:hint="eastAsia" w:ascii="宋体" w:hAnsi="宋体" w:cs="宋体"/>
          <w:color w:val="auto"/>
          <w:szCs w:val="21"/>
          <w:highlight w:val="none"/>
        </w:rPr>
        <w:br w:type="page"/>
      </w:r>
    </w:p>
    <w:p>
      <w:pPr>
        <w:pStyle w:val="5"/>
        <w:shd w:val="clear" w:color="auto" w:fill="auto"/>
        <w:ind w:firstLine="103"/>
        <w:rPr>
          <w:rFonts w:ascii="宋体" w:eastAsia="宋体" w:cs="宋体"/>
          <w:color w:val="auto"/>
          <w:sz w:val="21"/>
          <w:szCs w:val="21"/>
          <w:highlight w:val="none"/>
        </w:rPr>
      </w:pPr>
      <w:bookmarkStart w:id="835" w:name="_Toc14870"/>
      <w:bookmarkStart w:id="836" w:name="_Toc152042360"/>
      <w:bookmarkStart w:id="837" w:name="_Toc17328"/>
      <w:bookmarkStart w:id="838" w:name="_Toc247514007"/>
      <w:bookmarkStart w:id="839" w:name="_Toc11670"/>
      <w:bookmarkStart w:id="840" w:name="_Toc247527608"/>
      <w:bookmarkStart w:id="841" w:name="_Toc152045583"/>
      <w:bookmarkStart w:id="842" w:name="_Toc144974550"/>
      <w:r>
        <w:rPr>
          <w:rFonts w:hint="eastAsia" w:ascii="宋体" w:eastAsia="宋体" w:cs="宋体"/>
          <w:color w:val="auto"/>
          <w:sz w:val="21"/>
          <w:szCs w:val="21"/>
          <w:highlight w:val="none"/>
        </w:rPr>
        <w:t>附件三：问题的澄清</w:t>
      </w:r>
      <w:bookmarkEnd w:id="835"/>
      <w:bookmarkEnd w:id="836"/>
      <w:bookmarkEnd w:id="837"/>
      <w:bookmarkEnd w:id="838"/>
      <w:bookmarkEnd w:id="839"/>
      <w:bookmarkEnd w:id="840"/>
      <w:bookmarkEnd w:id="841"/>
      <w:bookmarkEnd w:id="842"/>
    </w:p>
    <w:p>
      <w:pPr>
        <w:shd w:val="clear" w:color="auto" w:fill="auto"/>
        <w:spacing w:line="400" w:lineRule="exact"/>
        <w:jc w:val="center"/>
        <w:rPr>
          <w:rFonts w:ascii="宋体" w:hAnsi="宋体" w:cs="宋体"/>
          <w:color w:val="auto"/>
          <w:szCs w:val="21"/>
          <w:highlight w:val="none"/>
        </w:rPr>
      </w:pPr>
    </w:p>
    <w:p>
      <w:pPr>
        <w:shd w:val="clear" w:color="auto" w:fill="auto"/>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问题的澄清</w:t>
      </w:r>
    </w:p>
    <w:p>
      <w:pPr>
        <w:shd w:val="clear" w:color="auto" w:fill="auto"/>
        <w:spacing w:line="400" w:lineRule="exact"/>
        <w:ind w:firstLine="3465" w:firstLineChars="1650"/>
        <w:rPr>
          <w:rFonts w:ascii="宋体" w:hAnsi="宋体" w:cs="宋体"/>
          <w:color w:val="auto"/>
          <w:szCs w:val="21"/>
          <w:highlight w:val="none"/>
        </w:rPr>
      </w:pPr>
      <w:r>
        <w:rPr>
          <w:rFonts w:hint="eastAsia" w:ascii="宋体" w:hAnsi="宋体" w:cs="宋体"/>
          <w:color w:val="auto"/>
          <w:szCs w:val="21"/>
          <w:highlight w:val="none"/>
        </w:rPr>
        <w:t xml:space="preserve">编号： </w:t>
      </w:r>
    </w:p>
    <w:p>
      <w:pPr>
        <w:shd w:val="clear" w:color="auto" w:fill="auto"/>
        <w:spacing w:line="40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（工程名称）设计施工总承包招标评标委员会：</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1.</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2.</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投标人：（盖单位章）</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法定代表人或其委托代理人：（签字）</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hd w:val="clear" w:color="auto" w:fill="auto"/>
        <w:spacing w:line="440" w:lineRule="exact"/>
        <w:rPr>
          <w:rFonts w:ascii="宋体" w:hAnsi="宋体" w:cs="宋体"/>
          <w:color w:val="auto"/>
          <w:szCs w:val="21"/>
          <w:highlight w:val="none"/>
        </w:rPr>
      </w:pPr>
      <w:r>
        <w:rPr>
          <w:rFonts w:hint="eastAsia" w:ascii="宋体" w:hAnsi="宋体" w:cs="宋体"/>
          <w:color w:val="auto"/>
          <w:szCs w:val="21"/>
          <w:highlight w:val="none"/>
        </w:rPr>
        <w:t>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pPr>
        <w:shd w:val="clear" w:color="auto" w:fill="auto"/>
        <w:spacing w:line="400" w:lineRule="exact"/>
        <w:rPr>
          <w:rFonts w:hint="eastAsia" w:ascii="宋体" w:hAnsi="宋体" w:cs="宋体"/>
          <w:color w:val="auto"/>
          <w:highlight w:val="none"/>
          <w:lang w:val="en-US" w:eastAsia="zh-CN"/>
        </w:rPr>
      </w:pPr>
      <w:r>
        <w:rPr>
          <w:rFonts w:ascii="宋体" w:hAnsi="宋体" w:cs="宋体"/>
          <w:color w:val="auto"/>
          <w:highlight w:val="none"/>
        </w:rPr>
        <w:br w:type="page"/>
      </w:r>
      <w:r>
        <w:rPr>
          <w:rFonts w:hint="eastAsia" w:ascii="宋体" w:hAnsi="宋体" w:cs="宋体"/>
          <w:color w:val="auto"/>
          <w:highlight w:val="none"/>
          <w:lang w:val="en-US" w:eastAsia="zh-CN"/>
        </w:rPr>
        <w:t>附件四：</w:t>
      </w:r>
    </w:p>
    <w:p>
      <w:pPr>
        <w:ind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评标委员会成员声明</w:t>
      </w:r>
    </w:p>
    <w:p>
      <w:pPr>
        <w:spacing w:line="360" w:lineRule="auto"/>
        <w:rPr>
          <w:rFonts w:ascii="仿宋_GB2312" w:eastAsia="仿宋_GB2312"/>
          <w:color w:val="auto"/>
          <w:sz w:val="21"/>
          <w:szCs w:val="21"/>
          <w:highlight w:val="none"/>
        </w:rPr>
      </w:pPr>
      <w:r>
        <w:rPr>
          <w:rFonts w:hint="eastAsia" w:ascii="仿宋_GB2312" w:eastAsia="仿宋_GB2312"/>
          <w:color w:val="auto"/>
          <w:sz w:val="21"/>
          <w:szCs w:val="21"/>
          <w:highlight w:val="none"/>
          <w:u w:val="single"/>
        </w:rPr>
        <w:t xml:space="preserve">   本项目招标人  </w:t>
      </w:r>
      <w:r>
        <w:rPr>
          <w:rFonts w:hint="eastAsia" w:ascii="仿宋_GB2312" w:eastAsia="仿宋_GB2312"/>
          <w:color w:val="auto"/>
          <w:sz w:val="21"/>
          <w:szCs w:val="21"/>
          <w:highlight w:val="none"/>
        </w:rPr>
        <w:t>：</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本人就参与</w:t>
      </w:r>
      <w:r>
        <w:rPr>
          <w:rFonts w:hint="eastAsia" w:ascii="仿宋_GB2312" w:eastAsia="仿宋_GB2312"/>
          <w:color w:val="auto"/>
          <w:sz w:val="21"/>
          <w:szCs w:val="21"/>
          <w:highlight w:val="none"/>
          <w:u w:val="single"/>
        </w:rPr>
        <w:t xml:space="preserve">               </w:t>
      </w:r>
      <w:r>
        <w:rPr>
          <w:rFonts w:hint="eastAsia" w:ascii="仿宋_GB2312" w:eastAsia="仿宋_GB2312"/>
          <w:color w:val="auto"/>
          <w:sz w:val="21"/>
          <w:szCs w:val="21"/>
          <w:highlight w:val="none"/>
        </w:rPr>
        <w:t>项目的评标工作，作出郑重声明：</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20" w:firstLineChars="200"/>
        <w:rPr>
          <w:rFonts w:ascii="仿宋_GB2312" w:eastAsia="仿宋_GB2312"/>
          <w:color w:val="auto"/>
          <w:sz w:val="21"/>
          <w:szCs w:val="21"/>
          <w:highlight w:val="none"/>
        </w:rPr>
      </w:pPr>
      <w:r>
        <w:rPr>
          <w:rFonts w:hint="eastAsia" w:ascii="仿宋_GB2312" w:eastAsia="仿宋_GB2312"/>
          <w:color w:val="auto"/>
          <w:sz w:val="21"/>
          <w:szCs w:val="21"/>
          <w:highlight w:val="none"/>
        </w:rPr>
        <w:t>如果本人违反上述声明内容，造成的后果由本人自行承担。</w:t>
      </w:r>
    </w:p>
    <w:p>
      <w:pPr>
        <w:spacing w:line="360" w:lineRule="auto"/>
        <w:ind w:firstLine="420" w:firstLineChars="200"/>
        <w:rPr>
          <w:rFonts w:ascii="仿宋_GB2312" w:eastAsia="仿宋_GB2312"/>
          <w:color w:val="auto"/>
          <w:sz w:val="21"/>
          <w:szCs w:val="21"/>
          <w:highlight w:val="none"/>
        </w:rPr>
      </w:pPr>
    </w:p>
    <w:p>
      <w:pPr>
        <w:spacing w:line="360" w:lineRule="auto"/>
        <w:ind w:firstLine="420" w:firstLineChars="200"/>
        <w:rPr>
          <w:rFonts w:ascii="仿宋_GB2312" w:eastAsia="仿宋_GB2312"/>
          <w:color w:val="auto"/>
          <w:sz w:val="21"/>
          <w:szCs w:val="21"/>
          <w:highlight w:val="none"/>
          <w:u w:val="single"/>
        </w:rPr>
      </w:pPr>
      <w:r>
        <w:rPr>
          <w:rFonts w:hint="eastAsia" w:ascii="仿宋_GB2312" w:eastAsia="仿宋_GB2312"/>
          <w:color w:val="auto"/>
          <w:sz w:val="21"/>
          <w:szCs w:val="21"/>
          <w:highlight w:val="none"/>
        </w:rPr>
        <w:t xml:space="preserve">                             声明人：</w:t>
      </w:r>
      <w:r>
        <w:rPr>
          <w:rFonts w:hint="eastAsia" w:ascii="仿宋_GB2312" w:eastAsia="仿宋_GB2312"/>
          <w:color w:val="auto"/>
          <w:sz w:val="21"/>
          <w:szCs w:val="21"/>
          <w:highlight w:val="none"/>
          <w:u w:val="single"/>
        </w:rPr>
        <w:t xml:space="preserve">（签名）  </w:t>
      </w:r>
    </w:p>
    <w:p>
      <w:pPr>
        <w:rPr>
          <w:rFonts w:ascii="仿宋_GB2312" w:eastAsia="仿宋_GB2312"/>
          <w:color w:val="auto"/>
          <w:sz w:val="32"/>
          <w:szCs w:val="32"/>
          <w:highlight w:val="none"/>
        </w:rPr>
      </w:pPr>
    </w:p>
    <w:p>
      <w:pPr>
        <w:spacing w:line="360" w:lineRule="exact"/>
        <w:jc w:val="left"/>
        <w:rPr>
          <w:rFonts w:ascii="宋体" w:hAnsi="宋体" w:eastAsia="宋体" w:cs="Times New Roman"/>
          <w:color w:val="auto"/>
          <w:kern w:val="0"/>
          <w:szCs w:val="21"/>
          <w:highlight w:val="none"/>
        </w:rPr>
      </w:pPr>
    </w:p>
    <w:p>
      <w:pPr>
        <w:rPr>
          <w:color w:val="auto"/>
          <w:highlight w:val="none"/>
        </w:rPr>
      </w:pPr>
    </w:p>
    <w:p>
      <w:pPr>
        <w:pStyle w:val="4"/>
        <w:rPr>
          <w:rFonts w:hint="default"/>
          <w:color w:val="auto"/>
          <w:highlight w:val="none"/>
          <w:lang w:val="en-US" w:eastAsia="zh-CN"/>
        </w:rPr>
      </w:pPr>
    </w:p>
    <w:p>
      <w:pPr>
        <w:shd w:val="clear" w:color="auto" w:fill="auto"/>
        <w:spacing w:line="400" w:lineRule="exact"/>
        <w:rPr>
          <w:rFonts w:hint="eastAsia" w:ascii="宋体" w:hAnsi="宋体" w:cs="宋体"/>
          <w:color w:val="auto"/>
          <w:highlight w:val="none"/>
        </w:rPr>
      </w:pPr>
    </w:p>
    <w:p>
      <w:pPr>
        <w:pStyle w:val="71"/>
        <w:ind w:firstLine="400"/>
        <w:rPr>
          <w:rFonts w:hint="eastAsia" w:ascii="宋体" w:hAnsi="宋体" w:eastAsia="宋体" w:cs="宋体"/>
          <w:color w:val="auto"/>
          <w:szCs w:val="21"/>
          <w:highlight w:val="none"/>
        </w:rPr>
        <w:sectPr>
          <w:pgSz w:w="11906" w:h="16838"/>
          <w:pgMar w:top="1134" w:right="1247" w:bottom="1361" w:left="1247" w:header="851" w:footer="992" w:gutter="0"/>
          <w:cols w:space="720" w:num="1"/>
          <w:docGrid w:linePitch="312" w:charSpace="0"/>
        </w:sectPr>
      </w:pPr>
    </w:p>
    <w:p>
      <w:pPr>
        <w:pStyle w:val="3"/>
        <w:spacing w:before="0" w:after="0" w:line="360" w:lineRule="auto"/>
        <w:jc w:val="center"/>
        <w:rPr>
          <w:rFonts w:hint="eastAsia" w:ascii="宋体" w:hAnsi="宋体" w:eastAsia="宋体" w:cs="宋体"/>
          <w:color w:val="auto"/>
          <w:highlight w:val="none"/>
        </w:rPr>
      </w:pPr>
      <w:bookmarkStart w:id="843" w:name="_Toc10069"/>
      <w:bookmarkStart w:id="844" w:name="_Toc12975"/>
      <w:bookmarkStart w:id="845" w:name="_Toc300835008"/>
      <w:bookmarkStart w:id="846" w:name="_Toc490141068"/>
      <w:bookmarkStart w:id="847" w:name="_Toc10452"/>
      <w:bookmarkStart w:id="848" w:name="_Toc247527623"/>
      <w:bookmarkStart w:id="849" w:name="_Toc152042375"/>
      <w:bookmarkStart w:id="850" w:name="_Toc247514022"/>
      <w:bookmarkStart w:id="851" w:name="_Toc144974565"/>
      <w:bookmarkStart w:id="852" w:name="_Toc2476"/>
      <w:bookmarkStart w:id="853" w:name="_Toc15244"/>
      <w:bookmarkStart w:id="854" w:name="_Toc152045598"/>
      <w:bookmarkStart w:id="855" w:name="_Toc18776"/>
      <w:bookmarkStart w:id="856" w:name="_Toc28866"/>
      <w:r>
        <w:rPr>
          <w:rFonts w:hint="eastAsia" w:ascii="宋体" w:hAnsi="宋体" w:eastAsia="宋体" w:cs="宋体"/>
          <w:color w:val="auto"/>
          <w:highlight w:val="none"/>
        </w:rPr>
        <w:t>第三章评标办法（</w:t>
      </w:r>
      <w:r>
        <w:rPr>
          <w:rFonts w:hint="eastAsia" w:ascii="宋体" w:hAnsi="宋体" w:eastAsia="宋体" w:cs="宋体"/>
          <w:color w:val="auto"/>
          <w:highlight w:val="none"/>
          <w:lang w:eastAsia="zh-CN"/>
        </w:rPr>
        <w:t>综合评审法</w:t>
      </w:r>
      <w:r>
        <w:rPr>
          <w:rFonts w:hint="eastAsia" w:ascii="宋体" w:hAnsi="宋体" w:eastAsia="宋体" w:cs="宋体"/>
          <w:color w:val="auto"/>
          <w:highlight w:val="none"/>
        </w:rPr>
        <w:t>）</w:t>
      </w:r>
      <w:bookmarkEnd w:id="843"/>
      <w:bookmarkEnd w:id="844"/>
    </w:p>
    <w:p>
      <w:pPr>
        <w:jc w:val="center"/>
        <w:rPr>
          <w:rFonts w:hint="eastAsia" w:ascii="宋体" w:hAnsi="宋体" w:eastAsia="宋体" w:cs="宋体"/>
          <w:b/>
          <w:color w:val="auto"/>
          <w:kern w:val="1"/>
          <w:sz w:val="28"/>
          <w:highlight w:val="none"/>
        </w:rPr>
      </w:pPr>
      <w:r>
        <w:rPr>
          <w:rFonts w:hint="eastAsia" w:ascii="宋体" w:hAnsi="宋体" w:eastAsia="宋体" w:cs="宋体"/>
          <w:b/>
          <w:color w:val="auto"/>
          <w:kern w:val="1"/>
          <w:sz w:val="28"/>
          <w:highlight w:val="none"/>
          <w:lang w:val="en-US" w:eastAsia="zh-CN"/>
        </w:rPr>
        <w:t>评标办法</w:t>
      </w:r>
      <w:r>
        <w:rPr>
          <w:rFonts w:hint="eastAsia" w:ascii="宋体" w:hAnsi="宋体" w:eastAsia="宋体" w:cs="宋体"/>
          <w:b/>
          <w:color w:val="auto"/>
          <w:kern w:val="1"/>
          <w:sz w:val="28"/>
          <w:highlight w:val="none"/>
        </w:rPr>
        <w:t>前附表</w:t>
      </w:r>
    </w:p>
    <w:tbl>
      <w:tblPr>
        <w:tblStyle w:val="40"/>
        <w:tblW w:w="0" w:type="auto"/>
        <w:tblInd w:w="108" w:type="dxa"/>
        <w:tblLayout w:type="fixed"/>
        <w:tblCellMar>
          <w:top w:w="0" w:type="dxa"/>
          <w:left w:w="108" w:type="dxa"/>
          <w:bottom w:w="0" w:type="dxa"/>
          <w:right w:w="108" w:type="dxa"/>
        </w:tblCellMar>
      </w:tblPr>
      <w:tblGrid>
        <w:gridCol w:w="840"/>
        <w:gridCol w:w="338"/>
        <w:gridCol w:w="1447"/>
        <w:gridCol w:w="1358"/>
        <w:gridCol w:w="5257"/>
      </w:tblGrid>
      <w:tr>
        <w:tblPrEx>
          <w:tblCellMar>
            <w:top w:w="0" w:type="dxa"/>
            <w:left w:w="108" w:type="dxa"/>
            <w:bottom w:w="0" w:type="dxa"/>
            <w:right w:w="108" w:type="dxa"/>
          </w:tblCellMar>
        </w:tblPrEx>
        <w:trPr>
          <w:trHeight w:val="90" w:hRule="atLeast"/>
          <w:tblHeader/>
        </w:trPr>
        <w:tc>
          <w:tcPr>
            <w:tcW w:w="2625" w:type="dxa"/>
            <w:gridSpan w:val="3"/>
            <w:tcBorders>
              <w:top w:val="single" w:color="000000" w:sz="4"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条款号</w:t>
            </w:r>
          </w:p>
        </w:tc>
        <w:tc>
          <w:tcPr>
            <w:tcW w:w="1358" w:type="dxa"/>
            <w:tcBorders>
              <w:top w:val="single" w:color="000000" w:sz="4"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评审因素</w:t>
            </w:r>
          </w:p>
        </w:tc>
        <w:tc>
          <w:tcPr>
            <w:tcW w:w="5257" w:type="dxa"/>
            <w:tcBorders>
              <w:top w:val="single" w:color="000000" w:sz="4" w:space="0"/>
              <w:left w:val="single" w:color="000000" w:sz="6" w:space="0"/>
              <w:bottom w:val="single" w:color="000000" w:sz="6" w:space="0"/>
              <w:right w:val="single" w:color="000000" w:sz="4"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评审标准</w:t>
            </w:r>
          </w:p>
        </w:tc>
      </w:tr>
      <w:tr>
        <w:tblPrEx>
          <w:tblCellMar>
            <w:top w:w="0" w:type="dxa"/>
            <w:left w:w="108" w:type="dxa"/>
            <w:bottom w:w="0" w:type="dxa"/>
            <w:right w:w="108" w:type="dxa"/>
          </w:tblCellMar>
        </w:tblPrEx>
        <w:trPr>
          <w:trHeight w:val="615" w:hRule="atLeast"/>
        </w:trPr>
        <w:tc>
          <w:tcPr>
            <w:tcW w:w="840" w:type="dxa"/>
            <w:tcBorders>
              <w:top w:val="single" w:color="000000" w:sz="6" w:space="0"/>
              <w:left w:val="single" w:color="000000" w:sz="4"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rPr>
              <w:t>2.1.1</w:t>
            </w:r>
          </w:p>
        </w:tc>
        <w:tc>
          <w:tcPr>
            <w:tcW w:w="1785" w:type="dxa"/>
            <w:gridSpan w:val="2"/>
            <w:tcBorders>
              <w:top w:val="single" w:color="000000" w:sz="6" w:space="0"/>
              <w:left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rPr>
              <w:t>资格审查标准</w:t>
            </w:r>
          </w:p>
        </w:tc>
        <w:tc>
          <w:tcPr>
            <w:tcW w:w="1358" w:type="dxa"/>
            <w:tcBorders>
              <w:top w:val="single" w:color="000000" w:sz="6" w:space="0"/>
              <w:left w:val="single" w:color="000000" w:sz="6" w:space="0"/>
              <w:right w:val="single" w:color="auto" w:sz="4"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rPr>
              <w:t>资格审查</w:t>
            </w:r>
          </w:p>
        </w:tc>
        <w:tc>
          <w:tcPr>
            <w:tcW w:w="5257" w:type="dxa"/>
            <w:tcBorders>
              <w:top w:val="single" w:color="000000" w:sz="6" w:space="0"/>
              <w:left w:val="single" w:color="auto" w:sz="4" w:space="0"/>
              <w:bottom w:val="single" w:color="000000" w:sz="6" w:space="0"/>
              <w:right w:val="single" w:color="000000" w:sz="4" w:space="0"/>
            </w:tcBorders>
            <w:noWrap w:val="0"/>
            <w:vAlign w:val="center"/>
          </w:tcPr>
          <w:p>
            <w:pPr>
              <w:spacing w:line="300" w:lineRule="exact"/>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rPr>
              <w:t>附表1《资格审查表》</w:t>
            </w:r>
          </w:p>
        </w:tc>
      </w:tr>
      <w:tr>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2.1.2</w:t>
            </w:r>
          </w:p>
        </w:tc>
        <w:tc>
          <w:tcPr>
            <w:tcW w:w="1785"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工程总承包实施方案投标文件有效性审查标准</w:t>
            </w:r>
          </w:p>
        </w:tc>
        <w:tc>
          <w:tcPr>
            <w:tcW w:w="1358" w:type="dxa"/>
            <w:tcBorders>
              <w:top w:val="single" w:color="000000" w:sz="6" w:space="0"/>
              <w:left w:val="single" w:color="000000" w:sz="6" w:space="0"/>
              <w:bottom w:val="single" w:color="000000" w:sz="6" w:space="0"/>
              <w:right w:val="single" w:color="auto" w:sz="4"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工程总承包实施方案投标文件有效性审查</w:t>
            </w:r>
          </w:p>
        </w:tc>
        <w:tc>
          <w:tcPr>
            <w:tcW w:w="5257" w:type="dxa"/>
            <w:tcBorders>
              <w:top w:val="single" w:color="000000" w:sz="6" w:space="0"/>
              <w:left w:val="single" w:color="auto" w:sz="4" w:space="0"/>
              <w:bottom w:val="single" w:color="000000" w:sz="6" w:space="0"/>
              <w:right w:val="single" w:color="000000" w:sz="4" w:space="0"/>
            </w:tcBorders>
            <w:noWrap w:val="0"/>
            <w:vAlign w:val="center"/>
          </w:tcPr>
          <w:p>
            <w:pPr>
              <w:spacing w:line="30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附表2《工程总承包实施方案投标文件有效性审查表》</w:t>
            </w:r>
          </w:p>
        </w:tc>
      </w:tr>
      <w:tr>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000000" w:sz="6" w:space="0"/>
              <w:right w:val="single" w:color="000000" w:sz="6"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2.1.3</w:t>
            </w:r>
          </w:p>
        </w:tc>
        <w:tc>
          <w:tcPr>
            <w:tcW w:w="1785" w:type="dxa"/>
            <w:gridSpan w:val="2"/>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经济标投标文件有效性审查标准</w:t>
            </w:r>
          </w:p>
        </w:tc>
        <w:tc>
          <w:tcPr>
            <w:tcW w:w="1358"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经济标投标文件有效性审查</w:t>
            </w:r>
          </w:p>
        </w:tc>
        <w:tc>
          <w:tcPr>
            <w:tcW w:w="5257" w:type="dxa"/>
            <w:tcBorders>
              <w:top w:val="single" w:color="000000" w:sz="6" w:space="0"/>
              <w:left w:val="single" w:color="auto" w:sz="4" w:space="0"/>
              <w:bottom w:val="single" w:color="000000" w:sz="6" w:space="0"/>
              <w:right w:val="single" w:color="000000" w:sz="4" w:space="0"/>
            </w:tcBorders>
            <w:noWrap w:val="0"/>
            <w:vAlign w:val="center"/>
          </w:tcPr>
          <w:p>
            <w:pPr>
              <w:adjustRightInd w:val="0"/>
              <w:snapToGrid w:val="0"/>
              <w:spacing w:line="26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附表4《经济标投标文件有效性审查表》</w:t>
            </w:r>
          </w:p>
        </w:tc>
      </w:tr>
      <w:tr>
        <w:tblPrEx>
          <w:tblCellMar>
            <w:top w:w="0" w:type="dxa"/>
            <w:left w:w="108" w:type="dxa"/>
            <w:bottom w:w="0" w:type="dxa"/>
            <w:right w:w="108" w:type="dxa"/>
          </w:tblCellMar>
        </w:tblPrEx>
        <w:trPr>
          <w:trHeight w:val="469"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条款号</w:t>
            </w:r>
          </w:p>
        </w:tc>
        <w:tc>
          <w:tcPr>
            <w:tcW w:w="135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条款内容</w:t>
            </w:r>
          </w:p>
        </w:tc>
        <w:tc>
          <w:tcPr>
            <w:tcW w:w="5257" w:type="dxa"/>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编列内容</w:t>
            </w:r>
          </w:p>
        </w:tc>
      </w:tr>
      <w:tr>
        <w:tblPrEx>
          <w:tblCellMar>
            <w:top w:w="0" w:type="dxa"/>
            <w:left w:w="108" w:type="dxa"/>
            <w:bottom w:w="0" w:type="dxa"/>
            <w:right w:w="108" w:type="dxa"/>
          </w:tblCellMar>
        </w:tblPrEx>
        <w:trPr>
          <w:trHeight w:val="1537"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2.2.1</w:t>
            </w:r>
          </w:p>
        </w:tc>
        <w:tc>
          <w:tcPr>
            <w:tcW w:w="135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分值构成及权重</w:t>
            </w:r>
          </w:p>
        </w:tc>
        <w:tc>
          <w:tcPr>
            <w:tcW w:w="5257" w:type="dxa"/>
            <w:tcBorders>
              <w:top w:val="single" w:color="000000" w:sz="6" w:space="0"/>
              <w:left w:val="single" w:color="000000" w:sz="6" w:space="0"/>
              <w:bottom w:val="single" w:color="000000" w:sz="6" w:space="0"/>
              <w:right w:val="single" w:color="000000" w:sz="4" w:space="0"/>
            </w:tcBorders>
            <w:noWrap w:val="0"/>
            <w:vAlign w:val="center"/>
          </w:tcPr>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投标人总得分（满分100分）</w:t>
            </w:r>
            <w:r>
              <w:rPr>
                <w:rFonts w:hint="eastAsia" w:ascii="宋体" w:hAnsi="宋体" w:eastAsia="宋体" w:cs="宋体"/>
                <w:color w:val="auto"/>
                <w:sz w:val="21"/>
                <w:szCs w:val="21"/>
                <w:highlight w:val="none"/>
                <w:lang w:val="en-US" w:eastAsia="zh-CN"/>
              </w:rPr>
              <w:t>=工程总承包实施方案部分得分（权重50%）+投标报价（权重50%）</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其中</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工程总承包实施方案得分100分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资信业绩部分36 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项目实施组织方案部分64分。</w:t>
            </w:r>
          </w:p>
          <w:p>
            <w:pPr>
              <w:pStyle w:val="2"/>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投标报价得分：100分。 </w:t>
            </w:r>
          </w:p>
        </w:tc>
      </w:tr>
      <w:tr>
        <w:tblPrEx>
          <w:tblCellMar>
            <w:top w:w="0" w:type="dxa"/>
            <w:left w:w="108" w:type="dxa"/>
            <w:bottom w:w="0" w:type="dxa"/>
            <w:right w:w="108" w:type="dxa"/>
          </w:tblCellMar>
        </w:tblPrEx>
        <w:trPr>
          <w:trHeight w:val="422"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b/>
                <w:color w:val="auto"/>
                <w:kern w:val="1"/>
                <w:szCs w:val="21"/>
                <w:highlight w:val="none"/>
              </w:rPr>
              <w:t>条款号</w:t>
            </w:r>
          </w:p>
        </w:tc>
        <w:tc>
          <w:tcPr>
            <w:tcW w:w="1358" w:type="dxa"/>
            <w:tcBorders>
              <w:top w:val="single" w:color="000000" w:sz="6" w:space="0"/>
              <w:left w:val="single" w:color="000000" w:sz="6" w:space="0"/>
              <w:bottom w:val="single" w:color="000000" w:sz="6" w:space="0"/>
              <w:right w:val="single" w:color="000000" w:sz="4" w:space="0"/>
            </w:tcBorders>
            <w:noWrap w:val="0"/>
            <w:vAlign w:val="center"/>
          </w:tcPr>
          <w:p>
            <w:pPr>
              <w:spacing w:line="300" w:lineRule="exact"/>
              <w:jc w:val="center"/>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评分因素</w:t>
            </w:r>
          </w:p>
        </w:tc>
        <w:tc>
          <w:tcPr>
            <w:tcW w:w="5257" w:type="dxa"/>
            <w:tcBorders>
              <w:top w:val="single" w:color="000000" w:sz="6" w:space="0"/>
              <w:left w:val="single" w:color="000000" w:sz="4" w:space="0"/>
              <w:bottom w:val="single" w:color="000000" w:sz="6" w:space="0"/>
              <w:right w:val="single" w:color="000000" w:sz="4" w:space="0"/>
            </w:tcBorders>
            <w:noWrap w:val="0"/>
            <w:vAlign w:val="center"/>
          </w:tcPr>
          <w:p>
            <w:pPr>
              <w:spacing w:line="300" w:lineRule="exact"/>
              <w:jc w:val="center"/>
              <w:rPr>
                <w:rFonts w:hint="eastAsia" w:ascii="宋体" w:hAnsi="宋体" w:eastAsia="宋体" w:cs="宋体"/>
                <w:color w:val="auto"/>
                <w:kern w:val="1"/>
                <w:szCs w:val="21"/>
                <w:highlight w:val="none"/>
              </w:rPr>
            </w:pPr>
            <w:r>
              <w:rPr>
                <w:rFonts w:hint="eastAsia" w:ascii="宋体" w:hAnsi="宋体" w:eastAsia="宋体" w:cs="宋体"/>
                <w:b/>
                <w:color w:val="auto"/>
                <w:kern w:val="1"/>
                <w:szCs w:val="21"/>
                <w:highlight w:val="none"/>
              </w:rPr>
              <w:t>评分标准</w:t>
            </w:r>
          </w:p>
        </w:tc>
      </w:tr>
      <w:tr>
        <w:tblPrEx>
          <w:tblCellMar>
            <w:top w:w="0" w:type="dxa"/>
            <w:left w:w="108" w:type="dxa"/>
            <w:bottom w:w="0" w:type="dxa"/>
            <w:right w:w="108" w:type="dxa"/>
          </w:tblCellMar>
        </w:tblPrEx>
        <w:trPr>
          <w:trHeight w:val="1134" w:hRule="atLeast"/>
        </w:trPr>
        <w:tc>
          <w:tcPr>
            <w:tcW w:w="1178" w:type="dxa"/>
            <w:gridSpan w:val="2"/>
            <w:tcBorders>
              <w:top w:val="single" w:color="000000" w:sz="6" w:space="0"/>
              <w:left w:val="single" w:color="000000" w:sz="4" w:space="0"/>
              <w:bottom w:val="single" w:color="auto" w:sz="4" w:space="0"/>
              <w:right w:val="single" w:color="000000" w:sz="4"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2.2.2</w:t>
            </w:r>
          </w:p>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（1）</w:t>
            </w:r>
          </w:p>
        </w:tc>
        <w:tc>
          <w:tcPr>
            <w:tcW w:w="1447" w:type="dxa"/>
            <w:tcBorders>
              <w:top w:val="single" w:color="000000" w:sz="6" w:space="0"/>
              <w:left w:val="single" w:color="000000" w:sz="4" w:space="0"/>
              <w:bottom w:val="single" w:color="auto" w:sz="4" w:space="0"/>
              <w:right w:val="single" w:color="000000" w:sz="6"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工程总承包实施方案评分标准</w:t>
            </w:r>
          </w:p>
        </w:tc>
        <w:tc>
          <w:tcPr>
            <w:tcW w:w="1358" w:type="dxa"/>
            <w:tcBorders>
              <w:top w:val="single" w:color="000000" w:sz="6" w:space="0"/>
              <w:left w:val="single" w:color="000000" w:sz="6" w:space="0"/>
              <w:bottom w:val="single" w:color="auto" w:sz="4" w:space="0"/>
              <w:right w:val="single" w:color="000000" w:sz="4"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工程总承包实施方案</w:t>
            </w:r>
          </w:p>
        </w:tc>
        <w:tc>
          <w:tcPr>
            <w:tcW w:w="5257" w:type="dxa"/>
            <w:tcBorders>
              <w:top w:val="single" w:color="000000" w:sz="6" w:space="0"/>
              <w:left w:val="single" w:color="000000" w:sz="4" w:space="0"/>
              <w:bottom w:val="single" w:color="auto" w:sz="4" w:space="0"/>
              <w:right w:val="single" w:color="000000" w:sz="4" w:space="0"/>
            </w:tcBorders>
            <w:noWrap w:val="0"/>
            <w:vAlign w:val="center"/>
          </w:tcPr>
          <w:p>
            <w:pPr>
              <w:spacing w:line="300" w:lineRule="exact"/>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附表3《工程总承包实施方案详细审查评分表》</w:t>
            </w:r>
          </w:p>
        </w:tc>
      </w:tr>
      <w:tr>
        <w:tblPrEx>
          <w:tblCellMar>
            <w:top w:w="0" w:type="dxa"/>
            <w:left w:w="108" w:type="dxa"/>
            <w:bottom w:w="0" w:type="dxa"/>
            <w:right w:w="108" w:type="dxa"/>
          </w:tblCellMar>
        </w:tblPrEx>
        <w:trPr>
          <w:trHeight w:val="1134" w:hRule="atLeast"/>
        </w:trPr>
        <w:tc>
          <w:tcPr>
            <w:tcW w:w="1178" w:type="dxa"/>
            <w:gridSpan w:val="2"/>
            <w:tcBorders>
              <w:top w:val="single" w:color="auto" w:sz="4" w:space="0"/>
              <w:left w:val="single" w:color="auto" w:sz="4" w:space="0"/>
              <w:bottom w:val="nil"/>
              <w:right w:val="single" w:color="auto" w:sz="4" w:space="0"/>
            </w:tcBorders>
            <w:noWrap w:val="0"/>
            <w:vAlign w:val="center"/>
          </w:tcPr>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2.2.2</w:t>
            </w:r>
          </w:p>
          <w:p>
            <w:pPr>
              <w:spacing w:line="30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（2）</w:t>
            </w:r>
          </w:p>
        </w:tc>
        <w:tc>
          <w:tcPr>
            <w:tcW w:w="1447" w:type="dxa"/>
            <w:tcBorders>
              <w:top w:val="single" w:color="auto" w:sz="4" w:space="0"/>
              <w:left w:val="single" w:color="auto" w:sz="4" w:space="0"/>
              <w:bottom w:val="nil"/>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投标报价评分标准</w:t>
            </w:r>
          </w:p>
        </w:tc>
        <w:tc>
          <w:tcPr>
            <w:tcW w:w="1358" w:type="dxa"/>
            <w:tcBorders>
              <w:top w:val="single" w:color="auto" w:sz="4" w:space="0"/>
              <w:left w:val="single" w:color="auto" w:sz="4" w:space="0"/>
              <w:bottom w:val="nil"/>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投标报价</w:t>
            </w:r>
          </w:p>
        </w:tc>
        <w:tc>
          <w:tcPr>
            <w:tcW w:w="5257" w:type="dxa"/>
            <w:tcBorders>
              <w:top w:val="single" w:color="auto" w:sz="4" w:space="0"/>
              <w:left w:val="single" w:color="auto" w:sz="4" w:space="0"/>
              <w:bottom w:val="nil"/>
              <w:right w:val="single" w:color="auto" w:sz="4" w:space="0"/>
            </w:tcBorders>
            <w:noWrap w:val="0"/>
            <w:vAlign w:val="center"/>
          </w:tcPr>
          <w:p>
            <w:pPr>
              <w:adjustRightInd w:val="0"/>
              <w:snapToGrid w:val="0"/>
              <w:spacing w:line="260" w:lineRule="exact"/>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附表5《投标报价评分表》</w:t>
            </w:r>
          </w:p>
        </w:tc>
      </w:tr>
      <w:tr>
        <w:tblPrEx>
          <w:tblCellMar>
            <w:top w:w="0" w:type="dxa"/>
            <w:left w:w="108" w:type="dxa"/>
            <w:bottom w:w="0" w:type="dxa"/>
            <w:right w:w="108" w:type="dxa"/>
          </w:tblCellMar>
        </w:tblPrEx>
        <w:trPr>
          <w:trHeight w:val="543" w:hRule="atLeast"/>
        </w:trPr>
        <w:tc>
          <w:tcPr>
            <w:tcW w:w="924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eastAsia="宋体" w:cs="宋体"/>
                <w:b/>
                <w:color w:val="auto"/>
                <w:kern w:val="1"/>
                <w:szCs w:val="21"/>
                <w:highlight w:val="none"/>
              </w:rPr>
            </w:pPr>
            <w:r>
              <w:rPr>
                <w:rFonts w:hint="eastAsia" w:ascii="宋体" w:hAnsi="宋体" w:eastAsia="宋体" w:cs="宋体"/>
                <w:b/>
                <w:color w:val="auto"/>
                <w:kern w:val="1"/>
                <w:szCs w:val="21"/>
                <w:highlight w:val="none"/>
              </w:rPr>
              <w:t>需要补充的其他内容</w:t>
            </w:r>
          </w:p>
        </w:tc>
      </w:tr>
      <w:tr>
        <w:tblPrEx>
          <w:tblCellMar>
            <w:top w:w="0" w:type="dxa"/>
            <w:left w:w="108" w:type="dxa"/>
            <w:bottom w:w="0" w:type="dxa"/>
            <w:right w:w="108" w:type="dxa"/>
          </w:tblCellMar>
        </w:tblPrEx>
        <w:trPr>
          <w:trHeight w:val="1074" w:hRule="atLeast"/>
        </w:trPr>
        <w:tc>
          <w:tcPr>
            <w:tcW w:w="9240" w:type="dxa"/>
            <w:gridSpan w:val="5"/>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2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关于联合体投标人评标的相关规定：</w:t>
            </w:r>
          </w:p>
          <w:p>
            <w:pPr>
              <w:adjustRightInd w:val="0"/>
              <w:snapToGrid w:val="0"/>
              <w:spacing w:line="2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1）如投标人组成联合体 </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rPr>
              <w:t>应以承担</w:t>
            </w:r>
            <w:r>
              <w:rPr>
                <w:rFonts w:hint="eastAsia" w:ascii="宋体" w:hAnsi="宋体" w:eastAsia="宋体" w:cs="宋体"/>
                <w:color w:val="auto"/>
                <w:szCs w:val="21"/>
                <w:highlight w:val="none"/>
                <w:u w:val="single"/>
              </w:rPr>
              <w:t>施工任务的单位</w:t>
            </w:r>
            <w:r>
              <w:rPr>
                <w:rFonts w:hint="eastAsia" w:ascii="宋体" w:hAnsi="宋体" w:eastAsia="宋体" w:cs="宋体"/>
                <w:color w:val="auto"/>
                <w:szCs w:val="21"/>
                <w:highlight w:val="none"/>
              </w:rPr>
              <w:t>为主办方</w:t>
            </w:r>
            <w:r>
              <w:rPr>
                <w:rFonts w:hint="eastAsia" w:ascii="宋体" w:hAnsi="宋体" w:eastAsia="宋体" w:cs="宋体"/>
                <w:color w:val="auto"/>
                <w:kern w:val="1"/>
                <w:szCs w:val="21"/>
                <w:highlight w:val="none"/>
              </w:rPr>
              <w:t>，并签订联合体协议书。联合体协议书应明确约定各方拟承担的工作和责任。投标人拟任本工程项目负责人应为承担联合体主办方单位正式员工。</w:t>
            </w:r>
          </w:p>
          <w:p>
            <w:pPr>
              <w:adjustRightInd w:val="0"/>
              <w:snapToGrid w:val="0"/>
              <w:spacing w:line="260" w:lineRule="exac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2）如组成联合体投标的；设计部分评分以承担设计任务的单位为准；施工部分评分以承担施工任务的单位为准。（评分表中另有约定的除外）</w:t>
            </w:r>
          </w:p>
        </w:tc>
      </w:tr>
    </w:tbl>
    <w:p>
      <w:pPr>
        <w:jc w:val="center"/>
        <w:rPr>
          <w:rFonts w:hint="eastAsia" w:ascii="宋体" w:hAnsi="宋体" w:eastAsia="宋体" w:cs="宋体"/>
          <w:color w:val="auto"/>
          <w:highlight w:val="none"/>
        </w:rPr>
      </w:pPr>
    </w:p>
    <w:p>
      <w:pPr>
        <w:jc w:val="left"/>
        <w:rPr>
          <w:rFonts w:hint="eastAsia" w:ascii="宋体" w:hAnsi="宋体" w:eastAsia="宋体" w:cs="宋体"/>
          <w:color w:val="auto"/>
          <w:highlight w:val="none"/>
        </w:rPr>
        <w:sectPr>
          <w:headerReference r:id="rId6" w:type="default"/>
          <w:footerReference r:id="rId7" w:type="default"/>
          <w:pgSz w:w="11907" w:h="16840"/>
          <w:pgMar w:top="1361" w:right="1304" w:bottom="1304" w:left="1304" w:header="851" w:footer="720" w:gutter="0"/>
          <w:cols w:space="720" w:num="1"/>
        </w:sectPr>
      </w:pPr>
    </w:p>
    <w:p>
      <w:pPr>
        <w:pStyle w:val="4"/>
        <w:spacing w:before="100" w:after="100" w:line="400" w:lineRule="exact"/>
        <w:rPr>
          <w:rFonts w:hint="eastAsia" w:ascii="宋体" w:hAnsi="宋体" w:eastAsia="宋体" w:cs="宋体"/>
          <w:color w:val="auto"/>
          <w:sz w:val="24"/>
          <w:szCs w:val="24"/>
          <w:highlight w:val="none"/>
          <w:lang w:val="zh-CN"/>
        </w:rPr>
      </w:pPr>
      <w:bookmarkStart w:id="857" w:name="_Toc22754"/>
      <w:bookmarkStart w:id="858" w:name="_Toc1308"/>
      <w:r>
        <w:rPr>
          <w:rFonts w:hint="eastAsia" w:ascii="宋体" w:hAnsi="宋体" w:eastAsia="宋体" w:cs="宋体"/>
          <w:color w:val="auto"/>
          <w:sz w:val="24"/>
          <w:szCs w:val="24"/>
          <w:highlight w:val="none"/>
          <w:lang w:val="zh-CN"/>
        </w:rPr>
        <w:t>1. 评标方法</w:t>
      </w:r>
      <w:bookmarkEnd w:id="857"/>
      <w:bookmarkEnd w:id="858"/>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本次评标采用</w:t>
      </w:r>
      <w:r>
        <w:rPr>
          <w:rFonts w:hint="eastAsia" w:ascii="宋体" w:hAnsi="宋体" w:eastAsia="宋体" w:cs="宋体"/>
          <w:color w:val="auto"/>
          <w:kern w:val="1"/>
          <w:szCs w:val="21"/>
          <w:highlight w:val="none"/>
          <w:u w:val="single"/>
          <w:lang w:val="en-US" w:eastAsia="zh-CN"/>
        </w:rPr>
        <w:t xml:space="preserve"> </w:t>
      </w:r>
      <w:r>
        <w:rPr>
          <w:rFonts w:hint="eastAsia" w:ascii="宋体" w:hAnsi="宋体" w:eastAsia="宋体" w:cs="宋体"/>
          <w:color w:val="auto"/>
          <w:kern w:val="1"/>
          <w:szCs w:val="21"/>
          <w:highlight w:val="none"/>
          <w:lang w:eastAsia="zh-CN"/>
        </w:rPr>
        <w:t>综合评审法</w:t>
      </w:r>
      <w:r>
        <w:rPr>
          <w:rFonts w:hint="eastAsia" w:ascii="宋体" w:hAnsi="宋体" w:eastAsia="宋体" w:cs="宋体"/>
          <w:color w:val="auto"/>
          <w:kern w:val="1"/>
          <w:szCs w:val="21"/>
          <w:highlight w:val="none"/>
        </w:rPr>
        <w:t>。评标委员会对满足招标文件实质性要求的投标文件，按照本章第2.2款规定的评分标准进行打分，并按得分由高到低顺序推荐中标候选人，但投标报价低于其成本的除外。</w:t>
      </w:r>
    </w:p>
    <w:p>
      <w:pPr>
        <w:pStyle w:val="4"/>
        <w:spacing w:before="100" w:after="100" w:line="400" w:lineRule="exact"/>
        <w:rPr>
          <w:rFonts w:hint="eastAsia" w:ascii="宋体" w:hAnsi="宋体" w:eastAsia="宋体" w:cs="宋体"/>
          <w:color w:val="auto"/>
          <w:sz w:val="21"/>
          <w:szCs w:val="21"/>
          <w:highlight w:val="none"/>
          <w:lang w:val="zh-CN"/>
        </w:rPr>
      </w:pPr>
      <w:bookmarkStart w:id="859" w:name="_Toc14136"/>
      <w:bookmarkStart w:id="860" w:name="_Toc12501"/>
      <w:r>
        <w:rPr>
          <w:rFonts w:hint="eastAsia" w:ascii="宋体" w:hAnsi="宋体" w:eastAsia="宋体" w:cs="宋体"/>
          <w:color w:val="auto"/>
          <w:sz w:val="21"/>
          <w:szCs w:val="21"/>
          <w:highlight w:val="none"/>
          <w:lang w:val="zh-CN"/>
        </w:rPr>
        <w:t>2. 评审标准</w:t>
      </w:r>
      <w:bookmarkEnd w:id="859"/>
      <w:bookmarkEnd w:id="860"/>
    </w:p>
    <w:p>
      <w:pPr>
        <w:pStyle w:val="4"/>
        <w:spacing w:before="100" w:after="100" w:line="400" w:lineRule="exact"/>
        <w:rPr>
          <w:rFonts w:hint="eastAsia" w:ascii="宋体" w:hAnsi="宋体" w:eastAsia="宋体" w:cs="宋体"/>
          <w:color w:val="auto"/>
          <w:sz w:val="21"/>
          <w:szCs w:val="21"/>
          <w:highlight w:val="none"/>
          <w:lang w:val="zh-CN"/>
        </w:rPr>
      </w:pPr>
      <w:bookmarkStart w:id="861" w:name="_Toc19552"/>
      <w:bookmarkStart w:id="862" w:name="_Toc28527"/>
      <w:r>
        <w:rPr>
          <w:rFonts w:hint="eastAsia" w:ascii="宋体" w:hAnsi="宋体" w:eastAsia="宋体" w:cs="宋体"/>
          <w:color w:val="auto"/>
          <w:sz w:val="21"/>
          <w:szCs w:val="21"/>
          <w:highlight w:val="none"/>
          <w:lang w:val="zh-CN"/>
        </w:rPr>
        <w:t>2.1 资格审查及有效性审查标准</w:t>
      </w:r>
      <w:bookmarkEnd w:id="861"/>
      <w:bookmarkEnd w:id="862"/>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2.1.1 资格审查标准：见评标办法前附表。</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2.1.2 工程总承包实施方案投标文件有效性审查标准：见评标办法前附表。</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2.1.3 经济标投标文件有效性审查标准：见评标办法前附表。</w:t>
      </w:r>
    </w:p>
    <w:p>
      <w:pPr>
        <w:pStyle w:val="5"/>
        <w:spacing w:before="100" w:after="100" w:line="400" w:lineRule="exact"/>
        <w:ind w:firstLine="103"/>
        <w:rPr>
          <w:rFonts w:hint="eastAsia" w:ascii="宋体" w:eastAsia="宋体" w:cs="宋体"/>
          <w:b/>
          <w:color w:val="auto"/>
          <w:sz w:val="21"/>
          <w:szCs w:val="21"/>
          <w:highlight w:val="none"/>
        </w:rPr>
      </w:pPr>
      <w:bookmarkStart w:id="863" w:name="_Toc2195"/>
      <w:bookmarkStart w:id="864" w:name="_Toc18062"/>
      <w:r>
        <w:rPr>
          <w:rFonts w:hint="eastAsia" w:ascii="宋体" w:eastAsia="宋体" w:cs="宋体"/>
          <w:b/>
          <w:color w:val="auto"/>
          <w:sz w:val="21"/>
          <w:szCs w:val="21"/>
          <w:highlight w:val="none"/>
        </w:rPr>
        <w:t>2.2 分值构成与评分标准</w:t>
      </w:r>
      <w:bookmarkEnd w:id="863"/>
      <w:bookmarkEnd w:id="864"/>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2.2.1分值构成及权重：见评标办法前附表。</w:t>
      </w:r>
    </w:p>
    <w:p>
      <w:pPr>
        <w:spacing w:before="100" w:after="100"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2.2.2 评分标准</w:t>
      </w:r>
    </w:p>
    <w:p>
      <w:pPr>
        <w:spacing w:before="100" w:after="100" w:line="400" w:lineRule="exact"/>
        <w:ind w:firstLine="420"/>
        <w:rPr>
          <w:rFonts w:hint="eastAsia"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1</w:t>
      </w: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工程总承包实施方案评分标准</w:t>
      </w:r>
      <w:r>
        <w:rPr>
          <w:rFonts w:hint="eastAsia" w:ascii="宋体" w:hAnsi="宋体" w:eastAsia="宋体" w:cs="宋体"/>
          <w:color w:val="auto"/>
          <w:szCs w:val="21"/>
          <w:highlight w:val="none"/>
        </w:rPr>
        <w:t>：</w:t>
      </w:r>
      <w:r>
        <w:rPr>
          <w:rFonts w:hint="eastAsia" w:ascii="宋体" w:hAnsi="宋体" w:eastAsia="宋体" w:cs="宋体"/>
          <w:color w:val="auto"/>
          <w:kern w:val="1"/>
          <w:szCs w:val="21"/>
          <w:highlight w:val="none"/>
        </w:rPr>
        <w:t>见评标办法前附表。</w:t>
      </w:r>
    </w:p>
    <w:p>
      <w:pPr>
        <w:spacing w:before="100" w:after="100"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2</w:t>
      </w: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投标报价评分标准</w:t>
      </w:r>
      <w:r>
        <w:rPr>
          <w:rFonts w:hint="eastAsia" w:ascii="宋体" w:hAnsi="宋体" w:eastAsia="宋体" w:cs="宋体"/>
          <w:color w:val="auto"/>
          <w:szCs w:val="21"/>
          <w:highlight w:val="none"/>
        </w:rPr>
        <w:t>：</w:t>
      </w:r>
      <w:r>
        <w:rPr>
          <w:rFonts w:hint="eastAsia" w:ascii="宋体" w:hAnsi="宋体" w:eastAsia="宋体" w:cs="宋体"/>
          <w:color w:val="auto"/>
          <w:kern w:val="1"/>
          <w:szCs w:val="21"/>
          <w:highlight w:val="none"/>
        </w:rPr>
        <w:t>见评标办法前附表。</w:t>
      </w:r>
    </w:p>
    <w:p>
      <w:pPr>
        <w:pStyle w:val="4"/>
        <w:spacing w:before="100" w:after="100" w:line="400" w:lineRule="exact"/>
        <w:rPr>
          <w:rFonts w:hint="eastAsia" w:ascii="宋体" w:hAnsi="宋体" w:eastAsia="宋体" w:cs="宋体"/>
          <w:color w:val="auto"/>
          <w:sz w:val="21"/>
          <w:szCs w:val="21"/>
          <w:highlight w:val="none"/>
          <w:lang w:val="zh-CN"/>
        </w:rPr>
      </w:pPr>
      <w:bookmarkStart w:id="865" w:name="_Toc14020"/>
      <w:bookmarkStart w:id="866" w:name="_Toc1408"/>
      <w:r>
        <w:rPr>
          <w:rFonts w:hint="eastAsia" w:ascii="宋体" w:hAnsi="宋体" w:eastAsia="宋体" w:cs="宋体"/>
          <w:color w:val="auto"/>
          <w:sz w:val="21"/>
          <w:szCs w:val="21"/>
          <w:highlight w:val="none"/>
          <w:lang w:val="zh-CN"/>
        </w:rPr>
        <w:t>3. 评标程序</w:t>
      </w:r>
      <w:bookmarkEnd w:id="865"/>
      <w:bookmarkEnd w:id="866"/>
    </w:p>
    <w:p>
      <w:pPr>
        <w:spacing w:line="400" w:lineRule="exact"/>
        <w:ind w:firstLine="420" w:firstLineChars="200"/>
        <w:rPr>
          <w:rFonts w:hint="eastAsia" w:ascii="宋体" w:hAnsi="宋体" w:eastAsia="宋体" w:cs="宋体"/>
          <w:color w:val="auto"/>
          <w:kern w:val="1"/>
          <w:szCs w:val="21"/>
          <w:highlight w:val="none"/>
          <w:lang w:eastAsia="zh-CN"/>
        </w:rPr>
      </w:pPr>
      <w:bookmarkStart w:id="867" w:name="_Toc14928"/>
      <w:bookmarkStart w:id="868" w:name="_Toc19613"/>
      <w:r>
        <w:rPr>
          <w:rFonts w:hint="eastAsia" w:ascii="宋体" w:hAnsi="宋体" w:eastAsia="宋体" w:cs="宋体"/>
          <w:color w:val="auto"/>
          <w:kern w:val="1"/>
          <w:szCs w:val="21"/>
          <w:highlight w:val="none"/>
        </w:rPr>
        <w:t>本项目采取电子评标。投标文件由评标委员会负责评审</w:t>
      </w:r>
      <w:r>
        <w:rPr>
          <w:rFonts w:hint="eastAsia" w:ascii="宋体" w:hAnsi="宋体" w:eastAsia="宋体" w:cs="宋体"/>
          <w:color w:val="auto"/>
          <w:kern w:val="1"/>
          <w:szCs w:val="21"/>
          <w:highlight w:val="none"/>
          <w:lang w:eastAsia="zh-CN"/>
        </w:rPr>
        <w:t>。</w:t>
      </w:r>
    </w:p>
    <w:p>
      <w:pPr>
        <w:pStyle w:val="5"/>
        <w:spacing w:before="100" w:after="100" w:line="400" w:lineRule="exact"/>
        <w:ind w:firstLine="103"/>
        <w:rPr>
          <w:rFonts w:hint="eastAsia" w:ascii="宋体" w:eastAsia="宋体" w:cs="宋体"/>
          <w:color w:val="auto"/>
          <w:sz w:val="21"/>
          <w:szCs w:val="21"/>
          <w:highlight w:val="none"/>
        </w:rPr>
      </w:pPr>
      <w:r>
        <w:rPr>
          <w:rFonts w:hint="eastAsia" w:ascii="宋体" w:eastAsia="宋体" w:cs="宋体"/>
          <w:b/>
          <w:color w:val="auto"/>
          <w:sz w:val="21"/>
          <w:szCs w:val="21"/>
          <w:highlight w:val="none"/>
        </w:rPr>
        <w:t>3.1</w:t>
      </w:r>
      <w:r>
        <w:rPr>
          <w:rFonts w:hint="eastAsia" w:ascii="宋体" w:eastAsia="宋体" w:cs="宋体"/>
          <w:b/>
          <w:bCs w:val="0"/>
          <w:color w:val="auto"/>
          <w:sz w:val="21"/>
          <w:szCs w:val="21"/>
          <w:highlight w:val="none"/>
        </w:rPr>
        <w:t>资格审查文件评审</w:t>
      </w:r>
      <w:bookmarkEnd w:id="867"/>
      <w:bookmarkEnd w:id="868"/>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3.1.1资格审查文件中全部符合附表1《资格审查表》中情形的，为资格审查合格。否则为资格审查不合格，经评标委员会认定后，其资格审查文件将被拒绝。如评标委员会成员的评审意见不一致时，以评标委员会过半数成员的意见作为评标委员会对该情形的认定结论。只有通过资格审查的投标人方可进入下一阶段的评审。</w:t>
      </w:r>
    </w:p>
    <w:p>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kern w:val="1"/>
          <w:szCs w:val="21"/>
          <w:highlight w:val="none"/>
        </w:rPr>
        <w:t>3.1.2汇总资格审查情况，编写资格审查报告。</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3.1.3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特别声明：资审合格后，投标人的资格发生变化而不满足投标人合格条件，在发出中标通知书前，资格问题仍未解决的，招标人将取消其中标资格。</w:t>
      </w:r>
    </w:p>
    <w:p>
      <w:pPr>
        <w:pStyle w:val="5"/>
        <w:spacing w:before="100" w:after="100" w:line="400" w:lineRule="exact"/>
        <w:ind w:firstLine="103"/>
        <w:rPr>
          <w:rFonts w:hint="eastAsia" w:ascii="宋体" w:eastAsia="宋体" w:cs="宋体"/>
          <w:color w:val="auto"/>
          <w:sz w:val="21"/>
          <w:szCs w:val="21"/>
          <w:highlight w:val="none"/>
        </w:rPr>
      </w:pPr>
      <w:bookmarkStart w:id="869" w:name="_Toc8664"/>
      <w:bookmarkStart w:id="870" w:name="_Toc14534"/>
      <w:r>
        <w:rPr>
          <w:rFonts w:hint="eastAsia" w:ascii="宋体" w:eastAsia="宋体" w:cs="宋体"/>
          <w:b/>
          <w:color w:val="auto"/>
          <w:sz w:val="21"/>
          <w:szCs w:val="21"/>
          <w:highlight w:val="none"/>
        </w:rPr>
        <w:t>3.2</w:t>
      </w:r>
      <w:r>
        <w:rPr>
          <w:rFonts w:hint="eastAsia" w:ascii="宋体" w:eastAsia="宋体" w:cs="宋体"/>
          <w:b/>
          <w:bCs w:val="0"/>
          <w:color w:val="auto"/>
          <w:sz w:val="21"/>
          <w:szCs w:val="21"/>
          <w:highlight w:val="none"/>
        </w:rPr>
        <w:t>工程总承包实施方案投标文件评审</w:t>
      </w:r>
      <w:bookmarkEnd w:id="869"/>
      <w:bookmarkEnd w:id="870"/>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3.2.1工程总承包实施方案投标文件的有效性审查：通过资格审查的投标文件中全部符合列于本办法附表2《工程总承包实施方案投标文件有效性审查表》中情形的，为有效标书。否则为无效标书，经评标委员会认定后，其投标文件将被拒绝。如评标委员会成员的评审意见不一致时，以评标委员会过半数成员的意见作为评标委员会对该情形的认定结论。未通过工程总承包实施方案投标文件有效性审查的，不得进入下一阶段评审。</w:t>
      </w:r>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3.2.2工程总承包实施方案详细审查评分：评标委员会按照本办法附表3《工程总承包实施方案详细审查评分表》的标准对通过工程总承包实施方案投标文件有效性审查的投标文件进行详细审查评分。</w:t>
      </w:r>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3.2.3所有评委每个分项的分数汇总后的算术平均值作为投标人的工程总承包实施方案得分。分数出现小数点，保留小数点后二位小数，第三位小数四舍五入。</w:t>
      </w:r>
    </w:p>
    <w:p>
      <w:pPr>
        <w:pStyle w:val="5"/>
        <w:spacing w:before="100" w:after="100" w:line="400" w:lineRule="exact"/>
        <w:ind w:firstLine="103"/>
        <w:rPr>
          <w:rFonts w:hint="eastAsia" w:ascii="宋体" w:eastAsia="宋体" w:cs="宋体"/>
          <w:b/>
          <w:bCs w:val="0"/>
          <w:color w:val="auto"/>
          <w:sz w:val="21"/>
          <w:szCs w:val="21"/>
          <w:highlight w:val="none"/>
        </w:rPr>
      </w:pPr>
      <w:bookmarkStart w:id="871" w:name="_Toc2217"/>
      <w:bookmarkStart w:id="872" w:name="_Toc32313"/>
      <w:r>
        <w:rPr>
          <w:rFonts w:hint="eastAsia" w:ascii="宋体" w:eastAsia="宋体" w:cs="宋体"/>
          <w:b/>
          <w:bCs w:val="0"/>
          <w:color w:val="auto"/>
          <w:sz w:val="21"/>
          <w:szCs w:val="21"/>
          <w:highlight w:val="none"/>
        </w:rPr>
        <w:t>3.3经济标投标文件有效性审查</w:t>
      </w:r>
      <w:bookmarkEnd w:id="871"/>
      <w:bookmarkEnd w:id="872"/>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经济标投标文件有效性审查：评标委员会对通过资格审查和工程总承包实施方案投标文件有效性审查的投标人递交的经济标投标文件进行有效性审查，按本办法附表4《经济标投标文件有效性审查表》的评审内容进行经济标投标文件有效性审查，经评标委员会认定为无效标书的，其投标文件将被拒绝。如评标委员会成员的评审意见不一致时，以评标委员会过半数成员的意见作为评标委员会对该情形的认定结论。未通过经济标投标文件有效性审查的，不得进入下一阶段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3.3.2投标报价的算术校核。评标委员会对通过经济标投标文件有效性审查的投标文件的投标报价进行算术校核，具体标准如下：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（1）如果数字表示的金额和用文字表示的金额不一致时，应以文字表示的金额为准（有以下算术性错误需要修正的除外）；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（2）如果下浮率与投标书报价不相符时，以报价为准修正下浮率；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（3）如果分项报价累加不等总价的，以分项报价累加为准，修正总价；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（4）投标文件存在其他计算性错误的，按就低不就高计算并修正；</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（5）经算术复核的投标人报价与其投标报价不一致时，按就低不就高原则确定其最终报价；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（7）当合价、金额累加错误时，按就低不就高原则，如果累加修正值小于原累加值，则按累加修正值；如果累加修正值大于原累加值，则按原累加值；</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（8）按就低不就高原则，当修正后报价小于原报价，总价按修正后报价；当修正后报价大于原报价，总价按原报价，并在签订合同时载明在结算价中扣除修正报价与原报价的差额。</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（9）按上述修正错误的原则及方法调整或修正投标文件的投标报价，调整后的投标报价对投标人起约束作用。如果投标人不接受修正后的报价，则取消其投标资格。</w:t>
      </w:r>
    </w:p>
    <w:p>
      <w:pPr>
        <w:pStyle w:val="5"/>
        <w:spacing w:before="100" w:after="100" w:line="400" w:lineRule="exact"/>
        <w:ind w:firstLine="103"/>
        <w:rPr>
          <w:rFonts w:hint="eastAsia" w:ascii="宋体" w:eastAsia="宋体" w:cs="宋体"/>
          <w:b/>
          <w:color w:val="auto"/>
          <w:sz w:val="21"/>
          <w:szCs w:val="21"/>
          <w:highlight w:val="none"/>
        </w:rPr>
      </w:pPr>
      <w:bookmarkStart w:id="873" w:name="_Toc25801"/>
      <w:bookmarkStart w:id="874" w:name="_Toc24613"/>
      <w:r>
        <w:rPr>
          <w:rFonts w:hint="eastAsia" w:ascii="宋体" w:eastAsia="宋体" w:cs="宋体"/>
          <w:b/>
          <w:color w:val="auto"/>
          <w:sz w:val="21"/>
          <w:szCs w:val="21"/>
          <w:highlight w:val="none"/>
        </w:rPr>
        <w:t>3.4投标报价评审</w:t>
      </w:r>
      <w:bookmarkEnd w:id="873"/>
      <w:bookmarkEnd w:id="874"/>
    </w:p>
    <w:p>
      <w:pPr>
        <w:spacing w:before="100" w:after="100"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3.4.1通过工程总承包实施方案投标文件有效性审查和经济标投标文件有效性审查的投标人的建安工程费投标报价，取位于[9</w:t>
      </w:r>
      <w:r>
        <w:rPr>
          <w:rFonts w:hint="eastAsia" w:ascii="宋体" w:hAnsi="宋体" w:eastAsia="宋体" w:cs="宋体"/>
          <w:color w:val="auto"/>
          <w:kern w:val="1"/>
          <w:szCs w:val="21"/>
          <w:highlight w:val="none"/>
          <w:lang w:val="en-US" w:eastAsia="zh-CN"/>
        </w:rPr>
        <w:t>5</w:t>
      </w:r>
      <w:r>
        <w:rPr>
          <w:rFonts w:hint="eastAsia" w:ascii="宋体" w:hAnsi="宋体" w:eastAsia="宋体" w:cs="宋体"/>
          <w:color w:val="auto"/>
          <w:kern w:val="1"/>
          <w:szCs w:val="21"/>
          <w:highlight w:val="none"/>
        </w:rPr>
        <w:t>%，100%]建安工程费最高投标限价区间中的投标价的算术平均值为评标参考价。若没有投标价位于[9</w:t>
      </w:r>
      <w:r>
        <w:rPr>
          <w:rFonts w:hint="eastAsia" w:ascii="宋体" w:hAnsi="宋体" w:eastAsia="宋体" w:cs="宋体"/>
          <w:color w:val="auto"/>
          <w:kern w:val="1"/>
          <w:szCs w:val="21"/>
          <w:highlight w:val="none"/>
          <w:lang w:val="en-US" w:eastAsia="zh-CN"/>
        </w:rPr>
        <w:t>5</w:t>
      </w:r>
      <w:r>
        <w:rPr>
          <w:rFonts w:hint="eastAsia" w:ascii="宋体" w:hAnsi="宋体" w:eastAsia="宋体" w:cs="宋体"/>
          <w:color w:val="auto"/>
          <w:kern w:val="1"/>
          <w:szCs w:val="21"/>
          <w:highlight w:val="none"/>
        </w:rPr>
        <w:t>%，100%]建安工程费最高投标限价区间，则评标参考价=建安工程费最高投标限价×9</w:t>
      </w:r>
      <w:r>
        <w:rPr>
          <w:rFonts w:hint="eastAsia" w:ascii="宋体" w:hAnsi="宋体" w:eastAsia="宋体" w:cs="宋体"/>
          <w:color w:val="auto"/>
          <w:kern w:val="1"/>
          <w:szCs w:val="21"/>
          <w:highlight w:val="none"/>
          <w:lang w:val="en-US" w:eastAsia="zh-CN"/>
        </w:rPr>
        <w:t>5</w:t>
      </w:r>
      <w:r>
        <w:rPr>
          <w:rFonts w:hint="eastAsia" w:ascii="宋体" w:hAnsi="宋体" w:eastAsia="宋体" w:cs="宋体"/>
          <w:color w:val="auto"/>
          <w:kern w:val="1"/>
          <w:szCs w:val="21"/>
          <w:highlight w:val="none"/>
        </w:rPr>
        <w:t>%。</w:t>
      </w:r>
    </w:p>
    <w:p>
      <w:pPr>
        <w:spacing w:before="100" w:after="100"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3.4.2建安工程费投标报价等于评标参考价时得100分，投标价每高于评标参考价1%，</w:t>
      </w:r>
      <w:r>
        <w:rPr>
          <w:rFonts w:hint="eastAsia" w:ascii="宋体" w:hAnsi="宋体" w:cs="宋体"/>
          <w:color w:val="auto"/>
          <w:kern w:val="0"/>
          <w:szCs w:val="21"/>
          <w:highlight w:val="none"/>
        </w:rPr>
        <w:t>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.5分</w:t>
      </w:r>
      <w:r>
        <w:rPr>
          <w:rFonts w:hint="eastAsia" w:ascii="宋体" w:hAnsi="宋体" w:eastAsia="宋体" w:cs="宋体"/>
          <w:color w:val="auto"/>
          <w:kern w:val="1"/>
          <w:szCs w:val="21"/>
          <w:highlight w:val="none"/>
        </w:rPr>
        <w:t>，每低于评标参考价1%，</w:t>
      </w:r>
      <w:r>
        <w:rPr>
          <w:rFonts w:hint="eastAsia" w:ascii="宋体" w:hAnsi="宋体" w:cs="宋体"/>
          <w:color w:val="auto"/>
          <w:kern w:val="0"/>
          <w:szCs w:val="21"/>
          <w:highlight w:val="none"/>
        </w:rPr>
        <w:t>扣</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eastAsia="宋体" w:cs="宋体"/>
          <w:color w:val="auto"/>
          <w:kern w:val="1"/>
          <w:szCs w:val="21"/>
          <w:highlight w:val="none"/>
        </w:rPr>
        <w:t>，扣至0分为止。根据第二章投标人须知的投标人须知前附表第9.6项规定实施经济标评审优惠政策（如有）。得出的投标报价得分乘以对应的权重作为最终投标报价得分，精确到小数点后两位，第三位小数四舍五入。</w:t>
      </w:r>
    </w:p>
    <w:p>
      <w:pPr>
        <w:spacing w:before="100" w:after="100"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3.4.3 施工部分报价评审中的投标报价特指建安工程费投标报价，不包含设计费。</w:t>
      </w:r>
    </w:p>
    <w:p>
      <w:pPr>
        <w:pStyle w:val="4"/>
        <w:ind w:firstLine="422" w:firstLineChars="200"/>
        <w:rPr>
          <w:rFonts w:hint="eastAsia"/>
          <w:color w:val="auto"/>
          <w:highlight w:val="none"/>
        </w:rPr>
      </w:pPr>
      <w:r>
        <w:rPr>
          <w:rFonts w:hint="eastAsia" w:ascii="宋体" w:hAnsi="宋体" w:eastAsia="宋体" w:cs="宋体"/>
          <w:color w:val="auto"/>
          <w:kern w:val="2"/>
          <w:sz w:val="21"/>
          <w:szCs w:val="21"/>
          <w:highlight w:val="none"/>
          <w:lang w:eastAsia="zh-CN" w:bidi="ar"/>
        </w:rPr>
        <w:t>注：</w:t>
      </w:r>
      <w:r>
        <w:rPr>
          <w:rFonts w:hint="eastAsia" w:ascii="宋体" w:hAnsi="宋体" w:eastAsia="宋体" w:cs="宋体"/>
          <w:color w:val="auto"/>
          <w:kern w:val="2"/>
          <w:sz w:val="21"/>
          <w:szCs w:val="21"/>
          <w:highlight w:val="none"/>
          <w:lang w:bidi="ar"/>
        </w:rPr>
        <w:t>合同价中分部分项工程综合单价=发包人审定的施工图预算中对应的分部分项工程综合单价×（1-定额组价下浮</w:t>
      </w:r>
      <w:r>
        <w:rPr>
          <w:rFonts w:hint="eastAsia" w:ascii="宋体" w:hAnsi="宋体" w:eastAsia="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bidi="ar"/>
        </w:rPr>
        <w:t>%)×（1-建安工程费投标下浮率）</w:t>
      </w:r>
      <w:r>
        <w:rPr>
          <w:rFonts w:hint="eastAsia" w:ascii="宋体" w:hAnsi="宋体" w:eastAsia="宋体" w:cs="宋体"/>
          <w:color w:val="auto"/>
          <w:kern w:val="2"/>
          <w:sz w:val="21"/>
          <w:szCs w:val="21"/>
          <w:highlight w:val="none"/>
          <w:lang w:eastAsia="zh-CN" w:bidi="ar"/>
        </w:rPr>
        <w:t>。</w:t>
      </w:r>
    </w:p>
    <w:p>
      <w:pPr>
        <w:pStyle w:val="5"/>
        <w:spacing w:before="100" w:after="100" w:line="400" w:lineRule="exact"/>
        <w:ind w:firstLine="103"/>
        <w:rPr>
          <w:rFonts w:hint="eastAsia" w:ascii="宋体" w:eastAsia="宋体" w:cs="宋体"/>
          <w:b/>
          <w:color w:val="auto"/>
          <w:sz w:val="21"/>
          <w:szCs w:val="21"/>
          <w:highlight w:val="none"/>
        </w:rPr>
      </w:pPr>
      <w:bookmarkStart w:id="875" w:name="_Toc20051"/>
      <w:bookmarkStart w:id="876" w:name="_Toc18774"/>
      <w:r>
        <w:rPr>
          <w:rFonts w:hint="eastAsia" w:ascii="宋体" w:eastAsia="宋体" w:cs="宋体"/>
          <w:b/>
          <w:color w:val="auto"/>
          <w:sz w:val="21"/>
          <w:szCs w:val="21"/>
          <w:highlight w:val="none"/>
        </w:rPr>
        <w:t>3.5评审汇总</w:t>
      </w:r>
      <w:bookmarkEnd w:id="875"/>
      <w:bookmarkEnd w:id="876"/>
    </w:p>
    <w:p>
      <w:pPr>
        <w:spacing w:line="400" w:lineRule="exact"/>
        <w:ind w:firstLine="458"/>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3.5.1 投标人总得分满分为100分，总分权重分配见：评标办法前附表。</w:t>
      </w:r>
    </w:p>
    <w:p>
      <w:pPr>
        <w:spacing w:line="400" w:lineRule="exact"/>
        <w:ind w:firstLine="458"/>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3.5.2 评标委员会按照“</w:t>
      </w:r>
      <w:r>
        <w:rPr>
          <w:rFonts w:hint="eastAsia" w:ascii="宋体" w:hAnsi="宋体" w:eastAsia="宋体" w:cs="宋体"/>
          <w:b/>
          <w:color w:val="auto"/>
          <w:szCs w:val="21"/>
          <w:highlight w:val="none"/>
        </w:rPr>
        <w:t>投标人总得分（满分100分）=工程总承包实施方案得分（权重</w:t>
      </w:r>
      <w:r>
        <w:rPr>
          <w:rFonts w:hint="eastAsia" w:ascii="宋体" w:hAnsi="宋体" w:eastAsia="宋体" w:cs="宋体"/>
          <w:b/>
          <w:color w:val="auto"/>
          <w:szCs w:val="21"/>
          <w:highlight w:val="none"/>
          <w:u w:val="single"/>
          <w:lang w:val="en-US" w:eastAsia="zh-CN"/>
        </w:rPr>
        <w:t>50</w:t>
      </w:r>
      <w:r>
        <w:rPr>
          <w:rFonts w:hint="eastAsia" w:ascii="宋体" w:hAnsi="宋体" w:eastAsia="宋体" w:cs="宋体"/>
          <w:b/>
          <w:color w:val="auto"/>
          <w:szCs w:val="21"/>
          <w:highlight w:val="none"/>
        </w:rPr>
        <w:t>%）+投标报价得分（权重</w:t>
      </w:r>
      <w:r>
        <w:rPr>
          <w:rFonts w:hint="eastAsia" w:ascii="宋体" w:hAnsi="宋体" w:eastAsia="宋体" w:cs="宋体"/>
          <w:b/>
          <w:color w:val="auto"/>
          <w:szCs w:val="21"/>
          <w:highlight w:val="none"/>
          <w:u w:val="single"/>
          <w:lang w:val="en-US" w:eastAsia="zh-CN"/>
        </w:rPr>
        <w:t>50</w:t>
      </w:r>
      <w:r>
        <w:rPr>
          <w:rFonts w:hint="eastAsia" w:ascii="宋体" w:hAnsi="宋体" w:eastAsia="宋体" w:cs="宋体"/>
          <w:b/>
          <w:color w:val="auto"/>
          <w:szCs w:val="21"/>
          <w:highlight w:val="none"/>
        </w:rPr>
        <w:t>%）</w:t>
      </w:r>
      <w:r>
        <w:rPr>
          <w:rFonts w:hint="eastAsia" w:ascii="宋体" w:hAnsi="宋体" w:eastAsia="宋体" w:cs="宋体"/>
          <w:color w:val="auto"/>
          <w:kern w:val="1"/>
          <w:szCs w:val="21"/>
          <w:highlight w:val="none"/>
        </w:rPr>
        <w:t>”公式，计算各有效投标文件的总分（精确到小数点后两位），并按照总分从高到低排列先后次序。同时通过资格审查、工程总承包实施方案投标文件有效性审查和经济标投标文件有效性审查的投标人才能参与投标人总得分汇总。总分相等时，以工程总承包实施方案“项目实施方案部分”得分高的排前；如仍存在相同情况，则以工程总承包实施方案“资信业绩部分”得分高的排前。如仍存在相同情况，</w:t>
      </w:r>
      <w:r>
        <w:rPr>
          <w:rFonts w:hint="eastAsia" w:ascii="宋体" w:hAnsi="宋体" w:eastAsia="宋体" w:cs="宋体"/>
          <w:color w:val="auto"/>
          <w:highlight w:val="none"/>
        </w:rPr>
        <w:t>则对具有相同情况的投标人，按中标候选人数量规定，由评标委员会采用记名投票方式，</w:t>
      </w:r>
      <w:r>
        <w:rPr>
          <w:rFonts w:hint="eastAsia" w:ascii="宋体" w:hAnsi="宋体" w:eastAsia="宋体" w:cs="宋体"/>
          <w:color w:val="auto"/>
          <w:highlight w:val="none"/>
          <w:u w:val="single"/>
        </w:rPr>
        <w:t>以得票高排前的原则</w:t>
      </w:r>
      <w:r>
        <w:rPr>
          <w:rFonts w:hint="eastAsia" w:ascii="宋体" w:hAnsi="宋体" w:eastAsia="宋体" w:cs="宋体"/>
          <w:color w:val="auto"/>
          <w:highlight w:val="none"/>
        </w:rPr>
        <w:t>确定中标候选人的排序。</w:t>
      </w:r>
      <w:r>
        <w:rPr>
          <w:rFonts w:hint="eastAsia" w:ascii="宋体" w:hAnsi="宋体" w:eastAsia="宋体" w:cs="宋体"/>
          <w:color w:val="auto"/>
          <w:kern w:val="1"/>
          <w:szCs w:val="21"/>
          <w:highlight w:val="none"/>
        </w:rPr>
        <w:t>随后向招标人推荐投标人总得分前3名投标人依次为第一中标候选人至第三中标候选人，并编写评标报告。</w:t>
      </w:r>
    </w:p>
    <w:p>
      <w:pPr>
        <w:spacing w:line="400" w:lineRule="exact"/>
        <w:ind w:firstLine="458"/>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3.5.3 满足资格审查合格条件的投标人不足3名、或经评审有效的投标单位不足3名时为招标失败，应当依法重新招标。</w:t>
      </w:r>
    </w:p>
    <w:p>
      <w:pPr>
        <w:pStyle w:val="5"/>
        <w:spacing w:before="100" w:after="100" w:line="400" w:lineRule="exact"/>
        <w:ind w:firstLine="103"/>
        <w:rPr>
          <w:rFonts w:hint="eastAsia" w:ascii="宋体" w:eastAsia="宋体" w:cs="宋体"/>
          <w:color w:val="auto"/>
          <w:sz w:val="21"/>
          <w:szCs w:val="21"/>
          <w:highlight w:val="none"/>
        </w:rPr>
      </w:pPr>
      <w:bookmarkStart w:id="877" w:name="_Toc17540"/>
      <w:bookmarkStart w:id="878" w:name="_Toc13370"/>
      <w:r>
        <w:rPr>
          <w:rFonts w:hint="eastAsia" w:ascii="宋体" w:eastAsia="宋体" w:cs="宋体"/>
          <w:b/>
          <w:bCs w:val="0"/>
          <w:color w:val="auto"/>
          <w:sz w:val="21"/>
          <w:szCs w:val="21"/>
          <w:highlight w:val="none"/>
        </w:rPr>
        <w:t>3.6投标文件的澄清和补正</w:t>
      </w:r>
      <w:bookmarkEnd w:id="877"/>
      <w:bookmarkEnd w:id="878"/>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3.6.1 为有助于投标文件的审查、评价和比较，评标期间，经评标委员会中超过两人（含两人）的成员以书面形式提出动议，评标委员会应当书面发出澄清通知，要求投标人对投标文件含义不明确的内容作出澄清。</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3.6.3 评标委员会成员均应当阅读投标人的澄清，但应独立参考澄清对投标文件进行评审。</w:t>
      </w:r>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3.6.4 如果投标文件实质上不响应招标文件的各项要求，评标委员会相应评审将按照有效性审查标准予以拒绝，不接受投标人通过修改或撤销其不符合要求的差异或保留，使之成为具有响应性的投标。</w:t>
      </w:r>
    </w:p>
    <w:p>
      <w:pPr>
        <w:pStyle w:val="5"/>
        <w:spacing w:before="100" w:after="100" w:line="400" w:lineRule="exact"/>
        <w:ind w:firstLine="103"/>
        <w:rPr>
          <w:rFonts w:hint="eastAsia" w:ascii="宋体" w:eastAsia="宋体" w:cs="宋体"/>
          <w:b/>
          <w:color w:val="auto"/>
          <w:sz w:val="21"/>
          <w:szCs w:val="21"/>
          <w:highlight w:val="none"/>
        </w:rPr>
      </w:pPr>
      <w:bookmarkStart w:id="879" w:name="_Toc27749"/>
      <w:bookmarkStart w:id="880" w:name="_Toc23981"/>
      <w:r>
        <w:rPr>
          <w:rFonts w:hint="eastAsia" w:ascii="宋体" w:eastAsia="宋体" w:cs="宋体"/>
          <w:b/>
          <w:color w:val="auto"/>
          <w:sz w:val="21"/>
          <w:szCs w:val="21"/>
          <w:highlight w:val="none"/>
        </w:rPr>
        <w:t>3.7评标结果</w:t>
      </w:r>
      <w:bookmarkEnd w:id="879"/>
      <w:bookmarkEnd w:id="880"/>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除第二章“投标人须知”前附表授权直接确定中标人外，评标委员会按照得分由高到低的顺序推荐中标候选人。</w:t>
      </w:r>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3.6.2 评标委员会完成评标后，应当向招标人提交书面评标报告。</w:t>
      </w:r>
    </w:p>
    <w:p>
      <w:pPr>
        <w:spacing w:line="400" w:lineRule="exac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3.6.3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pStyle w:val="4"/>
        <w:spacing w:before="100" w:after="100" w:line="400" w:lineRule="exact"/>
        <w:rPr>
          <w:rFonts w:hint="eastAsia" w:ascii="宋体" w:hAnsi="宋体" w:eastAsia="宋体" w:cs="宋体"/>
          <w:color w:val="auto"/>
          <w:sz w:val="21"/>
          <w:szCs w:val="21"/>
          <w:highlight w:val="none"/>
          <w:lang w:val="zh-CN"/>
        </w:rPr>
      </w:pPr>
      <w:bookmarkStart w:id="881" w:name="_Toc9545"/>
      <w:bookmarkStart w:id="882" w:name="_Toc20982"/>
      <w:r>
        <w:rPr>
          <w:rFonts w:hint="eastAsia" w:ascii="宋体" w:hAnsi="宋体" w:eastAsia="宋体" w:cs="宋体"/>
          <w:color w:val="auto"/>
          <w:sz w:val="21"/>
          <w:szCs w:val="21"/>
          <w:highlight w:val="none"/>
          <w:lang w:val="zh-CN"/>
        </w:rPr>
        <w:t>4. 评标表格</w:t>
      </w:r>
      <w:bookmarkEnd w:id="881"/>
      <w:bookmarkEnd w:id="882"/>
    </w:p>
    <w:p>
      <w:pPr>
        <w:spacing w:line="400" w:lineRule="exact"/>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见后附表1-5。</w:t>
      </w:r>
    </w:p>
    <w:p>
      <w:pPr>
        <w:spacing w:line="400" w:lineRule="exact"/>
        <w:rPr>
          <w:rFonts w:hint="eastAsia" w:ascii="宋体" w:hAnsi="宋体" w:eastAsia="宋体" w:cs="宋体"/>
          <w:color w:val="auto"/>
          <w:kern w:val="1"/>
          <w:highlight w:val="none"/>
        </w:rPr>
        <w:sectPr>
          <w:headerReference r:id="rId8" w:type="default"/>
          <w:footerReference r:id="rId9" w:type="default"/>
          <w:pgSz w:w="11907" w:h="16840"/>
          <w:pgMar w:top="1361" w:right="1304" w:bottom="1304" w:left="1304" w:header="851" w:footer="720" w:gutter="0"/>
          <w:cols w:space="720" w:num="1"/>
        </w:sectPr>
      </w:pPr>
    </w:p>
    <w:p>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附表1</w:t>
      </w:r>
    </w:p>
    <w:p>
      <w:pPr>
        <w:spacing w:line="400" w:lineRule="exact"/>
        <w:jc w:val="center"/>
        <w:rPr>
          <w:rFonts w:hint="eastAsia" w:ascii="宋体" w:hAnsi="宋体" w:eastAsia="宋体" w:cs="宋体"/>
          <w:b/>
          <w:color w:val="auto"/>
          <w:sz w:val="36"/>
          <w:szCs w:val="36"/>
          <w:highlight w:val="none"/>
        </w:rPr>
      </w:pPr>
      <w:bookmarkStart w:id="883" w:name="_Toc21498"/>
      <w:bookmarkStart w:id="884" w:name="_Toc15263"/>
      <w:r>
        <w:rPr>
          <w:rFonts w:hint="eastAsia" w:ascii="宋体" w:hAnsi="宋体" w:eastAsia="宋体" w:cs="宋体"/>
          <w:b/>
          <w:color w:val="auto"/>
          <w:sz w:val="36"/>
          <w:szCs w:val="36"/>
          <w:highlight w:val="none"/>
        </w:rPr>
        <w:t>资格审查表</w:t>
      </w:r>
    </w:p>
    <w:tbl>
      <w:tblPr>
        <w:tblStyle w:val="40"/>
        <w:tblW w:w="14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29"/>
        <w:gridCol w:w="11919"/>
        <w:gridCol w:w="583"/>
        <w:gridCol w:w="634"/>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191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评审内容</w:t>
            </w:r>
          </w:p>
        </w:tc>
        <w:tc>
          <w:tcPr>
            <w:tcW w:w="583"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单位1</w:t>
            </w:r>
          </w:p>
        </w:tc>
        <w:tc>
          <w:tcPr>
            <w:tcW w:w="634"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单位2</w:t>
            </w:r>
          </w:p>
        </w:tc>
        <w:tc>
          <w:tcPr>
            <w:tcW w:w="690"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投标人参加投标的意思表达清楚，投标人代表被授权有效。</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投标人（若为联合体投标，指联合体各方）均具有独立法人资格，持有市场监督（工商行政）管理部门核发的法人营业执照或事业单位法人证书，按国家法律经营。</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投标人（若为联合体投标，指承担施工任务的单位）</w:t>
            </w:r>
            <w:r>
              <w:rPr>
                <w:rFonts w:hint="eastAsia" w:ascii="宋体" w:hAnsi="宋体" w:eastAsia="宋体" w:cs="宋体"/>
                <w:color w:val="auto"/>
                <w:sz w:val="18"/>
                <w:szCs w:val="18"/>
                <w:highlight w:val="none"/>
                <w:lang w:val="en-US" w:eastAsia="zh-CN"/>
              </w:rPr>
              <w:t>均</w:t>
            </w:r>
            <w:r>
              <w:rPr>
                <w:rFonts w:hint="eastAsia" w:ascii="宋体" w:hAnsi="宋体" w:eastAsia="宋体" w:cs="宋体"/>
                <w:color w:val="auto"/>
                <w:sz w:val="18"/>
                <w:szCs w:val="18"/>
                <w:highlight w:val="none"/>
              </w:rPr>
              <w:t>持有有效的建设行政主管部门颁发的安全生产许可证。</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投标人（若为联合体投标，指联合体各方）企业资质符合招标公告要求。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投标人拟担任本项目的项目负责人（施工负责人）资格满足招标公告要求。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投标人拟担任本项目的设计负责人资格满足招标公告要求。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7"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投标人拟担任本项目的施工技术负责人资格满足招标公告要求。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投标人拟担任本项目的项目负责人（施工负责人）持有在有效期内的安全培训考核合格证书（B类）或建筑施工企业项目负责人安全生产考核合格证书。</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4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投标人拟担任本项目的专职安全人员资格满足招标公告要求。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9"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投标人提供的《投标人声明》符合招标公告要求。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9"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联合体投标的提交联合体共同投标协议书，联合体组成符合招标公告要求。</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格审查前，投标人（含联合体各方）须在广州市住房和城乡建设局建立企业信用档案及拟担任本工程项目负责人（即施工负责人）、设计负责人、专职安全员须是本企业信用档案中的在册人员（联合体投标的，企业信息登记和人员在册情况为联合体协议分工对应的信息登记）。</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未出现以下情形：与其它投标人的单位负责人（如为联合体，含联合体中各单位负责人）为同一人或者存在控股、管理关系的（按投标人提供的《投标人声明》第八条内容进行评审）。如不同投标申请人出现单位负责人为同一人或者存在控股、管理关系的情形，则不得参加同一标段投标或者未划分标段的同一招标项目投标，否则均视其不符合投标人合格条件予以处理。（联合体内各成员之间不受本条限制）。</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11919"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cs="宋体"/>
                <w:color w:val="auto"/>
                <w:sz w:val="18"/>
                <w:szCs w:val="18"/>
                <w:highlight w:val="none"/>
              </w:rPr>
              <w:t>投标人（若为联合体投标，指联合体各方）未被列入拖欠农民工工资失信联合惩戒对象名单。（投标人无需提供资料，按投标截止时间交易系统比对的结果进行评审）</w:t>
            </w:r>
            <w:r>
              <w:rPr>
                <w:rFonts w:hint="eastAsia" w:ascii="宋体" w:hAnsi="宋体" w:eastAsia="宋体" w:cs="宋体"/>
                <w:color w:val="auto"/>
                <w:sz w:val="18"/>
                <w:szCs w:val="18"/>
                <w:highlight w:val="none"/>
              </w:rPr>
              <w:t>。</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8" w:hRule="atLeast"/>
        </w:trPr>
        <w:tc>
          <w:tcPr>
            <w:tcW w:w="52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结论</w:t>
            </w:r>
          </w:p>
        </w:tc>
        <w:tc>
          <w:tcPr>
            <w:tcW w:w="11919"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是否通过并进入下一阶段评审（通过/不通过）</w:t>
            </w:r>
          </w:p>
        </w:tc>
        <w:tc>
          <w:tcPr>
            <w:tcW w:w="583"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34"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c>
          <w:tcPr>
            <w:tcW w:w="690" w:type="dxa"/>
            <w:noWrap w:val="0"/>
            <w:vAlign w:val="top"/>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18"/>
                <w:szCs w:val="18"/>
                <w:highlight w:val="none"/>
              </w:rPr>
            </w:pPr>
          </w:p>
        </w:tc>
      </w:tr>
    </w:tbl>
    <w:p>
      <w:pPr>
        <w:snapToGrid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注：1.每一项目符合有效的记“○”，无效的记“×”，全部审查项目均为有效的，结论为“通过”，否则为“不通过”。</w:t>
      </w:r>
    </w:p>
    <w:p>
      <w:pPr>
        <w:snapToGrid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2.如对本表中某种情形的评审意见不一致时，以评标委员会过半数成员的意见作为评标委员会对该情形的认定结论。</w:t>
      </w:r>
    </w:p>
    <w:p>
      <w:pPr>
        <w:snapToGrid w:val="0"/>
        <w:rPr>
          <w:rFonts w:hint="eastAsia" w:ascii="宋体" w:hAnsi="宋体" w:eastAsia="宋体" w:cs="宋体"/>
          <w:smallCaps/>
          <w:color w:val="auto"/>
          <w:sz w:val="18"/>
          <w:szCs w:val="18"/>
          <w:highlight w:val="none"/>
        </w:rPr>
      </w:pPr>
      <w:r>
        <w:rPr>
          <w:rFonts w:hint="eastAsia" w:ascii="宋体" w:hAnsi="宋体" w:eastAsia="宋体" w:cs="宋体"/>
          <w:color w:val="auto"/>
          <w:sz w:val="18"/>
          <w:szCs w:val="18"/>
          <w:highlight w:val="none"/>
        </w:rPr>
        <w:t xml:space="preserve">    3.资格审查资料按招标公告及招标文件要求提供。</w:t>
      </w:r>
    </w:p>
    <w:p>
      <w:pPr>
        <w:snapToGrid w:val="0"/>
        <w:rPr>
          <w:rFonts w:hint="eastAsia" w:ascii="宋体" w:hAnsi="宋体" w:eastAsia="宋体" w:cs="宋体"/>
          <w:color w:val="auto"/>
          <w:szCs w:val="21"/>
          <w:highlight w:val="none"/>
        </w:rPr>
        <w:sectPr>
          <w:pgSz w:w="16840" w:h="11907" w:orient="landscape"/>
          <w:pgMar w:top="1091" w:right="1361" w:bottom="1090" w:left="1304" w:header="851" w:footer="720" w:gutter="0"/>
          <w:cols w:space="720" w:num="1"/>
        </w:sectPr>
      </w:pPr>
      <w:r>
        <w:rPr>
          <w:rFonts w:hint="eastAsia" w:ascii="宋体" w:hAnsi="宋体" w:eastAsia="宋体" w:cs="宋体"/>
          <w:color w:val="auto"/>
          <w:szCs w:val="21"/>
          <w:highlight w:val="none"/>
        </w:rPr>
        <w:t>评委签名：                                                                                                   日期：</w:t>
      </w:r>
    </w:p>
    <w:p>
      <w:pPr>
        <w:pStyle w:val="2"/>
        <w:spacing w:line="360" w:lineRule="auto"/>
        <w:rPr>
          <w:rFonts w:hint="eastAsia" w:ascii="宋体" w:hAnsi="宋体" w:eastAsia="宋体" w:cs="宋体"/>
          <w:b/>
          <w:color w:val="auto"/>
          <w:kern w:val="1"/>
          <w:highlight w:val="none"/>
        </w:rPr>
      </w:pPr>
      <w:r>
        <w:rPr>
          <w:rFonts w:hint="eastAsia" w:ascii="宋体" w:hAnsi="宋体" w:eastAsia="宋体" w:cs="宋体"/>
          <w:b/>
          <w:color w:val="auto"/>
          <w:kern w:val="1"/>
          <w:highlight w:val="none"/>
        </w:rPr>
        <w:t>附表2</w:t>
      </w:r>
    </w:p>
    <w:p>
      <w:pPr>
        <w:jc w:val="center"/>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工程总承包实施方案投标文件有效性审查表</w:t>
      </w:r>
    </w:p>
    <w:p>
      <w:pPr>
        <w:rPr>
          <w:rFonts w:hint="eastAsia" w:ascii="宋体" w:hAnsi="宋体" w:eastAsia="宋体" w:cs="宋体"/>
          <w:color w:val="auto"/>
          <w:kern w:val="1"/>
          <w:highlight w:val="none"/>
        </w:rPr>
      </w:pPr>
      <w:r>
        <w:rPr>
          <w:rFonts w:hint="eastAsia" w:ascii="宋体" w:hAnsi="宋体" w:eastAsia="宋体" w:cs="宋体"/>
          <w:color w:val="auto"/>
          <w:kern w:val="1"/>
          <w:highlight w:val="none"/>
        </w:rPr>
        <w:t>项目名称：</w:t>
      </w:r>
    </w:p>
    <w:tbl>
      <w:tblPr>
        <w:tblStyle w:val="40"/>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820"/>
        <w:gridCol w:w="936"/>
        <w:gridCol w:w="937"/>
        <w:gridCol w:w="937"/>
        <w:gridCol w:w="93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20"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firstLine="4849" w:firstLineChars="2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投标单位</w:t>
            </w:r>
          </w:p>
          <w:p>
            <w:pPr>
              <w:keepNext w:val="0"/>
              <w:keepLines w:val="0"/>
              <w:suppressLineNumbers w:val="0"/>
              <w:adjustRightInd w:val="0"/>
              <w:snapToGrid w:val="0"/>
              <w:spacing w:before="0" w:beforeAutospacing="0" w:after="0" w:afterAutospacing="0"/>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20" w:type="dxa"/>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《投标书》中工期能满足完成投标项目工期的。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820" w:type="dxa"/>
            <w:noWrap w:val="0"/>
            <w:vAlign w:val="center"/>
          </w:tcPr>
          <w:p>
            <w:pPr>
              <w:keepNext w:val="0"/>
              <w:keepLines w:val="0"/>
              <w:suppressLineNumbers w:val="0"/>
              <w:tabs>
                <w:tab w:val="right" w:pos="6584"/>
              </w:tabs>
              <w:autoSpaceDE w:val="0"/>
              <w:autoSpaceDN w:val="0"/>
              <w:adjustRightInd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《投标书》中质量标准能满足完成投标项目质量标准的。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按招标文件要求提供《</w:t>
            </w:r>
            <w:r>
              <w:rPr>
                <w:rFonts w:hint="eastAsia" w:ascii="宋体" w:hAnsi="宋体" w:eastAsia="宋体" w:cs="宋体"/>
                <w:color w:val="auto"/>
                <w:szCs w:val="21"/>
                <w:highlight w:val="none"/>
                <w:lang w:val="zh-CN"/>
              </w:rPr>
              <w:t>投标承诺书</w:t>
            </w:r>
            <w:r>
              <w:rPr>
                <w:rFonts w:hint="eastAsia" w:ascii="宋体" w:hAnsi="宋体" w:eastAsia="宋体" w:cs="宋体"/>
                <w:color w:val="auto"/>
                <w:szCs w:val="21"/>
                <w:highlight w:val="none"/>
              </w:rPr>
              <w:t>》的。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4</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投标人有按要求提供投标担保的。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投标文件的封面有加盖投标单位的法定印章。</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投标文件按规定的格式填写，主要内容全，关键字迹清晰、能辨认的。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不存在串通投标情形（串通投标情形以《中华人民共和国招标投标法实施条例》的规定为准）。</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zh-CN"/>
              </w:rPr>
              <w:t>参与编制</w:t>
            </w:r>
            <w:r>
              <w:rPr>
                <w:rFonts w:hint="eastAsia" w:ascii="宋体" w:hAnsi="宋体" w:eastAsia="宋体" w:cs="宋体"/>
                <w:color w:val="auto"/>
                <w:szCs w:val="21"/>
                <w:highlight w:val="none"/>
              </w:rPr>
              <w:t>工程总承包实施方案</w:t>
            </w:r>
            <w:r>
              <w:rPr>
                <w:rFonts w:hint="eastAsia" w:ascii="宋体" w:hAnsi="宋体" w:eastAsia="宋体" w:cs="宋体"/>
                <w:color w:val="auto"/>
                <w:szCs w:val="21"/>
                <w:highlight w:val="none"/>
                <w:lang w:val="zh-CN"/>
              </w:rPr>
              <w:t>投标文件人员名单</w:t>
            </w:r>
            <w:r>
              <w:rPr>
                <w:rFonts w:hint="eastAsia" w:ascii="宋体" w:hAnsi="宋体" w:eastAsia="宋体" w:cs="宋体"/>
                <w:color w:val="auto"/>
                <w:szCs w:val="21"/>
                <w:highlight w:val="none"/>
              </w:rPr>
              <w:t>》的。</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82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投标人与本项目其他投标人加密打包投标文件电脑机器特征码不一致(以广州公共资源交易中心评标系统的检索信息为准)，如一致，其投标将被否决。</w:t>
            </w:r>
          </w:p>
        </w:tc>
        <w:tc>
          <w:tcPr>
            <w:tcW w:w="9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8820"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是否通过并进入下一阶段评审（通过/不通过）</w:t>
            </w:r>
          </w:p>
        </w:tc>
        <w:tc>
          <w:tcPr>
            <w:tcW w:w="936" w:type="dxa"/>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shd w:val="pct10" w:color="auto" w:fill="FFFFFF"/>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c>
          <w:tcPr>
            <w:tcW w:w="93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备注：1.每一项目符合的记“○”，不符合的记“×”，全部审查项目均为符合的，结论为“通过”，否则为“不通过”。</w:t>
      </w:r>
    </w:p>
    <w:p>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2.投标人的评审结论为“不通过”的，即该投标人不进入下一阶段评审；投标人的评审结论为“通过”的，即该投标人进入下一阶段评审。</w:t>
      </w:r>
    </w:p>
    <w:p>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3.如对本表中某种情形的评审意见不一致时，以评标委员会过半数成员的意见作为评标委员会对该情形的认定结论。</w:t>
      </w:r>
    </w:p>
    <w:p>
      <w:pPr>
        <w:spacing w:before="120"/>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评委签名：                                                                                                日期：</w:t>
      </w:r>
    </w:p>
    <w:p>
      <w:pPr>
        <w:spacing w:line="400" w:lineRule="exact"/>
        <w:rPr>
          <w:rFonts w:hint="eastAsia" w:ascii="宋体" w:hAnsi="宋体" w:eastAsia="宋体" w:cs="宋体"/>
          <w:b/>
          <w:color w:val="auto"/>
          <w:kern w:val="1"/>
          <w:sz w:val="24"/>
          <w:highlight w:val="none"/>
        </w:rPr>
      </w:pPr>
    </w:p>
    <w:p>
      <w:pPr>
        <w:spacing w:line="400" w:lineRule="exact"/>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br w:type="page"/>
      </w:r>
      <w:r>
        <w:rPr>
          <w:rFonts w:hint="eastAsia" w:ascii="宋体" w:hAnsi="宋体" w:eastAsia="宋体" w:cs="宋体"/>
          <w:b/>
          <w:color w:val="auto"/>
          <w:kern w:val="1"/>
          <w:sz w:val="24"/>
          <w:highlight w:val="none"/>
        </w:rPr>
        <w:t>附表3</w:t>
      </w:r>
    </w:p>
    <w:p>
      <w:pPr>
        <w:jc w:val="center"/>
        <w:outlineLvl w:val="1"/>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工程总承包实施方案详细审查评分表</w:t>
      </w:r>
    </w:p>
    <w:p>
      <w:pPr>
        <w:jc w:val="left"/>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bl>
      <w:tblPr>
        <w:tblStyle w:val="40"/>
        <w:tblW w:w="15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347"/>
        <w:gridCol w:w="980"/>
        <w:gridCol w:w="735"/>
        <w:gridCol w:w="98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评分项目</w:t>
            </w:r>
          </w:p>
        </w:tc>
        <w:tc>
          <w:tcPr>
            <w:tcW w:w="2327" w:type="dxa"/>
            <w:gridSpan w:val="2"/>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w:t>
            </w:r>
          </w:p>
        </w:tc>
        <w:tc>
          <w:tcPr>
            <w:tcW w:w="73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分值分配</w:t>
            </w:r>
          </w:p>
        </w:tc>
        <w:tc>
          <w:tcPr>
            <w:tcW w:w="986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highlight w:val="none"/>
              </w:rPr>
            </w:pPr>
            <w:r>
              <w:rPr>
                <w:rFonts w:hint="eastAsia" w:ascii="宋体" w:hAnsi="宋体" w:cs="宋体"/>
                <w:bCs/>
                <w:color w:val="auto"/>
                <w:highlight w:val="none"/>
              </w:rPr>
              <w:t>内容</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restar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资信业绩部分</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（36分）</w:t>
            </w:r>
          </w:p>
        </w:tc>
        <w:tc>
          <w:tcPr>
            <w:tcW w:w="1347" w:type="dxa"/>
            <w:vMerge w:val="restar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设计部分（2</w:t>
            </w:r>
            <w:r>
              <w:rPr>
                <w:rFonts w:hint="eastAsia" w:ascii="宋体" w:hAnsi="宋体" w:cs="宋体"/>
                <w:color w:val="auto"/>
                <w:highlight w:val="none"/>
                <w:lang w:val="en-US" w:eastAsia="zh-CN"/>
              </w:rPr>
              <w:t>0</w:t>
            </w:r>
            <w:r>
              <w:rPr>
                <w:rFonts w:hint="eastAsia" w:ascii="宋体" w:hAnsi="宋体" w:cs="宋体"/>
                <w:color w:val="auto"/>
                <w:highlight w:val="none"/>
              </w:rPr>
              <w:t>分）</w:t>
            </w:r>
          </w:p>
        </w:tc>
        <w:tc>
          <w:tcPr>
            <w:tcW w:w="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企业业绩获奖</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kern w:val="0"/>
                <w:sz w:val="20"/>
                <w:szCs w:val="20"/>
                <w:highlight w:val="none"/>
                <w:lang w:val="en-US" w:eastAsia="zh-CN" w:bidi="ar"/>
              </w:rPr>
              <w:t>6</w:t>
            </w:r>
          </w:p>
        </w:tc>
        <w:tc>
          <w:tcPr>
            <w:tcW w:w="9860" w:type="dxa"/>
            <w:noWrap w:val="0"/>
            <w:vAlign w:val="center"/>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rPr>
              <w:t>投标人（若为联合体投标，</w:t>
            </w:r>
            <w:r>
              <w:rPr>
                <w:rFonts w:hint="eastAsia" w:ascii="宋体" w:hAnsi="宋体" w:cs="宋体"/>
                <w:color w:val="auto"/>
                <w:szCs w:val="21"/>
                <w:highlight w:val="none"/>
              </w:rPr>
              <w:t>指联合体</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rPr>
              <w:t>方</w:t>
            </w:r>
            <w:r>
              <w:rPr>
                <w:rFonts w:hint="eastAsia" w:ascii="宋体" w:hAnsi="宋体" w:cs="宋体"/>
                <w:color w:val="auto"/>
                <w:kern w:val="0"/>
                <w:szCs w:val="21"/>
                <w:highlight w:val="none"/>
              </w:rPr>
              <w:t>）</w:t>
            </w:r>
            <w:r>
              <w:rPr>
                <w:rFonts w:hint="eastAsia" w:ascii="宋体" w:hAnsi="宋体" w:cs="宋体"/>
                <w:color w:val="auto"/>
                <w:szCs w:val="21"/>
                <w:highlight w:val="none"/>
              </w:rPr>
              <w:t>：</w:t>
            </w:r>
          </w:p>
          <w:p>
            <w:pPr>
              <w:keepNext w:val="0"/>
              <w:keepLines w:val="0"/>
              <w:numPr>
                <w:ilvl w:val="0"/>
                <w:numId w:val="0"/>
              </w:numPr>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年1月1日至今</w:t>
            </w:r>
            <w:r>
              <w:rPr>
                <w:rFonts w:hint="eastAsia" w:ascii="宋体" w:hAnsi="宋体" w:cs="宋体"/>
                <w:color w:val="auto"/>
                <w:szCs w:val="21"/>
                <w:highlight w:val="none"/>
                <w:lang w:val="zh-CN"/>
              </w:rPr>
              <w:t>，获得</w:t>
            </w:r>
            <w:r>
              <w:rPr>
                <w:rFonts w:hint="eastAsia" w:ascii="宋体" w:hAnsi="宋体" w:cs="宋体"/>
                <w:color w:val="auto"/>
                <w:szCs w:val="21"/>
                <w:highlight w:val="none"/>
              </w:rPr>
              <w:t>过国家级奖项的，每项得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分；获得省级奖项的，每项得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分；获得市级奖项的，每项得0.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keepNext w:val="0"/>
              <w:keepLines w:val="0"/>
              <w:widowControl/>
              <w:suppressLineNumbers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b/>
                <w:bCs/>
                <w:color w:val="auto"/>
                <w:szCs w:val="21"/>
                <w:highlight w:val="none"/>
                <w:lang w:val="zh-CN"/>
              </w:rPr>
              <w:t>注：①投标人同一项目获得多个奖项，按分数最高只计算一次不重复计算；②获奖以获奖证书为准，获奖时间以取得获奖证书时间为准；③国家级</w:t>
            </w:r>
            <w:r>
              <w:rPr>
                <w:rFonts w:hint="eastAsia" w:ascii="宋体" w:hAnsi="宋体" w:cs="宋体"/>
                <w:b/>
                <w:bCs/>
                <w:color w:val="auto"/>
                <w:szCs w:val="21"/>
                <w:highlight w:val="none"/>
                <w:lang w:val="en-US" w:eastAsia="zh-CN"/>
              </w:rPr>
              <w:t>奖项</w:t>
            </w:r>
            <w:r>
              <w:rPr>
                <w:rFonts w:hint="eastAsia" w:ascii="宋体" w:hAnsi="宋体" w:cs="宋体"/>
                <w:b/>
                <w:bCs/>
                <w:color w:val="auto"/>
                <w:szCs w:val="21"/>
                <w:highlight w:val="none"/>
                <w:lang w:val="zh-CN"/>
              </w:rPr>
              <w:t>是指由住建部颁发的</w:t>
            </w:r>
            <w:bookmarkStart w:id="885" w:name="OLE_LINK2"/>
            <w:r>
              <w:rPr>
                <w:rFonts w:hint="eastAsia" w:ascii="宋体" w:hAnsi="宋体" w:cs="宋体"/>
                <w:b/>
                <w:bCs/>
                <w:color w:val="auto"/>
                <w:szCs w:val="21"/>
                <w:highlight w:val="none"/>
                <w:lang w:val="zh-CN"/>
              </w:rPr>
              <w:t>全国优秀工程</w:t>
            </w:r>
            <w:bookmarkStart w:id="886" w:name="OLE_LINK1"/>
            <w:r>
              <w:rPr>
                <w:rFonts w:hint="eastAsia" w:ascii="宋体" w:hAnsi="宋体" w:cs="宋体"/>
                <w:b/>
                <w:bCs/>
                <w:color w:val="auto"/>
                <w:szCs w:val="21"/>
                <w:highlight w:val="none"/>
                <w:lang w:val="zh-CN"/>
              </w:rPr>
              <w:t>勘察设计奖</w:t>
            </w:r>
            <w:bookmarkEnd w:id="885"/>
            <w:bookmarkEnd w:id="886"/>
            <w:r>
              <w:rPr>
                <w:rFonts w:hint="eastAsia" w:ascii="宋体" w:hAnsi="宋体" w:cs="宋体"/>
                <w:b/>
                <w:bCs/>
                <w:color w:val="auto"/>
                <w:szCs w:val="21"/>
                <w:highlight w:val="none"/>
                <w:lang w:val="zh-CN"/>
              </w:rPr>
              <w:t>、中国勘察设计协会颁发的行业优秀勘察设计奖；省级指省级工程勘察设计行业协会颁发的省级优秀勘察设计奖；市级指市</w:t>
            </w:r>
            <w:r>
              <w:rPr>
                <w:rFonts w:hint="eastAsia" w:ascii="宋体" w:hAnsi="宋体" w:cs="宋体"/>
                <w:b/>
                <w:bCs/>
                <w:color w:val="auto"/>
                <w:szCs w:val="21"/>
                <w:highlight w:val="none"/>
              </w:rPr>
              <w:t>级</w:t>
            </w:r>
            <w:r>
              <w:rPr>
                <w:rFonts w:hint="eastAsia" w:ascii="宋体" w:hAnsi="宋体" w:cs="宋体"/>
                <w:b/>
                <w:bCs/>
                <w:color w:val="auto"/>
                <w:szCs w:val="21"/>
                <w:highlight w:val="none"/>
                <w:lang w:val="zh-CN"/>
              </w:rPr>
              <w:t>工程勘察设计行业协会颁发的优秀勘察设计奖等；</w:t>
            </w:r>
            <w:r>
              <w:rPr>
                <w:rFonts w:hint="eastAsia"/>
                <w:b/>
                <w:bCs/>
                <w:color w:val="auto"/>
                <w:szCs w:val="21"/>
                <w:highlight w:val="none"/>
                <w:u w:val="single"/>
              </w:rPr>
              <w:t>行业协会须在民政管理部门登记备案：须提供其在“全国社会组织信用信息公示平台（试运行）”网站（https：//xxgs.chinanpo.mca.gov.cn/gsxt/newList）【注：由于全国社会组织信用信息公示平台（试运行）属于试运行，平台名称及网址若有更新、以最新发布的为准。）查询结果的网页打印页。】</w:t>
            </w:r>
            <w:r>
              <w:rPr>
                <w:rFonts w:hint="eastAsia" w:ascii="宋体" w:hAnsi="宋体" w:cs="宋体"/>
                <w:b/>
                <w:bCs/>
                <w:color w:val="auto"/>
                <w:szCs w:val="21"/>
                <w:highlight w:val="none"/>
                <w:lang w:val="zh-CN"/>
              </w:rPr>
              <w:t>④其他非房建类项目(如:路桥、铁路、水利、电力、化工、港航、冶金、装修、QC、市政等项目)奖项不参与计分；⑤不符合上述条件或未提供上述资料的不计分</w:t>
            </w:r>
            <w:r>
              <w:rPr>
                <w:rFonts w:hint="eastAsia" w:ascii="宋体" w:hAnsi="宋体" w:cs="宋体"/>
                <w:color w:val="auto"/>
                <w:szCs w:val="21"/>
                <w:highlight w:val="none"/>
                <w:lang w:val="zh-CN"/>
              </w:rPr>
              <w:t>。</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1347"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设计负责人</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kern w:val="0"/>
                <w:sz w:val="20"/>
                <w:szCs w:val="20"/>
                <w:highlight w:val="none"/>
                <w:lang w:val="en-US" w:eastAsia="zh-CN" w:bidi="ar"/>
              </w:rPr>
              <w:t>5</w:t>
            </w:r>
          </w:p>
        </w:tc>
        <w:tc>
          <w:tcPr>
            <w:tcW w:w="9860" w:type="dxa"/>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本项目拟派设计负责人</w:t>
            </w:r>
            <w:r>
              <w:rPr>
                <w:rFonts w:hint="eastAsia" w:ascii="宋体" w:hAnsi="宋体" w:cs="宋体"/>
                <w:color w:val="auto"/>
                <w:szCs w:val="21"/>
                <w:highlight w:val="none"/>
              </w:rPr>
              <w:t>（若为联合体投标，指联合体</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rPr>
              <w:t>方）：</w:t>
            </w:r>
          </w:p>
          <w:p>
            <w:pPr>
              <w:keepNext w:val="0"/>
              <w:keepLines w:val="0"/>
              <w:numPr>
                <w:ilvl w:val="0"/>
                <w:numId w:val="0"/>
              </w:numPr>
              <w:suppressLineNumbers w:val="0"/>
              <w:autoSpaceDE w:val="0"/>
              <w:autoSpaceDN w:val="0"/>
              <w:adjustRightInd w:val="0"/>
              <w:spacing w:before="0" w:beforeAutospacing="0" w:after="0" w:afterAutospacing="0" w:line="340" w:lineRule="exact"/>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具有高级工程师职称的，得1分；具有教授级或正高级工程师职称的，得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ascii="宋体" w:hAnsi="宋体" w:cs="宋体"/>
                <w:color w:val="auto"/>
                <w:szCs w:val="21"/>
                <w:highlight w:val="none"/>
                <w:lang w:val="zh-CN"/>
              </w:rPr>
              <w:t>；</w:t>
            </w:r>
            <w:r>
              <w:rPr>
                <w:rFonts w:hint="eastAsia" w:ascii="宋体" w:hAnsi="宋体" w:cs="宋体"/>
                <w:color w:val="auto"/>
                <w:szCs w:val="21"/>
                <w:highlight w:val="none"/>
              </w:rPr>
              <w:t>本小项最多得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keepNext w:val="0"/>
              <w:keepLines w:val="0"/>
              <w:numPr>
                <w:ilvl w:val="0"/>
                <w:numId w:val="0"/>
              </w:numPr>
              <w:suppressLineNumbers w:val="0"/>
              <w:autoSpaceDE w:val="0"/>
              <w:autoSpaceDN w:val="0"/>
              <w:adjustRightInd w:val="0"/>
              <w:spacing w:before="0" w:beforeAutospacing="0" w:after="0" w:afterAutospacing="0" w:line="340" w:lineRule="exact"/>
              <w:ind w:left="0" w:right="0"/>
              <w:jc w:val="left"/>
              <w:rPr>
                <w:rFonts w:hint="default"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设计负责人自202</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年1月1日至今，个人获得过国家级奖项的，得3分，</w:t>
            </w:r>
            <w:r>
              <w:rPr>
                <w:rFonts w:hint="eastAsia" w:ascii="宋体" w:hAnsi="宋体" w:cs="宋体"/>
                <w:bCs/>
                <w:color w:val="auto"/>
                <w:szCs w:val="21"/>
                <w:highlight w:val="none"/>
                <w:lang w:val="zh-CN"/>
              </w:rPr>
              <w:t>获得省级</w:t>
            </w:r>
            <w:r>
              <w:rPr>
                <w:rFonts w:hint="eastAsia" w:ascii="宋体" w:hAnsi="宋体" w:cs="宋体"/>
                <w:color w:val="auto"/>
                <w:szCs w:val="21"/>
                <w:highlight w:val="none"/>
              </w:rPr>
              <w:t>（含副省级）</w:t>
            </w:r>
            <w:r>
              <w:rPr>
                <w:rFonts w:hint="eastAsia" w:ascii="宋体" w:hAnsi="宋体" w:cs="宋体"/>
                <w:bCs/>
                <w:color w:val="auto"/>
                <w:szCs w:val="21"/>
                <w:highlight w:val="none"/>
                <w:lang w:val="zh-CN"/>
              </w:rPr>
              <w:t>奖项的，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ascii="宋体" w:hAnsi="宋体" w:cs="宋体"/>
                <w:bCs/>
                <w:color w:val="auto"/>
                <w:szCs w:val="21"/>
                <w:highlight w:val="none"/>
                <w:lang w:val="zh-CN"/>
              </w:rPr>
              <w:t>获得市级奖项的，</w:t>
            </w:r>
            <w:r>
              <w:rPr>
                <w:rFonts w:hint="eastAsia" w:ascii="宋体" w:hAnsi="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分。最高得3分。</w:t>
            </w:r>
          </w:p>
          <w:p>
            <w:pPr>
              <w:keepNext w:val="0"/>
              <w:keepLines w:val="0"/>
              <w:widowControl/>
              <w:suppressLineNumbers w:val="0"/>
              <w:spacing w:before="0" w:beforeAutospacing="0" w:after="0" w:afterAutospacing="0"/>
              <w:ind w:left="0" w:right="0"/>
              <w:jc w:val="left"/>
              <w:rPr>
                <w:rFonts w:hint="default" w:ascii="宋体" w:hAnsi="宋体" w:cs="宋体"/>
                <w:color w:val="auto"/>
                <w:highlight w:val="none"/>
              </w:rPr>
            </w:pPr>
            <w:r>
              <w:rPr>
                <w:rFonts w:hint="eastAsia" w:ascii="宋体" w:hAnsi="宋体" w:cs="宋体"/>
                <w:b/>
                <w:bCs/>
                <w:color w:val="auto"/>
                <w:highlight w:val="none"/>
                <w:lang w:val="zh-CN"/>
              </w:rPr>
              <w:t>注：</w:t>
            </w:r>
            <w:r>
              <w:rPr>
                <w:rFonts w:hint="eastAsia" w:ascii="宋体" w:hAnsi="宋体" w:cs="宋体"/>
                <w:b/>
                <w:bCs/>
                <w:color w:val="auto"/>
                <w:szCs w:val="21"/>
                <w:highlight w:val="none"/>
                <w:lang w:val="zh-CN"/>
              </w:rPr>
              <w:t>①须提供职称证、获奖证书扫描件，截止投标前近一个月（即202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val="zh-CN"/>
              </w:rPr>
              <w:t>年</w:t>
            </w:r>
            <w:r>
              <w:rPr>
                <w:rFonts w:hint="eastAsia" w:ascii="宋体" w:hAnsi="宋体" w:cs="宋体"/>
                <w:b/>
                <w:bCs w:val="0"/>
                <w:color w:val="auto"/>
                <w:szCs w:val="21"/>
                <w:highlight w:val="none"/>
                <w:lang w:val="en-US" w:eastAsia="zh-CN"/>
              </w:rPr>
              <w:t>6</w:t>
            </w:r>
            <w:r>
              <w:rPr>
                <w:rFonts w:hint="eastAsia" w:ascii="宋体" w:hAnsi="宋体" w:cs="宋体"/>
                <w:b/>
                <w:bCs/>
                <w:color w:val="auto"/>
                <w:szCs w:val="21"/>
                <w:highlight w:val="none"/>
                <w:lang w:val="zh-CN"/>
              </w:rPr>
              <w:t>月）有效的社保证明材料，社保证明需能反映参保人在相应单位缴纳（不含子公司），否则不予计分；②获奖时间以取得获奖证书时间为准。</w:t>
            </w:r>
            <w:r>
              <w:rPr>
                <w:rFonts w:hint="eastAsia" w:ascii="宋体" w:hAnsi="宋体" w:cs="宋体"/>
                <w:b/>
                <w:bCs/>
                <w:color w:val="auto"/>
                <w:szCs w:val="21"/>
                <w:highlight w:val="none"/>
              </w:rPr>
              <w:t>③</w:t>
            </w:r>
            <w:r>
              <w:rPr>
                <w:rFonts w:hint="eastAsia" w:ascii="宋体" w:hAnsi="宋体" w:cs="宋体"/>
                <w:b/>
                <w:bCs/>
                <w:color w:val="auto"/>
                <w:szCs w:val="21"/>
                <w:highlight w:val="none"/>
                <w:lang w:val="zh-CN"/>
              </w:rPr>
              <w:t>国家级是指由住建部颁发的全国优秀工程勘察设计奖、中国勘察设计协会颁发的行业优秀勘察设计奖；省级指省级工程勘察设计行业协会颁发的省级优秀勘察设计奖；市级指市</w:t>
            </w:r>
            <w:r>
              <w:rPr>
                <w:rFonts w:hint="eastAsia" w:ascii="宋体" w:hAnsi="宋体" w:cs="宋体"/>
                <w:b/>
                <w:bCs/>
                <w:color w:val="auto"/>
                <w:szCs w:val="21"/>
                <w:highlight w:val="none"/>
              </w:rPr>
              <w:t>级</w:t>
            </w:r>
            <w:r>
              <w:rPr>
                <w:rFonts w:hint="eastAsia" w:ascii="宋体" w:hAnsi="宋体" w:cs="宋体"/>
                <w:b/>
                <w:bCs/>
                <w:color w:val="auto"/>
                <w:szCs w:val="21"/>
                <w:highlight w:val="none"/>
                <w:lang w:val="zh-CN"/>
              </w:rPr>
              <w:t>工程勘察设计行业协会颁发的优秀勘察设计奖等；</w:t>
            </w:r>
            <w:r>
              <w:rPr>
                <w:rFonts w:hint="eastAsia"/>
                <w:b/>
                <w:bCs/>
                <w:color w:val="auto"/>
                <w:szCs w:val="21"/>
                <w:highlight w:val="none"/>
                <w:u w:val="single"/>
              </w:rPr>
              <w:t>行业协会须在民政管理部门登记备案：须提供其在“全国社会组织信用信息公示平台（试运行）”网站（https：//xxgs.chinanpo.mca.gov.cn/gsxt/newList）【注：由于全国社会组织信用信息公示平台（试运行）属于试运行，平台名称及网址若有更新、以最新发布的为准。）查询结果的网页打印页。】</w:t>
            </w:r>
            <w:r>
              <w:rPr>
                <w:rFonts w:hint="eastAsia" w:ascii="宋体" w:hAnsi="宋体" w:cs="宋体"/>
                <w:b/>
                <w:bCs/>
                <w:color w:val="auto"/>
                <w:szCs w:val="21"/>
                <w:highlight w:val="none"/>
                <w:lang w:val="zh-CN"/>
              </w:rPr>
              <w:t>④其他非房建类项目(如:路桥、铁路、水利、电力、化工、港航、冶金、装修、QC、市政等项目)奖项不参与计分。</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1347"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设计团队</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val="en-US" w:eastAsia="zh-CN" w:bidi="ar"/>
              </w:rPr>
              <w:t>7</w:t>
            </w:r>
          </w:p>
        </w:tc>
        <w:tc>
          <w:tcPr>
            <w:tcW w:w="9860" w:type="dxa"/>
            <w:noWrap w:val="0"/>
            <w:vAlign w:val="center"/>
          </w:tcPr>
          <w:p>
            <w:pPr>
              <w:keepNext w:val="0"/>
              <w:keepLines w:val="0"/>
              <w:suppressLineNumbers w:val="0"/>
              <w:spacing w:before="0" w:beforeAutospacing="0" w:after="0" w:afterAutospacing="0"/>
              <w:ind w:left="0" w:right="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投标人（</w:t>
            </w:r>
            <w:r>
              <w:rPr>
                <w:rFonts w:hint="eastAsia" w:ascii="宋体" w:hAnsi="宋体" w:cs="宋体"/>
                <w:color w:val="auto"/>
                <w:szCs w:val="21"/>
                <w:highlight w:val="none"/>
                <w:lang w:val="zh-CN"/>
              </w:rPr>
              <w:t>若为联合体投标，</w:t>
            </w:r>
            <w:r>
              <w:rPr>
                <w:rFonts w:hint="eastAsia" w:ascii="宋体" w:hAnsi="宋体" w:cs="宋体"/>
                <w:color w:val="auto"/>
                <w:szCs w:val="21"/>
                <w:highlight w:val="none"/>
                <w:lang w:val="en-US" w:eastAsia="zh-CN"/>
              </w:rPr>
              <w:t>指</w:t>
            </w:r>
            <w:r>
              <w:rPr>
                <w:rFonts w:hint="eastAsia" w:ascii="宋体" w:hAnsi="宋体" w:cs="宋体"/>
                <w:color w:val="auto"/>
                <w:szCs w:val="21"/>
                <w:highlight w:val="none"/>
              </w:rPr>
              <w:t>联合体</w:t>
            </w:r>
            <w:bookmarkStart w:id="887" w:name="_Hlk157000961"/>
            <w:r>
              <w:rPr>
                <w:rFonts w:hint="eastAsia" w:ascii="宋体" w:hAnsi="宋体" w:cs="宋体"/>
                <w:color w:val="auto"/>
                <w:szCs w:val="21"/>
                <w:highlight w:val="none"/>
              </w:rPr>
              <w:t>设计</w:t>
            </w:r>
            <w:bookmarkEnd w:id="887"/>
            <w:r>
              <w:rPr>
                <w:rFonts w:hint="eastAsia" w:ascii="宋体" w:hAnsi="宋体" w:cs="宋体"/>
                <w:color w:val="auto"/>
                <w:szCs w:val="21"/>
                <w:highlight w:val="none"/>
              </w:rPr>
              <w:t>方</w:t>
            </w:r>
            <w:r>
              <w:rPr>
                <w:rFonts w:hint="eastAsia" w:ascii="宋体" w:hAnsi="宋体" w:cs="宋体"/>
                <w:bCs/>
                <w:color w:val="auto"/>
                <w:szCs w:val="21"/>
                <w:highlight w:val="none"/>
              </w:rPr>
              <w:t>）拟派各专业负责人：项目团队各专业配置齐全，建筑、结构、给排水、暖通空调、电气、造价、园林要求各配置</w:t>
            </w:r>
            <w:r>
              <w:rPr>
                <w:rFonts w:hint="eastAsia" w:ascii="宋体" w:hAnsi="宋体" w:cs="宋体"/>
                <w:bCs/>
                <w:color w:val="auto"/>
                <w:szCs w:val="21"/>
                <w:highlight w:val="none"/>
                <w:lang w:val="en-US" w:eastAsia="zh-CN"/>
              </w:rPr>
              <w:t>一名专业负责人：</w:t>
            </w:r>
          </w:p>
          <w:p>
            <w:pPr>
              <w:keepNext w:val="0"/>
              <w:keepLines w:val="0"/>
              <w:suppressLineNumbers w:val="0"/>
              <w:spacing w:before="0" w:beforeAutospacing="0" w:after="0" w:afterAutospacing="0"/>
              <w:ind w:left="0" w:right="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（1）每</w:t>
            </w:r>
            <w:r>
              <w:rPr>
                <w:rFonts w:hint="eastAsia" w:ascii="宋体" w:hAnsi="宋体" w:cs="宋体"/>
                <w:bCs/>
                <w:color w:val="auto"/>
                <w:szCs w:val="21"/>
                <w:highlight w:val="none"/>
              </w:rPr>
              <w:t>具有</w:t>
            </w:r>
            <w:r>
              <w:rPr>
                <w:rFonts w:hint="eastAsia" w:ascii="宋体" w:hAnsi="宋体" w:cs="宋体"/>
                <w:bCs/>
                <w:color w:val="auto"/>
                <w:szCs w:val="21"/>
                <w:highlight w:val="none"/>
                <w:lang w:val="en-US" w:eastAsia="zh-CN"/>
              </w:rPr>
              <w:t>一名相关专业教授级（或正高级）</w:t>
            </w:r>
            <w:r>
              <w:rPr>
                <w:rFonts w:hint="eastAsia" w:ascii="宋体" w:hAnsi="宋体" w:cs="宋体"/>
                <w:bCs/>
                <w:color w:val="auto"/>
                <w:szCs w:val="21"/>
                <w:highlight w:val="none"/>
              </w:rPr>
              <w:t>工程师职称的，得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p>
          <w:p>
            <w:pPr>
              <w:keepNext w:val="0"/>
              <w:keepLines w:val="0"/>
              <w:suppressLineNumbers w:val="0"/>
              <w:spacing w:before="0" w:beforeAutospacing="0" w:after="0" w:afterAutospacing="0"/>
              <w:ind w:left="0" w:right="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每</w:t>
            </w:r>
            <w:r>
              <w:rPr>
                <w:rFonts w:hint="eastAsia" w:ascii="宋体" w:hAnsi="宋体" w:cs="宋体"/>
                <w:bCs/>
                <w:color w:val="auto"/>
                <w:szCs w:val="21"/>
                <w:highlight w:val="none"/>
              </w:rPr>
              <w:t>具有</w:t>
            </w:r>
            <w:r>
              <w:rPr>
                <w:rFonts w:hint="eastAsia" w:ascii="宋体" w:hAnsi="宋体" w:cs="宋体"/>
                <w:bCs/>
                <w:color w:val="auto"/>
                <w:szCs w:val="21"/>
                <w:highlight w:val="none"/>
                <w:lang w:val="en-US" w:eastAsia="zh-CN"/>
              </w:rPr>
              <w:t>一名相关专业高</w:t>
            </w:r>
            <w:r>
              <w:rPr>
                <w:rFonts w:hint="eastAsia" w:ascii="宋体" w:hAnsi="宋体" w:cs="宋体"/>
                <w:bCs/>
                <w:color w:val="auto"/>
                <w:szCs w:val="21"/>
                <w:highlight w:val="none"/>
              </w:rPr>
              <w:t>级工程师职称的，</w:t>
            </w:r>
            <w:r>
              <w:rPr>
                <w:rFonts w:hint="eastAsia" w:ascii="宋体" w:hAnsi="宋体" w:cs="宋体"/>
                <w:bCs/>
                <w:color w:val="auto"/>
                <w:szCs w:val="21"/>
                <w:highlight w:val="none"/>
                <w:lang w:val="en-US" w:eastAsia="zh-CN"/>
              </w:rPr>
              <w:t>得0.5分；</w:t>
            </w:r>
          </w:p>
          <w:p>
            <w:pPr>
              <w:keepNext w:val="0"/>
              <w:keepLines w:val="0"/>
              <w:suppressLineNumbers w:val="0"/>
              <w:spacing w:before="0" w:beforeAutospacing="0" w:after="0" w:afterAutospacing="0"/>
              <w:ind w:left="0" w:right="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（3）本项最高得7分。</w:t>
            </w:r>
          </w:p>
          <w:p>
            <w:pPr>
              <w:keepNext w:val="0"/>
              <w:keepLines w:val="0"/>
              <w:widowControl/>
              <w:suppressLineNumbers w:val="0"/>
              <w:spacing w:before="0" w:beforeAutospacing="0" w:after="0" w:afterAutospacing="0"/>
              <w:ind w:left="0" w:right="0"/>
              <w:jc w:val="left"/>
              <w:rPr>
                <w:rFonts w:hint="default" w:ascii="宋体" w:hAnsi="宋体" w:cs="宋体"/>
                <w:color w:val="auto"/>
                <w:highlight w:val="none"/>
                <w:lang w:val="zh-CN"/>
              </w:rPr>
            </w:pPr>
            <w:r>
              <w:rPr>
                <w:rFonts w:hint="eastAsia" w:ascii="宋体" w:hAnsi="宋体" w:cs="宋体"/>
                <w:b/>
                <w:bCs w:val="0"/>
                <w:color w:val="auto"/>
                <w:szCs w:val="21"/>
                <w:highlight w:val="none"/>
              </w:rPr>
              <w:t>注：</w:t>
            </w:r>
            <w:r>
              <w:rPr>
                <w:rFonts w:hint="eastAsia" w:ascii="宋体" w:hAnsi="宋体" w:cs="宋体"/>
                <w:b/>
                <w:bCs w:val="0"/>
                <w:color w:val="auto"/>
                <w:szCs w:val="21"/>
                <w:highlight w:val="none"/>
                <w:lang w:val="zh-CN"/>
              </w:rPr>
              <w:t>①须提供职称证扫描件，截止投标前近一个月（即202</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lang w:val="zh-CN"/>
              </w:rPr>
              <w:t>年</w:t>
            </w:r>
            <w:r>
              <w:rPr>
                <w:rFonts w:hint="eastAsia" w:ascii="宋体" w:hAnsi="宋体" w:cs="宋体"/>
                <w:b/>
                <w:bCs w:val="0"/>
                <w:color w:val="auto"/>
                <w:szCs w:val="21"/>
                <w:highlight w:val="none"/>
                <w:lang w:val="en-US" w:eastAsia="zh-CN"/>
              </w:rPr>
              <w:t>6</w:t>
            </w:r>
            <w:r>
              <w:rPr>
                <w:rFonts w:hint="eastAsia" w:ascii="宋体" w:hAnsi="宋体" w:cs="宋体"/>
                <w:b/>
                <w:bCs w:val="0"/>
                <w:color w:val="auto"/>
                <w:szCs w:val="21"/>
                <w:highlight w:val="none"/>
                <w:lang w:val="zh-CN"/>
              </w:rPr>
              <w:t>月）有效的社保证明材料，社保证明需能反映参保人在相应单位缴纳（不含子公司），否则不予计分，</w:t>
            </w:r>
            <w:r>
              <w:rPr>
                <w:rFonts w:hint="eastAsia" w:ascii="宋体" w:hAnsi="宋体" w:cs="宋体"/>
                <w:b/>
                <w:bCs w:val="0"/>
                <w:color w:val="auto"/>
                <w:szCs w:val="21"/>
                <w:highlight w:val="none"/>
                <w:lang w:val="en-US" w:eastAsia="zh-CN"/>
              </w:rPr>
              <w:t>以上人员不得兼任</w:t>
            </w:r>
            <w:r>
              <w:rPr>
                <w:rFonts w:hint="eastAsia" w:ascii="宋体" w:hAnsi="宋体" w:cs="宋体"/>
                <w:b/>
                <w:bCs w:val="0"/>
                <w:color w:val="auto"/>
                <w:szCs w:val="21"/>
                <w:highlight w:val="none"/>
                <w:lang w:val="zh-CN"/>
              </w:rPr>
              <w:t>。</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346"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1347"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认证体系</w:t>
            </w:r>
          </w:p>
        </w:tc>
        <w:tc>
          <w:tcPr>
            <w:tcW w:w="73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w:t>
            </w:r>
          </w:p>
        </w:tc>
        <w:tc>
          <w:tcPr>
            <w:tcW w:w="9860"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投标人（如为联合体投标，指联合体</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lang w:val="zh-CN"/>
              </w:rPr>
              <w:t>方）同时具备质量管理体系</w:t>
            </w:r>
            <w:r>
              <w:rPr>
                <w:rFonts w:hint="eastAsia" w:ascii="宋体" w:hAnsi="宋体" w:cs="宋体"/>
                <w:color w:val="auto"/>
                <w:highlight w:val="none"/>
                <w:lang w:val="en-US" w:eastAsia="zh-CN"/>
              </w:rPr>
              <w:t>认证证书</w:t>
            </w:r>
            <w:r>
              <w:rPr>
                <w:rFonts w:hint="eastAsia" w:ascii="宋体" w:hAnsi="宋体" w:cs="宋体"/>
                <w:color w:val="auto"/>
                <w:szCs w:val="21"/>
                <w:highlight w:val="none"/>
                <w:lang w:val="zh-CN"/>
              </w:rPr>
              <w:t>、职业健康安全管理体系</w:t>
            </w:r>
            <w:r>
              <w:rPr>
                <w:rFonts w:hint="eastAsia" w:ascii="宋体" w:hAnsi="宋体" w:cs="宋体"/>
                <w:color w:val="auto"/>
                <w:highlight w:val="none"/>
                <w:lang w:val="en-US" w:eastAsia="zh-CN"/>
              </w:rPr>
              <w:t>认证证书</w:t>
            </w:r>
            <w:r>
              <w:rPr>
                <w:rFonts w:hint="eastAsia" w:ascii="宋体" w:hAnsi="宋体" w:cs="宋体"/>
                <w:color w:val="auto"/>
                <w:szCs w:val="21"/>
                <w:highlight w:val="none"/>
                <w:lang w:val="zh-CN"/>
              </w:rPr>
              <w:t>、环境管理体系认证</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lang w:val="zh-CN"/>
              </w:rPr>
              <w:t>并在有效期内的，得2分；同时具备以上任意2项认证证书（有效期内）的，得1分；具备任意1项认证证书（有效期内）的，得0.5分。</w:t>
            </w:r>
          </w:p>
          <w:p>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注：须提供在有效期内的认证证书扫描件以及在中国国家认证认可监督管理委员会官方网站（www.cnca.gov.cn）上查询页的截图（获得认证证书单位名称必须与投标单位名称一致，不包含上级公司、子分公司及区域公司），已失效或撤销或无提供的不计分。</w:t>
            </w:r>
          </w:p>
          <w:p>
            <w:pPr>
              <w:keepNext w:val="0"/>
              <w:keepLines w:val="0"/>
              <w:suppressLineNumbers w:val="0"/>
              <w:spacing w:before="0" w:beforeAutospacing="0" w:after="0" w:afterAutospacing="0"/>
              <w:ind w:left="0" w:right="0"/>
              <w:jc w:val="left"/>
              <w:rPr>
                <w:rFonts w:hint="default"/>
                <w:color w:val="auto"/>
                <w:highlight w:val="none"/>
              </w:rPr>
            </w:pPr>
            <w:r>
              <w:rPr>
                <w:rFonts w:hint="eastAsia" w:ascii="宋体" w:hAnsi="宋体" w:cs="宋体"/>
                <w:b/>
                <w:bCs/>
                <w:color w:val="auto"/>
                <w:szCs w:val="21"/>
                <w:highlight w:val="none"/>
                <w:lang w:val="zh-CN"/>
              </w:rPr>
              <w:t>不符合上述条件或未提供上述资料的不得分，本项最多得2分。</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1347" w:type="dxa"/>
            <w:vMerge w:val="restar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施工部分</w:t>
            </w:r>
          </w:p>
          <w:p>
            <w:pPr>
              <w:keepNext w:val="0"/>
              <w:keepLines w:val="0"/>
              <w:suppressLineNumbers w:val="0"/>
              <w:autoSpaceDE w:val="0"/>
              <w:autoSpaceDN w:val="0"/>
              <w:adjustRightInd w:val="0"/>
              <w:spacing w:before="0" w:beforeAutospacing="0" w:after="0" w:afterAutospacing="0"/>
              <w:ind w:left="0" w:right="0"/>
              <w:jc w:val="center"/>
              <w:rPr>
                <w:rFonts w:hint="default"/>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lang w:val="en-US" w:eastAsia="zh-CN"/>
              </w:rPr>
              <w:t>施工</w:t>
            </w:r>
            <w:r>
              <w:rPr>
                <w:rFonts w:hint="eastAsia" w:ascii="宋体" w:hAnsi="宋体" w:cs="宋体"/>
                <w:color w:val="auto"/>
                <w:highlight w:val="none"/>
              </w:rPr>
              <w:t>企业业绩</w:t>
            </w:r>
          </w:p>
        </w:tc>
        <w:tc>
          <w:tcPr>
            <w:tcW w:w="73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9860" w:type="dxa"/>
            <w:noWrap w:val="0"/>
            <w:vAlign w:val="center"/>
          </w:tcPr>
          <w:p>
            <w:pPr>
              <w:keepNext w:val="0"/>
              <w:keepLines w:val="0"/>
              <w:suppressLineNumbers w:val="0"/>
              <w:shd w:val="clear" w:color="auto" w:fill="FFFFFF"/>
              <w:snapToGrid w:val="0"/>
              <w:spacing w:before="0" w:beforeAutospacing="0" w:after="0" w:afterAutospacing="0"/>
              <w:ind w:left="0" w:right="0"/>
              <w:jc w:val="left"/>
              <w:rPr>
                <w:rFonts w:hint="default" w:ascii="宋体" w:hAnsi="宋体" w:cs="宋体"/>
                <w:color w:val="auto"/>
                <w:highlight w:val="none"/>
              </w:rPr>
            </w:pPr>
            <w:r>
              <w:rPr>
                <w:rFonts w:hint="eastAsia" w:ascii="宋体" w:hAnsi="宋体" w:cs="宋体"/>
                <w:color w:val="auto"/>
                <w:highlight w:val="none"/>
              </w:rPr>
              <w:t>投标人（若为联合体，联合体</w:t>
            </w:r>
            <w:r>
              <w:rPr>
                <w:rFonts w:hint="eastAsia" w:ascii="宋体" w:hAnsi="宋体" w:cs="宋体"/>
                <w:color w:val="auto"/>
                <w:highlight w:val="none"/>
                <w:lang w:val="en-US" w:eastAsia="zh-CN"/>
              </w:rPr>
              <w:t>主办</w:t>
            </w:r>
            <w:r>
              <w:rPr>
                <w:rFonts w:hint="eastAsia" w:ascii="宋体" w:hAnsi="宋体" w:cs="宋体"/>
                <w:color w:val="auto"/>
                <w:highlight w:val="none"/>
              </w:rPr>
              <w:t>方）自202</w:t>
            </w:r>
            <w:r>
              <w:rPr>
                <w:rFonts w:hint="eastAsia" w:ascii="宋体" w:hAnsi="宋体" w:cs="宋体"/>
                <w:color w:val="auto"/>
                <w:highlight w:val="none"/>
                <w:lang w:val="en-US" w:eastAsia="zh-CN"/>
              </w:rPr>
              <w:t>0</w:t>
            </w:r>
            <w:r>
              <w:rPr>
                <w:rFonts w:hint="eastAsia" w:ascii="宋体" w:hAnsi="宋体" w:cs="宋体"/>
                <w:color w:val="auto"/>
                <w:highlight w:val="none"/>
              </w:rPr>
              <w:t>年1月1日至今，承接过合同金额在</w:t>
            </w:r>
            <w:r>
              <w:rPr>
                <w:rFonts w:hint="eastAsia" w:ascii="宋体" w:hAnsi="宋体" w:cs="宋体"/>
                <w:color w:val="auto"/>
                <w:highlight w:val="none"/>
                <w:lang w:val="en-US" w:eastAsia="zh-CN"/>
              </w:rPr>
              <w:t>2000</w:t>
            </w:r>
            <w:r>
              <w:rPr>
                <w:rFonts w:hint="eastAsia" w:ascii="宋体" w:hAnsi="宋体" w:cs="宋体"/>
                <w:color w:val="auto"/>
                <w:highlight w:val="none"/>
              </w:rPr>
              <w:t>万元（或以上）的类似项目业绩的，每个得</w:t>
            </w:r>
            <w:r>
              <w:rPr>
                <w:rFonts w:hint="eastAsia" w:ascii="宋体" w:hAnsi="宋体" w:cs="宋体"/>
                <w:color w:val="auto"/>
                <w:highlight w:val="none"/>
                <w:lang w:val="en-US" w:eastAsia="zh-CN"/>
              </w:rPr>
              <w:t>1</w:t>
            </w:r>
            <w:r>
              <w:rPr>
                <w:rFonts w:hint="eastAsia" w:ascii="宋体" w:hAnsi="宋体" w:cs="宋体"/>
                <w:color w:val="auto"/>
                <w:highlight w:val="none"/>
              </w:rPr>
              <w:t>分，最多得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keepNext w:val="0"/>
              <w:keepLines w:val="0"/>
              <w:suppressLineNumbers w:val="0"/>
              <w:shd w:val="clear" w:color="auto" w:fill="FFFFFF"/>
              <w:snapToGrid w:val="0"/>
              <w:spacing w:before="0" w:beforeAutospacing="0" w:after="0" w:afterAutospacing="0"/>
              <w:ind w:left="0" w:right="0"/>
              <w:jc w:val="left"/>
              <w:rPr>
                <w:rFonts w:hint="default" w:ascii="宋体" w:hAnsi="宋体" w:cs="宋体"/>
                <w:color w:val="auto"/>
                <w:szCs w:val="21"/>
                <w:highlight w:val="none"/>
              </w:rPr>
            </w:pPr>
            <w:r>
              <w:rPr>
                <w:rFonts w:hint="eastAsia" w:ascii="宋体" w:hAnsi="宋体" w:cs="宋体"/>
                <w:b/>
                <w:bCs/>
                <w:color w:val="auto"/>
                <w:highlight w:val="none"/>
              </w:rPr>
              <w:t>注:类似项目业绩是指</w:t>
            </w:r>
            <w:r>
              <w:rPr>
                <w:rFonts w:hint="eastAsia" w:ascii="宋体" w:hAnsi="宋体" w:cs="宋体"/>
                <w:b/>
                <w:bCs/>
                <w:color w:val="auto"/>
                <w:highlight w:val="none"/>
                <w:lang w:val="en-US" w:eastAsia="zh-CN"/>
              </w:rPr>
              <w:t>房屋</w:t>
            </w:r>
            <w:r>
              <w:rPr>
                <w:rFonts w:hint="eastAsia" w:ascii="宋体" w:hAnsi="宋体" w:cs="宋体"/>
                <w:b/>
                <w:bCs/>
                <w:color w:val="auto"/>
                <w:highlight w:val="none"/>
              </w:rPr>
              <w:t>建筑工程施工总承包或工程总承包（包括勘察设计施工总承包或设计施工总承包或设计采购施工总承包或勘察设计采购施工总承包）项目</w:t>
            </w:r>
            <w:r>
              <w:rPr>
                <w:rFonts w:hint="eastAsia" w:ascii="宋体" w:hAnsi="宋体" w:cs="宋体"/>
                <w:b/>
                <w:bCs/>
                <w:color w:val="auto"/>
                <w:highlight w:val="none"/>
                <w:lang w:val="en-US" w:eastAsia="zh-CN"/>
              </w:rPr>
              <w:t>的施工部分</w:t>
            </w:r>
            <w:r>
              <w:rPr>
                <w:rFonts w:hint="eastAsia" w:ascii="宋体" w:hAnsi="宋体" w:cs="宋体"/>
                <w:b/>
                <w:bCs/>
                <w:color w:val="auto"/>
                <w:highlight w:val="none"/>
              </w:rPr>
              <w:t>业绩。</w:t>
            </w:r>
            <w:r>
              <w:rPr>
                <w:rFonts w:hint="eastAsia" w:ascii="宋体" w:hAnsi="宋体" w:cs="宋体"/>
                <w:b/>
                <w:bCs/>
                <w:color w:val="auto"/>
                <w:szCs w:val="21"/>
                <w:highlight w:val="none"/>
              </w:rPr>
              <w:t>业绩须提供中标通知书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或免招标的证明</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、合同协议书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或合同文件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和竣工验收证明文件</w:t>
            </w:r>
            <w:r>
              <w:rPr>
                <w:rFonts w:hint="eastAsia" w:ascii="宋体" w:hAnsi="宋体" w:cs="宋体"/>
                <w:b/>
                <w:bCs/>
                <w:color w:val="auto"/>
                <w:szCs w:val="21"/>
                <w:highlight w:val="none"/>
              </w:rPr>
              <w:t>扫描件，业绩金额以合同文件为准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业绩时间以竣工验收证明文件为准，验收证明文件至少具有建设单位、设计、施工和监理单位盖章</w:t>
            </w:r>
            <w:r>
              <w:rPr>
                <w:rFonts w:hint="eastAsia" w:ascii="宋体" w:hAnsi="宋体" w:cs="宋体"/>
                <w:b/>
                <w:bCs/>
                <w:color w:val="auto"/>
                <w:szCs w:val="21"/>
                <w:highlight w:val="none"/>
              </w:rPr>
              <w:t>。</w:t>
            </w:r>
            <w:r>
              <w:rPr>
                <w:rFonts w:hint="eastAsia" w:ascii="宋体" w:hAnsi="宋体" w:cs="宋体"/>
                <w:b/>
                <w:bCs/>
                <w:color w:val="auto"/>
                <w:highlight w:val="none"/>
              </w:rPr>
              <w:t>不符合上述条件或未提供上述资料的不得分。</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1347"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Cs w:val="21"/>
                <w:highlight w:val="none"/>
              </w:rPr>
              <w:t>施工企业业绩获奖</w:t>
            </w:r>
          </w:p>
        </w:tc>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9860" w:type="dxa"/>
            <w:noWrap w:val="0"/>
            <w:vAlign w:val="center"/>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rPr>
              <w:t>投标人（若为联合体投标，</w:t>
            </w:r>
            <w:r>
              <w:rPr>
                <w:rFonts w:hint="eastAsia" w:ascii="宋体" w:hAnsi="宋体" w:cs="宋体"/>
                <w:color w:val="auto"/>
                <w:szCs w:val="21"/>
                <w:highlight w:val="none"/>
              </w:rPr>
              <w:t>指联合体</w:t>
            </w:r>
            <w:r>
              <w:rPr>
                <w:rFonts w:hint="eastAsia" w:ascii="宋体" w:hAnsi="宋体" w:cs="宋体"/>
                <w:color w:val="auto"/>
                <w:szCs w:val="21"/>
                <w:highlight w:val="none"/>
                <w:lang w:val="en-US" w:eastAsia="zh-CN"/>
              </w:rPr>
              <w:t>主办</w:t>
            </w:r>
            <w:r>
              <w:rPr>
                <w:rFonts w:hint="eastAsia" w:ascii="宋体" w:hAnsi="宋体" w:cs="宋体"/>
                <w:color w:val="auto"/>
                <w:szCs w:val="21"/>
                <w:highlight w:val="none"/>
              </w:rPr>
              <w:t>方</w:t>
            </w:r>
            <w:r>
              <w:rPr>
                <w:rFonts w:hint="eastAsia" w:ascii="宋体" w:hAnsi="宋体" w:cs="宋体"/>
                <w:color w:val="auto"/>
                <w:kern w:val="0"/>
                <w:szCs w:val="21"/>
                <w:highlight w:val="none"/>
              </w:rPr>
              <w:t>）</w:t>
            </w:r>
            <w:r>
              <w:rPr>
                <w:rFonts w:hint="eastAsia" w:ascii="宋体" w:hAnsi="宋体" w:cs="宋体"/>
                <w:color w:val="auto"/>
                <w:szCs w:val="21"/>
                <w:highlight w:val="none"/>
              </w:rPr>
              <w:t>：</w:t>
            </w:r>
          </w:p>
          <w:p>
            <w:pPr>
              <w:keepNext w:val="0"/>
              <w:keepLines w:val="0"/>
              <w:numPr>
                <w:ilvl w:val="0"/>
                <w:numId w:val="0"/>
              </w:numPr>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年1月1日至今</w:t>
            </w:r>
            <w:r>
              <w:rPr>
                <w:rFonts w:hint="eastAsia" w:ascii="宋体" w:hAnsi="宋体" w:cs="宋体"/>
                <w:color w:val="auto"/>
                <w:szCs w:val="21"/>
                <w:highlight w:val="none"/>
                <w:lang w:val="zh-CN"/>
              </w:rPr>
              <w:t>，</w:t>
            </w:r>
            <w:r>
              <w:rPr>
                <w:rFonts w:hint="eastAsia" w:ascii="宋体" w:hAnsi="宋体" w:cs="宋体"/>
                <w:color w:val="auto"/>
                <w:highlight w:val="none"/>
              </w:rPr>
              <w:t>承接</w:t>
            </w:r>
            <w:r>
              <w:rPr>
                <w:rFonts w:hint="eastAsia" w:ascii="宋体" w:hAnsi="宋体" w:cs="宋体"/>
                <w:color w:val="auto"/>
                <w:highlight w:val="none"/>
                <w:lang w:val="en-US" w:eastAsia="zh-CN"/>
              </w:rPr>
              <w:t>过</w:t>
            </w:r>
            <w:r>
              <w:rPr>
                <w:rFonts w:hint="eastAsia" w:ascii="宋体" w:hAnsi="宋体" w:cs="宋体"/>
                <w:color w:val="auto"/>
                <w:highlight w:val="none"/>
              </w:rPr>
              <w:t>的工程项目</w:t>
            </w:r>
            <w:r>
              <w:rPr>
                <w:rFonts w:hint="eastAsia" w:ascii="宋体" w:hAnsi="宋体" w:cs="宋体"/>
                <w:color w:val="auto"/>
                <w:szCs w:val="21"/>
                <w:highlight w:val="none"/>
                <w:lang w:val="zh-CN"/>
              </w:rPr>
              <w:t>获得</w:t>
            </w:r>
            <w:r>
              <w:rPr>
                <w:rFonts w:hint="eastAsia" w:ascii="宋体" w:hAnsi="宋体" w:cs="宋体"/>
                <w:color w:val="auto"/>
                <w:szCs w:val="21"/>
                <w:highlight w:val="none"/>
              </w:rPr>
              <w:t>国家级</w:t>
            </w:r>
            <w:r>
              <w:rPr>
                <w:rFonts w:hint="eastAsia" w:ascii="宋体" w:hAnsi="宋体" w:cs="宋体"/>
                <w:color w:val="auto"/>
                <w:szCs w:val="21"/>
                <w:highlight w:val="none"/>
                <w:lang w:val="en-US" w:eastAsia="zh-CN"/>
              </w:rPr>
              <w:t>工程质量</w:t>
            </w:r>
            <w:r>
              <w:rPr>
                <w:rFonts w:hint="eastAsia" w:ascii="宋体" w:hAnsi="宋体" w:cs="宋体"/>
                <w:color w:val="auto"/>
                <w:szCs w:val="21"/>
                <w:highlight w:val="none"/>
              </w:rPr>
              <w:t>奖项的，每项得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highlight w:val="none"/>
              </w:rPr>
              <w:t>承接的工程项目</w:t>
            </w:r>
            <w:r>
              <w:rPr>
                <w:rFonts w:hint="eastAsia" w:ascii="宋体" w:hAnsi="宋体" w:cs="宋体"/>
                <w:color w:val="auto"/>
                <w:szCs w:val="21"/>
                <w:highlight w:val="none"/>
              </w:rPr>
              <w:t>获得省级</w:t>
            </w:r>
            <w:r>
              <w:rPr>
                <w:rFonts w:hint="eastAsia" w:ascii="宋体" w:hAnsi="宋体" w:cs="宋体"/>
                <w:color w:val="auto"/>
                <w:szCs w:val="21"/>
                <w:highlight w:val="none"/>
                <w:lang w:val="en-US" w:eastAsia="zh-CN"/>
              </w:rPr>
              <w:t>工程质量</w:t>
            </w:r>
            <w:r>
              <w:rPr>
                <w:rFonts w:hint="eastAsia" w:ascii="宋体" w:hAnsi="宋体" w:cs="宋体"/>
                <w:color w:val="auto"/>
                <w:szCs w:val="21"/>
                <w:highlight w:val="none"/>
              </w:rPr>
              <w:t>奖项的，每项得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r>
              <w:rPr>
                <w:rFonts w:hint="eastAsia" w:ascii="宋体" w:hAnsi="宋体" w:cs="宋体"/>
                <w:color w:val="auto"/>
                <w:highlight w:val="none"/>
              </w:rPr>
              <w:t>承接</w:t>
            </w:r>
            <w:r>
              <w:rPr>
                <w:rFonts w:hint="eastAsia" w:ascii="宋体" w:hAnsi="宋体" w:cs="宋体"/>
                <w:color w:val="auto"/>
                <w:highlight w:val="none"/>
                <w:lang w:val="en-US" w:eastAsia="zh-CN"/>
              </w:rPr>
              <w:t>过</w:t>
            </w:r>
            <w:r>
              <w:rPr>
                <w:rFonts w:hint="eastAsia" w:ascii="宋体" w:hAnsi="宋体" w:cs="宋体"/>
                <w:color w:val="auto"/>
                <w:highlight w:val="none"/>
              </w:rPr>
              <w:t>的工程项目</w:t>
            </w:r>
            <w:r>
              <w:rPr>
                <w:rFonts w:hint="eastAsia" w:ascii="宋体" w:hAnsi="宋体" w:cs="宋体"/>
                <w:color w:val="auto"/>
                <w:szCs w:val="21"/>
                <w:highlight w:val="none"/>
              </w:rPr>
              <w:t>获得市级</w:t>
            </w:r>
            <w:r>
              <w:rPr>
                <w:rFonts w:hint="eastAsia" w:ascii="宋体" w:hAnsi="宋体" w:cs="宋体"/>
                <w:color w:val="auto"/>
                <w:szCs w:val="21"/>
                <w:highlight w:val="none"/>
                <w:lang w:val="en-US" w:eastAsia="zh-CN"/>
              </w:rPr>
              <w:t>工程质量</w:t>
            </w:r>
            <w:r>
              <w:rPr>
                <w:rFonts w:hint="eastAsia" w:ascii="宋体" w:hAnsi="宋体" w:cs="宋体"/>
                <w:color w:val="auto"/>
                <w:szCs w:val="21"/>
                <w:highlight w:val="none"/>
              </w:rPr>
              <w:t>奖项的，每项得0.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keepNext w:val="0"/>
              <w:keepLines w:val="0"/>
              <w:suppressLineNumbers w:val="0"/>
              <w:shd w:val="clear" w:color="auto" w:fill="FFFFFF"/>
              <w:snapToGrid w:val="0"/>
              <w:spacing w:before="0" w:beforeAutospacing="0" w:after="0" w:afterAutospacing="0"/>
              <w:ind w:left="0" w:right="0"/>
              <w:jc w:val="left"/>
              <w:rPr>
                <w:rFonts w:hint="default"/>
                <w:color w:val="auto"/>
                <w:highlight w:val="none"/>
              </w:rPr>
            </w:pPr>
            <w:r>
              <w:rPr>
                <w:rFonts w:hint="eastAsia" w:ascii="宋体" w:hAnsi="宋体" w:cs="宋体"/>
                <w:b/>
                <w:bCs/>
                <w:color w:val="auto"/>
                <w:szCs w:val="21"/>
                <w:highlight w:val="none"/>
                <w:lang w:val="zh-CN"/>
              </w:rPr>
              <w:t>注：①投标人同一项目获得多个奖项，按分数最高只计算一次不重复计算；②获奖以获奖证书为准，获奖时间以取得获奖证书时间为准；③国家级</w:t>
            </w:r>
            <w:r>
              <w:rPr>
                <w:rFonts w:hint="eastAsia" w:ascii="宋体" w:hAnsi="宋体" w:cs="宋体"/>
                <w:b/>
                <w:bCs/>
                <w:color w:val="auto"/>
                <w:szCs w:val="21"/>
                <w:highlight w:val="none"/>
                <w:lang w:val="en-US" w:eastAsia="zh-CN"/>
              </w:rPr>
              <w:t>工程质量奖项</w:t>
            </w:r>
            <w:r>
              <w:rPr>
                <w:rFonts w:hint="eastAsia" w:ascii="宋体" w:hAnsi="宋体" w:cs="宋体"/>
                <w:b/>
                <w:bCs/>
                <w:color w:val="auto"/>
                <w:szCs w:val="21"/>
                <w:highlight w:val="none"/>
                <w:lang w:val="zh-CN"/>
              </w:rPr>
              <w:t>是指</w:t>
            </w:r>
            <w:r>
              <w:rPr>
                <w:rFonts w:hint="eastAsia" w:ascii="宋体" w:hAnsi="宋体" w:cs="宋体"/>
                <w:b/>
                <w:bCs/>
                <w:color w:val="auto"/>
                <w:highlight w:val="none"/>
                <w:lang w:val="en-US" w:eastAsia="zh-CN"/>
              </w:rPr>
              <w:t>中国建设工程</w:t>
            </w:r>
            <w:r>
              <w:rPr>
                <w:rFonts w:hint="eastAsia" w:ascii="宋体" w:hAnsi="宋体" w:cs="宋体"/>
                <w:b/>
                <w:bCs/>
                <w:color w:val="auto"/>
                <w:highlight w:val="none"/>
              </w:rPr>
              <w:t>鲁班奖、中国土木工程詹天佑奖、国家优质工程金质奖、国家优质工程银质奖、国家优质工程奖。省、市级</w:t>
            </w:r>
            <w:r>
              <w:rPr>
                <w:rFonts w:hint="eastAsia" w:ascii="宋体" w:hAnsi="宋体" w:cs="宋体"/>
                <w:b/>
                <w:bCs/>
                <w:color w:val="auto"/>
                <w:highlight w:val="none"/>
                <w:lang w:val="en-US" w:eastAsia="zh-CN"/>
              </w:rPr>
              <w:t>工程</w:t>
            </w:r>
            <w:r>
              <w:rPr>
                <w:rFonts w:hint="eastAsia" w:ascii="宋体" w:hAnsi="宋体" w:cs="宋体"/>
                <w:b/>
                <w:bCs/>
                <w:color w:val="auto"/>
                <w:highlight w:val="none"/>
              </w:rPr>
              <w:t>质量奖项指由省、市级建设行政主管部门或行业协会颁发的工程质量奖，不含安全文明、绿色施工、钢结构、装修、机电安装、技术创新、QC成果、科技进步及技术应用类等奖项。由行业学会或行业协会颁发的奖项，</w:t>
            </w:r>
            <w:r>
              <w:rPr>
                <w:rFonts w:hint="eastAsia" w:ascii="宋体" w:hAnsi="宋体" w:cs="宋体"/>
                <w:b/>
                <w:bCs/>
                <w:color w:val="auto"/>
                <w:highlight w:val="none"/>
                <w:u w:val="single"/>
              </w:rPr>
              <w:t>行业学会或行业协会需在民政部门备案</w:t>
            </w:r>
            <w:r>
              <w:rPr>
                <w:rFonts w:hint="eastAsia" w:ascii="宋体" w:hAnsi="宋体" w:cs="宋体"/>
                <w:b/>
                <w:bCs/>
                <w:color w:val="auto"/>
                <w:highlight w:val="none"/>
                <w:lang w:eastAsia="zh-CN"/>
              </w:rPr>
              <w:t>，</w:t>
            </w:r>
            <w:r>
              <w:rPr>
                <w:rFonts w:hint="eastAsia"/>
                <w:b/>
                <w:bCs/>
                <w:color w:val="auto"/>
                <w:szCs w:val="21"/>
                <w:highlight w:val="none"/>
                <w:u w:val="single"/>
              </w:rPr>
              <w:t>须提供其在“全国社会组织信用信息公示平台（试运行）”网站（https：//xxgs.chinanpo.mca.gov.cn/gsxt/newList）【注：由于全国社会组织信用信息公示平台（试运行）属于试运行，平台名称及网址若有更新、以最新发布的为准。）查询结果的网页打印页。】</w:t>
            </w:r>
            <w:r>
              <w:rPr>
                <w:rFonts w:hint="eastAsia" w:ascii="宋体" w:hAnsi="宋体" w:cs="宋体"/>
                <w:b/>
                <w:bCs/>
                <w:color w:val="auto"/>
                <w:szCs w:val="21"/>
                <w:highlight w:val="none"/>
                <w:lang w:val="zh-CN"/>
              </w:rPr>
              <w:t>④其他非房建类项目(如:路桥、铁路、水利、电力、化工、港航、冶金、装修、QC、市政等项目)奖项不参与计分；⑤不符合上述条件或未提供上述资料的不计分。</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6"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1347"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施工人员投入能力</w:t>
            </w:r>
          </w:p>
        </w:tc>
        <w:tc>
          <w:tcPr>
            <w:tcW w:w="73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986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投标人(若为联合体，指联合体主办方)拟派各专业负责人:</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（1）项目负责人（3分）：</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①拟委派的项目负责人从业经验在10年或以上（含10年）的，得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自2020年1月1日至今，拟委派的项目负责人完成过合同额在2000万元（或以上）的类似项目业绩的，每个得1分，最多得2分。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技术负责人</w:t>
            </w:r>
            <w:r>
              <w:rPr>
                <w:rFonts w:hint="eastAsia" w:ascii="宋体" w:hAnsi="宋体" w:cs="宋体"/>
                <w:b/>
                <w:bCs/>
                <w:color w:val="auto"/>
                <w:sz w:val="21"/>
                <w:szCs w:val="21"/>
                <w:highlight w:val="none"/>
                <w:lang w:val="en-US" w:eastAsia="zh-CN"/>
              </w:rPr>
              <w:t>（1分）</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①拟委派的技术负责人从业经验在10年或以上（含10年）的，得0.5分；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②具有工程类相关专业高级</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以上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职称的，得0.5分。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本项最高得1分。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安全负责人</w:t>
            </w:r>
            <w:r>
              <w:rPr>
                <w:rFonts w:hint="eastAsia" w:ascii="宋体" w:hAnsi="宋体" w:cs="宋体"/>
                <w:b/>
                <w:bCs/>
                <w:color w:val="auto"/>
                <w:sz w:val="21"/>
                <w:szCs w:val="21"/>
                <w:highlight w:val="none"/>
                <w:lang w:val="en-US" w:eastAsia="zh-CN"/>
              </w:rPr>
              <w:t>（1分）</w:t>
            </w:r>
            <w:r>
              <w:rPr>
                <w:rFonts w:hint="eastAsia" w:ascii="宋体" w:hAnsi="宋体" w:cs="宋体"/>
                <w:b/>
                <w:bCs/>
                <w:color w:val="auto"/>
                <w:sz w:val="21"/>
                <w:szCs w:val="21"/>
                <w:highlight w:val="none"/>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①具有工程类相关专业高级</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以上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职称的，得0.5分；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②具有中级（或以上）注册安全工程师（建筑施工安全专业）执业</w:t>
            </w:r>
            <w:r>
              <w:rPr>
                <w:rFonts w:hint="eastAsia" w:ascii="宋体" w:hAnsi="宋体" w:cs="宋体"/>
                <w:color w:val="auto"/>
                <w:sz w:val="21"/>
                <w:szCs w:val="21"/>
                <w:highlight w:val="none"/>
                <w:lang w:val="en-US" w:eastAsia="zh-CN"/>
              </w:rPr>
              <w:t>资格</w:t>
            </w:r>
            <w:r>
              <w:rPr>
                <w:rFonts w:hint="eastAsia" w:ascii="宋体" w:hAnsi="宋体" w:eastAsia="宋体" w:cs="宋体"/>
                <w:color w:val="auto"/>
                <w:sz w:val="21"/>
                <w:szCs w:val="21"/>
                <w:highlight w:val="none"/>
                <w:lang w:val="en-US" w:eastAsia="zh-CN"/>
              </w:rPr>
              <w:t>的，得0.5分。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本项最高得1分。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造价负责人</w:t>
            </w:r>
            <w:r>
              <w:rPr>
                <w:rFonts w:hint="eastAsia" w:ascii="宋体" w:hAnsi="宋体" w:cs="宋体"/>
                <w:b/>
                <w:bCs/>
                <w:color w:val="auto"/>
                <w:sz w:val="21"/>
                <w:szCs w:val="21"/>
                <w:highlight w:val="none"/>
                <w:lang w:val="en-US" w:eastAsia="zh-CN"/>
              </w:rPr>
              <w:t>（1分）</w:t>
            </w:r>
            <w:r>
              <w:rPr>
                <w:rFonts w:hint="eastAsia" w:ascii="宋体" w:hAnsi="宋体" w:cs="宋体"/>
                <w:b/>
                <w:bCs/>
                <w:color w:val="auto"/>
                <w:sz w:val="21"/>
                <w:szCs w:val="21"/>
                <w:highlight w:val="none"/>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①具</w:t>
            </w: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类专业高级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以上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具有一级注册造价工程师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或注册造价工程师）</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本项最高得1分。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eastAsia="宋体"/>
                <w:color w:val="auto"/>
                <w:highlight w:val="none"/>
                <w:lang w:val="en-US" w:eastAsia="zh-CN"/>
              </w:rPr>
            </w:pPr>
            <w:r>
              <w:rPr>
                <w:rFonts w:hint="eastAsia" w:ascii="宋体" w:hAnsi="宋体" w:eastAsia="宋体" w:cs="宋体"/>
                <w:b/>
                <w:bCs/>
                <w:color w:val="auto"/>
                <w:sz w:val="21"/>
                <w:szCs w:val="21"/>
                <w:highlight w:val="none"/>
              </w:rPr>
              <w:t>注：①各专业负责人不得兼任</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zh-CN"/>
              </w:rPr>
              <w:t>②投标人需按评审要求提供职称证（如有）、毕业证、注册证（如有）及截止投标前近一个月（即202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年</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月）有效的社保证明材料，社保证明需能反映参保人在相应单位缴纳（不含子公司），否则不予计分。</w:t>
            </w:r>
            <w:r>
              <w:rPr>
                <w:rFonts w:hint="eastAsia" w:ascii="宋体" w:hAnsi="宋体" w:eastAsia="宋体" w:cs="宋体"/>
                <w:b/>
                <w:bCs/>
                <w:color w:val="auto"/>
                <w:sz w:val="21"/>
                <w:szCs w:val="21"/>
                <w:highlight w:val="none"/>
              </w:rPr>
              <w:t>③项目负责人完成的类似项目业绩是指房屋建筑工程施工总承包或工程总承包（包括勘察设计施工总承包或设计施工总承包或设计采购施工总承包或勘察设计采购施工总承包）项目的施工部分业绩。业绩须提供中标通知书（或免招标的证明）、合同协议书（或合同文件）和竣工验收证明文件扫描件，业绩金额以合同文件为准，业绩时间以竣工验收证明文件为准，验收证明文件至少具有建设单位、设计、施工和监理单位盖章。不符合上述条件或未提供上述资料的不得分。④</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rPr>
              <w:t>负责人从业经</w:t>
            </w:r>
            <w:r>
              <w:rPr>
                <w:rFonts w:hint="eastAsia" w:ascii="宋体" w:hAnsi="宋体" w:eastAsia="宋体" w:cs="宋体"/>
                <w:b/>
                <w:bCs/>
                <w:color w:val="auto"/>
                <w:sz w:val="21"/>
                <w:szCs w:val="21"/>
                <w:highlight w:val="none"/>
                <w:lang w:val="en-US" w:eastAsia="zh-CN"/>
              </w:rPr>
              <w:t>验</w:t>
            </w:r>
            <w:r>
              <w:rPr>
                <w:rFonts w:hint="eastAsia" w:ascii="宋体" w:hAnsi="宋体" w:eastAsia="宋体" w:cs="宋体"/>
                <w:b/>
                <w:bCs/>
                <w:color w:val="auto"/>
                <w:sz w:val="21"/>
                <w:szCs w:val="21"/>
                <w:highlight w:val="none"/>
              </w:rPr>
              <w:t>年限以毕业证（大学专科(或以上)学历）的颁发日期开始计算至投标截止时间止。⑤有效的注册造价工程师指根据原人事部、原建设部发布的《造价工程师执业资格制度暂行规定》（人发〔1996〕77号）取得的造价工程师执业资格，并经注册且在有效期内；有效的一级注册造价工程师资格指根据住房城乡建设部、交通运输部、水利部、人力资源社会保障部发布的《造价工程师职业资格制度规定》《造价工程师职业资格考试实施办法》（建人〔2018〕67号）取得的一级注册造价工程师职业资格，并经注册且在有效期内。</w:t>
            </w:r>
            <w:r>
              <w:rPr>
                <w:rFonts w:hint="eastAsia" w:ascii="宋体" w:hAnsi="宋体" w:eastAsia="宋体" w:cs="宋体"/>
                <w:b/>
                <w:bCs/>
                <w:color w:val="auto"/>
                <w:sz w:val="21"/>
                <w:szCs w:val="21"/>
                <w:highlight w:val="none"/>
                <w:lang w:val="en-US" w:eastAsia="zh-CN"/>
              </w:rPr>
              <w:t>⑥</w:t>
            </w:r>
            <w:r>
              <w:rPr>
                <w:rFonts w:hint="eastAsia" w:ascii="宋体" w:hAnsi="宋体" w:eastAsia="宋体" w:cs="宋体"/>
                <w:b/>
                <w:bCs/>
                <w:color w:val="auto"/>
                <w:sz w:val="21"/>
                <w:szCs w:val="21"/>
                <w:highlight w:val="none"/>
              </w:rPr>
              <w:t>注册安全工程师需提供安全工程师执业资格证书</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或注册证书</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“中华人民共和国应急管理部”（https://zwfw.mem.gov.cn/zwthlw/pages/hlwmh/yyfw/zcaqgcscx/index.html）查询结果截图</w:t>
            </w:r>
            <w:r>
              <w:rPr>
                <w:rFonts w:hint="eastAsia" w:ascii="宋体" w:hAnsi="宋体" w:eastAsia="宋体" w:cs="宋体"/>
                <w:b/>
                <w:bCs/>
                <w:color w:val="auto"/>
                <w:sz w:val="21"/>
                <w:szCs w:val="21"/>
                <w:highlight w:val="none"/>
                <w:lang w:eastAsia="zh-CN"/>
              </w:rPr>
              <w:t>。</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346"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1347"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auto"/>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trike w:val="0"/>
                <w:color w:val="auto"/>
                <w:szCs w:val="21"/>
                <w:highlight w:val="none"/>
                <w:lang w:val="en-US" w:eastAsia="zh-CN"/>
              </w:rPr>
            </w:pPr>
            <w:r>
              <w:rPr>
                <w:rFonts w:hint="eastAsia" w:ascii="宋体" w:hAnsi="宋体" w:cs="宋体"/>
                <w:strike w:val="0"/>
                <w:color w:val="auto"/>
                <w:szCs w:val="21"/>
                <w:highlight w:val="none"/>
                <w:lang w:val="en-US" w:eastAsia="zh-CN"/>
              </w:rPr>
              <w:t>工程研发能力</w:t>
            </w:r>
          </w:p>
        </w:tc>
        <w:tc>
          <w:tcPr>
            <w:tcW w:w="73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strike w:val="0"/>
                <w:color w:val="auto"/>
                <w:szCs w:val="21"/>
                <w:highlight w:val="none"/>
                <w:lang w:val="en-US" w:eastAsia="zh-CN"/>
              </w:rPr>
            </w:pPr>
            <w:r>
              <w:rPr>
                <w:rFonts w:hint="eastAsia" w:ascii="宋体" w:hAnsi="宋体" w:cs="宋体"/>
                <w:strike w:val="0"/>
                <w:color w:val="auto"/>
                <w:szCs w:val="21"/>
                <w:highlight w:val="none"/>
                <w:lang w:val="en-US" w:eastAsia="zh-CN"/>
              </w:rPr>
              <w:t>4</w:t>
            </w:r>
          </w:p>
        </w:tc>
        <w:tc>
          <w:tcPr>
            <w:tcW w:w="9860" w:type="dxa"/>
            <w:noWrap w:val="0"/>
            <w:vAlign w:val="center"/>
          </w:tcPr>
          <w:p>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strike w:val="0"/>
                <w:color w:val="auto"/>
                <w:szCs w:val="21"/>
                <w:highlight w:val="none"/>
              </w:rPr>
            </w:pPr>
            <w:r>
              <w:rPr>
                <w:rFonts w:hint="eastAsia" w:ascii="宋体" w:hAnsi="宋体" w:cs="宋体"/>
                <w:strike w:val="0"/>
                <w:color w:val="auto"/>
                <w:kern w:val="0"/>
                <w:szCs w:val="21"/>
                <w:highlight w:val="none"/>
              </w:rPr>
              <w:t>投标人（若为联合体投标，</w:t>
            </w:r>
            <w:r>
              <w:rPr>
                <w:rFonts w:hint="eastAsia" w:ascii="宋体" w:hAnsi="宋体" w:cs="宋体"/>
                <w:strike w:val="0"/>
                <w:color w:val="auto"/>
                <w:szCs w:val="21"/>
                <w:highlight w:val="none"/>
              </w:rPr>
              <w:t>指联合体</w:t>
            </w:r>
            <w:r>
              <w:rPr>
                <w:rFonts w:hint="eastAsia" w:ascii="宋体" w:hAnsi="宋体" w:cs="宋体"/>
                <w:strike w:val="0"/>
                <w:color w:val="auto"/>
                <w:szCs w:val="21"/>
                <w:highlight w:val="none"/>
                <w:lang w:val="en-US" w:eastAsia="zh-CN"/>
              </w:rPr>
              <w:t>主办</w:t>
            </w:r>
            <w:r>
              <w:rPr>
                <w:rFonts w:hint="eastAsia" w:ascii="宋体" w:hAnsi="宋体" w:cs="宋体"/>
                <w:strike w:val="0"/>
                <w:color w:val="auto"/>
                <w:szCs w:val="21"/>
                <w:highlight w:val="none"/>
              </w:rPr>
              <w:t>方</w:t>
            </w:r>
            <w:r>
              <w:rPr>
                <w:rFonts w:hint="eastAsia" w:ascii="宋体" w:hAnsi="宋体" w:cs="宋体"/>
                <w:strike w:val="0"/>
                <w:color w:val="auto"/>
                <w:kern w:val="0"/>
                <w:szCs w:val="21"/>
                <w:highlight w:val="none"/>
              </w:rPr>
              <w:t>）</w:t>
            </w:r>
            <w:r>
              <w:rPr>
                <w:rFonts w:hint="eastAsia" w:ascii="宋体" w:hAnsi="宋体" w:cs="宋体"/>
                <w:strike w:val="0"/>
                <w:color w:val="auto"/>
                <w:szCs w:val="21"/>
                <w:highlight w:val="none"/>
              </w:rPr>
              <w:t>：</w:t>
            </w:r>
          </w:p>
          <w:p>
            <w:pPr>
              <w:keepNext w:val="0"/>
              <w:keepLines w:val="0"/>
              <w:suppressLineNumbers w:val="0"/>
              <w:shd w:val="clear" w:color="auto" w:fill="FFFFFF"/>
              <w:snapToGrid w:val="0"/>
              <w:spacing w:before="0" w:beforeAutospacing="0" w:after="0" w:afterAutospacing="0"/>
              <w:ind w:left="0" w:right="0"/>
              <w:jc w:val="left"/>
              <w:rPr>
                <w:rFonts w:hint="eastAsia" w:ascii="宋体" w:hAnsi="宋体" w:eastAsia="宋体"/>
                <w:strike w:val="0"/>
                <w:color w:val="auto"/>
                <w:szCs w:val="21"/>
                <w:highlight w:val="none"/>
              </w:rPr>
            </w:pPr>
            <w:r>
              <w:rPr>
                <w:rFonts w:hint="eastAsia" w:ascii="宋体" w:hAnsi="宋体" w:eastAsia="宋体"/>
                <w:strike w:val="0"/>
                <w:color w:val="auto"/>
                <w:szCs w:val="21"/>
                <w:highlight w:val="none"/>
                <w:lang w:eastAsia="zh-CN"/>
              </w:rPr>
              <w:t>自</w:t>
            </w:r>
            <w:r>
              <w:rPr>
                <w:rFonts w:hint="eastAsia" w:ascii="宋体" w:hAnsi="宋体" w:eastAsia="宋体"/>
                <w:strike w:val="0"/>
                <w:color w:val="auto"/>
                <w:szCs w:val="21"/>
                <w:highlight w:val="none"/>
                <w:lang w:val="en-US" w:eastAsia="zh-CN"/>
              </w:rPr>
              <w:t>2020</w:t>
            </w:r>
            <w:r>
              <w:rPr>
                <w:rFonts w:hint="eastAsia" w:ascii="宋体" w:hAnsi="宋体" w:eastAsia="宋体"/>
                <w:strike w:val="0"/>
                <w:color w:val="auto"/>
                <w:szCs w:val="21"/>
                <w:highlight w:val="none"/>
                <w:lang w:eastAsia="zh-CN"/>
              </w:rPr>
              <w:t>年1月1日至今</w:t>
            </w:r>
            <w:r>
              <w:rPr>
                <w:rFonts w:hint="eastAsia" w:ascii="宋体" w:hAnsi="宋体"/>
                <w:color w:val="auto"/>
                <w:szCs w:val="21"/>
                <w:highlight w:val="none"/>
              </w:rPr>
              <w:t>获得过省级或以上人民政府或行政主管部门颁发的科学技术进步奖或科学技术奖或科技进步奖</w:t>
            </w:r>
            <w:r>
              <w:rPr>
                <w:rFonts w:hint="eastAsia" w:ascii="宋体" w:hAnsi="宋体" w:eastAsia="宋体"/>
                <w:strike w:val="0"/>
                <w:color w:val="auto"/>
                <w:szCs w:val="21"/>
                <w:highlight w:val="none"/>
                <w:lang w:eastAsia="zh-CN"/>
              </w:rPr>
              <w:t>，每项得</w:t>
            </w:r>
            <w:r>
              <w:rPr>
                <w:rFonts w:hint="eastAsia" w:ascii="宋体" w:hAnsi="宋体"/>
                <w:strike w:val="0"/>
                <w:color w:val="auto"/>
                <w:szCs w:val="21"/>
                <w:highlight w:val="none"/>
                <w:lang w:val="en-US" w:eastAsia="zh-CN"/>
              </w:rPr>
              <w:t>1</w:t>
            </w:r>
            <w:r>
              <w:rPr>
                <w:rFonts w:hint="eastAsia" w:ascii="宋体" w:hAnsi="宋体" w:eastAsia="宋体"/>
                <w:strike w:val="0"/>
                <w:color w:val="auto"/>
                <w:szCs w:val="21"/>
                <w:highlight w:val="none"/>
                <w:lang w:eastAsia="zh-CN"/>
              </w:rPr>
              <w:t>分，</w:t>
            </w:r>
            <w:r>
              <w:rPr>
                <w:rFonts w:hint="eastAsia" w:ascii="宋体" w:hAnsi="宋体" w:eastAsia="宋体"/>
                <w:strike w:val="0"/>
                <w:color w:val="auto"/>
                <w:szCs w:val="21"/>
                <w:highlight w:val="none"/>
                <w:lang w:val="zh-CN" w:eastAsia="zh-CN"/>
              </w:rPr>
              <w:t>市级人民政府</w:t>
            </w:r>
            <w:r>
              <w:rPr>
                <w:rFonts w:hint="eastAsia" w:ascii="宋体" w:hAnsi="宋体"/>
                <w:color w:val="auto"/>
                <w:szCs w:val="21"/>
                <w:highlight w:val="none"/>
              </w:rPr>
              <w:t>或行政主管部门</w:t>
            </w:r>
            <w:r>
              <w:rPr>
                <w:rFonts w:hint="eastAsia" w:ascii="宋体" w:hAnsi="宋体" w:eastAsia="宋体"/>
                <w:strike w:val="0"/>
                <w:color w:val="auto"/>
                <w:szCs w:val="21"/>
                <w:highlight w:val="none"/>
                <w:lang w:val="zh-CN" w:eastAsia="zh-CN"/>
              </w:rPr>
              <w:t>颁发的</w:t>
            </w:r>
            <w:bookmarkStart w:id="888" w:name="OLE_LINK4"/>
            <w:r>
              <w:rPr>
                <w:rFonts w:hint="eastAsia" w:ascii="宋体" w:hAnsi="宋体" w:eastAsia="宋体"/>
                <w:strike w:val="0"/>
                <w:color w:val="auto"/>
                <w:szCs w:val="21"/>
                <w:highlight w:val="none"/>
                <w:lang w:val="zh-CN" w:eastAsia="zh-CN"/>
              </w:rPr>
              <w:t>科学技术</w:t>
            </w:r>
            <w:r>
              <w:rPr>
                <w:rFonts w:hint="eastAsia" w:ascii="宋体" w:hAnsi="宋体" w:eastAsia="宋体"/>
                <w:strike w:val="0"/>
                <w:color w:val="auto"/>
                <w:szCs w:val="21"/>
                <w:highlight w:val="none"/>
                <w:lang w:val="en-US" w:eastAsia="zh-CN"/>
              </w:rPr>
              <w:t>进步</w:t>
            </w:r>
            <w:r>
              <w:rPr>
                <w:rFonts w:hint="eastAsia" w:ascii="宋体" w:hAnsi="宋体" w:eastAsia="宋体"/>
                <w:strike w:val="0"/>
                <w:color w:val="auto"/>
                <w:szCs w:val="21"/>
                <w:highlight w:val="none"/>
                <w:lang w:val="zh-CN" w:eastAsia="zh-CN"/>
              </w:rPr>
              <w:t>奖</w:t>
            </w:r>
            <w:bookmarkEnd w:id="888"/>
            <w:r>
              <w:rPr>
                <w:rFonts w:hint="eastAsia" w:ascii="宋体" w:hAnsi="宋体" w:eastAsia="宋体"/>
                <w:strike w:val="0"/>
                <w:color w:val="auto"/>
                <w:szCs w:val="21"/>
                <w:highlight w:val="none"/>
                <w:lang w:val="zh-CN" w:eastAsia="zh-CN"/>
              </w:rPr>
              <w:t>或科学技术奖或科技进步奖，每项得</w:t>
            </w:r>
            <w:r>
              <w:rPr>
                <w:rFonts w:hint="eastAsia" w:ascii="宋体" w:hAnsi="宋体"/>
                <w:strike w:val="0"/>
                <w:color w:val="auto"/>
                <w:szCs w:val="21"/>
                <w:highlight w:val="none"/>
                <w:lang w:val="en-US" w:eastAsia="zh-CN"/>
              </w:rPr>
              <w:t>0.5</w:t>
            </w:r>
            <w:r>
              <w:rPr>
                <w:rFonts w:hint="eastAsia" w:ascii="宋体" w:hAnsi="宋体" w:eastAsia="宋体"/>
                <w:strike w:val="0"/>
                <w:color w:val="auto"/>
                <w:szCs w:val="21"/>
                <w:highlight w:val="none"/>
                <w:lang w:val="en-US" w:eastAsia="zh-CN"/>
              </w:rPr>
              <w:t>分</w:t>
            </w:r>
            <w:r>
              <w:rPr>
                <w:rFonts w:hint="eastAsia" w:ascii="宋体" w:hAnsi="宋体" w:eastAsia="宋体"/>
                <w:strike w:val="0"/>
                <w:color w:val="auto"/>
                <w:szCs w:val="21"/>
                <w:highlight w:val="none"/>
              </w:rPr>
              <w:t>；</w:t>
            </w:r>
            <w:r>
              <w:rPr>
                <w:rFonts w:hint="eastAsia" w:ascii="宋体" w:hAnsi="宋体" w:eastAsia="宋体"/>
                <w:strike w:val="0"/>
                <w:color w:val="auto"/>
                <w:szCs w:val="21"/>
                <w:highlight w:val="none"/>
                <w:lang w:eastAsia="zh-CN"/>
              </w:rPr>
              <w:t>没有不得分。</w:t>
            </w:r>
            <w:r>
              <w:rPr>
                <w:rFonts w:hint="eastAsia" w:ascii="宋体" w:hAnsi="宋体" w:eastAsia="宋体"/>
                <w:strike w:val="0"/>
                <w:color w:val="auto"/>
                <w:szCs w:val="21"/>
                <w:highlight w:val="none"/>
              </w:rPr>
              <w:t>最高得</w:t>
            </w:r>
            <w:r>
              <w:rPr>
                <w:rFonts w:hint="eastAsia" w:ascii="宋体" w:hAnsi="宋体"/>
                <w:strike w:val="0"/>
                <w:color w:val="auto"/>
                <w:szCs w:val="21"/>
                <w:highlight w:val="none"/>
                <w:lang w:val="en-US" w:eastAsia="zh-CN"/>
              </w:rPr>
              <w:t>4</w:t>
            </w:r>
            <w:r>
              <w:rPr>
                <w:rFonts w:hint="eastAsia" w:ascii="宋体" w:hAnsi="宋体" w:eastAsia="宋体"/>
                <w:strike w:val="0"/>
                <w:color w:val="auto"/>
                <w:szCs w:val="21"/>
                <w:highlight w:val="none"/>
              </w:rPr>
              <w:t>分。</w:t>
            </w:r>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strike w:val="0"/>
                <w:color w:val="auto"/>
                <w:highlight w:val="none"/>
                <w:lang w:val="zh-CN"/>
              </w:rPr>
            </w:pPr>
            <w:r>
              <w:rPr>
                <w:rFonts w:hint="eastAsia" w:ascii="宋体" w:hAnsi="宋体" w:eastAsia="宋体" w:cs="宋体"/>
                <w:b/>
                <w:bCs/>
                <w:strike w:val="0"/>
                <w:color w:val="auto"/>
                <w:kern w:val="2"/>
                <w:sz w:val="21"/>
                <w:szCs w:val="21"/>
                <w:highlight w:val="none"/>
                <w:lang w:val="en-US" w:eastAsia="zh-CN" w:bidi="ar-SA"/>
              </w:rPr>
              <w:t>注：</w:t>
            </w:r>
            <w:r>
              <w:rPr>
                <w:rFonts w:hint="eastAsia" w:ascii="宋体" w:hAnsi="宋体" w:eastAsia="宋体" w:cs="宋体"/>
                <w:b/>
                <w:bCs/>
                <w:strike w:val="0"/>
                <w:color w:val="auto"/>
                <w:kern w:val="2"/>
                <w:sz w:val="21"/>
                <w:szCs w:val="21"/>
                <w:highlight w:val="none"/>
                <w:lang w:val="zh-CN" w:eastAsia="zh-CN" w:bidi="ar-SA"/>
              </w:rPr>
              <w:t>需提供获奖证书扫描件，获奖时间以获奖证书颁发时间为准，，相同技术或成果获奖按最高级别奖项只计一次得分。发证机构须为政府部门或行政主管部门，须提供网页查询信息页截图及查询路径。本项只计算投标人自身（不计算投标人的分公司、子公司和分支机构），不符合</w:t>
            </w:r>
            <w:r>
              <w:rPr>
                <w:rFonts w:hint="eastAsia" w:ascii="宋体" w:hAnsi="宋体" w:eastAsia="宋体" w:cs="宋体"/>
                <w:b/>
                <w:bCs/>
                <w:strike w:val="0"/>
                <w:color w:val="auto"/>
                <w:kern w:val="2"/>
                <w:sz w:val="21"/>
                <w:szCs w:val="21"/>
                <w:highlight w:val="none"/>
                <w:lang w:val="en-US" w:eastAsia="zh-CN" w:bidi="ar-SA"/>
              </w:rPr>
              <w:t>上述</w:t>
            </w:r>
            <w:r>
              <w:rPr>
                <w:rFonts w:hint="eastAsia" w:ascii="宋体" w:hAnsi="宋体" w:eastAsia="宋体" w:cs="宋体"/>
                <w:b/>
                <w:bCs/>
                <w:strike w:val="0"/>
                <w:color w:val="auto"/>
                <w:kern w:val="2"/>
                <w:sz w:val="21"/>
                <w:szCs w:val="21"/>
                <w:highlight w:val="none"/>
                <w:lang w:val="zh-CN" w:eastAsia="zh-CN" w:bidi="ar-SA"/>
              </w:rPr>
              <w:t>条件或</w:t>
            </w:r>
            <w:r>
              <w:rPr>
                <w:rFonts w:hint="eastAsia" w:ascii="宋体" w:hAnsi="宋体" w:eastAsia="宋体" w:cs="宋体"/>
                <w:b/>
                <w:bCs/>
                <w:strike w:val="0"/>
                <w:color w:val="auto"/>
                <w:kern w:val="2"/>
                <w:sz w:val="21"/>
                <w:szCs w:val="21"/>
                <w:highlight w:val="none"/>
                <w:lang w:val="en-US" w:eastAsia="zh-CN" w:bidi="ar-SA"/>
              </w:rPr>
              <w:t>未</w:t>
            </w:r>
            <w:r>
              <w:rPr>
                <w:rFonts w:hint="eastAsia" w:ascii="宋体" w:hAnsi="宋体" w:eastAsia="宋体" w:cs="宋体"/>
                <w:b/>
                <w:bCs/>
                <w:strike w:val="0"/>
                <w:color w:val="auto"/>
                <w:kern w:val="2"/>
                <w:sz w:val="21"/>
                <w:szCs w:val="21"/>
                <w:highlight w:val="none"/>
                <w:lang w:val="zh-CN" w:eastAsia="zh-CN" w:bidi="ar-SA"/>
              </w:rPr>
              <w:t>提供</w:t>
            </w:r>
            <w:r>
              <w:rPr>
                <w:rFonts w:hint="eastAsia" w:ascii="宋体" w:hAnsi="宋体" w:eastAsia="宋体" w:cs="宋体"/>
                <w:b/>
                <w:bCs/>
                <w:strike w:val="0"/>
                <w:color w:val="auto"/>
                <w:kern w:val="2"/>
                <w:sz w:val="21"/>
                <w:szCs w:val="21"/>
                <w:highlight w:val="none"/>
                <w:lang w:val="en-US" w:eastAsia="zh-CN" w:bidi="ar-SA"/>
              </w:rPr>
              <w:t>上述</w:t>
            </w:r>
            <w:r>
              <w:rPr>
                <w:rFonts w:hint="eastAsia" w:ascii="宋体" w:hAnsi="宋体" w:eastAsia="宋体" w:cs="宋体"/>
                <w:b/>
                <w:bCs/>
                <w:strike w:val="0"/>
                <w:color w:val="auto"/>
                <w:kern w:val="2"/>
                <w:sz w:val="21"/>
                <w:szCs w:val="21"/>
                <w:highlight w:val="none"/>
                <w:lang w:val="zh-CN" w:eastAsia="zh-CN" w:bidi="ar-SA"/>
              </w:rPr>
              <w:t>证明材料不计分。</w:t>
            </w:r>
          </w:p>
        </w:tc>
        <w:tc>
          <w:tcPr>
            <w:tcW w:w="85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693" w:type="dxa"/>
            <w:gridSpan w:val="2"/>
            <w:vMerge w:val="restart"/>
            <w:noWrap w:val="0"/>
            <w:vAlign w:val="center"/>
          </w:tcPr>
          <w:p>
            <w:pPr>
              <w:pStyle w:val="103"/>
              <w:keepNext w:val="0"/>
              <w:keepLines w:val="0"/>
              <w:widowControl/>
              <w:suppressLineNumbers w:val="0"/>
              <w:spacing w:before="0" w:beforeAutospacing="0" w:after="0" w:afterAutospacing="0"/>
              <w:ind w:left="0" w:right="0"/>
              <w:jc w:val="center"/>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项目实施方案</w:t>
            </w:r>
          </w:p>
          <w:p>
            <w:pPr>
              <w:pStyle w:val="103"/>
              <w:keepNext w:val="0"/>
              <w:keepLines w:val="0"/>
              <w:widowControl/>
              <w:suppressLineNumbers w:val="0"/>
              <w:spacing w:before="0" w:beforeAutospacing="0" w:after="0" w:afterAutospacing="0"/>
              <w:ind w:left="0" w:right="0"/>
              <w:jc w:val="center"/>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（64分）</w:t>
            </w:r>
          </w:p>
        </w:tc>
        <w:tc>
          <w:tcPr>
            <w:tcW w:w="980"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103" w:rightChars="-49"/>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zh-CN"/>
              </w:rPr>
              <w:t>设计和施工的融合措施</w:t>
            </w:r>
          </w:p>
        </w:tc>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w:t>
            </w:r>
          </w:p>
        </w:tc>
        <w:tc>
          <w:tcPr>
            <w:tcW w:w="9860" w:type="dxa"/>
            <w:noWrap w:val="0"/>
            <w:vAlign w:val="center"/>
          </w:tcPr>
          <w:p>
            <w:pPr>
              <w:keepNext w:val="0"/>
              <w:keepLines w:val="0"/>
              <w:suppressLineNumbers w:val="0"/>
              <w:snapToGrid w:val="0"/>
              <w:spacing w:before="0" w:beforeAutospacing="0" w:after="0" w:afterAutospacing="0" w:line="288" w:lineRule="auto"/>
              <w:ind w:left="0" w:right="-76" w:rightChars="-36"/>
              <w:jc w:val="left"/>
              <w:rPr>
                <w:rFonts w:hint="default" w:ascii="宋体" w:hAnsi="宋体" w:cs="宋体"/>
                <w:color w:val="auto"/>
                <w:szCs w:val="21"/>
                <w:highlight w:val="none"/>
                <w:lang w:val="zh-CN"/>
              </w:rPr>
            </w:pPr>
            <w:r>
              <w:rPr>
                <w:rFonts w:hint="eastAsia" w:ascii="宋体" w:hAnsi="宋体" w:cs="宋体"/>
                <w:color w:val="auto"/>
                <w:szCs w:val="21"/>
                <w:highlight w:val="none"/>
              </w:rPr>
              <w:t>针对本项目编制了</w:t>
            </w:r>
            <w:r>
              <w:rPr>
                <w:rFonts w:hint="eastAsia" w:ascii="宋体" w:hAnsi="宋体" w:cs="宋体"/>
                <w:color w:val="auto"/>
                <w:szCs w:val="21"/>
                <w:highlight w:val="none"/>
                <w:lang w:val="zh-CN"/>
              </w:rPr>
              <w:t>设计和施工的融合措施，有得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分，无得0分。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cs="宋体"/>
                <w:color w:val="auto"/>
                <w:szCs w:val="21"/>
                <w:highlight w:val="none"/>
                <w:lang w:val="zh-CN"/>
              </w:rPr>
            </w:pPr>
            <w:r>
              <w:rPr>
                <w:rFonts w:hint="eastAsia" w:ascii="宋体" w:hAnsi="宋体" w:eastAsia="宋体" w:cs="宋体"/>
                <w:strike w:val="0"/>
                <w:color w:val="auto"/>
                <w:szCs w:val="21"/>
                <w:highlight w:val="none"/>
                <w:lang w:val="en-US" w:eastAsia="zh-CN"/>
              </w:rPr>
              <w:t>【优】：</w:t>
            </w:r>
            <w:r>
              <w:rPr>
                <w:rFonts w:hint="eastAsia" w:ascii="宋体" w:hAnsi="宋体" w:cs="宋体"/>
                <w:color w:val="auto"/>
                <w:szCs w:val="21"/>
                <w:highlight w:val="none"/>
                <w:lang w:val="zh-CN"/>
              </w:rPr>
              <w:t>针对项目团队的组</w:t>
            </w:r>
            <w:r>
              <w:rPr>
                <w:rFonts w:hint="eastAsia" w:ascii="宋体" w:hAnsi="宋体" w:eastAsia="宋体" w:cs="宋体"/>
                <w:color w:val="auto"/>
                <w:szCs w:val="21"/>
                <w:highlight w:val="none"/>
                <w:lang w:val="zh-CN"/>
              </w:rPr>
              <w:t>建、</w:t>
            </w:r>
            <w:r>
              <w:rPr>
                <w:rFonts w:hint="eastAsia" w:ascii="宋体" w:hAnsi="宋体" w:eastAsia="宋体" w:cs="宋体"/>
                <w:color w:val="auto"/>
                <w:szCs w:val="21"/>
                <w:highlight w:val="none"/>
                <w:lang w:val="en-US" w:eastAsia="zh-CN"/>
              </w:rPr>
              <w:t>设计和施工融合目标、设计和施工融合管理体系、</w:t>
            </w:r>
            <w:r>
              <w:rPr>
                <w:rFonts w:hint="eastAsia" w:ascii="宋体" w:hAnsi="宋体" w:eastAsia="宋体" w:cs="宋体"/>
                <w:color w:val="auto"/>
                <w:szCs w:val="21"/>
                <w:highlight w:val="none"/>
                <w:lang w:val="zh-CN"/>
              </w:rPr>
              <w:t>设计</w:t>
            </w:r>
            <w:r>
              <w:rPr>
                <w:rFonts w:hint="eastAsia" w:ascii="宋体" w:hAnsi="宋体" w:cs="宋体"/>
                <w:color w:val="auto"/>
                <w:szCs w:val="21"/>
                <w:highlight w:val="none"/>
                <w:lang w:val="zh-CN"/>
              </w:rPr>
              <w:t>施工融合措施，措施为优的加</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【良】：</w:t>
            </w:r>
            <w:r>
              <w:rPr>
                <w:rFonts w:hint="eastAsia" w:ascii="宋体" w:hAnsi="宋体" w:cs="宋体"/>
                <w:color w:val="auto"/>
                <w:szCs w:val="21"/>
                <w:highlight w:val="none"/>
                <w:lang w:val="zh-CN"/>
              </w:rPr>
              <w:t>针对项目团队的组</w:t>
            </w:r>
            <w:r>
              <w:rPr>
                <w:rFonts w:hint="eastAsia" w:ascii="宋体" w:hAnsi="宋体" w:eastAsia="宋体" w:cs="宋体"/>
                <w:color w:val="auto"/>
                <w:szCs w:val="21"/>
                <w:highlight w:val="none"/>
                <w:lang w:val="zh-CN"/>
              </w:rPr>
              <w:t>建、</w:t>
            </w:r>
            <w:r>
              <w:rPr>
                <w:rFonts w:hint="eastAsia" w:ascii="宋体" w:hAnsi="宋体" w:eastAsia="宋体" w:cs="宋体"/>
                <w:color w:val="auto"/>
                <w:szCs w:val="21"/>
                <w:highlight w:val="none"/>
                <w:lang w:val="en-US" w:eastAsia="zh-CN"/>
              </w:rPr>
              <w:t>设计和施工融合目标、设计和施工融合管理体系、</w:t>
            </w:r>
            <w:r>
              <w:rPr>
                <w:rFonts w:hint="eastAsia" w:ascii="宋体" w:hAnsi="宋体" w:eastAsia="宋体" w:cs="宋体"/>
                <w:color w:val="auto"/>
                <w:szCs w:val="21"/>
                <w:highlight w:val="none"/>
                <w:lang w:val="zh-CN"/>
              </w:rPr>
              <w:t>设计</w:t>
            </w:r>
            <w:r>
              <w:rPr>
                <w:rFonts w:hint="eastAsia" w:ascii="宋体" w:hAnsi="宋体" w:cs="宋体"/>
                <w:color w:val="auto"/>
                <w:szCs w:val="21"/>
                <w:highlight w:val="none"/>
                <w:lang w:val="zh-CN"/>
              </w:rPr>
              <w:t>施工融合措施，措施为良的</w:t>
            </w:r>
            <w:r>
              <w:rPr>
                <w:rFonts w:hint="eastAsia" w:ascii="宋体" w:hAnsi="宋体" w:cs="宋体"/>
                <w:color w:val="auto"/>
                <w:kern w:val="0"/>
                <w:szCs w:val="21"/>
                <w:highlight w:val="none"/>
                <w:lang w:val="zh-CN"/>
              </w:rPr>
              <w:t>加</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val="zh-CN"/>
              </w:rPr>
              <w:t>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【一般】：</w:t>
            </w:r>
            <w:r>
              <w:rPr>
                <w:rFonts w:hint="eastAsia" w:ascii="宋体" w:hAnsi="宋体" w:cs="宋体"/>
                <w:color w:val="auto"/>
                <w:szCs w:val="21"/>
                <w:highlight w:val="none"/>
                <w:lang w:val="zh-CN"/>
              </w:rPr>
              <w:t>针对项目团队的组</w:t>
            </w:r>
            <w:r>
              <w:rPr>
                <w:rFonts w:hint="eastAsia" w:ascii="宋体" w:hAnsi="宋体" w:eastAsia="宋体" w:cs="宋体"/>
                <w:color w:val="auto"/>
                <w:szCs w:val="21"/>
                <w:highlight w:val="none"/>
                <w:lang w:val="zh-CN"/>
              </w:rPr>
              <w:t>建、</w:t>
            </w:r>
            <w:r>
              <w:rPr>
                <w:rFonts w:hint="eastAsia" w:ascii="宋体" w:hAnsi="宋体" w:eastAsia="宋体" w:cs="宋体"/>
                <w:color w:val="auto"/>
                <w:szCs w:val="21"/>
                <w:highlight w:val="none"/>
                <w:lang w:val="en-US" w:eastAsia="zh-CN"/>
              </w:rPr>
              <w:t>设计和施工融合目标、设计和施工融合管理体系、</w:t>
            </w:r>
            <w:r>
              <w:rPr>
                <w:rFonts w:hint="eastAsia" w:ascii="宋体" w:hAnsi="宋体" w:eastAsia="宋体" w:cs="宋体"/>
                <w:color w:val="auto"/>
                <w:szCs w:val="21"/>
                <w:highlight w:val="none"/>
                <w:lang w:val="zh-CN"/>
              </w:rPr>
              <w:t>设计</w:t>
            </w:r>
            <w:r>
              <w:rPr>
                <w:rFonts w:hint="eastAsia" w:ascii="宋体" w:hAnsi="宋体" w:cs="宋体"/>
                <w:color w:val="auto"/>
                <w:szCs w:val="21"/>
                <w:highlight w:val="none"/>
                <w:lang w:val="zh-CN"/>
              </w:rPr>
              <w:t>施工融合措施，措施一般的</w:t>
            </w:r>
            <w:r>
              <w:rPr>
                <w:rFonts w:hint="eastAsia" w:ascii="宋体" w:hAnsi="宋体" w:cs="宋体"/>
                <w:color w:val="auto"/>
                <w:kern w:val="0"/>
                <w:szCs w:val="21"/>
                <w:highlight w:val="none"/>
                <w:lang w:val="zh-CN"/>
              </w:rPr>
              <w:t>加</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val="zh-CN"/>
              </w:rPr>
              <w:t>分</w:t>
            </w:r>
            <w:r>
              <w:rPr>
                <w:rFonts w:hint="eastAsia" w:ascii="宋体" w:hAnsi="宋体" w:cs="宋体"/>
                <w:color w:val="auto"/>
                <w:szCs w:val="21"/>
                <w:highlight w:val="none"/>
                <w:lang w:val="zh-CN"/>
              </w:rPr>
              <w:t>。</w:t>
            </w:r>
          </w:p>
        </w:tc>
        <w:tc>
          <w:tcPr>
            <w:tcW w:w="851"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3" w:type="dxa"/>
            <w:gridSpan w:val="2"/>
            <w:vMerge w:val="continue"/>
            <w:noWrap w:val="0"/>
            <w:vAlign w:val="center"/>
          </w:tcPr>
          <w:p>
            <w:pPr>
              <w:pStyle w:val="103"/>
              <w:keepNext w:val="0"/>
              <w:keepLines w:val="0"/>
              <w:widowControl/>
              <w:suppressLineNumbers w:val="0"/>
              <w:spacing w:before="0" w:beforeAutospacing="0" w:after="0" w:afterAutospacing="0"/>
              <w:ind w:left="0" w:right="0"/>
              <w:rPr>
                <w:rFonts w:hint="default" w:ascii="宋体" w:hAnsi="宋体" w:cs="宋体"/>
                <w:color w:val="auto"/>
                <w:kern w:val="2"/>
                <w:sz w:val="21"/>
                <w:szCs w:val="21"/>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zh-CN"/>
              </w:rPr>
              <w:t>质量控制措施</w:t>
            </w:r>
          </w:p>
        </w:tc>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9860" w:type="dxa"/>
            <w:noWrap w:val="0"/>
            <w:vAlign w:val="center"/>
          </w:tcPr>
          <w:p>
            <w:pPr>
              <w:keepNext w:val="0"/>
              <w:keepLines w:val="0"/>
              <w:suppressLineNumbers w:val="0"/>
              <w:snapToGrid w:val="0"/>
              <w:spacing w:before="0" w:beforeAutospacing="0" w:after="0" w:afterAutospacing="0" w:line="288" w:lineRule="auto"/>
              <w:ind w:left="0" w:right="-76" w:rightChars="-36"/>
              <w:jc w:val="left"/>
              <w:rPr>
                <w:rFonts w:hint="default" w:ascii="宋体" w:hAnsi="宋体" w:cs="宋体"/>
                <w:color w:val="auto"/>
                <w:kern w:val="0"/>
                <w:szCs w:val="21"/>
                <w:highlight w:val="none"/>
              </w:rPr>
            </w:pPr>
            <w:r>
              <w:rPr>
                <w:rFonts w:hint="eastAsia" w:ascii="宋体" w:hAnsi="宋体" w:cs="宋体"/>
                <w:color w:val="auto"/>
                <w:szCs w:val="21"/>
                <w:highlight w:val="none"/>
              </w:rPr>
              <w:t>针对本项目编制了</w:t>
            </w:r>
            <w:r>
              <w:rPr>
                <w:rFonts w:hint="eastAsia" w:ascii="宋体" w:hAnsi="宋体" w:cs="宋体"/>
                <w:color w:val="auto"/>
                <w:kern w:val="0"/>
                <w:szCs w:val="21"/>
                <w:highlight w:val="none"/>
              </w:rPr>
              <w:t>质量管理水平及保证措施，有得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分，无得0分。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【优】：</w:t>
            </w:r>
            <w:r>
              <w:rPr>
                <w:rFonts w:hint="eastAsia" w:ascii="宋体" w:hAnsi="宋体" w:cs="宋体"/>
                <w:color w:val="auto"/>
                <w:kern w:val="0"/>
                <w:szCs w:val="21"/>
                <w:highlight w:val="none"/>
              </w:rPr>
              <w:t>根据本工程的质量目标，针对项目的特点，从质量保证体系、</w:t>
            </w:r>
            <w:r>
              <w:rPr>
                <w:rFonts w:hint="eastAsia" w:ascii="宋体" w:hAnsi="宋体" w:cs="宋体"/>
                <w:color w:val="auto"/>
                <w:kern w:val="0"/>
                <w:szCs w:val="21"/>
                <w:highlight w:val="none"/>
                <w:lang w:val="en-US" w:eastAsia="zh-CN"/>
              </w:rPr>
              <w:t>管理制度、</w:t>
            </w:r>
            <w:r>
              <w:rPr>
                <w:rFonts w:hint="eastAsia" w:ascii="宋体" w:hAnsi="宋体" w:cs="宋体"/>
                <w:color w:val="auto"/>
                <w:kern w:val="0"/>
                <w:szCs w:val="21"/>
                <w:highlight w:val="none"/>
              </w:rPr>
              <w:t>材料的检测、质量通病的防治</w:t>
            </w:r>
            <w:r>
              <w:rPr>
                <w:rFonts w:hint="eastAsia" w:ascii="宋体" w:hAnsi="宋体" w:cs="宋体"/>
                <w:color w:val="auto"/>
                <w:kern w:val="0"/>
                <w:szCs w:val="21"/>
                <w:highlight w:val="none"/>
                <w:lang w:eastAsia="zh-CN"/>
              </w:rPr>
              <w:t>、主要分部分项工程、</w:t>
            </w:r>
            <w:r>
              <w:rPr>
                <w:rFonts w:hint="eastAsia" w:ascii="宋体" w:hAnsi="宋体" w:cs="宋体"/>
                <w:color w:val="auto"/>
                <w:kern w:val="0"/>
                <w:szCs w:val="21"/>
                <w:highlight w:val="none"/>
                <w:lang w:val="en-US" w:eastAsia="zh-CN"/>
              </w:rPr>
              <w:t>成品保护、创优</w:t>
            </w:r>
            <w:r>
              <w:rPr>
                <w:rFonts w:hint="eastAsia" w:ascii="宋体" w:hAnsi="宋体" w:cs="宋体"/>
                <w:color w:val="auto"/>
                <w:kern w:val="0"/>
                <w:szCs w:val="21"/>
                <w:highlight w:val="none"/>
              </w:rPr>
              <w:t>等方面提出详细的质量保证措施，措施为优的加</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【良】：</w:t>
            </w:r>
            <w:r>
              <w:rPr>
                <w:rFonts w:hint="eastAsia" w:ascii="宋体" w:hAnsi="宋体" w:cs="宋体"/>
                <w:color w:val="auto"/>
                <w:kern w:val="0"/>
                <w:szCs w:val="21"/>
                <w:highlight w:val="none"/>
              </w:rPr>
              <w:t>根据本工程的质量目标，针对项目的特点，从质量保证体系、</w:t>
            </w:r>
            <w:r>
              <w:rPr>
                <w:rFonts w:hint="eastAsia" w:ascii="宋体" w:hAnsi="宋体" w:cs="宋体"/>
                <w:color w:val="auto"/>
                <w:kern w:val="0"/>
                <w:szCs w:val="21"/>
                <w:highlight w:val="none"/>
                <w:lang w:val="en-US" w:eastAsia="zh-CN"/>
              </w:rPr>
              <w:t>管理制度、</w:t>
            </w:r>
            <w:r>
              <w:rPr>
                <w:rFonts w:hint="eastAsia" w:ascii="宋体" w:hAnsi="宋体" w:cs="宋体"/>
                <w:color w:val="auto"/>
                <w:kern w:val="0"/>
                <w:szCs w:val="21"/>
                <w:highlight w:val="none"/>
              </w:rPr>
              <w:t>材料的检测、质量通病的防治</w:t>
            </w:r>
            <w:r>
              <w:rPr>
                <w:rFonts w:hint="eastAsia" w:ascii="宋体" w:hAnsi="宋体" w:cs="宋体"/>
                <w:color w:val="auto"/>
                <w:kern w:val="0"/>
                <w:szCs w:val="21"/>
                <w:highlight w:val="none"/>
                <w:lang w:eastAsia="zh-CN"/>
              </w:rPr>
              <w:t>、主要分部分项工程、</w:t>
            </w:r>
            <w:r>
              <w:rPr>
                <w:rFonts w:hint="eastAsia" w:ascii="宋体" w:hAnsi="宋体" w:cs="宋体"/>
                <w:color w:val="auto"/>
                <w:kern w:val="0"/>
                <w:szCs w:val="21"/>
                <w:highlight w:val="none"/>
                <w:lang w:val="en-US" w:eastAsia="zh-CN"/>
              </w:rPr>
              <w:t>成品保护、创优</w:t>
            </w:r>
            <w:r>
              <w:rPr>
                <w:rFonts w:hint="eastAsia" w:ascii="宋体" w:hAnsi="宋体" w:cs="宋体"/>
                <w:color w:val="auto"/>
                <w:kern w:val="0"/>
                <w:szCs w:val="21"/>
                <w:highlight w:val="none"/>
              </w:rPr>
              <w:t>等方面提出详细的质量保证措施，措施为良的加</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cs="宋体"/>
                <w:color w:val="auto"/>
                <w:kern w:val="0"/>
                <w:szCs w:val="21"/>
                <w:highlight w:val="none"/>
                <w:lang w:val="en-US" w:eastAsia="zh-CN"/>
              </w:rPr>
            </w:pPr>
            <w:r>
              <w:rPr>
                <w:rFonts w:hint="eastAsia" w:ascii="宋体" w:hAnsi="宋体" w:eastAsia="宋体" w:cs="宋体"/>
                <w:strike w:val="0"/>
                <w:color w:val="auto"/>
                <w:szCs w:val="21"/>
                <w:highlight w:val="none"/>
                <w:lang w:val="en-US" w:eastAsia="zh-CN"/>
              </w:rPr>
              <w:t>【一般】：</w:t>
            </w:r>
            <w:r>
              <w:rPr>
                <w:rFonts w:hint="eastAsia" w:ascii="宋体" w:hAnsi="宋体" w:cs="宋体"/>
                <w:color w:val="auto"/>
                <w:kern w:val="0"/>
                <w:szCs w:val="21"/>
                <w:highlight w:val="none"/>
              </w:rPr>
              <w:t>根据本工程的质量目标，针对项目的特点，从质量保证体系、</w:t>
            </w:r>
            <w:r>
              <w:rPr>
                <w:rFonts w:hint="eastAsia" w:ascii="宋体" w:hAnsi="宋体" w:cs="宋体"/>
                <w:color w:val="auto"/>
                <w:kern w:val="0"/>
                <w:szCs w:val="21"/>
                <w:highlight w:val="none"/>
                <w:lang w:val="en-US" w:eastAsia="zh-CN"/>
              </w:rPr>
              <w:t>管理制度、</w:t>
            </w:r>
            <w:r>
              <w:rPr>
                <w:rFonts w:hint="eastAsia" w:ascii="宋体" w:hAnsi="宋体" w:cs="宋体"/>
                <w:color w:val="auto"/>
                <w:kern w:val="0"/>
                <w:szCs w:val="21"/>
                <w:highlight w:val="none"/>
              </w:rPr>
              <w:t>材料的检测、质量通病的防治</w:t>
            </w:r>
            <w:r>
              <w:rPr>
                <w:rFonts w:hint="eastAsia" w:ascii="宋体" w:hAnsi="宋体" w:cs="宋体"/>
                <w:color w:val="auto"/>
                <w:kern w:val="0"/>
                <w:szCs w:val="21"/>
                <w:highlight w:val="none"/>
                <w:lang w:eastAsia="zh-CN"/>
              </w:rPr>
              <w:t>、主要分部分项工程、</w:t>
            </w:r>
            <w:r>
              <w:rPr>
                <w:rFonts w:hint="eastAsia" w:ascii="宋体" w:hAnsi="宋体" w:cs="宋体"/>
                <w:color w:val="auto"/>
                <w:kern w:val="0"/>
                <w:szCs w:val="21"/>
                <w:highlight w:val="none"/>
                <w:lang w:val="en-US" w:eastAsia="zh-CN"/>
              </w:rPr>
              <w:t>成品保护、创优</w:t>
            </w:r>
            <w:r>
              <w:rPr>
                <w:rFonts w:hint="eastAsia" w:ascii="宋体" w:hAnsi="宋体" w:cs="宋体"/>
                <w:color w:val="auto"/>
                <w:kern w:val="0"/>
                <w:szCs w:val="21"/>
                <w:highlight w:val="none"/>
              </w:rPr>
              <w:t>等方面提出详细的质量保证措施，措施一般的加</w:t>
            </w:r>
            <w:r>
              <w:rPr>
                <w:rFonts w:hint="eastAsia" w:ascii="宋体" w:hAnsi="宋体" w:cs="宋体"/>
                <w:color w:val="auto"/>
                <w:szCs w:val="21"/>
                <w:highlight w:val="none"/>
                <w:lang w:val="en-US" w:eastAsia="zh-CN"/>
              </w:rPr>
              <w:t>1</w:t>
            </w:r>
            <w:r>
              <w:rPr>
                <w:rFonts w:hint="eastAsia" w:ascii="宋体" w:hAnsi="宋体" w:cs="宋体"/>
                <w:color w:val="auto"/>
                <w:kern w:val="0"/>
                <w:szCs w:val="21"/>
                <w:highlight w:val="none"/>
              </w:rPr>
              <w:t>分。</w:t>
            </w:r>
          </w:p>
        </w:tc>
        <w:tc>
          <w:tcPr>
            <w:tcW w:w="851"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3" w:type="dxa"/>
            <w:gridSpan w:val="2"/>
            <w:vMerge w:val="continue"/>
            <w:noWrap w:val="0"/>
            <w:vAlign w:val="center"/>
          </w:tcPr>
          <w:p>
            <w:pPr>
              <w:pStyle w:val="103"/>
              <w:keepNext w:val="0"/>
              <w:keepLines w:val="0"/>
              <w:widowControl/>
              <w:suppressLineNumbers w:val="0"/>
              <w:spacing w:before="0" w:beforeAutospacing="0" w:after="0" w:afterAutospacing="0"/>
              <w:ind w:left="0" w:right="0"/>
              <w:rPr>
                <w:rFonts w:hint="default" w:ascii="宋体" w:hAnsi="宋体" w:cs="宋体"/>
                <w:color w:val="auto"/>
                <w:kern w:val="2"/>
                <w:sz w:val="21"/>
                <w:szCs w:val="21"/>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安全控制措施</w:t>
            </w:r>
          </w:p>
        </w:tc>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9860" w:type="dxa"/>
            <w:noWrap w:val="0"/>
            <w:vAlign w:val="center"/>
          </w:tcPr>
          <w:p>
            <w:pPr>
              <w:keepNext w:val="0"/>
              <w:keepLines w:val="0"/>
              <w:suppressLineNumbers w:val="0"/>
              <w:snapToGrid w:val="0"/>
              <w:spacing w:before="0" w:beforeAutospacing="0" w:after="0" w:afterAutospacing="0" w:line="288" w:lineRule="auto"/>
              <w:ind w:left="0" w:right="-76" w:rightChars="-36"/>
              <w:jc w:val="left"/>
              <w:rPr>
                <w:rFonts w:hint="default" w:ascii="宋体" w:hAnsi="宋体" w:cs="宋体"/>
                <w:color w:val="auto"/>
                <w:kern w:val="0"/>
                <w:szCs w:val="21"/>
                <w:highlight w:val="none"/>
              </w:rPr>
            </w:pPr>
            <w:r>
              <w:rPr>
                <w:rFonts w:hint="eastAsia" w:ascii="宋体" w:hAnsi="宋体" w:cs="宋体"/>
                <w:color w:val="auto"/>
                <w:szCs w:val="21"/>
                <w:highlight w:val="none"/>
              </w:rPr>
              <w:t>针对本项目编制了</w:t>
            </w:r>
            <w:r>
              <w:rPr>
                <w:rFonts w:hint="eastAsia" w:ascii="宋体" w:hAnsi="宋体" w:cs="宋体"/>
                <w:color w:val="auto"/>
                <w:kern w:val="0"/>
                <w:szCs w:val="21"/>
                <w:highlight w:val="none"/>
              </w:rPr>
              <w:t>质量管理水平及保证措施，有得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分，无得0分。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【优】：</w:t>
            </w:r>
            <w:r>
              <w:rPr>
                <w:rFonts w:hint="eastAsia" w:ascii="宋体" w:hAnsi="宋体" w:cs="宋体"/>
                <w:color w:val="auto"/>
                <w:kern w:val="0"/>
                <w:szCs w:val="21"/>
                <w:highlight w:val="none"/>
              </w:rPr>
              <w:t>根据本工程的</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目标，针对项目的特点，从</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保证体系、</w:t>
            </w:r>
            <w:r>
              <w:rPr>
                <w:rFonts w:hint="eastAsia" w:ascii="宋体" w:hAnsi="宋体" w:cs="宋体"/>
                <w:color w:val="auto"/>
                <w:kern w:val="0"/>
                <w:szCs w:val="21"/>
                <w:highlight w:val="none"/>
                <w:lang w:val="en-US" w:eastAsia="zh-CN"/>
              </w:rPr>
              <w:t>管理组织机构及责任、管理制度</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安全保证措施、文明施工管理与措施</w:t>
            </w:r>
            <w:r>
              <w:rPr>
                <w:rFonts w:hint="eastAsia" w:ascii="宋体" w:hAnsi="宋体" w:cs="宋体"/>
                <w:color w:val="auto"/>
                <w:kern w:val="0"/>
                <w:szCs w:val="21"/>
                <w:highlight w:val="none"/>
              </w:rPr>
              <w:t>等方面提出详细的</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保证措施，措施为优的加</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【良】：</w:t>
            </w:r>
            <w:r>
              <w:rPr>
                <w:rFonts w:hint="eastAsia" w:ascii="宋体" w:hAnsi="宋体" w:cs="宋体"/>
                <w:color w:val="auto"/>
                <w:kern w:val="0"/>
                <w:szCs w:val="21"/>
                <w:highlight w:val="none"/>
              </w:rPr>
              <w:t>根据本工程的</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目标，针对项目的特点，从</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保证体系、</w:t>
            </w:r>
            <w:r>
              <w:rPr>
                <w:rFonts w:hint="eastAsia" w:ascii="宋体" w:hAnsi="宋体" w:cs="宋体"/>
                <w:color w:val="auto"/>
                <w:kern w:val="0"/>
                <w:szCs w:val="21"/>
                <w:highlight w:val="none"/>
                <w:lang w:val="en-US" w:eastAsia="zh-CN"/>
              </w:rPr>
              <w:t>管理组织机构及责任、管理制度</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安全保证措施、文明施工管理与措施</w:t>
            </w:r>
            <w:r>
              <w:rPr>
                <w:rFonts w:hint="eastAsia" w:ascii="宋体" w:hAnsi="宋体" w:cs="宋体"/>
                <w:color w:val="auto"/>
                <w:kern w:val="0"/>
                <w:szCs w:val="21"/>
                <w:highlight w:val="none"/>
              </w:rPr>
              <w:t>等方面提出详细的</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保证措施，措施为良的加</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cs="宋体"/>
                <w:color w:val="auto"/>
                <w:kern w:val="0"/>
                <w:szCs w:val="21"/>
                <w:highlight w:val="none"/>
                <w:lang w:val="en-US" w:eastAsia="zh-CN"/>
              </w:rPr>
            </w:pPr>
            <w:r>
              <w:rPr>
                <w:rFonts w:hint="eastAsia" w:ascii="宋体" w:hAnsi="宋体" w:eastAsia="宋体" w:cs="宋体"/>
                <w:strike w:val="0"/>
                <w:color w:val="auto"/>
                <w:szCs w:val="21"/>
                <w:highlight w:val="none"/>
                <w:lang w:val="en-US" w:eastAsia="zh-CN"/>
              </w:rPr>
              <w:t>【一般】：</w:t>
            </w:r>
            <w:r>
              <w:rPr>
                <w:rFonts w:hint="eastAsia" w:ascii="宋体" w:hAnsi="宋体" w:cs="宋体"/>
                <w:color w:val="auto"/>
                <w:kern w:val="0"/>
                <w:szCs w:val="21"/>
                <w:highlight w:val="none"/>
              </w:rPr>
              <w:t>根据本工程的</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目标，针对项目的特点，从</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保证体系、</w:t>
            </w:r>
            <w:r>
              <w:rPr>
                <w:rFonts w:hint="eastAsia" w:ascii="宋体" w:hAnsi="宋体" w:cs="宋体"/>
                <w:color w:val="auto"/>
                <w:kern w:val="0"/>
                <w:szCs w:val="21"/>
                <w:highlight w:val="none"/>
                <w:lang w:val="en-US" w:eastAsia="zh-CN"/>
              </w:rPr>
              <w:t>管理组织机构及责任、管理制度</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安全保证措施、文明施工管理与措施</w:t>
            </w:r>
            <w:r>
              <w:rPr>
                <w:rFonts w:hint="eastAsia" w:ascii="宋体" w:hAnsi="宋体" w:cs="宋体"/>
                <w:color w:val="auto"/>
                <w:kern w:val="0"/>
                <w:szCs w:val="21"/>
                <w:highlight w:val="none"/>
              </w:rPr>
              <w:t>等方面提出详细的</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保证措施，措施一般的加</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tc>
        <w:tc>
          <w:tcPr>
            <w:tcW w:w="851"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93" w:type="dxa"/>
            <w:gridSpan w:val="2"/>
            <w:vMerge w:val="continue"/>
            <w:noWrap w:val="0"/>
            <w:vAlign w:val="center"/>
          </w:tcPr>
          <w:p>
            <w:pPr>
              <w:pStyle w:val="103"/>
              <w:keepNext w:val="0"/>
              <w:keepLines w:val="0"/>
              <w:widowControl/>
              <w:suppressLineNumbers w:val="0"/>
              <w:spacing w:before="0" w:beforeAutospacing="0" w:after="0" w:afterAutospacing="0"/>
              <w:ind w:left="0" w:right="0"/>
              <w:rPr>
                <w:rFonts w:hint="default" w:ascii="宋体" w:hAnsi="宋体" w:cs="宋体"/>
                <w:color w:val="auto"/>
                <w:kern w:val="2"/>
                <w:sz w:val="18"/>
                <w:szCs w:val="18"/>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zh-CN"/>
              </w:rPr>
              <w:t>绿色节能控制措施</w:t>
            </w:r>
          </w:p>
        </w:tc>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9860" w:type="dxa"/>
            <w:noWrap w:val="0"/>
            <w:vAlign w:val="center"/>
          </w:tcPr>
          <w:p>
            <w:pPr>
              <w:keepNext w:val="0"/>
              <w:keepLines w:val="0"/>
              <w:suppressLineNumbers w:val="0"/>
              <w:autoSpaceDE w:val="0"/>
              <w:autoSpaceDN w:val="0"/>
              <w:adjustRightInd w:val="0"/>
              <w:spacing w:before="0" w:beforeAutospacing="0" w:after="0" w:afterAutospacing="0" w:line="288" w:lineRule="auto"/>
              <w:ind w:left="0" w:right="0"/>
              <w:rPr>
                <w:rFonts w:hint="default" w:ascii="宋体" w:hAnsi="宋体" w:cs="宋体"/>
                <w:color w:val="auto"/>
                <w:szCs w:val="21"/>
                <w:highlight w:val="none"/>
              </w:rPr>
            </w:pPr>
            <w:r>
              <w:rPr>
                <w:rFonts w:hint="eastAsia" w:ascii="宋体" w:hAnsi="宋体" w:cs="宋体"/>
                <w:color w:val="auto"/>
                <w:szCs w:val="21"/>
                <w:highlight w:val="none"/>
              </w:rPr>
              <w:t>针对本项目建立了完善的绿色施工管理体系，有</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szCs w:val="21"/>
                <w:highlight w:val="none"/>
              </w:rPr>
              <w:t>无得0分。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【优】：</w:t>
            </w:r>
            <w:r>
              <w:rPr>
                <w:rFonts w:hint="eastAsia" w:ascii="宋体" w:hAnsi="宋体" w:cs="宋体"/>
                <w:color w:val="auto"/>
                <w:szCs w:val="21"/>
                <w:highlight w:val="none"/>
              </w:rPr>
              <w:t>目标明确、</w:t>
            </w:r>
            <w:r>
              <w:rPr>
                <w:rFonts w:hint="eastAsia" w:ascii="宋体" w:hAnsi="宋体" w:cs="宋体"/>
                <w:color w:val="auto"/>
                <w:szCs w:val="21"/>
                <w:highlight w:val="none"/>
                <w:lang w:val="en-US" w:eastAsia="zh-CN"/>
              </w:rPr>
              <w:t>管理体系、</w:t>
            </w:r>
            <w:r>
              <w:rPr>
                <w:rFonts w:hint="eastAsia" w:ascii="宋体" w:hAnsi="宋体" w:cs="宋体"/>
                <w:color w:val="auto"/>
                <w:szCs w:val="21"/>
                <w:highlight w:val="none"/>
              </w:rPr>
              <w:t>制度健全，环境保护措施、节材措施、节水措施、节能措施、节地与施工用地保护措施等绿色节能施工措施明确、具体、可行、针对性强，措施为优的</w:t>
            </w:r>
            <w:r>
              <w:rPr>
                <w:rFonts w:hint="eastAsia" w:ascii="宋体" w:hAnsi="宋体" w:cs="宋体"/>
                <w:color w:val="auto"/>
                <w:kern w:val="0"/>
                <w:szCs w:val="21"/>
                <w:highlight w:val="none"/>
              </w:rPr>
              <w:t>加</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【良】：</w:t>
            </w:r>
            <w:r>
              <w:rPr>
                <w:rFonts w:hint="eastAsia" w:ascii="宋体" w:hAnsi="宋体" w:cs="宋体"/>
                <w:color w:val="auto"/>
                <w:szCs w:val="21"/>
                <w:highlight w:val="none"/>
              </w:rPr>
              <w:t>目标明确、</w:t>
            </w:r>
            <w:r>
              <w:rPr>
                <w:rFonts w:hint="eastAsia" w:ascii="宋体" w:hAnsi="宋体" w:cs="宋体"/>
                <w:color w:val="auto"/>
                <w:szCs w:val="21"/>
                <w:highlight w:val="none"/>
                <w:lang w:val="en-US" w:eastAsia="zh-CN"/>
              </w:rPr>
              <w:t>管理体系、</w:t>
            </w:r>
            <w:r>
              <w:rPr>
                <w:rFonts w:hint="eastAsia" w:ascii="宋体" w:hAnsi="宋体" w:cs="宋体"/>
                <w:color w:val="auto"/>
                <w:szCs w:val="21"/>
                <w:highlight w:val="none"/>
              </w:rPr>
              <w:t>制度健全，环境保护措施、节材措施、节水措施、节能措施、节地与施工用地保护措施等绿色节能施工措施明确、具体、可行、针对性强，措施为良的</w:t>
            </w:r>
            <w:r>
              <w:rPr>
                <w:rFonts w:hint="eastAsia" w:ascii="宋体" w:hAnsi="宋体" w:cs="宋体"/>
                <w:color w:val="auto"/>
                <w:kern w:val="0"/>
                <w:szCs w:val="21"/>
                <w:highlight w:val="none"/>
              </w:rPr>
              <w:t>加</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p>
            <w:pPr>
              <w:keepNext w:val="0"/>
              <w:keepLines w:val="0"/>
              <w:suppressLineNumbers w:val="0"/>
              <w:autoSpaceDE w:val="0"/>
              <w:autoSpaceDN w:val="0"/>
              <w:adjustRightInd w:val="0"/>
              <w:spacing w:before="0" w:beforeAutospacing="0" w:after="0" w:afterAutospacing="0" w:line="288" w:lineRule="auto"/>
              <w:ind w:left="0" w:right="0"/>
              <w:rPr>
                <w:rFonts w:hint="eastAsia" w:ascii="宋体" w:hAnsi="宋体" w:cs="宋体"/>
                <w:color w:val="auto"/>
                <w:szCs w:val="21"/>
                <w:highlight w:val="none"/>
                <w:lang w:val="en-US" w:eastAsia="zh-CN"/>
              </w:rPr>
            </w:pPr>
            <w:r>
              <w:rPr>
                <w:rFonts w:hint="eastAsia" w:ascii="宋体" w:hAnsi="宋体" w:eastAsia="宋体" w:cs="宋体"/>
                <w:strike w:val="0"/>
                <w:color w:val="auto"/>
                <w:szCs w:val="21"/>
                <w:highlight w:val="none"/>
                <w:lang w:val="en-US" w:eastAsia="zh-CN"/>
              </w:rPr>
              <w:t>【一般】：</w:t>
            </w:r>
            <w:r>
              <w:rPr>
                <w:rFonts w:hint="eastAsia" w:ascii="宋体" w:hAnsi="宋体" w:cs="宋体"/>
                <w:color w:val="auto"/>
                <w:szCs w:val="21"/>
                <w:highlight w:val="none"/>
              </w:rPr>
              <w:t>目标明确、</w:t>
            </w:r>
            <w:r>
              <w:rPr>
                <w:rFonts w:hint="eastAsia" w:ascii="宋体" w:hAnsi="宋体" w:cs="宋体"/>
                <w:color w:val="auto"/>
                <w:szCs w:val="21"/>
                <w:highlight w:val="none"/>
                <w:lang w:val="en-US" w:eastAsia="zh-CN"/>
              </w:rPr>
              <w:t>管理体系、</w:t>
            </w:r>
            <w:r>
              <w:rPr>
                <w:rFonts w:hint="eastAsia" w:ascii="宋体" w:hAnsi="宋体" w:cs="宋体"/>
                <w:color w:val="auto"/>
                <w:szCs w:val="21"/>
                <w:highlight w:val="none"/>
              </w:rPr>
              <w:t>制度健全，环境保护措施、节材措施、节水措施、节能措施、节地与施工用地保护措施等绿色节能施工措施明确、具体、可行、针对性强，措施一般的</w:t>
            </w:r>
            <w:r>
              <w:rPr>
                <w:rFonts w:hint="eastAsia" w:ascii="宋体" w:hAnsi="宋体" w:cs="宋体"/>
                <w:color w:val="auto"/>
                <w:kern w:val="0"/>
                <w:szCs w:val="21"/>
                <w:highlight w:val="none"/>
              </w:rPr>
              <w:t>加</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tc>
        <w:tc>
          <w:tcPr>
            <w:tcW w:w="851"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3" w:type="dxa"/>
            <w:gridSpan w:val="2"/>
            <w:vMerge w:val="continue"/>
            <w:noWrap w:val="0"/>
            <w:vAlign w:val="center"/>
          </w:tcPr>
          <w:p>
            <w:pPr>
              <w:pStyle w:val="103"/>
              <w:keepNext w:val="0"/>
              <w:keepLines w:val="0"/>
              <w:widowControl/>
              <w:suppressLineNumbers w:val="0"/>
              <w:spacing w:before="0" w:beforeAutospacing="0" w:after="0" w:afterAutospacing="0"/>
              <w:ind w:left="0" w:right="0"/>
              <w:rPr>
                <w:rFonts w:hint="default" w:ascii="宋体" w:hAnsi="宋体" w:cs="宋体"/>
                <w:color w:val="auto"/>
                <w:kern w:val="2"/>
                <w:sz w:val="18"/>
                <w:szCs w:val="18"/>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zh-CN"/>
              </w:rPr>
              <w:t>进度控制措施</w:t>
            </w:r>
          </w:p>
        </w:tc>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Cs w:val="21"/>
                <w:highlight w:val="none"/>
                <w:lang w:val="en-US" w:eastAsia="zh-CN"/>
              </w:rPr>
              <w:t>6</w:t>
            </w:r>
          </w:p>
        </w:tc>
        <w:tc>
          <w:tcPr>
            <w:tcW w:w="9860" w:type="dxa"/>
            <w:noWrap w:val="0"/>
            <w:vAlign w:val="center"/>
          </w:tcPr>
          <w:p>
            <w:pPr>
              <w:keepNext w:val="0"/>
              <w:keepLines w:val="0"/>
              <w:suppressLineNumbers w:val="0"/>
              <w:spacing w:before="0" w:beforeAutospacing="0" w:after="0" w:afterAutospacing="0" w:line="288" w:lineRule="auto"/>
              <w:ind w:left="0" w:right="0"/>
              <w:rPr>
                <w:rFonts w:hint="default" w:ascii="宋体" w:hAnsi="宋体" w:cs="宋体"/>
                <w:color w:val="auto"/>
                <w:szCs w:val="21"/>
                <w:highlight w:val="none"/>
              </w:rPr>
            </w:pPr>
            <w:r>
              <w:rPr>
                <w:rFonts w:hint="eastAsia" w:ascii="宋体" w:hAnsi="宋体" w:cs="宋体"/>
                <w:color w:val="auto"/>
                <w:szCs w:val="21"/>
                <w:highlight w:val="none"/>
              </w:rPr>
              <w:t>针对本项目编制了施工总进度计划及工期保证措施，有</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szCs w:val="21"/>
                <w:highlight w:val="none"/>
              </w:rPr>
              <w:t>，无得0分。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【优】：</w:t>
            </w:r>
            <w:r>
              <w:rPr>
                <w:rFonts w:hint="eastAsia" w:ascii="宋体" w:hAnsi="宋体" w:cs="宋体"/>
                <w:color w:val="auto"/>
                <w:szCs w:val="21"/>
                <w:highlight w:val="none"/>
              </w:rPr>
              <w:t>针对项目特点编制施工</w:t>
            </w:r>
            <w:r>
              <w:rPr>
                <w:rFonts w:hint="eastAsia" w:ascii="宋体" w:hAnsi="宋体" w:cs="宋体"/>
                <w:color w:val="auto"/>
                <w:szCs w:val="21"/>
                <w:highlight w:val="none"/>
                <w:lang w:val="en-US" w:eastAsia="zh-CN"/>
              </w:rPr>
              <w:t>工期目标及</w:t>
            </w:r>
            <w:r>
              <w:rPr>
                <w:rFonts w:hint="eastAsia" w:ascii="宋体" w:hAnsi="宋体" w:cs="宋体"/>
                <w:color w:val="auto"/>
                <w:szCs w:val="21"/>
                <w:highlight w:val="none"/>
              </w:rPr>
              <w:t>总进度计划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保证体系、进度的控制方法、</w:t>
            </w:r>
            <w:r>
              <w:rPr>
                <w:rFonts w:hint="eastAsia" w:ascii="宋体" w:hAnsi="宋体" w:cs="宋体"/>
                <w:color w:val="auto"/>
                <w:szCs w:val="21"/>
                <w:highlight w:val="none"/>
              </w:rPr>
              <w:t>工期保证措施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支付保障措施及特殊季节施工保证措施</w:t>
            </w:r>
            <w:r>
              <w:rPr>
                <w:rFonts w:hint="eastAsia" w:ascii="宋体" w:hAnsi="宋体" w:cs="宋体"/>
                <w:color w:val="auto"/>
                <w:szCs w:val="21"/>
                <w:highlight w:val="none"/>
              </w:rPr>
              <w:t>，确保实现工程进度目标，措施为优</w:t>
            </w:r>
            <w:r>
              <w:rPr>
                <w:rFonts w:hint="eastAsia" w:ascii="宋体" w:hAnsi="宋体" w:cs="宋体"/>
                <w:color w:val="auto"/>
                <w:kern w:val="0"/>
                <w:szCs w:val="21"/>
                <w:highlight w:val="none"/>
              </w:rPr>
              <w:t>的加</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【良】：</w:t>
            </w:r>
            <w:r>
              <w:rPr>
                <w:rFonts w:hint="eastAsia" w:ascii="宋体" w:hAnsi="宋体" w:cs="宋体"/>
                <w:color w:val="auto"/>
                <w:szCs w:val="21"/>
                <w:highlight w:val="none"/>
              </w:rPr>
              <w:t>针对项目特点编制施工</w:t>
            </w:r>
            <w:r>
              <w:rPr>
                <w:rFonts w:hint="eastAsia" w:ascii="宋体" w:hAnsi="宋体" w:cs="宋体"/>
                <w:color w:val="auto"/>
                <w:szCs w:val="21"/>
                <w:highlight w:val="none"/>
                <w:lang w:val="en-US" w:eastAsia="zh-CN"/>
              </w:rPr>
              <w:t>工期目标及</w:t>
            </w:r>
            <w:r>
              <w:rPr>
                <w:rFonts w:hint="eastAsia" w:ascii="宋体" w:hAnsi="宋体" w:cs="宋体"/>
                <w:color w:val="auto"/>
                <w:szCs w:val="21"/>
                <w:highlight w:val="none"/>
              </w:rPr>
              <w:t>总进度计划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保证体系、进度的控制方法、</w:t>
            </w:r>
            <w:r>
              <w:rPr>
                <w:rFonts w:hint="eastAsia" w:ascii="宋体" w:hAnsi="宋体" w:cs="宋体"/>
                <w:color w:val="auto"/>
                <w:szCs w:val="21"/>
                <w:highlight w:val="none"/>
              </w:rPr>
              <w:t>工期保证措施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支付保障措施及特殊季节施工保证措施</w:t>
            </w:r>
            <w:r>
              <w:rPr>
                <w:rFonts w:hint="eastAsia" w:ascii="宋体" w:hAnsi="宋体" w:cs="宋体"/>
                <w:color w:val="auto"/>
                <w:szCs w:val="21"/>
                <w:highlight w:val="none"/>
              </w:rPr>
              <w:t>，确保实现工程进度目标，措施为良的</w:t>
            </w:r>
            <w:r>
              <w:rPr>
                <w:rFonts w:hint="eastAsia" w:ascii="宋体" w:hAnsi="宋体" w:cs="宋体"/>
                <w:color w:val="auto"/>
                <w:kern w:val="0"/>
                <w:szCs w:val="21"/>
                <w:highlight w:val="none"/>
              </w:rPr>
              <w:t>加</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p>
            <w:pPr>
              <w:keepNext w:val="0"/>
              <w:keepLines w:val="0"/>
              <w:suppressLineNumbers w:val="0"/>
              <w:spacing w:before="0" w:beforeAutospacing="0" w:after="0" w:afterAutospacing="0" w:line="288" w:lineRule="auto"/>
              <w:ind w:left="0" w:right="0"/>
              <w:rPr>
                <w:rFonts w:hint="eastAsia" w:ascii="宋体" w:hAnsi="宋体" w:cs="宋体"/>
                <w:color w:val="auto"/>
                <w:szCs w:val="21"/>
                <w:highlight w:val="none"/>
                <w:lang w:val="en-US" w:eastAsia="zh-CN"/>
              </w:rPr>
            </w:pPr>
            <w:r>
              <w:rPr>
                <w:rFonts w:hint="eastAsia" w:ascii="宋体" w:hAnsi="宋体" w:eastAsia="宋体" w:cs="宋体"/>
                <w:strike w:val="0"/>
                <w:color w:val="auto"/>
                <w:szCs w:val="21"/>
                <w:highlight w:val="none"/>
                <w:lang w:val="en-US" w:eastAsia="zh-CN"/>
              </w:rPr>
              <w:t>【一般】：</w:t>
            </w:r>
            <w:r>
              <w:rPr>
                <w:rFonts w:hint="eastAsia" w:ascii="宋体" w:hAnsi="宋体" w:cs="宋体"/>
                <w:color w:val="auto"/>
                <w:szCs w:val="21"/>
                <w:highlight w:val="none"/>
              </w:rPr>
              <w:t>针对项目特点编制施工</w:t>
            </w:r>
            <w:r>
              <w:rPr>
                <w:rFonts w:hint="eastAsia" w:ascii="宋体" w:hAnsi="宋体" w:cs="宋体"/>
                <w:color w:val="auto"/>
                <w:szCs w:val="21"/>
                <w:highlight w:val="none"/>
                <w:lang w:val="en-US" w:eastAsia="zh-CN"/>
              </w:rPr>
              <w:t>工期目标及</w:t>
            </w:r>
            <w:r>
              <w:rPr>
                <w:rFonts w:hint="eastAsia" w:ascii="宋体" w:hAnsi="宋体" w:cs="宋体"/>
                <w:color w:val="auto"/>
                <w:szCs w:val="21"/>
                <w:highlight w:val="none"/>
              </w:rPr>
              <w:t>总进度计划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保证体系、进度的控制方法、</w:t>
            </w:r>
            <w:r>
              <w:rPr>
                <w:rFonts w:hint="eastAsia" w:ascii="宋体" w:hAnsi="宋体" w:cs="宋体"/>
                <w:color w:val="auto"/>
                <w:szCs w:val="21"/>
                <w:highlight w:val="none"/>
              </w:rPr>
              <w:t>工期保证措施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支付保障措施及特殊季节施工保证措施</w:t>
            </w:r>
            <w:r>
              <w:rPr>
                <w:rFonts w:hint="eastAsia" w:ascii="宋体" w:hAnsi="宋体" w:cs="宋体"/>
                <w:color w:val="auto"/>
                <w:szCs w:val="21"/>
                <w:highlight w:val="none"/>
              </w:rPr>
              <w:t>，确保实现工程进度目标，措施一般的</w:t>
            </w:r>
            <w:r>
              <w:rPr>
                <w:rFonts w:hint="eastAsia" w:ascii="宋体" w:hAnsi="宋体" w:cs="宋体"/>
                <w:color w:val="auto"/>
                <w:kern w:val="0"/>
                <w:szCs w:val="21"/>
                <w:highlight w:val="none"/>
              </w:rPr>
              <w:t>加</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tc>
        <w:tc>
          <w:tcPr>
            <w:tcW w:w="851"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3" w:type="dxa"/>
            <w:gridSpan w:val="2"/>
            <w:vMerge w:val="continue"/>
            <w:noWrap w:val="0"/>
            <w:vAlign w:val="center"/>
          </w:tcPr>
          <w:p>
            <w:pPr>
              <w:pStyle w:val="103"/>
              <w:keepNext w:val="0"/>
              <w:keepLines w:val="0"/>
              <w:widowControl/>
              <w:suppressLineNumbers w:val="0"/>
              <w:spacing w:before="0" w:beforeAutospacing="0" w:after="0" w:afterAutospacing="0"/>
              <w:ind w:left="0" w:right="0"/>
              <w:rPr>
                <w:rFonts w:hint="default" w:ascii="宋体" w:hAnsi="宋体" w:cs="宋体"/>
                <w:color w:val="auto"/>
                <w:kern w:val="2"/>
                <w:sz w:val="18"/>
                <w:szCs w:val="18"/>
                <w:highlight w:val="none"/>
              </w:rPr>
            </w:pPr>
          </w:p>
        </w:tc>
        <w:tc>
          <w:tcPr>
            <w:tcW w:w="980"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zh-CN"/>
              </w:rPr>
              <w:t>施工组织方案</w:t>
            </w:r>
          </w:p>
        </w:tc>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Cs w:val="21"/>
                <w:highlight w:val="none"/>
                <w:lang w:val="en-US" w:eastAsia="zh-CN"/>
              </w:rPr>
              <w:t>6</w:t>
            </w:r>
          </w:p>
        </w:tc>
        <w:tc>
          <w:tcPr>
            <w:tcW w:w="9860" w:type="dxa"/>
            <w:noWrap w:val="0"/>
            <w:vAlign w:val="center"/>
          </w:tcPr>
          <w:p>
            <w:pPr>
              <w:keepNext w:val="0"/>
              <w:keepLines w:val="0"/>
              <w:suppressLineNumbers w:val="0"/>
              <w:snapToGrid w:val="0"/>
              <w:spacing w:before="0" w:beforeAutospacing="0" w:after="0" w:afterAutospacing="0" w:line="288" w:lineRule="auto"/>
              <w:ind w:left="0" w:right="0"/>
              <w:rPr>
                <w:rFonts w:hint="default" w:ascii="宋体" w:hAnsi="宋体" w:cs="宋体"/>
                <w:color w:val="auto"/>
                <w:szCs w:val="21"/>
                <w:highlight w:val="none"/>
              </w:rPr>
            </w:pPr>
            <w:r>
              <w:rPr>
                <w:rFonts w:hint="eastAsia" w:ascii="宋体" w:hAnsi="宋体" w:cs="宋体"/>
                <w:color w:val="auto"/>
                <w:szCs w:val="21"/>
                <w:highlight w:val="none"/>
              </w:rPr>
              <w:t>针对本项目编制了施工组织方案，有</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szCs w:val="21"/>
                <w:highlight w:val="none"/>
              </w:rPr>
              <w:t>，无得0分。</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【优】：</w:t>
            </w:r>
            <w:r>
              <w:rPr>
                <w:rFonts w:hint="eastAsia" w:ascii="宋体" w:hAnsi="宋体" w:cs="宋体"/>
                <w:color w:val="auto"/>
                <w:szCs w:val="21"/>
                <w:highlight w:val="none"/>
              </w:rPr>
              <w:t>施工组织方案及施工方法先进，工程重点难点、施工关键技术工艺把握及应用准确，技术措施可以充分保障工程质量、工期和施工安全生产，施工组织方案为优的</w:t>
            </w:r>
            <w:r>
              <w:rPr>
                <w:rFonts w:hint="eastAsia" w:ascii="宋体" w:hAnsi="宋体" w:cs="宋体"/>
                <w:color w:val="auto"/>
                <w:kern w:val="0"/>
                <w:szCs w:val="21"/>
                <w:highlight w:val="none"/>
              </w:rPr>
              <w:t>加</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p>
            <w:pPr>
              <w:keepNext w:val="0"/>
              <w:keepLines w:val="0"/>
              <w:suppressLineNumbers w:val="0"/>
              <w:snapToGrid w:val="0"/>
              <w:spacing w:before="0" w:beforeAutospacing="0" w:after="0" w:afterAutospacing="0" w:line="288" w:lineRule="auto"/>
              <w:ind w:left="0" w:right="-76" w:rightChars="-36"/>
              <w:jc w:val="left"/>
              <w:rPr>
                <w:rFonts w:hint="eastAsia"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【良】：</w:t>
            </w:r>
            <w:r>
              <w:rPr>
                <w:rFonts w:hint="eastAsia" w:ascii="宋体" w:hAnsi="宋体" w:cs="宋体"/>
                <w:color w:val="auto"/>
                <w:szCs w:val="21"/>
                <w:highlight w:val="none"/>
              </w:rPr>
              <w:t>施工组织方案及施工方法先进，工程重点难点、施工关键技术工艺把握及应用准确，技术措施可以充分保障工程质量、工期和施工安全生产，施工组织方案为良</w:t>
            </w:r>
            <w:r>
              <w:rPr>
                <w:rFonts w:hint="eastAsia" w:ascii="宋体" w:hAnsi="宋体" w:cs="宋体"/>
                <w:color w:val="auto"/>
                <w:kern w:val="0"/>
                <w:szCs w:val="21"/>
                <w:highlight w:val="none"/>
              </w:rPr>
              <w:t>的加</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p>
            <w:pPr>
              <w:keepNext w:val="0"/>
              <w:keepLines w:val="0"/>
              <w:suppressLineNumbers w:val="0"/>
              <w:snapToGrid w:val="0"/>
              <w:spacing w:before="0" w:beforeAutospacing="0" w:after="0" w:afterAutospacing="0" w:line="288" w:lineRule="auto"/>
              <w:ind w:left="0" w:right="0"/>
              <w:rPr>
                <w:rFonts w:hint="eastAsia" w:ascii="宋体" w:hAnsi="宋体" w:cs="宋体"/>
                <w:color w:val="auto"/>
                <w:szCs w:val="21"/>
                <w:highlight w:val="none"/>
                <w:lang w:val="en-US" w:eastAsia="zh-CN"/>
              </w:rPr>
            </w:pPr>
            <w:r>
              <w:rPr>
                <w:rFonts w:hint="eastAsia" w:ascii="宋体" w:hAnsi="宋体" w:eastAsia="宋体" w:cs="宋体"/>
                <w:strike w:val="0"/>
                <w:color w:val="auto"/>
                <w:szCs w:val="21"/>
                <w:highlight w:val="none"/>
                <w:lang w:val="en-US" w:eastAsia="zh-CN"/>
              </w:rPr>
              <w:t>【一般】：</w:t>
            </w:r>
            <w:r>
              <w:rPr>
                <w:rFonts w:hint="eastAsia" w:ascii="宋体" w:hAnsi="宋体" w:cs="宋体"/>
                <w:color w:val="auto"/>
                <w:szCs w:val="21"/>
                <w:highlight w:val="none"/>
              </w:rPr>
              <w:t>施工组织方案及施工方法先进，工程重点难点、施工关键技术工艺把握及应用准确，技术措施可以充分保障工程质量、工期和施工安全生产，施工组织方案一般</w:t>
            </w:r>
            <w:r>
              <w:rPr>
                <w:rFonts w:hint="eastAsia" w:ascii="宋体" w:hAnsi="宋体" w:cs="宋体"/>
                <w:color w:val="auto"/>
                <w:kern w:val="0"/>
                <w:szCs w:val="21"/>
                <w:highlight w:val="none"/>
              </w:rPr>
              <w:t>的加</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szCs w:val="21"/>
                <w:highlight w:val="none"/>
              </w:rPr>
              <w:t>。</w:t>
            </w:r>
          </w:p>
        </w:tc>
        <w:tc>
          <w:tcPr>
            <w:tcW w:w="851"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93" w:type="dxa"/>
            <w:gridSpan w:val="2"/>
            <w:vMerge w:val="continue"/>
            <w:noWrap w:val="0"/>
            <w:vAlign w:val="center"/>
          </w:tcPr>
          <w:p>
            <w:pPr>
              <w:pStyle w:val="103"/>
              <w:keepNext w:val="0"/>
              <w:keepLines w:val="0"/>
              <w:widowControl/>
              <w:suppressLineNumbers w:val="0"/>
              <w:spacing w:before="0" w:beforeAutospacing="0" w:after="0" w:afterAutospacing="0"/>
              <w:ind w:left="0" w:right="0"/>
              <w:rPr>
                <w:rFonts w:hint="default" w:ascii="宋体" w:hAnsi="宋体" w:cs="宋体"/>
                <w:color w:val="auto"/>
                <w:kern w:val="2"/>
                <w:sz w:val="18"/>
                <w:szCs w:val="18"/>
                <w:highlight w:val="none"/>
              </w:rPr>
            </w:pPr>
            <w:bookmarkStart w:id="889" w:name="OLE_LINK3" w:colFirst="3" w:colLast="3"/>
          </w:p>
        </w:tc>
        <w:tc>
          <w:tcPr>
            <w:tcW w:w="980"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项目团队核心人员答辩</w:t>
            </w:r>
          </w:p>
        </w:tc>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9860"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default" w:ascii="Calibri" w:hAnsi="Calibri" w:eastAsia="宋体" w:cs="Calibri"/>
                <w:b w:val="0"/>
                <w:bCs w:val="0"/>
                <w:color w:val="auto"/>
                <w:kern w:val="2"/>
                <w:sz w:val="21"/>
                <w:szCs w:val="21"/>
                <w:highlight w:val="none"/>
                <w:lang w:val="en-US" w:eastAsia="zh-CN" w:bidi="ar"/>
              </w:rPr>
              <w:t>1</w:t>
            </w:r>
            <w:r>
              <w:rPr>
                <w:rFonts w:hint="eastAsia" w:ascii="宋体" w:hAnsi="宋体" w:eastAsia="宋体" w:cs="宋体"/>
                <w:b w:val="0"/>
                <w:bCs w:val="0"/>
                <w:color w:val="auto"/>
                <w:kern w:val="2"/>
                <w:sz w:val="21"/>
                <w:szCs w:val="21"/>
                <w:highlight w:val="none"/>
                <w:lang w:val="en-US" w:eastAsia="zh-CN" w:bidi="ar"/>
              </w:rPr>
              <w:t>、项目团队核心人员陈述（时间为10分钟），包括但不限于以下：</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w:t>
            </w:r>
            <w:r>
              <w:rPr>
                <w:rFonts w:hint="default" w:ascii="Calibri" w:hAnsi="Calibri" w:eastAsia="宋体" w:cs="Calibri"/>
                <w:b w:val="0"/>
                <w:bCs w:val="0"/>
                <w:color w:val="auto"/>
                <w:kern w:val="2"/>
                <w:sz w:val="21"/>
                <w:szCs w:val="21"/>
                <w:highlight w:val="none"/>
                <w:lang w:val="en-US" w:eastAsia="zh-CN" w:bidi="ar"/>
              </w:rPr>
              <w:t>1</w:t>
            </w:r>
            <w:r>
              <w:rPr>
                <w:rFonts w:hint="eastAsia" w:ascii="宋体" w:hAnsi="宋体" w:eastAsia="宋体" w:cs="宋体"/>
                <w:b w:val="0"/>
                <w:bCs w:val="0"/>
                <w:color w:val="auto"/>
                <w:kern w:val="2"/>
                <w:sz w:val="21"/>
                <w:szCs w:val="21"/>
                <w:highlight w:val="none"/>
                <w:lang w:val="en-US" w:eastAsia="zh-CN" w:bidi="ar"/>
              </w:rPr>
              <w:t>）介绍参加答辩的项目管理班子情况。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w:t>
            </w:r>
            <w:r>
              <w:rPr>
                <w:rFonts w:hint="default" w:ascii="Calibri" w:hAnsi="Calibri" w:eastAsia="宋体" w:cs="Calibri"/>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）介绍对参与投标项目的了解情况。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w:t>
            </w:r>
            <w:r>
              <w:rPr>
                <w:rFonts w:hint="default" w:ascii="Calibri" w:hAnsi="Calibri" w:eastAsia="宋体" w:cs="Calibri"/>
                <w:b w:val="0"/>
                <w:bCs w:val="0"/>
                <w:color w:val="auto"/>
                <w:kern w:val="2"/>
                <w:sz w:val="21"/>
                <w:szCs w:val="21"/>
                <w:highlight w:val="none"/>
                <w:lang w:val="en-US" w:eastAsia="zh-CN" w:bidi="ar"/>
              </w:rPr>
              <w:t>3</w:t>
            </w:r>
            <w:r>
              <w:rPr>
                <w:rFonts w:hint="eastAsia" w:ascii="宋体" w:hAnsi="宋体" w:eastAsia="宋体" w:cs="宋体"/>
                <w:b w:val="0"/>
                <w:bCs w:val="0"/>
                <w:color w:val="auto"/>
                <w:kern w:val="2"/>
                <w:sz w:val="21"/>
                <w:szCs w:val="21"/>
                <w:highlight w:val="none"/>
                <w:lang w:val="en-US" w:eastAsia="zh-CN" w:bidi="ar"/>
              </w:rPr>
              <w:t>）设计、施工组织方案要点；</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w:t>
            </w:r>
            <w:r>
              <w:rPr>
                <w:rFonts w:hint="default" w:ascii="Calibri" w:hAnsi="Calibri" w:eastAsia="宋体" w:cs="Calibri"/>
                <w:b w:val="0"/>
                <w:bCs w:val="0"/>
                <w:color w:val="auto"/>
                <w:kern w:val="2"/>
                <w:sz w:val="21"/>
                <w:szCs w:val="21"/>
                <w:highlight w:val="none"/>
                <w:lang w:val="en-US" w:eastAsia="zh-CN" w:bidi="ar"/>
              </w:rPr>
              <w:t>4</w:t>
            </w:r>
            <w:r>
              <w:rPr>
                <w:rFonts w:hint="eastAsia" w:ascii="宋体" w:hAnsi="宋体" w:eastAsia="宋体" w:cs="宋体"/>
                <w:b w:val="0"/>
                <w:bCs w:val="0"/>
                <w:color w:val="auto"/>
                <w:kern w:val="2"/>
                <w:sz w:val="21"/>
                <w:szCs w:val="21"/>
                <w:highlight w:val="none"/>
                <w:lang w:val="en-US" w:eastAsia="zh-CN" w:bidi="ar"/>
              </w:rPr>
              <w:t>）项目施工组织的重点、难点分析及应对措施；</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w:t>
            </w:r>
            <w:r>
              <w:rPr>
                <w:rFonts w:hint="default" w:ascii="Calibri" w:hAnsi="Calibri" w:eastAsia="宋体" w:cs="Calibri"/>
                <w:b w:val="0"/>
                <w:bCs w:val="0"/>
                <w:color w:val="auto"/>
                <w:kern w:val="2"/>
                <w:sz w:val="21"/>
                <w:szCs w:val="21"/>
                <w:highlight w:val="none"/>
                <w:lang w:val="en-US" w:eastAsia="zh-CN" w:bidi="ar"/>
              </w:rPr>
              <w:t>5</w:t>
            </w:r>
            <w:r>
              <w:rPr>
                <w:rFonts w:hint="eastAsia" w:ascii="宋体" w:hAnsi="宋体" w:eastAsia="宋体" w:cs="宋体"/>
                <w:b w:val="0"/>
                <w:bCs w:val="0"/>
                <w:color w:val="auto"/>
                <w:kern w:val="2"/>
                <w:sz w:val="21"/>
                <w:szCs w:val="21"/>
                <w:highlight w:val="none"/>
                <w:lang w:val="en-US" w:eastAsia="zh-CN" w:bidi="ar"/>
              </w:rPr>
              <w:t>）人员、设备投入计划</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default" w:ascii="Calibri" w:hAnsi="Calibri" w:eastAsia="宋体" w:cs="Calibri"/>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、评委针对其陈述内容及方案所提的相关问题（时间为5分钟）</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优（16，25]：项目管理班子掌握项目情况，对施工组织方案认识清晰，对设计和施工的重点、难点认识深刻，应对措施合理可行，人员、设备投入计划对工程进度有保障，设计和施工的融合措施合理可行，对设计和施工质量、工期的保证合理可行；回答评委提问思路清晰、内容准确。</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良（8，16]：项目管理班子了解项目情况，对施工组织方案认识较清晰，对设计和施工的重点、难点认识到位，应对措施基本合理，人员、设备投入计划对工程进度基本有保障，设计和施工的融合措施基本可行，对设计和施工质量、工期的保证基本合理可行；回答评委提问思路比较清晰、内容基本准确。</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中（0，8]：项目管理班子不了解项目情况；或对施工组织方案认识一般；或未能把握设计和施工的重点、难点；或人员、设备投入计划对工程进度保障差；设计和施工的融合措施可行性较差，对设计和施工的质量、工期的保证可行性较差；或回答评委提问思路不清晰、答非所问。</w:t>
            </w:r>
          </w:p>
          <w:p>
            <w:pPr>
              <w:keepNext w:val="0"/>
              <w:keepLines w:val="0"/>
              <w:widowControl w:val="0"/>
              <w:suppressLineNumbers w:val="0"/>
              <w:spacing w:before="0" w:beforeAutospacing="0" w:after="0" w:afterAutospacing="0"/>
              <w:ind w:left="0" w:right="0"/>
              <w:jc w:val="both"/>
              <w:rPr>
                <w:rFonts w:hint="default"/>
                <w:color w:val="auto"/>
                <w:highlight w:val="none"/>
              </w:rPr>
            </w:pPr>
            <w:r>
              <w:rPr>
                <w:rFonts w:hint="eastAsia" w:ascii="宋体" w:hAnsi="宋体" w:eastAsia="宋体" w:cs="宋体"/>
                <w:b w:val="0"/>
                <w:bCs w:val="0"/>
                <w:color w:val="auto"/>
                <w:kern w:val="2"/>
                <w:sz w:val="21"/>
                <w:szCs w:val="21"/>
                <w:highlight w:val="none"/>
                <w:lang w:val="en-US" w:eastAsia="zh-CN" w:bidi="ar"/>
              </w:rPr>
              <w:t>差[ 0 ]：项目负责人、设计负责人未参加答辩。</w:t>
            </w:r>
          </w:p>
          <w:p>
            <w:pPr>
              <w:keepNext w:val="0"/>
              <w:keepLines w:val="0"/>
              <w:suppressLineNumbers w:val="0"/>
              <w:snapToGrid/>
              <w:spacing w:before="0" w:beforeAutospacing="0" w:after="0" w:afterAutospacing="0" w:line="24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pPr>
              <w:keepNext w:val="0"/>
              <w:keepLines w:val="0"/>
              <w:suppressLineNumbers w:val="0"/>
              <w:snapToGrid/>
              <w:spacing w:before="0" w:beforeAutospacing="0" w:after="0" w:afterAutospacing="0" w:line="24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（1）参加现场答辩的人员：设计负责人、项目负责人。</w:t>
            </w:r>
          </w:p>
          <w:p>
            <w:pPr>
              <w:keepNext w:val="0"/>
              <w:keepLines w:val="0"/>
              <w:suppressLineNumbers w:val="0"/>
              <w:snapToGrid/>
              <w:spacing w:before="0" w:beforeAutospacing="0" w:after="0" w:afterAutospacing="0" w:line="24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（2）答辩顺序的确定：在开标时，根据本项目广州交易集团有限公司（广州公共资源交易中心）</w:t>
            </w:r>
            <w:r>
              <w:rPr>
                <w:rFonts w:hint="eastAsia" w:ascii="宋体" w:hAnsi="宋体" w:cs="宋体"/>
                <w:b/>
                <w:bCs/>
                <w:color w:val="auto"/>
                <w:szCs w:val="21"/>
                <w:highlight w:val="none"/>
                <w:lang w:val="en-US" w:eastAsia="zh-CN"/>
              </w:rPr>
              <w:t>导出的</w:t>
            </w:r>
            <w:r>
              <w:rPr>
                <w:rFonts w:hint="eastAsia" w:ascii="宋体" w:hAnsi="宋体" w:eastAsia="宋体" w:cs="宋体"/>
                <w:b/>
                <w:bCs/>
                <w:color w:val="auto"/>
                <w:szCs w:val="21"/>
                <w:highlight w:val="none"/>
                <w:lang w:val="en-US" w:eastAsia="zh-CN"/>
              </w:rPr>
              <w:t>《开标记录表》中显示的先后顺序代表相应投标人的现场答辩的顺序号。</w:t>
            </w:r>
          </w:p>
          <w:p>
            <w:pPr>
              <w:keepNext w:val="0"/>
              <w:keepLines w:val="0"/>
              <w:suppressLineNumbers w:val="0"/>
              <w:snapToGrid/>
              <w:spacing w:before="0" w:beforeAutospacing="0" w:after="0" w:afterAutospacing="0" w:line="24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（3）答辩人员的到场要求：根据答辩开始前确定的答辩顺序。投标人在参加答辩时，应向招标人（</w:t>
            </w:r>
            <w:r>
              <w:rPr>
                <w:rFonts w:hint="eastAsia" w:ascii="宋体" w:hAnsi="宋体" w:cs="宋体"/>
                <w:b/>
                <w:bCs/>
                <w:color w:val="auto"/>
                <w:szCs w:val="21"/>
                <w:highlight w:val="none"/>
                <w:lang w:val="en-US" w:eastAsia="zh-CN"/>
              </w:rPr>
              <w:t>或</w:t>
            </w:r>
            <w:r>
              <w:rPr>
                <w:rFonts w:hint="eastAsia" w:ascii="宋体" w:hAnsi="宋体" w:eastAsia="宋体" w:cs="宋体"/>
                <w:b/>
                <w:bCs/>
                <w:color w:val="auto"/>
                <w:szCs w:val="21"/>
                <w:highlight w:val="none"/>
                <w:lang w:val="en-US" w:eastAsia="zh-CN"/>
              </w:rPr>
              <w:t>招标代理</w:t>
            </w:r>
            <w:r>
              <w:rPr>
                <w:rFonts w:hint="eastAsia" w:ascii="宋体" w:hAnsi="宋体" w:cs="宋体"/>
                <w:b/>
                <w:bCs/>
                <w:color w:val="auto"/>
                <w:szCs w:val="21"/>
                <w:highlight w:val="none"/>
                <w:lang w:val="en-US" w:eastAsia="zh-CN"/>
              </w:rPr>
              <w:t>机构</w:t>
            </w:r>
            <w:r>
              <w:rPr>
                <w:rFonts w:hint="eastAsia" w:ascii="宋体" w:hAnsi="宋体" w:eastAsia="宋体" w:cs="宋体"/>
                <w:b/>
                <w:bCs/>
                <w:color w:val="auto"/>
                <w:szCs w:val="21"/>
                <w:highlight w:val="none"/>
                <w:lang w:val="en-US" w:eastAsia="zh-CN"/>
              </w:rPr>
              <w:t>）出示一份加盖</w:t>
            </w:r>
            <w:r>
              <w:rPr>
                <w:rFonts w:hint="eastAsia" w:ascii="宋体" w:hAnsi="宋体" w:cs="宋体"/>
                <w:b/>
                <w:bCs/>
                <w:color w:val="auto"/>
                <w:szCs w:val="21"/>
                <w:highlight w:val="none"/>
                <w:lang w:val="en-US" w:eastAsia="zh-CN"/>
              </w:rPr>
              <w:t>单位</w:t>
            </w:r>
            <w:r>
              <w:rPr>
                <w:rFonts w:hint="eastAsia" w:ascii="宋体" w:hAnsi="宋体" w:eastAsia="宋体" w:cs="宋体"/>
                <w:b/>
                <w:bCs/>
                <w:color w:val="auto"/>
                <w:szCs w:val="21"/>
                <w:highlight w:val="none"/>
                <w:lang w:val="en-US" w:eastAsia="zh-CN"/>
              </w:rPr>
              <w:t>公章的法定代表人证明书及授权委托书，授权书应列明所有参加答辩人员的信息（包括姓名、身份证、拟任本项目的职务）。由参与答辩的人员出示本人身份证明，核对确认身份后签到。未能提供法定代表人证明书及授权委托书的单位不予参加答辩环节。</w:t>
            </w:r>
          </w:p>
          <w:p>
            <w:pPr>
              <w:keepNext w:val="0"/>
              <w:keepLines w:val="0"/>
              <w:suppressLineNumbers w:val="0"/>
              <w:snapToGrid/>
              <w:spacing w:before="0" w:beforeAutospacing="0" w:after="0" w:afterAutospacing="0" w:line="24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（4）答辩开始时间及通知答辩的方式：招标人或招标代理</w:t>
            </w:r>
            <w:r>
              <w:rPr>
                <w:rFonts w:hint="eastAsia" w:ascii="宋体" w:hAnsi="宋体" w:cs="宋体"/>
                <w:b/>
                <w:bCs/>
                <w:color w:val="auto"/>
                <w:szCs w:val="21"/>
                <w:highlight w:val="none"/>
                <w:lang w:val="en-US" w:eastAsia="zh-CN"/>
              </w:rPr>
              <w:t>机构</w:t>
            </w:r>
            <w:r>
              <w:rPr>
                <w:rFonts w:hint="eastAsia" w:ascii="宋体" w:hAnsi="宋体" w:eastAsia="宋体" w:cs="宋体"/>
                <w:b/>
                <w:bCs/>
                <w:color w:val="auto"/>
                <w:szCs w:val="21"/>
                <w:highlight w:val="none"/>
                <w:lang w:val="en-US" w:eastAsia="zh-CN"/>
              </w:rPr>
              <w:t>根据投标单位投标登记时提供的姓名、联系电话，采用电话形式通知投标人计划答辩开始时间</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val="en-US" w:eastAsia="zh-CN"/>
              </w:rPr>
              <w:t>答辩集合地点，投标人应预留出足够的时间，并保持通讯畅通，所有投标人的答辩人员均需到达广州公共资源交易中心（广州市天河区天润路333号）指定区域。如因投标人原因造成逾期到达广州公共资源交易中心指定区域的，视为自动放弃答辩资格，则答辩顺序由后面的序号依次替补而顺延。未通过资格审查及工程总承包实施方案投标文件有效性审查的投标单位无需再参与答辩。</w:t>
            </w:r>
          </w:p>
          <w:p>
            <w:pPr>
              <w:keepNext w:val="0"/>
              <w:keepLines w:val="0"/>
              <w:suppressLineNumbers w:val="0"/>
              <w:snapToGrid/>
              <w:spacing w:before="0" w:beforeAutospacing="0" w:after="0" w:afterAutospacing="0" w:line="240"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5）答辩形式与要求：答辩人员按要求进入答辩区域，答辩顺序排号第一的单位按照设计负责人、项目负责人的顺序依次进行答辩，第一家单位答辩完成后，答辩顺序排号第二的单位按照设计负责人、项目负责人的顺序依次进行答辩，依此类推。</w:t>
            </w:r>
          </w:p>
          <w:p>
            <w:pPr>
              <w:keepNext w:val="0"/>
              <w:keepLines w:val="0"/>
              <w:suppressLineNumbers w:val="0"/>
              <w:snapToGrid w:val="0"/>
              <w:spacing w:before="0" w:beforeAutospacing="0" w:after="0" w:afterAutospacing="0" w:line="288"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（6）答辩时长控制：答辩每家单位总时间控制在</w:t>
            </w:r>
            <w:r>
              <w:rPr>
                <w:rFonts w:hint="eastAsia" w:ascii="宋体" w:hAnsi="宋体" w:cs="宋体"/>
                <w:b/>
                <w:bCs/>
                <w:color w:val="auto"/>
                <w:szCs w:val="21"/>
                <w:highlight w:val="none"/>
                <w:lang w:val="en-US" w:eastAsia="zh-CN"/>
              </w:rPr>
              <w:t>15</w:t>
            </w:r>
            <w:r>
              <w:rPr>
                <w:rFonts w:hint="eastAsia" w:ascii="宋体" w:hAnsi="宋体" w:eastAsia="宋体" w:cs="宋体"/>
                <w:b/>
                <w:bCs/>
                <w:color w:val="auto"/>
                <w:szCs w:val="21"/>
                <w:highlight w:val="none"/>
                <w:lang w:val="en-US" w:eastAsia="zh-CN"/>
              </w:rPr>
              <w:t>分钟内</w:t>
            </w:r>
            <w:r>
              <w:rPr>
                <w:rFonts w:hint="eastAsia" w:ascii="宋体" w:hAnsi="宋体" w:cs="宋体"/>
                <w:b/>
                <w:bCs/>
                <w:color w:val="auto"/>
                <w:szCs w:val="21"/>
                <w:highlight w:val="none"/>
                <w:lang w:val="en-US" w:eastAsia="zh-CN"/>
              </w:rPr>
              <w:t>（其中，每家单位陈述时间为10分钟，评委提问及单位回答问题时间为5分钟）</w:t>
            </w:r>
            <w:r>
              <w:rPr>
                <w:rFonts w:hint="eastAsia" w:ascii="宋体" w:hAnsi="宋体" w:eastAsia="宋体" w:cs="宋体"/>
                <w:b/>
                <w:bCs/>
                <w:color w:val="auto"/>
                <w:szCs w:val="21"/>
                <w:highlight w:val="none"/>
                <w:lang w:val="en-US" w:eastAsia="zh-CN"/>
              </w:rPr>
              <w:t>。</w:t>
            </w:r>
          </w:p>
          <w:p>
            <w:pPr>
              <w:keepNext w:val="0"/>
              <w:keepLines w:val="0"/>
              <w:suppressLineNumbers w:val="0"/>
              <w:snapToGrid w:val="0"/>
              <w:spacing w:before="0" w:beforeAutospacing="0" w:after="0" w:afterAutospacing="0" w:line="288" w:lineRule="auto"/>
              <w:ind w:left="0" w:right="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（7）因答辩环节属于</w:t>
            </w:r>
            <w:r>
              <w:rPr>
                <w:rFonts w:hint="eastAsia" w:ascii="宋体" w:hAnsi="宋体" w:cs="宋体"/>
                <w:b/>
                <w:bCs/>
                <w:color w:val="auto"/>
                <w:szCs w:val="21"/>
                <w:highlight w:val="none"/>
              </w:rPr>
              <w:t>工程总承包实施方案详细审查评</w:t>
            </w:r>
            <w:r>
              <w:rPr>
                <w:rFonts w:hint="eastAsia" w:ascii="宋体" w:hAnsi="宋体" w:cs="宋体"/>
                <w:b/>
                <w:bCs/>
                <w:color w:val="auto"/>
                <w:szCs w:val="21"/>
                <w:highlight w:val="none"/>
                <w:lang w:val="en-US" w:eastAsia="zh-CN"/>
              </w:rPr>
              <w:t>审内容，现场实际答辩开始及结束时间根据评标委员会的评审进度安排，所以等候时间、答辩开始时间最终以现场工作人员安排为准，请投标人自行安排好自己的时间，在现场耐心等候，感谢理解！</w:t>
            </w:r>
          </w:p>
        </w:tc>
        <w:tc>
          <w:tcPr>
            <w:tcW w:w="851" w:type="dxa"/>
            <w:noWrap w:val="0"/>
            <w:vAlign w:val="center"/>
          </w:tcPr>
          <w:p>
            <w:pPr>
              <w:keepNext w:val="0"/>
              <w:keepLines w:val="0"/>
              <w:suppressLineNumbers w:val="0"/>
              <w:spacing w:before="0" w:beforeAutospacing="0" w:after="0" w:afterAutospacing="0"/>
              <w:ind w:left="0" w:right="0"/>
              <w:rPr>
                <w:rFonts w:hint="default" w:ascii="宋体" w:hAnsi="宋体" w:cs="宋体"/>
                <w:color w:val="auto"/>
                <w:sz w:val="18"/>
                <w:szCs w:val="18"/>
                <w:highlight w:val="none"/>
              </w:rPr>
            </w:pPr>
          </w:p>
        </w:tc>
      </w:tr>
      <w:bookmarkEnd w:id="889"/>
    </w:tbl>
    <w:p>
      <w:pPr>
        <w:rPr>
          <w:rFonts w:hint="eastAsia" w:ascii="宋体" w:hAnsi="宋体" w:eastAsia="宋体" w:cs="宋体"/>
          <w:b/>
          <w:bCs/>
          <w:color w:val="auto"/>
          <w:sz w:val="18"/>
          <w:szCs w:val="18"/>
          <w:highlight w:val="none"/>
        </w:rPr>
      </w:pP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注：1、投标人提供的扫描件或网页信息打印页等相关证明文件内容必须清晰可辨，并加盖公章，如因扫描件或网页信息打印页内容模糊导致评标时无法判断的，后果由投标人自负。上述证明资料不提供或提供不完整或提供不符合要求的不得分。</w:t>
      </w: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rPr>
        <w:t>本表按百分制评分，所有评委每个分项的分数汇总后的算术平均值作为投标人的总承包实施方案得分。分数出现小数点，保留小数点后二位小数。投标人满足多个档次的，按最高档得分。</w:t>
      </w:r>
    </w:p>
    <w:p>
      <w:pPr>
        <w:pStyle w:val="71"/>
        <w:ind w:firstLine="0" w:firstLineChars="0"/>
        <w:rPr>
          <w:rFonts w:hint="eastAsia" w:ascii="宋体" w:hAnsi="宋体" w:eastAsia="宋体" w:cs="宋体"/>
          <w:color w:val="auto"/>
          <w:sz w:val="21"/>
          <w:szCs w:val="21"/>
          <w:highlight w:val="none"/>
        </w:rPr>
      </w:pPr>
    </w:p>
    <w:p>
      <w:pPr>
        <w:pStyle w:val="71"/>
        <w:ind w:firstLine="0" w:firstLineChars="0"/>
        <w:rPr>
          <w:rFonts w:hint="eastAsia" w:ascii="宋体" w:hAnsi="宋体" w:eastAsia="宋体" w:cs="宋体"/>
          <w:color w:val="auto"/>
          <w:kern w:val="1"/>
          <w:szCs w:val="21"/>
          <w:highlight w:val="none"/>
        </w:rPr>
      </w:pPr>
      <w:r>
        <w:rPr>
          <w:rFonts w:hint="eastAsia" w:ascii="宋体" w:hAnsi="宋体" w:eastAsia="宋体" w:cs="宋体"/>
          <w:color w:val="auto"/>
          <w:sz w:val="21"/>
          <w:szCs w:val="21"/>
          <w:highlight w:val="none"/>
        </w:rPr>
        <w:t>评委签名：                                                                                                  日期：</w:t>
      </w:r>
      <w:bookmarkEnd w:id="883"/>
      <w:bookmarkEnd w:id="884"/>
    </w:p>
    <w:p>
      <w:pPr>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附表</w:t>
      </w:r>
      <w:r>
        <w:rPr>
          <w:rFonts w:hint="eastAsia" w:ascii="宋体" w:hAnsi="宋体" w:eastAsia="宋体" w:cs="宋体"/>
          <w:b/>
          <w:color w:val="auto"/>
          <w:sz w:val="24"/>
          <w:highlight w:val="none"/>
          <w:lang w:val="en-US" w:eastAsia="zh-CN"/>
        </w:rPr>
        <w:t>4</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经济标投标文件有效性审查表</w:t>
      </w:r>
    </w:p>
    <w:p>
      <w:pPr>
        <w:rPr>
          <w:rFonts w:hint="eastAsia" w:ascii="宋体" w:hAnsi="宋体" w:eastAsia="宋体" w:cs="宋体"/>
          <w:color w:val="auto"/>
          <w:highlight w:val="none"/>
        </w:rPr>
      </w:pPr>
      <w:r>
        <w:rPr>
          <w:rFonts w:hint="eastAsia" w:ascii="宋体" w:hAnsi="宋体" w:eastAsia="宋体" w:cs="宋体"/>
          <w:color w:val="auto"/>
          <w:highlight w:val="none"/>
        </w:rPr>
        <w:t>工程名称：</w:t>
      </w: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789"/>
        <w:gridCol w:w="838"/>
        <w:gridCol w:w="776"/>
        <w:gridCol w:w="776"/>
        <w:gridCol w:w="774"/>
        <w:gridCol w:w="774"/>
        <w:gridCol w:w="7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tabs>
                <w:tab w:val="left" w:pos="0"/>
              </w:tabs>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78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suppressLineNumbers w:val="0"/>
              <w:tabs>
                <w:tab w:val="left" w:pos="0"/>
              </w:tabs>
              <w:wordWrap w:val="0"/>
              <w:snapToGrid w:val="0"/>
              <w:spacing w:before="0" w:beforeAutospacing="0" w:after="0" w:afterAutospacing="0"/>
              <w:ind w:left="3702" w:leftChars="228" w:right="0" w:hanging="3223" w:hangingChars="153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投标单位  </w:t>
            </w:r>
          </w:p>
          <w:p>
            <w:pPr>
              <w:keepNext w:val="0"/>
              <w:keepLines w:val="0"/>
              <w:suppressLineNumbers w:val="0"/>
              <w:tabs>
                <w:tab w:val="left" w:pos="0"/>
              </w:tabs>
              <w:snapToGrid w:val="0"/>
              <w:spacing w:before="0" w:beforeAutospacing="0" w:after="0" w:afterAutospacing="0"/>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838" w:type="dxa"/>
            <w:tcBorders>
              <w:top w:val="single" w:color="auto" w:sz="4" w:space="0"/>
              <w:left w:val="single" w:color="auto" w:sz="4"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4"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360" w:lineRule="auto"/>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lang w:val="en-US" w:eastAsia="zh-CN"/>
              </w:rPr>
            </w:pPr>
          </w:p>
        </w:tc>
        <w:tc>
          <w:tcPr>
            <w:tcW w:w="878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投标文件的封面有加盖投标单位的法定印章的；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按招标文件的规定进行报价或对同一招标项目出现两个或以上的投标报价，且有申明哪个有效；</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
                <w:color w:val="auto"/>
                <w:sz w:val="32"/>
                <w:highlight w:val="none"/>
                <w:lang w:eastAsia="zh-CN"/>
              </w:rPr>
            </w:pPr>
            <w:r>
              <w:rPr>
                <w:rFonts w:hint="eastAsia" w:ascii="宋体" w:hAnsi="宋体" w:eastAsia="宋体" w:cs="宋体"/>
                <w:color w:val="auto"/>
                <w:szCs w:val="21"/>
                <w:highlight w:val="none"/>
              </w:rPr>
              <w:t>投标总报价不高于最高投标限价的，或设计费报价不高于设计费最高投标限价的，或建安工程费报价不高于建安工程费最高投标限价的；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投标报价不低于企业成本的（投标人的报价明显低于其他投标报价，使得其投标报价可能低于其个别成本，能合理说明或者能提供相关证明材料，评标委员会不认定该投标人低于成本报价的）；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投标文件按规定的格式填写，主要内容全，关键字迹清晰、能辨认的；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numPr>
                <w:ilvl w:val="0"/>
                <w:numId w:val="2"/>
              </w:numPr>
              <w:suppressLineNumbers w:val="0"/>
              <w:tabs>
                <w:tab w:val="left" w:pos="0"/>
              </w:tabs>
              <w:spacing w:before="0" w:beforeAutospacing="0" w:after="0" w:afterAutospacing="0" w:line="240" w:lineRule="atLeast"/>
              <w:ind w:left="425" w:leftChars="0" w:right="0" w:hanging="425" w:firstLineChars="0"/>
              <w:jc w:val="center"/>
              <w:rPr>
                <w:rFonts w:hint="eastAsia" w:ascii="宋体" w:hAnsi="宋体" w:eastAsia="宋体" w:cs="宋体"/>
                <w:color w:val="auto"/>
                <w:szCs w:val="21"/>
                <w:highlight w:val="none"/>
              </w:rPr>
            </w:pPr>
          </w:p>
        </w:tc>
        <w:tc>
          <w:tcPr>
            <w:tcW w:w="878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zh-CN"/>
              </w:rPr>
              <w:t>参与编制经济标投标文件人员名单</w:t>
            </w:r>
            <w:r>
              <w:rPr>
                <w:rFonts w:hint="eastAsia" w:ascii="宋体" w:hAnsi="宋体" w:eastAsia="宋体" w:cs="宋体"/>
                <w:color w:val="auto"/>
                <w:szCs w:val="21"/>
                <w:highlight w:val="none"/>
              </w:rPr>
              <w:t>》的。</w:t>
            </w:r>
          </w:p>
        </w:tc>
        <w:tc>
          <w:tcPr>
            <w:tcW w:w="8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8789"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tabs>
                <w:tab w:val="left" w:pos="0"/>
              </w:tabs>
              <w:spacing w:before="0" w:beforeAutospacing="0" w:after="0" w:afterAutospacing="0" w:line="240" w:lineRule="atLeas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是否通过并进入下一阶段（通过/不通过）</w:t>
            </w:r>
          </w:p>
        </w:tc>
        <w:tc>
          <w:tcPr>
            <w:tcW w:w="838"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c>
          <w:tcPr>
            <w:tcW w:w="772" w:type="dxa"/>
            <w:tcBorders>
              <w:top w:val="single" w:color="auto" w:sz="6" w:space="0"/>
              <w:left w:val="single" w:color="auto" w:sz="6" w:space="0"/>
              <w:bottom w:val="single" w:color="auto" w:sz="4" w:space="0"/>
              <w:right w:val="single" w:color="auto" w:sz="4" w:space="0"/>
            </w:tcBorders>
            <w:noWrap w:val="0"/>
            <w:vAlign w:val="top"/>
          </w:tcPr>
          <w:p>
            <w:pPr>
              <w:keepNext w:val="0"/>
              <w:keepLines w:val="0"/>
              <w:suppressLineNumbers w:val="0"/>
              <w:tabs>
                <w:tab w:val="left" w:pos="0"/>
              </w:tabs>
              <w:spacing w:before="0" w:beforeAutospacing="0" w:after="0" w:afterAutospacing="0" w:line="240" w:lineRule="atLeast"/>
              <w:ind w:left="552" w:leftChars="228" w:right="0" w:hanging="73" w:hangingChars="35"/>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备注：1.每一项目符合的记“○”，不符合的记“×”，全部审查项目均为符合的，结论为“通过”，否则为“不通过”。</w:t>
      </w:r>
    </w:p>
    <w:p>
      <w:pPr>
        <w:spacing w:line="360" w:lineRule="auto"/>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2.投标人的评审结论为“不通过”的，即该投标人不进入下一阶段评审；投标人的评审结论为“通过”的，即该投标人进入下一阶段评审。</w:t>
      </w:r>
    </w:p>
    <w:p>
      <w:pPr>
        <w:ind w:firstLine="540" w:firstLineChars="300"/>
        <w:rPr>
          <w:rFonts w:hint="eastAsia" w:ascii="宋体" w:hAnsi="宋体" w:eastAsia="宋体" w:cs="宋体"/>
          <w:color w:val="auto"/>
          <w:szCs w:val="21"/>
          <w:highlight w:val="none"/>
        </w:rPr>
      </w:pPr>
      <w:r>
        <w:rPr>
          <w:rFonts w:hint="eastAsia" w:ascii="宋体" w:hAnsi="宋体" w:eastAsia="宋体" w:cs="宋体"/>
          <w:color w:val="auto"/>
          <w:sz w:val="18"/>
          <w:szCs w:val="18"/>
          <w:highlight w:val="none"/>
        </w:rPr>
        <w:t>3.如对本表中某种情形的评审意见不一致时，以评标委员会过半数成员的意见作为评标委员会对该情形的认定结论。</w:t>
      </w:r>
    </w:p>
    <w:p>
      <w:pPr>
        <w:rPr>
          <w:rFonts w:hint="eastAsia" w:ascii="宋体" w:hAnsi="宋体" w:eastAsia="宋体" w:cs="宋体"/>
          <w:color w:val="auto"/>
          <w:szCs w:val="21"/>
          <w:highlight w:val="none"/>
        </w:rPr>
      </w:pPr>
    </w:p>
    <w:p>
      <w:pPr>
        <w:rPr>
          <w:rFonts w:hint="eastAsia" w:ascii="宋体" w:hAnsi="宋体" w:eastAsia="宋体" w:cs="宋体"/>
          <w:b/>
          <w:color w:val="auto"/>
          <w:sz w:val="28"/>
          <w:szCs w:val="28"/>
          <w:highlight w:val="none"/>
        </w:rPr>
        <w:sectPr>
          <w:pgSz w:w="16840" w:h="11907" w:orient="landscape"/>
          <w:pgMar w:top="935" w:right="1134" w:bottom="779" w:left="1361" w:header="851" w:footer="992" w:gutter="0"/>
          <w:cols w:space="720" w:num="1"/>
          <w:docGrid w:linePitch="312" w:charSpace="0"/>
        </w:sectPr>
      </w:pPr>
      <w:r>
        <w:rPr>
          <w:rFonts w:hint="eastAsia" w:ascii="宋体" w:hAnsi="宋体" w:eastAsia="宋体" w:cs="宋体"/>
          <w:color w:val="auto"/>
          <w:szCs w:val="21"/>
          <w:highlight w:val="none"/>
        </w:rPr>
        <w:t>评委签名：                                                                                                    日期：</w:t>
      </w:r>
    </w:p>
    <w:p>
      <w:pPr>
        <w:spacing w:befor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附表5</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投标报价评分表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1294"/>
        <w:gridCol w:w="1296"/>
        <w:gridCol w:w="1295"/>
        <w:gridCol w:w="1296"/>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投标报价PT（元）</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计算参考数据</w:t>
            </w:r>
          </w:p>
        </w:tc>
        <w:tc>
          <w:tcPr>
            <w:tcW w:w="6166" w:type="dxa"/>
            <w:gridSpan w:val="5"/>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评标参考价（PC）：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12" w:type="dxa"/>
            <w:noWrap w:val="0"/>
            <w:vAlign w:val="center"/>
          </w:tcPr>
          <w:p>
            <w:pPr>
              <w:tabs>
                <w:tab w:val="left" w:pos="0"/>
              </w:tabs>
              <w:spacing w:line="360" w:lineRule="auto"/>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偏差（（PT-PC）/PC）（%）</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减分（A）</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012" w:type="dxa"/>
            <w:noWrap w:val="0"/>
            <w:vAlign w:val="center"/>
          </w:tcPr>
          <w:p>
            <w:pPr>
              <w:tabs>
                <w:tab w:val="left" w:pos="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投标报价得分(I=100-A)</w:t>
            </w:r>
          </w:p>
        </w:tc>
        <w:tc>
          <w:tcPr>
            <w:tcW w:w="1294"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1296"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c>
          <w:tcPr>
            <w:tcW w:w="985" w:type="dxa"/>
            <w:noWrap w:val="0"/>
            <w:vAlign w:val="center"/>
          </w:tcPr>
          <w:p>
            <w:pPr>
              <w:tabs>
                <w:tab w:val="left" w:pos="0"/>
              </w:tabs>
              <w:spacing w:line="360" w:lineRule="auto"/>
              <w:ind w:left="552" w:leftChars="228" w:hanging="73" w:hangingChars="35"/>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w:t>
      </w:r>
    </w:p>
    <w:p>
      <w:pPr>
        <w:rPr>
          <w:rFonts w:hint="eastAsia" w:ascii="宋体" w:hAnsi="宋体" w:eastAsia="宋体" w:cs="宋体"/>
          <w:color w:val="auto"/>
          <w:highlight w:val="none"/>
        </w:rPr>
      </w:pPr>
    </w:p>
    <w:bookmarkEnd w:id="845"/>
    <w:bookmarkEnd w:id="846"/>
    <w:bookmarkEnd w:id="847"/>
    <w:bookmarkEnd w:id="848"/>
    <w:bookmarkEnd w:id="849"/>
    <w:bookmarkEnd w:id="850"/>
    <w:bookmarkEnd w:id="851"/>
    <w:bookmarkEnd w:id="852"/>
    <w:bookmarkEnd w:id="853"/>
    <w:bookmarkEnd w:id="854"/>
    <w:bookmarkEnd w:id="855"/>
    <w:bookmarkEnd w:id="856"/>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890" w:name="_Toc152045609"/>
      <w:bookmarkStart w:id="891" w:name="_Toc16000"/>
      <w:bookmarkStart w:id="892" w:name="_Toc17385"/>
      <w:bookmarkStart w:id="893" w:name="_Toc2984"/>
      <w:bookmarkStart w:id="894" w:name="_Toc152042387"/>
      <w:bookmarkStart w:id="895" w:name="_Toc144974577"/>
      <w:bookmarkStart w:id="896" w:name="_Toc247514033"/>
      <w:bookmarkStart w:id="897" w:name="_Toc4736"/>
      <w:bookmarkStart w:id="898" w:name="_Toc300835030"/>
      <w:bookmarkStart w:id="899" w:name="_Toc247527634"/>
      <w:bookmarkStart w:id="900" w:name="_Toc22634"/>
      <w:bookmarkStart w:id="901" w:name="_Toc490141083"/>
      <w:r>
        <w:rPr>
          <w:rFonts w:hint="eastAsia" w:ascii="宋体" w:hAnsi="宋体" w:eastAsia="宋体" w:cs="宋体"/>
          <w:color w:val="auto"/>
          <w:highlight w:val="none"/>
        </w:rPr>
        <w:br w:type="page"/>
      </w:r>
      <w:bookmarkStart w:id="902" w:name="_Toc24307"/>
      <w:bookmarkStart w:id="903" w:name="_Toc32204"/>
      <w:r>
        <w:rPr>
          <w:rFonts w:hint="eastAsia" w:ascii="宋体" w:hAnsi="宋体" w:eastAsia="宋体" w:cs="宋体"/>
          <w:color w:val="auto"/>
          <w:highlight w:val="none"/>
        </w:rPr>
        <w:t>第四章合同条款及格式</w:t>
      </w:r>
      <w:bookmarkEnd w:id="890"/>
      <w:bookmarkEnd w:id="891"/>
      <w:bookmarkEnd w:id="892"/>
      <w:bookmarkEnd w:id="893"/>
      <w:bookmarkEnd w:id="894"/>
      <w:bookmarkEnd w:id="895"/>
      <w:bookmarkEnd w:id="896"/>
      <w:bookmarkEnd w:id="897"/>
      <w:bookmarkEnd w:id="898"/>
      <w:bookmarkEnd w:id="899"/>
      <w:bookmarkEnd w:id="900"/>
      <w:bookmarkStart w:id="904" w:name="_Toc144974578"/>
      <w:bookmarkStart w:id="905" w:name="_Toc247514034"/>
      <w:bookmarkStart w:id="906" w:name="_Toc184635097"/>
      <w:bookmarkStart w:id="907" w:name="_Toc152045610"/>
      <w:bookmarkStart w:id="908" w:name="_Toc247527635"/>
      <w:bookmarkStart w:id="909" w:name="_Toc152042388"/>
      <w:r>
        <w:rPr>
          <w:rFonts w:hint="eastAsia" w:ascii="宋体" w:hAnsi="宋体" w:eastAsia="宋体" w:cs="宋体"/>
          <w:color w:val="auto"/>
          <w:highlight w:val="none"/>
        </w:rPr>
        <w:t>（另册）</w:t>
      </w:r>
      <w:bookmarkEnd w:id="901"/>
      <w:bookmarkEnd w:id="902"/>
      <w:bookmarkEnd w:id="903"/>
    </w:p>
    <w:p>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904"/>
      <w:bookmarkEnd w:id="905"/>
      <w:bookmarkEnd w:id="906"/>
      <w:bookmarkEnd w:id="907"/>
      <w:bookmarkEnd w:id="908"/>
      <w:bookmarkEnd w:id="909"/>
    </w:p>
    <w:p>
      <w:pPr>
        <w:pStyle w:val="3"/>
        <w:jc w:val="center"/>
        <w:rPr>
          <w:rFonts w:hint="eastAsia" w:ascii="宋体" w:hAnsi="宋体" w:eastAsia="宋体" w:cs="宋体"/>
          <w:color w:val="auto"/>
          <w:highlight w:val="none"/>
        </w:rPr>
      </w:pPr>
      <w:bookmarkStart w:id="910" w:name="_Toc247527803"/>
      <w:bookmarkEnd w:id="910"/>
      <w:bookmarkStart w:id="911" w:name="_Toc152042554"/>
      <w:bookmarkEnd w:id="911"/>
      <w:bookmarkStart w:id="912" w:name="_Toc247514202"/>
      <w:bookmarkEnd w:id="912"/>
      <w:bookmarkStart w:id="913" w:name="_Toc144974834"/>
      <w:bookmarkEnd w:id="913"/>
      <w:bookmarkStart w:id="914" w:name="_Toc152045772"/>
      <w:bookmarkEnd w:id="914"/>
    </w:p>
    <w:p>
      <w:pPr>
        <w:spacing w:line="400" w:lineRule="exact"/>
        <w:rPr>
          <w:rFonts w:hint="eastAsia" w:ascii="宋体" w:hAnsi="宋体" w:eastAsia="宋体" w:cs="宋体"/>
          <w:color w:val="auto"/>
          <w:highlight w:val="none"/>
        </w:rPr>
      </w:pPr>
    </w:p>
    <w:p>
      <w:pPr>
        <w:pStyle w:val="3"/>
        <w:jc w:val="center"/>
        <w:rPr>
          <w:rFonts w:hint="eastAsia" w:ascii="宋体" w:hAnsi="宋体" w:eastAsia="宋体" w:cs="宋体"/>
          <w:color w:val="auto"/>
          <w:sz w:val="20"/>
          <w:szCs w:val="20"/>
          <w:highlight w:val="none"/>
        </w:rPr>
      </w:pPr>
      <w:bookmarkStart w:id="915" w:name="_Toc490141084"/>
      <w:bookmarkStart w:id="916" w:name="_Toc300835204"/>
      <w:bookmarkStart w:id="917" w:name="_Toc247527819"/>
      <w:bookmarkStart w:id="918" w:name="_Toc247514232"/>
      <w:bookmarkStart w:id="919" w:name="_Toc25726"/>
      <w:bookmarkStart w:id="920" w:name="_Toc20325"/>
      <w:bookmarkStart w:id="921" w:name="_Toc6632"/>
      <w:bookmarkStart w:id="922" w:name="_Toc428"/>
      <w:bookmarkStart w:id="923" w:name="_Toc28468"/>
      <w:bookmarkStart w:id="924" w:name="_Toc28286"/>
      <w:bookmarkStart w:id="925" w:name="_Toc2433"/>
      <w:r>
        <w:rPr>
          <w:rFonts w:hint="eastAsia" w:ascii="宋体" w:hAnsi="宋体" w:eastAsia="宋体" w:cs="宋体"/>
          <w:color w:val="auto"/>
          <w:highlight w:val="none"/>
        </w:rPr>
        <w:t>第二卷</w:t>
      </w:r>
      <w:bookmarkEnd w:id="915"/>
      <w:bookmarkEnd w:id="916"/>
      <w:bookmarkEnd w:id="917"/>
      <w:bookmarkEnd w:id="918"/>
      <w:r>
        <w:rPr>
          <w:rFonts w:hint="eastAsia" w:ascii="宋体" w:hAnsi="宋体" w:eastAsia="宋体" w:cs="宋体"/>
          <w:color w:val="auto"/>
          <w:highlight w:val="none"/>
        </w:rPr>
        <w:br w:type="page"/>
      </w:r>
      <w:bookmarkEnd w:id="919"/>
      <w:bookmarkEnd w:id="920"/>
      <w:bookmarkEnd w:id="921"/>
      <w:bookmarkEnd w:id="922"/>
      <w:bookmarkEnd w:id="923"/>
      <w:bookmarkEnd w:id="924"/>
      <w:bookmarkEnd w:id="925"/>
    </w:p>
    <w:p>
      <w:pPr>
        <w:spacing w:line="440" w:lineRule="exact"/>
        <w:jc w:val="center"/>
        <w:rPr>
          <w:rFonts w:hint="eastAsia" w:ascii="宋体" w:hAnsi="宋体" w:eastAsia="宋体" w:cs="宋体"/>
          <w:color w:val="auto"/>
          <w:sz w:val="20"/>
          <w:szCs w:val="20"/>
          <w:highlight w:val="none"/>
        </w:rPr>
      </w:pPr>
    </w:p>
    <w:p>
      <w:pPr>
        <w:spacing w:line="440" w:lineRule="exact"/>
        <w:jc w:val="center"/>
        <w:rPr>
          <w:rFonts w:hint="eastAsia" w:ascii="宋体" w:hAnsi="宋体" w:eastAsia="宋体" w:cs="宋体"/>
          <w:color w:val="auto"/>
          <w:sz w:val="20"/>
          <w:szCs w:val="20"/>
          <w:highlight w:val="none"/>
        </w:rPr>
      </w:pPr>
    </w:p>
    <w:p>
      <w:pPr>
        <w:pStyle w:val="3"/>
        <w:jc w:val="center"/>
        <w:rPr>
          <w:rFonts w:hint="eastAsia" w:ascii="宋体" w:hAnsi="宋体" w:eastAsia="宋体" w:cs="宋体"/>
          <w:strike w:val="0"/>
          <w:color w:val="auto"/>
          <w:highlight w:val="none"/>
          <w:lang w:eastAsia="zh-CN"/>
        </w:rPr>
      </w:pPr>
      <w:bookmarkStart w:id="926" w:name="_Toc13696"/>
      <w:bookmarkStart w:id="927" w:name="_Toc300835205"/>
      <w:bookmarkStart w:id="928" w:name="_Toc152042571"/>
      <w:bookmarkStart w:id="929" w:name="_Toc24608"/>
      <w:bookmarkStart w:id="930" w:name="_Toc144974851"/>
      <w:bookmarkStart w:id="931" w:name="_Toc152045782"/>
      <w:bookmarkStart w:id="932" w:name="_Toc247514233"/>
      <w:bookmarkStart w:id="933" w:name="_Toc32572"/>
      <w:bookmarkStart w:id="934" w:name="_Toc15076"/>
      <w:bookmarkStart w:id="935" w:name="_Toc247527820"/>
      <w:bookmarkStart w:id="936" w:name="_Toc15529"/>
      <w:bookmarkStart w:id="937" w:name="_Toc29518"/>
      <w:bookmarkStart w:id="938" w:name="_Toc18695"/>
      <w:bookmarkStart w:id="939" w:name="_Toc490141085"/>
      <w:r>
        <w:rPr>
          <w:rFonts w:hint="eastAsia" w:ascii="宋体" w:hAnsi="宋体" w:eastAsia="宋体" w:cs="宋体"/>
          <w:strike w:val="0"/>
          <w:color w:val="auto"/>
          <w:highlight w:val="none"/>
        </w:rPr>
        <w:t>第五章</w:t>
      </w:r>
      <w:bookmarkEnd w:id="926"/>
      <w:bookmarkEnd w:id="927"/>
      <w:bookmarkEnd w:id="928"/>
      <w:bookmarkEnd w:id="929"/>
      <w:bookmarkEnd w:id="930"/>
      <w:bookmarkEnd w:id="931"/>
      <w:bookmarkEnd w:id="932"/>
      <w:bookmarkEnd w:id="933"/>
      <w:bookmarkEnd w:id="934"/>
      <w:bookmarkEnd w:id="935"/>
      <w:r>
        <w:rPr>
          <w:rFonts w:hint="eastAsia" w:ascii="宋体" w:hAnsi="宋体" w:cs="宋体"/>
          <w:strike w:val="0"/>
          <w:color w:val="auto"/>
          <w:highlight w:val="none"/>
          <w:lang w:val="en-US" w:eastAsia="zh-CN"/>
        </w:rPr>
        <w:t xml:space="preserve"> </w:t>
      </w:r>
      <w:r>
        <w:rPr>
          <w:rFonts w:hint="eastAsia" w:ascii="宋体" w:hAnsi="宋体" w:eastAsia="宋体" w:cs="宋体"/>
          <w:strike w:val="0"/>
          <w:color w:val="auto"/>
          <w:highlight w:val="none"/>
          <w:lang w:eastAsia="zh-CN"/>
        </w:rPr>
        <w:t>招标人要求</w:t>
      </w:r>
      <w:bookmarkEnd w:id="936"/>
      <w:bookmarkEnd w:id="937"/>
      <w:bookmarkEnd w:id="938"/>
      <w:bookmarkEnd w:id="939"/>
    </w:p>
    <w:p>
      <w:pPr>
        <w:rPr>
          <w:rFonts w:hint="default" w:eastAsia="宋体"/>
          <w:lang w:val="en-US" w:eastAsia="zh-CN"/>
        </w:rPr>
      </w:pPr>
      <w:r>
        <w:rPr>
          <w:rFonts w:hint="eastAsia"/>
          <w:lang w:val="en-US" w:eastAsia="zh-CN"/>
        </w:rPr>
        <w:t xml:space="preserve">    详见招标文件及合同要求</w:t>
      </w:r>
    </w:p>
    <w:p>
      <w:pPr>
        <w:topLinePunct/>
        <w:spacing w:line="44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pPr>
    </w:p>
    <w:p>
      <w:pPr>
        <w:pStyle w:val="3"/>
        <w:jc w:val="center"/>
        <w:rPr>
          <w:rFonts w:hint="eastAsia" w:ascii="宋体" w:hAnsi="宋体" w:eastAsia="宋体" w:cs="宋体"/>
          <w:color w:val="auto"/>
          <w:highlight w:val="none"/>
        </w:rPr>
      </w:pPr>
      <w:bookmarkStart w:id="940" w:name="_Toc8482"/>
      <w:bookmarkStart w:id="941" w:name="_Toc18835"/>
      <w:bookmarkStart w:id="942" w:name="_Toc8451"/>
      <w:bookmarkStart w:id="943" w:name="_Toc11303"/>
      <w:bookmarkStart w:id="944" w:name="_Toc300835206"/>
      <w:bookmarkStart w:id="945" w:name="_Toc9073"/>
      <w:bookmarkStart w:id="946" w:name="_Toc15946"/>
      <w:bookmarkStart w:id="947" w:name="_Toc21889"/>
      <w:bookmarkStart w:id="948" w:name="_Toc490141086"/>
      <w:r>
        <w:rPr>
          <w:rFonts w:hint="eastAsia" w:ascii="宋体" w:hAnsi="宋体" w:eastAsia="宋体" w:cs="宋体"/>
          <w:color w:val="auto"/>
          <w:highlight w:val="none"/>
        </w:rPr>
        <w:t>第六章发包人提供的资料</w:t>
      </w:r>
      <w:bookmarkEnd w:id="940"/>
      <w:bookmarkEnd w:id="941"/>
      <w:bookmarkEnd w:id="942"/>
      <w:bookmarkEnd w:id="943"/>
      <w:bookmarkEnd w:id="944"/>
      <w:bookmarkEnd w:id="945"/>
      <w:bookmarkEnd w:id="946"/>
      <w:bookmarkEnd w:id="947"/>
      <w:bookmarkEnd w:id="948"/>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（另册）</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949" w:name="_Toc247527825"/>
      <w:bookmarkStart w:id="950" w:name="_Toc247514244"/>
      <w:bookmarkStart w:id="951" w:name="_Toc300835207"/>
      <w:bookmarkStart w:id="952" w:name="_Toc7732"/>
      <w:bookmarkStart w:id="953" w:name="_Toc1901"/>
      <w:bookmarkStart w:id="954" w:name="_Toc27414"/>
      <w:bookmarkStart w:id="955" w:name="_Toc20209"/>
      <w:bookmarkStart w:id="956" w:name="_Toc18028"/>
      <w:bookmarkStart w:id="957" w:name="_Toc30647"/>
      <w:bookmarkStart w:id="958" w:name="_Toc5743"/>
      <w:bookmarkStart w:id="959" w:name="_Toc490141087"/>
      <w:bookmarkStart w:id="960" w:name="_Toc152042575"/>
      <w:bookmarkStart w:id="961" w:name="_Toc152045786"/>
      <w:bookmarkStart w:id="962" w:name="_Toc144974855"/>
      <w:r>
        <w:rPr>
          <w:rFonts w:hint="eastAsia" w:ascii="宋体" w:hAnsi="宋体" w:eastAsia="宋体" w:cs="宋体"/>
          <w:color w:val="auto"/>
          <w:highlight w:val="none"/>
        </w:rPr>
        <w:t>第三卷</w:t>
      </w:r>
      <w:bookmarkEnd w:id="949"/>
      <w:bookmarkEnd w:id="950"/>
      <w:bookmarkEnd w:id="951"/>
      <w:bookmarkEnd w:id="952"/>
      <w:bookmarkEnd w:id="953"/>
      <w:bookmarkEnd w:id="954"/>
      <w:bookmarkEnd w:id="955"/>
      <w:bookmarkEnd w:id="956"/>
      <w:bookmarkEnd w:id="957"/>
      <w:bookmarkEnd w:id="958"/>
      <w:bookmarkEnd w:id="959"/>
    </w:p>
    <w:p>
      <w:pPr>
        <w:spacing w:line="400" w:lineRule="exact"/>
        <w:jc w:val="center"/>
        <w:rPr>
          <w:rFonts w:hint="eastAsia" w:ascii="宋体" w:hAnsi="宋体" w:eastAsia="宋体" w:cs="宋体"/>
          <w:color w:val="auto"/>
          <w:highlight w:val="none"/>
        </w:rPr>
      </w:pPr>
      <w:r>
        <w:rPr>
          <w:rFonts w:hint="eastAsia" w:ascii="宋体" w:hAnsi="宋体" w:eastAsia="宋体" w:cs="宋体"/>
          <w:b/>
          <w:bCs/>
          <w:color w:val="auto"/>
          <w:sz w:val="32"/>
          <w:highlight w:val="none"/>
        </w:rPr>
        <w:br w:type="page"/>
      </w: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spacing w:line="400" w:lineRule="exact"/>
        <w:jc w:val="cente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963" w:name="_Toc300835208"/>
      <w:bookmarkStart w:id="964" w:name="_Toc15298"/>
      <w:bookmarkStart w:id="965" w:name="_Toc8886"/>
      <w:bookmarkStart w:id="966" w:name="_Toc247514245"/>
      <w:bookmarkStart w:id="967" w:name="_Toc2828"/>
      <w:bookmarkStart w:id="968" w:name="_Toc10445"/>
      <w:bookmarkStart w:id="969" w:name="_Toc4035"/>
      <w:bookmarkStart w:id="970" w:name="_Toc490141088"/>
      <w:bookmarkStart w:id="971" w:name="_Toc247527826"/>
      <w:bookmarkStart w:id="972" w:name="_Toc15238"/>
      <w:bookmarkStart w:id="973" w:name="_Toc13416"/>
      <w:r>
        <w:rPr>
          <w:rFonts w:hint="eastAsia" w:ascii="宋体" w:hAnsi="宋体" w:eastAsia="宋体" w:cs="宋体"/>
          <w:color w:val="auto"/>
          <w:highlight w:val="none"/>
        </w:rPr>
        <w:t>第七章投标文件格式</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pPr>
        <w:spacing w:line="400" w:lineRule="exact"/>
        <w:rPr>
          <w:rFonts w:hint="eastAsia" w:ascii="宋体" w:hAnsi="宋体" w:eastAsia="宋体" w:cs="宋体"/>
          <w:color w:val="auto"/>
          <w:highlight w:val="none"/>
        </w:rPr>
      </w:pPr>
    </w:p>
    <w:p>
      <w:pPr>
        <w:autoSpaceDE w:val="0"/>
        <w:autoSpaceDN w:val="0"/>
        <w:adjustRightInd w:val="0"/>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rPr>
        <w:br w:type="page"/>
      </w:r>
      <w:bookmarkStart w:id="974" w:name="_Toc248650369"/>
      <w:bookmarkStart w:id="975" w:name="_Toc268935231"/>
      <w:bookmarkStart w:id="976" w:name="_Toc296593028"/>
      <w:bookmarkStart w:id="977" w:name="_Toc314127443"/>
      <w:bookmarkStart w:id="978" w:name="_Toc332183369"/>
      <w:bookmarkStart w:id="979" w:name="_Toc226209002"/>
      <w:bookmarkStart w:id="980" w:name="_Toc297120233"/>
      <w:bookmarkStart w:id="981" w:name="_Toc314128460"/>
      <w:bookmarkStart w:id="982" w:name="_Toc254961554"/>
      <w:bookmarkStart w:id="983" w:name="_Toc314129316"/>
      <w:bookmarkStart w:id="984" w:name="_Toc314127361"/>
      <w:bookmarkStart w:id="985" w:name="_Toc314127292"/>
      <w:r>
        <w:rPr>
          <w:rFonts w:hint="eastAsia" w:ascii="宋体" w:hAnsi="宋体" w:eastAsia="宋体" w:cs="宋体"/>
          <w:bCs/>
          <w:color w:val="auto"/>
          <w:highlight w:val="none"/>
        </w:rPr>
        <w:t>格式1</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6"/>
          <w:szCs w:val="36"/>
          <w:highlight w:val="none"/>
          <w:lang w:val="zh-CN"/>
        </w:rPr>
        <w:t>投标书</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2165"/>
        <w:gridCol w:w="1291"/>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项目名称</w:t>
            </w:r>
          </w:p>
        </w:tc>
        <w:tc>
          <w:tcPr>
            <w:tcW w:w="6913" w:type="dxa"/>
            <w:gridSpan w:val="3"/>
            <w:noWrap w:val="0"/>
            <w:vAlign w:val="center"/>
          </w:tcPr>
          <w:p>
            <w:pPr>
              <w:snapToGrid w:val="0"/>
              <w:spacing w:line="360" w:lineRule="auto"/>
              <w:jc w:val="lef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投标总报价</w:t>
            </w:r>
          </w:p>
        </w:tc>
        <w:tc>
          <w:tcPr>
            <w:tcW w:w="6913" w:type="dxa"/>
            <w:gridSpan w:val="3"/>
            <w:noWrap w:val="0"/>
            <w:vAlign w:val="center"/>
          </w:tcPr>
          <w:p>
            <w:pPr>
              <w:snapToGrid w:val="0"/>
              <w:spacing w:line="360"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大写：</w:t>
            </w:r>
            <w:r>
              <w:rPr>
                <w:rFonts w:hint="eastAsia" w:ascii="宋体" w:hAnsi="宋体" w:eastAsia="宋体" w:cs="宋体"/>
                <w:b/>
                <w:color w:val="auto"/>
                <w:szCs w:val="21"/>
                <w:highlight w:val="none"/>
                <w:u w:val="single"/>
              </w:rPr>
              <w:t xml:space="preserve">                </w:t>
            </w:r>
          </w:p>
          <w:p>
            <w:pPr>
              <w:spacing w:line="3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小写：</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627" w:type="dxa"/>
            <w:noWrap w:val="0"/>
            <w:vAlign w:val="center"/>
          </w:tcPr>
          <w:p>
            <w:pPr>
              <w:spacing w:line="3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其中：施工部分</w:t>
            </w:r>
          </w:p>
          <w:p>
            <w:pPr>
              <w:spacing w:line="3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     （建安工程费）</w:t>
            </w:r>
          </w:p>
        </w:tc>
        <w:tc>
          <w:tcPr>
            <w:tcW w:w="3456" w:type="dxa"/>
            <w:gridSpan w:val="2"/>
            <w:noWrap w:val="0"/>
            <w:vAlign w:val="center"/>
          </w:tcPr>
          <w:p>
            <w:pPr>
              <w:rPr>
                <w:rFonts w:hint="default"/>
                <w:color w:val="auto"/>
                <w:highlight w:val="none"/>
                <w:lang w:val="en-US" w:eastAsia="zh-CN"/>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元</w:t>
            </w:r>
          </w:p>
        </w:tc>
        <w:tc>
          <w:tcPr>
            <w:tcW w:w="3457" w:type="dxa"/>
            <w:noWrap w:val="0"/>
            <w:vAlign w:val="center"/>
          </w:tcPr>
          <w:p>
            <w:pPr>
              <w:spacing w:line="3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下浮率：</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627" w:type="dxa"/>
            <w:noWrap w:val="0"/>
            <w:vAlign w:val="center"/>
          </w:tcPr>
          <w:p>
            <w:pPr>
              <w:spacing w:line="3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其中：设计部分</w:t>
            </w:r>
          </w:p>
        </w:tc>
        <w:tc>
          <w:tcPr>
            <w:tcW w:w="3456" w:type="dxa"/>
            <w:gridSpan w:val="2"/>
            <w:noWrap w:val="0"/>
            <w:vAlign w:val="center"/>
          </w:tcPr>
          <w:p>
            <w:pPr>
              <w:spacing w:line="300" w:lineRule="exact"/>
              <w:jc w:val="left"/>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元</w:t>
            </w:r>
          </w:p>
        </w:tc>
        <w:tc>
          <w:tcPr>
            <w:tcW w:w="3457" w:type="dxa"/>
            <w:noWrap w:val="0"/>
            <w:vAlign w:val="center"/>
          </w:tcPr>
          <w:p>
            <w:pPr>
              <w:spacing w:line="3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下浮率：</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工期</w:t>
            </w:r>
          </w:p>
        </w:tc>
        <w:tc>
          <w:tcPr>
            <w:tcW w:w="6913" w:type="dxa"/>
            <w:gridSpan w:val="3"/>
            <w:noWrap w:val="0"/>
            <w:vAlign w:val="center"/>
          </w:tcPr>
          <w:p>
            <w:pPr>
              <w:spacing w:line="3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质量标准</w:t>
            </w:r>
          </w:p>
        </w:tc>
        <w:tc>
          <w:tcPr>
            <w:tcW w:w="6913" w:type="dxa"/>
            <w:gridSpan w:val="3"/>
            <w:noWrap w:val="0"/>
            <w:vAlign w:val="center"/>
          </w:tcPr>
          <w:p>
            <w:pPr>
              <w:spacing w:line="3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保修期限</w:t>
            </w:r>
          </w:p>
        </w:tc>
        <w:tc>
          <w:tcPr>
            <w:tcW w:w="6913" w:type="dxa"/>
            <w:gridSpan w:val="3"/>
            <w:noWrap w:val="0"/>
            <w:vAlign w:val="center"/>
          </w:tcPr>
          <w:p>
            <w:pPr>
              <w:spacing w:line="300" w:lineRule="exact"/>
              <w:rPr>
                <w:rFonts w:hint="eastAsia" w:ascii="宋体" w:hAnsi="宋体" w:eastAsia="宋体" w:cs="宋体"/>
                <w:color w:val="auto"/>
                <w:sz w:val="24"/>
                <w:highlight w:val="none"/>
                <w:lang w:eastAsia="zh-CN"/>
              </w:rPr>
            </w:pPr>
            <w:r>
              <w:rPr>
                <w:rFonts w:hint="eastAsia" w:ascii="宋体" w:hAnsi="宋体" w:eastAsia="宋体" w:cs="宋体"/>
                <w:b/>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项目负责人（</w:t>
            </w:r>
            <w:r>
              <w:rPr>
                <w:rFonts w:hint="eastAsia" w:ascii="宋体" w:hAnsi="宋体" w:eastAsia="宋体" w:cs="宋体"/>
                <w:b/>
                <w:color w:val="auto"/>
                <w:szCs w:val="21"/>
                <w:highlight w:val="none"/>
              </w:rPr>
              <w:t>施工</w:t>
            </w:r>
            <w:r>
              <w:rPr>
                <w:rFonts w:hint="eastAsia" w:ascii="宋体" w:hAnsi="宋体" w:eastAsia="宋体" w:cs="宋体"/>
                <w:b/>
                <w:color w:val="auto"/>
                <w:szCs w:val="21"/>
                <w:highlight w:val="none"/>
                <w:lang w:val="zh-CN"/>
              </w:rPr>
              <w:t>负责人）</w:t>
            </w:r>
          </w:p>
        </w:tc>
        <w:tc>
          <w:tcPr>
            <w:tcW w:w="2165"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姓名</w:t>
            </w:r>
          </w:p>
        </w:tc>
        <w:tc>
          <w:tcPr>
            <w:tcW w:w="4748" w:type="dxa"/>
            <w:gridSpan w:val="2"/>
            <w:noWrap w:val="0"/>
            <w:vAlign w:val="center"/>
          </w:tcPr>
          <w:p>
            <w:pPr>
              <w:spacing w:line="300" w:lineRule="exact"/>
              <w:rPr>
                <w:rFonts w:hint="eastAsia" w:ascii="宋体" w:hAnsi="宋体" w:eastAsia="宋体" w:cs="宋体"/>
                <w:b/>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设计</w:t>
            </w:r>
            <w:r>
              <w:rPr>
                <w:rFonts w:hint="eastAsia" w:ascii="宋体" w:hAnsi="宋体" w:eastAsia="宋体" w:cs="宋体"/>
                <w:b/>
                <w:color w:val="auto"/>
                <w:szCs w:val="21"/>
                <w:highlight w:val="none"/>
                <w:lang w:val="zh-CN"/>
              </w:rPr>
              <w:t>负责人</w:t>
            </w:r>
          </w:p>
        </w:tc>
        <w:tc>
          <w:tcPr>
            <w:tcW w:w="2165"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姓名</w:t>
            </w:r>
          </w:p>
        </w:tc>
        <w:tc>
          <w:tcPr>
            <w:tcW w:w="4748" w:type="dxa"/>
            <w:gridSpan w:val="2"/>
            <w:noWrap w:val="0"/>
            <w:vAlign w:val="center"/>
          </w:tcPr>
          <w:p>
            <w:pPr>
              <w:spacing w:line="300" w:lineRule="exact"/>
              <w:rPr>
                <w:rFonts w:hint="eastAsia" w:ascii="宋体" w:hAnsi="宋体" w:eastAsia="宋体" w:cs="宋体"/>
                <w:b/>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施工技术</w:t>
            </w:r>
            <w:r>
              <w:rPr>
                <w:rFonts w:hint="eastAsia" w:ascii="宋体" w:hAnsi="宋体" w:eastAsia="宋体" w:cs="宋体"/>
                <w:b/>
                <w:color w:val="auto"/>
                <w:szCs w:val="21"/>
                <w:highlight w:val="none"/>
                <w:lang w:val="zh-CN"/>
              </w:rPr>
              <w:t>负责人</w:t>
            </w:r>
          </w:p>
        </w:tc>
        <w:tc>
          <w:tcPr>
            <w:tcW w:w="2165"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姓名</w:t>
            </w:r>
          </w:p>
        </w:tc>
        <w:tc>
          <w:tcPr>
            <w:tcW w:w="4748" w:type="dxa"/>
            <w:gridSpan w:val="2"/>
            <w:noWrap w:val="0"/>
            <w:vAlign w:val="center"/>
          </w:tcPr>
          <w:p>
            <w:pPr>
              <w:spacing w:line="30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委派的专职安全员</w:t>
            </w:r>
          </w:p>
        </w:tc>
        <w:tc>
          <w:tcPr>
            <w:tcW w:w="2165"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姓名</w:t>
            </w:r>
          </w:p>
        </w:tc>
        <w:tc>
          <w:tcPr>
            <w:tcW w:w="4748" w:type="dxa"/>
            <w:gridSpan w:val="2"/>
            <w:noWrap w:val="0"/>
            <w:vAlign w:val="center"/>
          </w:tcPr>
          <w:p>
            <w:pPr>
              <w:spacing w:line="30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投标有效期</w:t>
            </w:r>
          </w:p>
        </w:tc>
        <w:tc>
          <w:tcPr>
            <w:tcW w:w="6913" w:type="dxa"/>
            <w:gridSpan w:val="3"/>
            <w:noWrap w:val="0"/>
            <w:vAlign w:val="center"/>
          </w:tcPr>
          <w:p>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法定代表人或其委托代理人（签字或盖章）</w:t>
            </w:r>
          </w:p>
        </w:tc>
        <w:tc>
          <w:tcPr>
            <w:tcW w:w="6913" w:type="dxa"/>
            <w:gridSpan w:val="3"/>
            <w:noWrap w:val="0"/>
            <w:vAlign w:val="center"/>
          </w:tcPr>
          <w:p>
            <w:pPr>
              <w:spacing w:line="300" w:lineRule="exact"/>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627" w:type="dxa"/>
            <w:noWrap w:val="0"/>
            <w:vAlign w:val="center"/>
          </w:tcPr>
          <w:p>
            <w:pPr>
              <w:spacing w:line="300" w:lineRule="exact"/>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投标单位（盖章）</w:t>
            </w:r>
          </w:p>
        </w:tc>
        <w:tc>
          <w:tcPr>
            <w:tcW w:w="6913" w:type="dxa"/>
            <w:gridSpan w:val="3"/>
            <w:noWrap w:val="0"/>
            <w:vAlign w:val="center"/>
          </w:tcPr>
          <w:p>
            <w:pPr>
              <w:spacing w:line="300" w:lineRule="exact"/>
              <w:rPr>
                <w:rFonts w:hint="eastAsia" w:ascii="宋体" w:hAnsi="宋体" w:eastAsia="宋体" w:cs="宋体"/>
                <w:b/>
                <w:color w:val="auto"/>
                <w:szCs w:val="21"/>
                <w:highlight w:val="none"/>
              </w:rPr>
            </w:pPr>
          </w:p>
        </w:tc>
      </w:tr>
    </w:tbl>
    <w:p>
      <w:pPr>
        <w:pStyle w:val="71"/>
        <w:ind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注：（1）联合体投标的，“投标单位”一栏需书写所有联合体成员的单位全称，可由主办方签署、盖章。</w:t>
      </w:r>
    </w:p>
    <w:p>
      <w:pPr>
        <w:pStyle w:val="71"/>
        <w:ind w:firstLine="360"/>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rPr>
        <w:t>（2）投标总报价的大写金额和小</w:t>
      </w:r>
      <w:r>
        <w:rPr>
          <w:rFonts w:hint="eastAsia" w:ascii="宋体" w:hAnsi="宋体" w:eastAsia="宋体" w:cs="宋体"/>
          <w:color w:val="auto"/>
          <w:sz w:val="18"/>
          <w:szCs w:val="18"/>
          <w:highlight w:val="none"/>
          <w:lang w:val="zh-CN"/>
        </w:rPr>
        <w:t>写金额不一致的，以大写金额为准，投标报价精确到小数点后两位。</w:t>
      </w:r>
    </w:p>
    <w:p>
      <w:pPr>
        <w:pStyle w:val="71"/>
        <w:ind w:firstLine="360"/>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rPr>
        <w:t>（3）投标报价的小写保留小数点后2位数字，大写金额和小写金额不一致的，以大写金额为准。</w:t>
      </w:r>
    </w:p>
    <w:p>
      <w:pPr>
        <w:pStyle w:val="71"/>
        <w:ind w:firstLine="360"/>
        <w:rPr>
          <w:rFonts w:hint="eastAsia" w:ascii="宋体" w:hAnsi="宋体" w:eastAsia="宋体" w:cs="宋体"/>
          <w:color w:val="auto"/>
          <w:sz w:val="18"/>
          <w:szCs w:val="18"/>
          <w:highlight w:val="none"/>
          <w:lang w:val="zh-CN"/>
        </w:rPr>
      </w:pPr>
      <w:r>
        <w:rPr>
          <w:rFonts w:hint="eastAsia" w:ascii="宋体" w:hAnsi="宋体" w:eastAsia="宋体" w:cs="宋体"/>
          <w:color w:val="auto"/>
          <w:sz w:val="18"/>
          <w:szCs w:val="18"/>
          <w:highlight w:val="none"/>
          <w:lang w:val="zh-CN"/>
        </w:rPr>
        <w:t>（4）投标人须按招标文件要求报价，且不超过投标最高限价，否则视为无效标。</w:t>
      </w:r>
    </w:p>
    <w:p>
      <w:pPr>
        <w:pStyle w:val="71"/>
        <w:ind w:firstLine="360"/>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rPr>
        <w:t>（</w:t>
      </w:r>
      <w:r>
        <w:rPr>
          <w:rFonts w:hint="eastAsia" w:ascii="宋体" w:hAnsi="宋体" w:eastAsia="宋体" w:cs="宋体"/>
          <w:color w:val="auto"/>
          <w:sz w:val="18"/>
          <w:szCs w:val="18"/>
          <w:highlight w:val="none"/>
          <w:lang w:val="zh-CN" w:eastAsia="zh-CN"/>
        </w:rPr>
        <w:t>5）建安工程费投标报价=建安工程费最高限价×(1-下浮率)。</w:t>
      </w:r>
    </w:p>
    <w:p>
      <w:pPr>
        <w:pStyle w:val="71"/>
        <w:ind w:firstLine="360"/>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zh-CN" w:eastAsia="zh-CN"/>
        </w:rPr>
        <w:t>（6）</w:t>
      </w:r>
      <w:r>
        <w:rPr>
          <w:rFonts w:hint="eastAsia" w:ascii="宋体" w:hAnsi="宋体" w:eastAsia="宋体" w:cs="宋体"/>
          <w:color w:val="auto"/>
          <w:sz w:val="18"/>
          <w:szCs w:val="18"/>
          <w:highlight w:val="none"/>
          <w:lang w:val="zh-CN"/>
        </w:rPr>
        <w:t>工程设计费</w:t>
      </w:r>
      <w:r>
        <w:rPr>
          <w:rFonts w:hint="eastAsia" w:ascii="宋体" w:hAnsi="宋体" w:eastAsia="宋体" w:cs="宋体"/>
          <w:color w:val="auto"/>
          <w:sz w:val="18"/>
          <w:szCs w:val="18"/>
          <w:highlight w:val="none"/>
          <w:lang w:val="zh-CN" w:eastAsia="zh-CN"/>
        </w:rPr>
        <w:t>投标报价=</w:t>
      </w:r>
      <w:r>
        <w:rPr>
          <w:rFonts w:hint="eastAsia" w:ascii="宋体" w:hAnsi="宋体" w:eastAsia="宋体" w:cs="宋体"/>
          <w:color w:val="auto"/>
          <w:sz w:val="18"/>
          <w:szCs w:val="18"/>
          <w:highlight w:val="none"/>
          <w:lang w:val="zh-CN"/>
        </w:rPr>
        <w:t>设计费最高投标限价×（1-</w:t>
      </w:r>
      <w:r>
        <w:rPr>
          <w:rFonts w:hint="eastAsia" w:ascii="宋体" w:hAnsi="宋体" w:eastAsia="宋体" w:cs="宋体"/>
          <w:color w:val="auto"/>
          <w:sz w:val="18"/>
          <w:szCs w:val="18"/>
          <w:highlight w:val="none"/>
          <w:lang w:val="zh-CN" w:eastAsia="zh-CN"/>
        </w:rPr>
        <w:t>下浮率</w:t>
      </w:r>
      <w:r>
        <w:rPr>
          <w:rFonts w:hint="eastAsia" w:ascii="宋体" w:hAnsi="宋体" w:eastAsia="宋体" w:cs="宋体"/>
          <w:color w:val="auto"/>
          <w:sz w:val="18"/>
          <w:szCs w:val="18"/>
          <w:highlight w:val="none"/>
          <w:lang w:val="zh-CN"/>
        </w:rPr>
        <w:t>）。</w:t>
      </w:r>
    </w:p>
    <w:p>
      <w:pPr>
        <w:pStyle w:val="71"/>
        <w:ind w:firstLine="360"/>
        <w:rPr>
          <w:rFonts w:hint="eastAsia" w:ascii="宋体" w:hAnsi="宋体" w:eastAsia="宋体" w:cs="宋体"/>
          <w:color w:val="auto"/>
          <w:sz w:val="18"/>
          <w:szCs w:val="18"/>
          <w:highlight w:val="none"/>
          <w:lang w:val="zh-CN" w:eastAsia="zh-CN"/>
        </w:rPr>
      </w:pPr>
    </w:p>
    <w:p>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r>
        <w:rPr>
          <w:rFonts w:hint="eastAsia" w:ascii="宋体" w:hAnsi="宋体" w:eastAsia="宋体" w:cs="宋体"/>
          <w:b/>
          <w:bCs/>
          <w:color w:val="auto"/>
          <w:sz w:val="36"/>
          <w:szCs w:val="36"/>
          <w:highlight w:val="none"/>
          <w:lang w:val="zh-CN"/>
        </w:rPr>
        <w:t>设计投标书</w:t>
      </w:r>
    </w:p>
    <w:p>
      <w:pPr>
        <w:rPr>
          <w:rFonts w:hint="eastAsia" w:ascii="宋体" w:hAnsi="宋体" w:eastAsia="宋体" w:cs="宋体"/>
          <w:color w:val="auto"/>
          <w:highlight w:val="none"/>
        </w:rPr>
      </w:pPr>
    </w:p>
    <w:p>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（招标人名称）             </w:t>
      </w:r>
    </w:p>
    <w:p>
      <w:pPr>
        <w:pStyle w:val="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pPr>
        <w:pStyle w:val="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我方愿以</w:t>
      </w:r>
      <w:r>
        <w:rPr>
          <w:rFonts w:hint="eastAsia" w:ascii="宋体" w:hAnsi="宋体" w:eastAsia="宋体" w:cs="宋体"/>
          <w:b/>
          <w:color w:val="auto"/>
          <w:sz w:val="21"/>
          <w:szCs w:val="21"/>
          <w:highlight w:val="none"/>
        </w:rPr>
        <w:t>设计费</w:t>
      </w:r>
      <w:r>
        <w:rPr>
          <w:rFonts w:hint="eastAsia" w:ascii="宋体" w:hAnsi="宋体" w:eastAsia="宋体" w:cs="宋体"/>
          <w:b/>
          <w:color w:val="auto"/>
          <w:sz w:val="21"/>
          <w:szCs w:val="21"/>
          <w:highlight w:val="none"/>
          <w:u w:val="single"/>
        </w:rPr>
        <w:t xml:space="preserve">               元</w:t>
      </w:r>
      <w:r>
        <w:rPr>
          <w:rFonts w:hint="eastAsia" w:ascii="宋体" w:hAnsi="宋体" w:eastAsia="宋体" w:cs="宋体"/>
          <w:color w:val="auto"/>
          <w:sz w:val="21"/>
          <w:szCs w:val="21"/>
          <w:highlight w:val="none"/>
        </w:rPr>
        <w:t>的投标报价，承包本次招标所包含的设计工作，并承担任何质量缺陷责任。我方设计负责人是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2"/>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我方遵守本投标书直至投标有效期满，在投标有效期满前，本投标书对我方一直具有约束力，随时可接受中标。我方承认所附投标文件资料为本投标书的一部分。</w:t>
      </w:r>
    </w:p>
    <w:p>
      <w:pPr>
        <w:pStyle w:val="2"/>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我方认同招标文件规定的评审规则，遵守评标委员会的裁决结果，并且不会采取妨碍项目进展的行为。</w:t>
      </w:r>
    </w:p>
    <w:p>
      <w:pPr>
        <w:pStyle w:val="2"/>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如果我方中标，我方将提供规定的履约担保，将在合同规定的日期开工，并在竣工时间内，按照上述文件完成项目。</w:t>
      </w:r>
    </w:p>
    <w:p>
      <w:pPr>
        <w:autoSpaceDE w:val="0"/>
        <w:autoSpaceDN w:val="0"/>
        <w:adjustRightIn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如果我方中标，我方承诺并确保本项目施工图纸及相关技术文件通过供电部门的审查。</w:t>
      </w:r>
    </w:p>
    <w:p>
      <w:pPr>
        <w:pStyle w:val="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除非制定正式合同协议书并生效，本投标书以及你方中标通知书，应构成你我双方间具有约束力的合同。</w:t>
      </w:r>
    </w:p>
    <w:p>
      <w:pPr>
        <w:pStyle w:val="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投标材料及其后提供的一切材料都是真实的；在广州市住房和城乡建设局登记的一切信息都是真实的、在有效期内的。若与事实不符，否则愿意承担相应的法律责任。如在本项目招投标法定期间，若投标人收到任何针对我司的异议和投诉，我司应依法举证，否则愿意承担举证不能的法律后果。</w:t>
      </w:r>
    </w:p>
    <w:p>
      <w:pPr>
        <w:spacing w:line="360" w:lineRule="auto"/>
        <w:rPr>
          <w:rFonts w:hint="eastAsia" w:ascii="宋体" w:hAnsi="宋体" w:eastAsia="宋体" w:cs="宋体"/>
          <w:color w:val="auto"/>
          <w:szCs w:val="21"/>
          <w:highlight w:val="none"/>
        </w:rPr>
      </w:pPr>
    </w:p>
    <w:p>
      <w:pPr>
        <w:pStyle w:val="2"/>
        <w:rPr>
          <w:rFonts w:hint="eastAsia" w:ascii="宋体" w:hAnsi="宋体" w:eastAsia="宋体" w:cs="宋体"/>
          <w:color w:val="auto"/>
          <w:highlight w:val="none"/>
        </w:rPr>
      </w:pP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    （盖章）</w:t>
      </w: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法定代表人或其授权委托人(签字或盖章)：</w:t>
      </w: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2"/>
        <w:spacing w:line="360" w:lineRule="auto"/>
        <w:ind w:firstLine="210" w:firstLineChars="100"/>
        <w:rPr>
          <w:rFonts w:hint="eastAsia" w:ascii="宋体" w:hAnsi="宋体" w:eastAsia="宋体" w:cs="宋体"/>
          <w:color w:val="auto"/>
          <w:sz w:val="21"/>
          <w:szCs w:val="21"/>
          <w:highlight w:val="none"/>
        </w:rPr>
      </w:pPr>
    </w:p>
    <w:p>
      <w:pPr>
        <w:pStyle w:val="2"/>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注：联合体投标的，“投标人”一栏需书写所有联合体成员的单位全称，可由主办方签署、盖章。</w:t>
      </w:r>
    </w:p>
    <w:p>
      <w:pPr>
        <w:autoSpaceDE w:val="0"/>
        <w:autoSpaceDN w:val="0"/>
        <w:adjustRightInd w:val="0"/>
        <w:spacing w:line="360" w:lineRule="auto"/>
        <w:rPr>
          <w:rFonts w:hint="eastAsia" w:ascii="宋体" w:hAnsi="宋体" w:eastAsia="宋体" w:cs="宋体"/>
          <w:bCs/>
          <w:color w:val="auto"/>
          <w:highlight w:val="none"/>
        </w:rPr>
      </w:pPr>
      <w:r>
        <w:rPr>
          <w:rFonts w:hint="eastAsia" w:ascii="宋体" w:hAnsi="宋体" w:eastAsia="宋体" w:cs="宋体"/>
          <w:b/>
          <w:color w:val="auto"/>
          <w:sz w:val="24"/>
          <w:highlight w:val="none"/>
        </w:rPr>
        <w:br w:type="page"/>
      </w:r>
      <w:r>
        <w:rPr>
          <w:rFonts w:hint="eastAsia" w:ascii="宋体" w:hAnsi="宋体" w:eastAsia="宋体" w:cs="宋体"/>
          <w:bCs/>
          <w:color w:val="auto"/>
          <w:highlight w:val="none"/>
        </w:rPr>
        <w:t xml:space="preserve"> 格式2:</w:t>
      </w:r>
    </w:p>
    <w:p>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联合体共同投标协议</w:t>
      </w:r>
    </w:p>
    <w:p>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（格式详见招标公告附件）</w:t>
      </w:r>
    </w:p>
    <w:p>
      <w:pPr>
        <w:autoSpaceDE w:val="0"/>
        <w:autoSpaceDN w:val="0"/>
        <w:adjustRightInd w:val="0"/>
        <w:spacing w:line="360" w:lineRule="auto"/>
        <w:rPr>
          <w:rFonts w:hint="eastAsia" w:ascii="宋体" w:hAnsi="宋体" w:eastAsia="宋体" w:cs="宋体"/>
          <w:bCs/>
          <w:color w:val="auto"/>
          <w:highlight w:val="none"/>
          <w:lang w:val="zh-CN"/>
        </w:rPr>
        <w:sectPr>
          <w:headerReference r:id="rId10" w:type="default"/>
          <w:footerReference r:id="rId11" w:type="default"/>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格式3:</w:t>
      </w:r>
    </w:p>
    <w:p>
      <w:pPr>
        <w:pStyle w:val="110"/>
        <w:rPr>
          <w:rFonts w:hint="eastAsia" w:ascii="宋体" w:hAnsi="宋体" w:eastAsia="宋体" w:cs="宋体"/>
          <w:b w:val="0"/>
          <w:color w:val="auto"/>
          <w:highlight w:val="none"/>
        </w:rPr>
      </w:pPr>
      <w:r>
        <w:rPr>
          <w:rFonts w:hint="eastAsia" w:ascii="宋体" w:hAnsi="宋体" w:eastAsia="宋体" w:cs="宋体"/>
          <w:b w:val="0"/>
          <w:color w:val="auto"/>
          <w:highlight w:val="none"/>
        </w:rPr>
        <w:t>法定代表人证明书、授权委托书</w: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（1）法定代表人证明书</w:t>
      </w:r>
    </w:p>
    <w:p>
      <w:pPr>
        <w:pStyle w:val="87"/>
        <w:ind w:firstLine="7316" w:firstLineChars="2950"/>
        <w:rPr>
          <w:rFonts w:hint="eastAsia" w:ascii="宋体" w:hAnsi="宋体" w:eastAsia="宋体" w:cs="宋体"/>
          <w:color w:val="auto"/>
          <w:highlight w:val="none"/>
        </w:rPr>
      </w:pPr>
      <w:r>
        <w:rPr>
          <w:rFonts w:hint="eastAsia" w:ascii="宋体" w:hAnsi="宋体" w:eastAsia="宋体" w:cs="宋体"/>
          <w:color w:val="auto"/>
          <w:highlight w:val="none"/>
        </w:rPr>
        <w:t>（　 ）第　号</w:t>
      </w:r>
    </w:p>
    <w:p>
      <w:pPr>
        <w:pStyle w:val="87"/>
        <w:ind w:firstLine="48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8890" b="10160"/>
                <wp:wrapNone/>
                <wp:docPr id="1" name="Text Box 6"/>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7"/>
                              <w:ind w:firstLine="0" w:firstLineChars="0"/>
                              <w:rPr>
                                <w:szCs w:val="28"/>
                              </w:rPr>
                            </w:pPr>
                          </w:p>
                          <w:p>
                            <w:pPr>
                              <w:pStyle w:val="87"/>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87"/>
                              <w:ind w:firstLine="0" w:firstLineChars="0"/>
                              <w:rPr>
                                <w:szCs w:val="28"/>
                              </w:rPr>
                            </w:pPr>
                            <w:r>
                              <w:rPr>
                                <w:rFonts w:hint="eastAsia"/>
                                <w:szCs w:val="28"/>
                              </w:rPr>
                              <w:t>特此证明。</w:t>
                            </w:r>
                          </w:p>
                          <w:p>
                            <w:pPr>
                              <w:pStyle w:val="87"/>
                              <w:ind w:firstLine="0" w:firstLineChars="0"/>
                              <w:rPr>
                                <w:szCs w:val="28"/>
                              </w:rPr>
                            </w:pPr>
                            <w:r>
                              <w:rPr>
                                <w:rFonts w:hint="eastAsia"/>
                                <w:szCs w:val="28"/>
                              </w:rPr>
                              <w:t>有效期限：</w:t>
                            </w:r>
                            <w:r>
                              <w:rPr>
                                <w:rFonts w:hint="eastAsia"/>
                                <w:szCs w:val="28"/>
                                <w:u w:val="single"/>
                              </w:rPr>
                              <w:t xml:space="preserve">                                  </w:t>
                            </w:r>
                          </w:p>
                          <w:p>
                            <w:pPr>
                              <w:pStyle w:val="87"/>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pPr>
                              <w:pStyle w:val="87"/>
                              <w:ind w:firstLine="0" w:firstLineChars="0"/>
                              <w:rPr>
                                <w:szCs w:val="28"/>
                              </w:rPr>
                            </w:pPr>
                            <w:r>
                              <w:rPr>
                                <w:rFonts w:hint="eastAsia"/>
                                <w:szCs w:val="28"/>
                              </w:rPr>
                              <w:t>统一信用代码：</w:t>
                            </w:r>
                            <w:r>
                              <w:rPr>
                                <w:u w:val="single"/>
                              </w:rPr>
                              <w:t xml:space="preserve">                  </w:t>
                            </w:r>
                            <w:r>
                              <w:rPr>
                                <w:rFonts w:hint="eastAsia"/>
                                <w:szCs w:val="28"/>
                              </w:rPr>
                              <w:t>企业类型：</w:t>
                            </w:r>
                            <w:r>
                              <w:rPr>
                                <w:rFonts w:hint="eastAsia"/>
                                <w:szCs w:val="28"/>
                                <w:u w:val="single"/>
                              </w:rPr>
                              <w:t xml:space="preserve">                          </w:t>
                            </w:r>
                          </w:p>
                          <w:p>
                            <w:pPr>
                              <w:pStyle w:val="87"/>
                              <w:ind w:firstLine="0" w:firstLineChars="0"/>
                              <w:rPr>
                                <w:szCs w:val="28"/>
                              </w:rPr>
                            </w:pPr>
                            <w:r>
                              <w:rPr>
                                <w:rFonts w:hint="eastAsia"/>
                                <w:szCs w:val="28"/>
                              </w:rPr>
                              <w:t>经营范围：</w:t>
                            </w:r>
                            <w:r>
                              <w:rPr>
                                <w:rFonts w:hint="eastAsia"/>
                                <w:szCs w:val="28"/>
                                <w:u w:val="single"/>
                              </w:rPr>
                              <w:t xml:space="preserve">                                       </w:t>
                            </w:r>
                          </w:p>
                          <w:p>
                            <w:pPr>
                              <w:pStyle w:val="87"/>
                              <w:ind w:firstLine="0" w:firstLineChars="0"/>
                              <w:rPr>
                                <w:szCs w:val="28"/>
                              </w:rPr>
                            </w:pPr>
                            <w:r>
                              <w:rPr>
                                <w:rFonts w:hint="eastAsia"/>
                                <w:szCs w:val="28"/>
                              </w:rPr>
                              <w:t>　　　　　　　　　　单位：　　　　　　　　　　　（盖章）</w:t>
                            </w:r>
                          </w:p>
                          <w:p>
                            <w:pPr>
                              <w:pStyle w:val="87"/>
                              <w:ind w:firstLine="0" w:firstLineChars="0"/>
                              <w:rPr>
                                <w:szCs w:val="28"/>
                              </w:rPr>
                            </w:pPr>
                            <w:r>
                              <w:rPr>
                                <w:rFonts w:hint="eastAsia"/>
                                <w:szCs w:val="28"/>
                              </w:rPr>
                              <w:t>　　　　　　　　　　　　　　　　　　　　　    年　月　　日</w:t>
                            </w:r>
                          </w:p>
                        </w:txbxContent>
                      </wps:txbx>
                      <wps:bodyPr wrap="square" upright="1"/>
                    </wps:wsp>
                  </a:graphicData>
                </a:graphic>
              </wp:anchor>
            </w:drawing>
          </mc:Choice>
          <mc:Fallback>
            <w:pict>
              <v:shape id="Text Box 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&#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hMJ81wAAAAgBAAAPAAAAAAAAAAEAIAAAACIAAABk&#10;cnMvZG93bnJldi54bWxQSwECFAAUAAAACACHTuJAGk/7rgcCAABEBAAADgAAAAAAAAABACAAAAAm&#10;AQAAZHJzL2Uyb0RvYy54bWxQSwUGAAAAAAYABgBZAQAAnwUAAAAA&#10;">
                <v:fill on="t" focussize="0,0"/>
                <v:stroke color="#000000" joinstyle="miter"/>
                <v:imagedata o:title=""/>
                <o:lock v:ext="edit" aspectratio="f"/>
                <v:textbox>
                  <w:txbxContent>
                    <w:p>
                      <w:pPr>
                        <w:pStyle w:val="87"/>
                        <w:ind w:firstLine="0" w:firstLineChars="0"/>
                        <w:rPr>
                          <w:szCs w:val="28"/>
                        </w:rPr>
                      </w:pPr>
                    </w:p>
                    <w:p>
                      <w:pPr>
                        <w:pStyle w:val="87"/>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pPr>
                        <w:pStyle w:val="87"/>
                        <w:ind w:firstLine="0" w:firstLineChars="0"/>
                        <w:rPr>
                          <w:szCs w:val="28"/>
                        </w:rPr>
                      </w:pPr>
                      <w:r>
                        <w:rPr>
                          <w:rFonts w:hint="eastAsia"/>
                          <w:szCs w:val="28"/>
                        </w:rPr>
                        <w:t>特此证明。</w:t>
                      </w:r>
                    </w:p>
                    <w:p>
                      <w:pPr>
                        <w:pStyle w:val="87"/>
                        <w:ind w:firstLine="0" w:firstLineChars="0"/>
                        <w:rPr>
                          <w:szCs w:val="28"/>
                        </w:rPr>
                      </w:pPr>
                      <w:r>
                        <w:rPr>
                          <w:rFonts w:hint="eastAsia"/>
                          <w:szCs w:val="28"/>
                        </w:rPr>
                        <w:t>有效期限：</w:t>
                      </w:r>
                      <w:r>
                        <w:rPr>
                          <w:rFonts w:hint="eastAsia"/>
                          <w:szCs w:val="28"/>
                          <w:u w:val="single"/>
                        </w:rPr>
                        <w:t xml:space="preserve">                                  </w:t>
                      </w:r>
                    </w:p>
                    <w:p>
                      <w:pPr>
                        <w:pStyle w:val="87"/>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pPr>
                        <w:pStyle w:val="87"/>
                        <w:ind w:firstLine="0" w:firstLineChars="0"/>
                        <w:rPr>
                          <w:szCs w:val="28"/>
                        </w:rPr>
                      </w:pPr>
                      <w:r>
                        <w:rPr>
                          <w:rFonts w:hint="eastAsia"/>
                          <w:szCs w:val="28"/>
                        </w:rPr>
                        <w:t>统一信用代码：</w:t>
                      </w:r>
                      <w:r>
                        <w:rPr>
                          <w:u w:val="single"/>
                        </w:rPr>
                        <w:t xml:space="preserve">                  </w:t>
                      </w:r>
                      <w:r>
                        <w:rPr>
                          <w:rFonts w:hint="eastAsia"/>
                          <w:szCs w:val="28"/>
                        </w:rPr>
                        <w:t>企业类型：</w:t>
                      </w:r>
                      <w:r>
                        <w:rPr>
                          <w:rFonts w:hint="eastAsia"/>
                          <w:szCs w:val="28"/>
                          <w:u w:val="single"/>
                        </w:rPr>
                        <w:t xml:space="preserve">                          </w:t>
                      </w:r>
                    </w:p>
                    <w:p>
                      <w:pPr>
                        <w:pStyle w:val="87"/>
                        <w:ind w:firstLine="0" w:firstLineChars="0"/>
                        <w:rPr>
                          <w:szCs w:val="28"/>
                        </w:rPr>
                      </w:pPr>
                      <w:r>
                        <w:rPr>
                          <w:rFonts w:hint="eastAsia"/>
                          <w:szCs w:val="28"/>
                        </w:rPr>
                        <w:t>经营范围：</w:t>
                      </w:r>
                      <w:r>
                        <w:rPr>
                          <w:rFonts w:hint="eastAsia"/>
                          <w:szCs w:val="28"/>
                          <w:u w:val="single"/>
                        </w:rPr>
                        <w:t xml:space="preserve">                                       </w:t>
                      </w:r>
                    </w:p>
                    <w:p>
                      <w:pPr>
                        <w:pStyle w:val="87"/>
                        <w:ind w:firstLine="0" w:firstLineChars="0"/>
                        <w:rPr>
                          <w:szCs w:val="28"/>
                        </w:rPr>
                      </w:pPr>
                      <w:r>
                        <w:rPr>
                          <w:rFonts w:hint="eastAsia"/>
                          <w:szCs w:val="28"/>
                        </w:rPr>
                        <w:t>　　　　　　　　　　单位：　　　　　　　　　　　（盖章）</w:t>
                      </w:r>
                    </w:p>
                    <w:p>
                      <w:pPr>
                        <w:pStyle w:val="87"/>
                        <w:ind w:firstLine="0" w:firstLineChars="0"/>
                        <w:rPr>
                          <w:szCs w:val="28"/>
                        </w:rPr>
                      </w:pPr>
                      <w:r>
                        <w:rPr>
                          <w:rFonts w:hint="eastAsia"/>
                          <w:szCs w:val="28"/>
                        </w:rPr>
                        <w:t>　　　　　　　　　　　　　　　　　　　　　    年　月　　日</w:t>
                      </w:r>
                    </w:p>
                  </w:txbxContent>
                </v:textbox>
              </v:shape>
            </w:pict>
          </mc:Fallback>
        </mc:AlternateConten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授权委</w:t>
      </w: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托证明书</w: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　 ）第　号</w: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注：按提供的该表格格式填写，或使用从工商管理部门购买的表格填写。</w:t>
      </w: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（2）法定代表人授权委托书</w:t>
      </w:r>
    </w:p>
    <w:p>
      <w:pPr>
        <w:pStyle w:val="87"/>
        <w:ind w:firstLine="496"/>
        <w:rPr>
          <w:rFonts w:hint="eastAsia" w:ascii="宋体" w:hAnsi="宋体" w:eastAsia="宋体" w:cs="宋体"/>
          <w:color w:val="auto"/>
          <w:highlight w:val="none"/>
        </w:rPr>
      </w:pPr>
      <w:r>
        <w:rPr>
          <w:rFonts w:hint="eastAsia" w:ascii="宋体" w:hAnsi="宋体" w:eastAsia="宋体" w:cs="宋体"/>
          <w:color w:val="auto"/>
          <w:highlight w:val="none"/>
        </w:rPr>
        <w:t xml:space="preserve">                                                     （   ）第  号</w:t>
      </w:r>
    </w:p>
    <w:p>
      <w:pPr>
        <w:pStyle w:val="87"/>
        <w:ind w:firstLine="48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5692140" cy="2971800"/>
                <wp:effectExtent l="4445" t="4445" r="18415" b="10795"/>
                <wp:wrapNone/>
                <wp:docPr id="2" name="Text Box 7"/>
                <wp:cNvGraphicFramePr/>
                <a:graphic xmlns:a="http://schemas.openxmlformats.org/drawingml/2006/main">
                  <a:graphicData uri="http://schemas.microsoft.com/office/word/2010/wordprocessingShape">
                    <wps:wsp>
                      <wps:cNvSpPr txBox="1"/>
                      <wps:spPr>
                        <a:xfrm>
                          <a:off x="0" y="0"/>
                          <a:ext cx="5692140" cy="2971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7"/>
                              <w:ind w:firstLine="0" w:firstLineChars="0"/>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p>
                          <w:p>
                            <w:pPr>
                              <w:pStyle w:val="87"/>
                              <w:ind w:firstLine="0" w:firstLineChars="0"/>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有效期限：</w:t>
                            </w:r>
                            <w:r>
                              <w:rPr>
                                <w:u w:val="single"/>
                              </w:rPr>
                              <w:t xml:space="preserve">                                                   </w:t>
                            </w:r>
                            <w:r>
                              <w:rPr>
                                <w:rFonts w:hint="eastAsia"/>
                                <w:u w:val="single"/>
                              </w:rPr>
                              <w:t xml:space="preserve">     </w:t>
                            </w:r>
                          </w:p>
                          <w:p>
                            <w:pPr>
                              <w:pStyle w:val="87"/>
                              <w:ind w:firstLine="496"/>
                            </w:pPr>
                          </w:p>
                          <w:p>
                            <w:pPr>
                              <w:pStyle w:val="87"/>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szCs w:val="28"/>
                              </w:rPr>
                              <w:t>统一信用代码</w:t>
                            </w:r>
                            <w:r>
                              <w:rPr>
                                <w:rFonts w:hint="eastAsia"/>
                              </w:rPr>
                              <w:t>：</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经营范围：</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法定代表人（负责人）：</w:t>
                            </w:r>
                            <w:r>
                              <w:rPr>
                                <w:u w:val="single"/>
                              </w:rPr>
                              <w:t xml:space="preserve">                 </w:t>
                            </w:r>
                            <w:r>
                              <w:rPr>
                                <w:rFonts w:hint="eastAsia"/>
                              </w:rPr>
                              <w:t>（签字或盖章）</w:t>
                            </w:r>
                          </w:p>
                          <w:p>
                            <w:pPr>
                              <w:pStyle w:val="87"/>
                              <w:ind w:firstLine="0" w:firstLineChars="0"/>
                            </w:pPr>
                            <w:r>
                              <w:rPr>
                                <w:rFonts w:hint="eastAsia"/>
                              </w:rPr>
                              <w:t>授权单位：（盖章）</w:t>
                            </w:r>
                            <w:r>
                              <w:rPr>
                                <w:u w:val="single"/>
                              </w:rPr>
                              <w:t xml:space="preserve">                      </w:t>
                            </w:r>
                          </w:p>
                          <w:p>
                            <w:pPr>
                              <w:pStyle w:val="87"/>
                              <w:ind w:firstLine="496"/>
                            </w:pPr>
                            <w:r>
                              <w:rPr>
                                <w:rFonts w:hint="eastAsia"/>
                              </w:rPr>
                              <w:t>年</w:t>
                            </w:r>
                            <w:r>
                              <w:t xml:space="preserve">  </w:t>
                            </w:r>
                            <w:r>
                              <w:rPr>
                                <w:rFonts w:hint="eastAsia"/>
                              </w:rPr>
                              <w:t>月</w:t>
                            </w:r>
                            <w:r>
                              <w:t xml:space="preserve">   </w:t>
                            </w:r>
                            <w:r>
                              <w:rPr>
                                <w:rFonts w:hint="eastAsia"/>
                              </w:rPr>
                              <w:t>日</w:t>
                            </w:r>
                          </w:p>
                        </w:txbxContent>
                      </wps:txbx>
                      <wps:bodyPr wrap="square" upright="1"/>
                    </wps:wsp>
                  </a:graphicData>
                </a:graphic>
              </wp:anchor>
            </w:drawing>
          </mc:Choice>
          <mc:Fallback>
            <w:pict>
              <v:shape id="Text Box 7" o:spid="_x0000_s1026" o:spt="202" type="#_x0000_t202" style="position:absolute;left:0pt;margin-left:9pt;margin-top:2.7pt;height:234pt;width:448.2pt;z-index:251660288;mso-width-relative:page;mso-height-relative:page;" fillcolor="#FFFFFF" filled="t" stroked="t" coordsize="21600,21600" o:gfxdata="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&#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L4pldcAAAAIAQAADwAAAAAAAAABACAAAAAiAAAA&#10;ZHJzL2Rvd25yZXYueG1sUEsBAhQAFAAAAAgAh07iQEMNAqAIAgAARAQAAA4AAAAAAAAAAQAgAAAA&#10;JgEAAGRycy9lMm9Eb2MueG1sUEsFBgAAAAAGAAYAWQEAAKAFAAAAAA==&#10;">
                <v:fill on="t" focussize="0,0"/>
                <v:stroke color="#000000" joinstyle="miter"/>
                <v:imagedata o:title=""/>
                <o:lock v:ext="edit" aspectratio="f"/>
                <v:textbox>
                  <w:txbxContent>
                    <w:p>
                      <w:pPr>
                        <w:pStyle w:val="87"/>
                        <w:ind w:firstLine="0" w:firstLineChars="0"/>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p>
                    <w:p>
                      <w:pPr>
                        <w:pStyle w:val="87"/>
                        <w:ind w:firstLine="0" w:firstLineChars="0"/>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有效期限：</w:t>
                      </w:r>
                      <w:r>
                        <w:rPr>
                          <w:u w:val="single"/>
                        </w:rPr>
                        <w:t xml:space="preserve">                                                   </w:t>
                      </w:r>
                      <w:r>
                        <w:rPr>
                          <w:rFonts w:hint="eastAsia"/>
                          <w:u w:val="single"/>
                        </w:rPr>
                        <w:t xml:space="preserve">     </w:t>
                      </w:r>
                    </w:p>
                    <w:p>
                      <w:pPr>
                        <w:pStyle w:val="87"/>
                        <w:ind w:firstLine="496"/>
                      </w:pPr>
                    </w:p>
                    <w:p>
                      <w:pPr>
                        <w:pStyle w:val="87"/>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szCs w:val="28"/>
                        </w:rPr>
                        <w:t>统一信用代码</w:t>
                      </w:r>
                      <w:r>
                        <w:rPr>
                          <w:rFonts w:hint="eastAsia"/>
                        </w:rPr>
                        <w:t>：</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经营范围：</w:t>
                      </w:r>
                      <w:r>
                        <w:rPr>
                          <w:u w:val="single"/>
                        </w:rPr>
                        <w:t xml:space="preserve">                                                 </w:t>
                      </w:r>
                      <w:r>
                        <w:rPr>
                          <w:rFonts w:hint="eastAsia"/>
                          <w:u w:val="single"/>
                        </w:rPr>
                        <w:t xml:space="preserve">      </w:t>
                      </w:r>
                      <w:r>
                        <w:rPr>
                          <w:u w:val="single"/>
                        </w:rPr>
                        <w:t xml:space="preserve"> </w:t>
                      </w:r>
                    </w:p>
                    <w:p>
                      <w:pPr>
                        <w:pStyle w:val="87"/>
                        <w:ind w:firstLine="0" w:firstLineChars="0"/>
                      </w:pPr>
                      <w:r>
                        <w:rPr>
                          <w:rFonts w:hint="eastAsia"/>
                        </w:rPr>
                        <w:t>法定代表人（负责人）：</w:t>
                      </w:r>
                      <w:r>
                        <w:rPr>
                          <w:u w:val="single"/>
                        </w:rPr>
                        <w:t xml:space="preserve">                 </w:t>
                      </w:r>
                      <w:r>
                        <w:rPr>
                          <w:rFonts w:hint="eastAsia"/>
                        </w:rPr>
                        <w:t>（签字或盖章）</w:t>
                      </w:r>
                    </w:p>
                    <w:p>
                      <w:pPr>
                        <w:pStyle w:val="87"/>
                        <w:ind w:firstLine="0" w:firstLineChars="0"/>
                      </w:pPr>
                      <w:r>
                        <w:rPr>
                          <w:rFonts w:hint="eastAsia"/>
                        </w:rPr>
                        <w:t>授权单位：（盖章）</w:t>
                      </w:r>
                      <w:r>
                        <w:rPr>
                          <w:u w:val="single"/>
                        </w:rPr>
                        <w:t xml:space="preserve">                      </w:t>
                      </w:r>
                    </w:p>
                    <w:p>
                      <w:pPr>
                        <w:pStyle w:val="87"/>
                        <w:ind w:firstLine="496"/>
                      </w:pPr>
                      <w:r>
                        <w:rPr>
                          <w:rFonts w:hint="eastAsia"/>
                        </w:rPr>
                        <w:t>年</w:t>
                      </w:r>
                      <w:r>
                        <w:t xml:space="preserve">  </w:t>
                      </w:r>
                      <w:r>
                        <w:rPr>
                          <w:rFonts w:hint="eastAsia"/>
                        </w:rPr>
                        <w:t>月</w:t>
                      </w:r>
                      <w:r>
                        <w:t xml:space="preserve">   </w:t>
                      </w:r>
                      <w:r>
                        <w:rPr>
                          <w:rFonts w:hint="eastAsia"/>
                        </w:rPr>
                        <w:t>日</w:t>
                      </w:r>
                    </w:p>
                  </w:txbxContent>
                </v:textbox>
              </v:shape>
            </w:pict>
          </mc:Fallback>
        </mc:AlternateContent>
      </w: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pStyle w:val="87"/>
        <w:ind w:firstLine="496"/>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注：法定代表人授权委托书也可以采用工商行政管理局统一印制的格式。</w:t>
      </w:r>
    </w:p>
    <w:p>
      <w:pPr>
        <w:spacing w:line="360" w:lineRule="auto"/>
        <w:ind w:firstLine="420"/>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sectPr>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int="eastAsia" w:ascii="宋体" w:hAnsi="宋体" w:eastAsia="宋体" w:cs="宋体"/>
          <w:bCs/>
          <w:color w:val="auto"/>
          <w:highlight w:val="none"/>
        </w:rPr>
      </w:pPr>
      <w:bookmarkStart w:id="986" w:name="_Toc235615834"/>
      <w:bookmarkStart w:id="987" w:name="_Toc235616116"/>
      <w:bookmarkStart w:id="988" w:name="_Toc236215897"/>
      <w:r>
        <w:rPr>
          <w:rFonts w:hint="eastAsia" w:ascii="宋体" w:hAnsi="宋体" w:eastAsia="宋体" w:cs="宋体"/>
          <w:bCs/>
          <w:color w:val="auto"/>
          <w:highlight w:val="none"/>
        </w:rPr>
        <w:t>格式4:</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投标承诺书</w:t>
      </w:r>
    </w:p>
    <w:p>
      <w:pPr>
        <w:spacing w:line="360" w:lineRule="auto"/>
        <w:jc w:val="center"/>
        <w:rPr>
          <w:rFonts w:hint="eastAsia" w:ascii="宋体" w:hAnsi="宋体" w:eastAsia="宋体" w:cs="宋体"/>
          <w:b/>
          <w:color w:val="auto"/>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（招标人名称）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我公司确认收到招标人提供的</w:t>
      </w:r>
      <w:r>
        <w:rPr>
          <w:rFonts w:hint="eastAsia" w:ascii="宋体" w:hAnsi="宋体" w:eastAsia="宋体" w:cs="宋体"/>
          <w:color w:val="auto"/>
          <w:szCs w:val="21"/>
          <w:highlight w:val="none"/>
          <w:u w:val="single"/>
        </w:rPr>
        <w:t>　　　　　　　　　　　　　（项目名称）</w:t>
      </w:r>
      <w:r>
        <w:rPr>
          <w:rFonts w:hint="eastAsia" w:ascii="宋体" w:hAnsi="宋体" w:eastAsia="宋体" w:cs="宋体"/>
          <w:color w:val="auto"/>
          <w:szCs w:val="21"/>
          <w:highlight w:val="none"/>
        </w:rPr>
        <w:t>招标文件的全部内容，我方：</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已作为投标人正式授权</w:t>
      </w:r>
      <w:r>
        <w:rPr>
          <w:rFonts w:hint="eastAsia" w:ascii="宋体" w:hAnsi="宋体" w:eastAsia="宋体" w:cs="宋体"/>
          <w:color w:val="auto"/>
          <w:szCs w:val="21"/>
          <w:highlight w:val="none"/>
          <w:u w:val="single"/>
        </w:rPr>
        <w:t xml:space="preserve">　　　(授权代表全名，职务)  </w:t>
      </w:r>
      <w:r>
        <w:rPr>
          <w:rFonts w:hint="eastAsia" w:ascii="宋体" w:hAnsi="宋体" w:eastAsia="宋体" w:cs="宋体"/>
          <w:color w:val="auto"/>
          <w:szCs w:val="21"/>
          <w:highlight w:val="none"/>
        </w:rPr>
        <w:t>代表我公司进行有关本投标的一切事宜。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我公司已完全明白和接受招标文件的所有条款要求，并重申以下几点：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公司已详细研究并理解招标人提供的所有资料内容，同意招标文件的内容，对招标文件内容和约束无异议，充分了解了现场条件对可能存在的所有风险都已充分考虑，我公司放弃在此方面提出含糊意见或误解的一切权力，承认招标文件的所有条款，按招标文件规定条款完成本次招标项目的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我公司已充分阅读了本项目招标文件并充分了解有关报价方式及变更、结算方式，我公司完全响应招标文件的规定。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3．本投标文件的有效期为投标截止日后</w:t>
      </w:r>
      <w:r>
        <w:rPr>
          <w:rFonts w:hint="eastAsia" w:ascii="宋体" w:hAnsi="宋体" w:eastAsia="宋体" w:cs="宋体"/>
          <w:color w:val="auto"/>
          <w:szCs w:val="21"/>
          <w:highlight w:val="none"/>
          <w:u w:val="single"/>
        </w:rPr>
        <w:t>120</w:t>
      </w:r>
      <w:r>
        <w:rPr>
          <w:rFonts w:hint="eastAsia" w:ascii="宋体" w:hAnsi="宋体" w:eastAsia="宋体" w:cs="宋体"/>
          <w:color w:val="auto"/>
          <w:szCs w:val="21"/>
          <w:highlight w:val="none"/>
        </w:rPr>
        <w:t>天内有效，如出现异议或投诉，则投标有效期自动延长至异议或投诉处理结束，确定中标人并发放中标通知书为止；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公司承诺投标文件中的一切资料、数据是真实的，并承担由此引起的一切责任。如在本项目招投标法定期间，若招标人（或招投标监管部门）收到任何针对我司的异议和投诉，我司应依法举证，否则愿意承担举证不能的法律后果。</w:t>
      </w:r>
    </w:p>
    <w:p>
      <w:pPr>
        <w:spacing w:line="360" w:lineRule="auto"/>
        <w:ind w:firstLine="420" w:firstLineChars="20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5．我公司明白并愿意若在规定的投标截止时间之后至投标有效期之内撤回投标，则投标保证金将被贵司没收。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6．我公司同意按照招标人可能提出的要求而提供与投标有关的任何其它数据或信息。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7．我公司如果中标，我公司保证：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保证履行招标文件以及招标文件修改书(如有)中的全部责任和义务，在招标文件规定的时间内签订合同，并严格按国家有关法规履行我公司的全部责任，按质、按量、按期完成合同约定的全部任务。同时，承诺遵守招标人提出的限额设计、限额施工相关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保证将我公司的资质承包范围不能涵盖或不具备相应能力(该能力须保证进度和质量且须获得发包人认可)的部分专业工程（如果有），委托获得招标人批准的具备相应专业资质和能力的单位实施，确保项目质量及进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保证所完成的设计将完全符合国家相关规范要求，符合或优于招标文件、技术条件、合同条款的要求。若我公司完成的设计文件未能达到发包人（或相关政府部门）的要求，我公司将无条件根据要求进行修改设计文件，直至得到招标人（及相关政府部门）的认可为止。我方承诺并确保本项目施工图纸及相关技术文件通过供电部门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承诺严格遵守本合同工期，保证尽一切力量确保投标承诺的竣工日期，承担本项目的施工图设计、施工图审查、用地规划及施工报建等各项报批工作。各项报建报批工作所需的时间已包含在本项目总工期内，并承担各项报建工作中存在的审批缓慢，审批不通过等风险，因设计施工总承包报建工作程序与现有报建流程不相符所带来的报建延误等风险，由我公司承担。若我公司未能按投标承诺的工期完成本项目，除承担合同约定的违约责任外，招标人有权解除合同，我公司承担由于违约解除合同退场造成的对招标人的一切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7.5接受招标人为本项目委派的工程监理、造价咨询、工程设计咨询、项目代建等咨询管理单位的管理及监督。接受这些监督并不免除投标人（设计施工总承包单位）作为合同方所应承担的责任。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7.6保证投标所报的项目负责人、设计负责人在本项目合同签订后7日内到职，全过程服务于本项目，在过程中非不可抗力或招标人要求不得更换。我公司违反以上承诺的，同意按合同条款的规定承担违约责任。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7.7我单位郑重承诺：中标后，我司将根据工程的实际情况委派符合要求（相应等级及数量）的注册建造师及专职安全人员，负责相应工程的报建报批及具体实施，委派的注册建造师及专职安全员须经招标人同意。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7.8保证所投入本项目的主要材料、设备质量符合或优于招标人提供的《主要材料品牌/生产厂家推荐表（如有）》的要求。所投入本项目的其他设备和材料不低于南沙现行同类项目标准。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7.9保证按照招标文件的要求确保安全生产及文明施工，如有违反，我公司愿意按合同约定承担违约责任，并为此负相关的法律责任。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7.10保证按国家的有关规定制订保证民工工资支付的方案及保证措施，否则，我公司愿按合同条款规定承担违约责任并赔偿招标人的全部损失。</w:t>
      </w:r>
    </w:p>
    <w:p>
      <w:pPr>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7.11</w:t>
      </w:r>
      <w:r>
        <w:rPr>
          <w:rFonts w:hint="eastAsia" w:ascii="宋体" w:hAnsi="宋体" w:cs="Times New Roman"/>
          <w:color w:val="auto"/>
          <w:sz w:val="21"/>
          <w:szCs w:val="20"/>
          <w:highlight w:val="none"/>
          <w:lang w:val="en-US" w:eastAsia="zh-CN"/>
        </w:rPr>
        <w:t>本招标项目的其他投标人存在控股、管理或任何影响投标公平性、公正性的关系</w:t>
      </w:r>
      <w:r>
        <w:rPr>
          <w:rFonts w:hint="eastAsia" w:ascii="宋体" w:hAnsi="宋体" w:eastAsia="宋体" w:cs="Times New Roman"/>
          <w:color w:val="auto"/>
          <w:sz w:val="21"/>
          <w:szCs w:val="20"/>
          <w:highlight w:val="none"/>
          <w:lang w:val="en-US" w:eastAsia="zh-CN"/>
        </w:rPr>
        <w:t>，</w:t>
      </w:r>
      <w:r>
        <w:rPr>
          <w:rFonts w:hint="eastAsia" w:ascii="宋体" w:hAnsi="宋体" w:cs="Times New Roman"/>
          <w:color w:val="auto"/>
          <w:sz w:val="21"/>
          <w:szCs w:val="20"/>
          <w:highlight w:val="none"/>
        </w:rPr>
        <w:t>一经发现</w:t>
      </w:r>
      <w:r>
        <w:rPr>
          <w:rFonts w:hint="eastAsia" w:ascii="宋体" w:hAnsi="宋体" w:cs="Times New Roman"/>
          <w:color w:val="auto"/>
          <w:sz w:val="21"/>
          <w:szCs w:val="20"/>
          <w:highlight w:val="none"/>
          <w:lang w:eastAsia="zh-CN"/>
        </w:rPr>
        <w:t>，</w:t>
      </w:r>
      <w:r>
        <w:rPr>
          <w:rFonts w:hint="eastAsia" w:ascii="宋体" w:hAnsi="宋体" w:cs="Times New Roman"/>
          <w:color w:val="auto"/>
          <w:sz w:val="21"/>
          <w:szCs w:val="20"/>
          <w:highlight w:val="none"/>
          <w:lang w:val="en-US" w:eastAsia="zh-CN"/>
        </w:rPr>
        <w:t>投标人应承担相应法律责任。</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3360" w:firstLineChars="1600"/>
        <w:rPr>
          <w:rFonts w:hint="eastAsia" w:ascii="宋体" w:hAnsi="宋体" w:eastAsia="宋体" w:cs="宋体"/>
          <w:color w:val="auto"/>
          <w:szCs w:val="21"/>
          <w:highlight w:val="none"/>
        </w:rPr>
      </w:pPr>
    </w:p>
    <w:p>
      <w:pPr>
        <w:spacing w:line="360" w:lineRule="auto"/>
        <w:ind w:firstLine="3360" w:firstLineChars="1600"/>
        <w:rPr>
          <w:rFonts w:hint="eastAsia" w:ascii="宋体" w:hAnsi="宋体" w:eastAsia="宋体" w:cs="宋体"/>
          <w:color w:val="auto"/>
          <w:szCs w:val="21"/>
          <w:highlight w:val="none"/>
        </w:rPr>
      </w:pP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spacing w:line="360" w:lineRule="auto"/>
        <w:ind w:firstLine="1155" w:firstLineChars="5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法定代表人或其授权委托人(签字或盖章)：</w:t>
      </w:r>
    </w:p>
    <w:p>
      <w:pPr>
        <w:spacing w:line="360" w:lineRule="auto"/>
        <w:ind w:firstLine="3360" w:firstLineChars="1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2"/>
        <w:spacing w:line="360" w:lineRule="auto"/>
        <w:ind w:firstLine="211" w:firstLineChars="100"/>
        <w:rPr>
          <w:rFonts w:hint="eastAsia" w:ascii="宋体" w:hAnsi="宋体" w:eastAsia="宋体" w:cs="宋体"/>
          <w:b/>
          <w:color w:val="auto"/>
          <w:sz w:val="21"/>
          <w:szCs w:val="21"/>
          <w:highlight w:val="none"/>
        </w:rPr>
      </w:pPr>
    </w:p>
    <w:p>
      <w:pPr>
        <w:pStyle w:val="2"/>
        <w:spacing w:line="360" w:lineRule="auto"/>
        <w:ind w:firstLine="211" w:firstLineChars="100"/>
        <w:rPr>
          <w:rFonts w:hint="eastAsia" w:ascii="宋体" w:hAnsi="宋体" w:eastAsia="宋体" w:cs="宋体"/>
          <w:b/>
          <w:color w:val="auto"/>
          <w:sz w:val="21"/>
          <w:szCs w:val="21"/>
          <w:highlight w:val="none"/>
        </w:rPr>
      </w:pPr>
    </w:p>
    <w:p>
      <w:pPr>
        <w:pStyle w:val="2"/>
        <w:spacing w:line="360" w:lineRule="auto"/>
        <w:ind w:firstLine="211" w:firstLineChars="100"/>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注：联合体投标的，“投标人”一栏需书写所有联合体成员的单位全称，可由主办方签署、盖章。</w:t>
      </w: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spacing w:line="360" w:lineRule="auto"/>
        <w:rPr>
          <w:rFonts w:hint="eastAsia" w:ascii="宋体" w:hAnsi="宋体" w:eastAsia="宋体" w:cs="宋体"/>
          <w:b/>
          <w:color w:val="auto"/>
          <w:highlight w:val="none"/>
        </w:rPr>
      </w:pPr>
    </w:p>
    <w:p>
      <w:pPr>
        <w:tabs>
          <w:tab w:val="left" w:pos="720"/>
        </w:tabs>
        <w:snapToGrid w:val="0"/>
        <w:spacing w:line="360" w:lineRule="auto"/>
        <w:jc w:val="left"/>
        <w:rPr>
          <w:rFonts w:hint="eastAsia" w:ascii="宋体" w:hAnsi="宋体" w:eastAsia="宋体" w:cs="宋体"/>
          <w:bCs/>
          <w:color w:val="auto"/>
          <w:highlight w:val="none"/>
        </w:rPr>
      </w:pPr>
      <w:r>
        <w:rPr>
          <w:rFonts w:hint="eastAsia" w:ascii="宋体" w:hAnsi="宋体" w:eastAsia="宋体" w:cs="宋体"/>
          <w:bCs/>
          <w:color w:val="auto"/>
          <w:highlight w:val="none"/>
        </w:rPr>
        <w:br w:type="page"/>
      </w:r>
      <w:bookmarkEnd w:id="986"/>
      <w:bookmarkEnd w:id="987"/>
      <w:bookmarkEnd w:id="988"/>
      <w:r>
        <w:rPr>
          <w:rFonts w:hint="eastAsia" w:ascii="宋体" w:hAnsi="宋体" w:eastAsia="宋体" w:cs="宋体"/>
          <w:bCs/>
          <w:color w:val="auto"/>
          <w:highlight w:val="none"/>
        </w:rPr>
        <w:t>格式5：</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工程总承包项目管理团队人员信息表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701"/>
        <w:gridCol w:w="2269"/>
        <w:gridCol w:w="1864"/>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w:t>
            </w: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spacing w:line="360" w:lineRule="auto"/>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spacing w:line="360" w:lineRule="auto"/>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spacing w:line="360" w:lineRule="auto"/>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spacing w:line="360" w:lineRule="auto"/>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701"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269"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1864"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c>
          <w:tcPr>
            <w:tcW w:w="2867" w:type="dxa"/>
            <w:noWrap w:val="0"/>
            <w:vAlign w:val="center"/>
          </w:tcPr>
          <w:p>
            <w:pPr>
              <w:adjustRightInd w:val="0"/>
              <w:snapToGrid w:val="0"/>
              <w:ind w:left="-63" w:leftChars="-30" w:right="-63" w:rightChars="-30"/>
              <w:jc w:val="center"/>
              <w:rPr>
                <w:rFonts w:hint="eastAsia" w:ascii="宋体" w:hAnsi="宋体" w:eastAsia="宋体" w:cs="宋体"/>
                <w:color w:val="auto"/>
                <w:szCs w:val="21"/>
                <w:highlight w:val="none"/>
              </w:rPr>
            </w:pPr>
          </w:p>
        </w:tc>
      </w:tr>
    </w:tbl>
    <w:p>
      <w:pPr>
        <w:adjustRightInd w:val="0"/>
        <w:snapToGrid w:val="0"/>
        <w:ind w:left="-63" w:leftChars="-30" w:right="-63" w:righ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注：（1）本表结合项目管理的实际需要和投标人的自身实际填写并附相关证明材料。本表为项目实施方案的组成部分。须同时提供截止投标前近</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个月（202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月）有效的社保证明材料，社保证明需能反映参保人在相应单位（含分公司，但不含投标人子公司）缴纳。</w:t>
      </w:r>
    </w:p>
    <w:p>
      <w:pPr>
        <w:adjustRightInd w:val="0"/>
        <w:snapToGrid w:val="0"/>
        <w:ind w:left="-63" w:leftChars="-30" w:right="-63" w:righ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（2）“岗位”要求根据项目管理需要及招标文件要求填报。以上项目管理团队人员信息将由交易系统提取后供各相关单位在履约时比对、查核。</w:t>
      </w:r>
    </w:p>
    <w:p>
      <w:pPr>
        <w:adjustRightInd w:val="0"/>
        <w:snapToGrid w:val="0"/>
        <w:ind w:left="-63" w:leftChars="-30" w:right="-63" w:righ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pPr>
        <w:adjustRightInd w:val="0"/>
        <w:snapToGrid w:val="0"/>
        <w:ind w:left="-63" w:leftChars="-30" w:right="-63" w:righ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p>
    <w:p>
      <w:pPr>
        <w:autoSpaceDE w:val="0"/>
        <w:autoSpaceDN w:val="0"/>
        <w:adjustRightInd w:val="0"/>
        <w:spacing w:line="360" w:lineRule="auto"/>
        <w:rPr>
          <w:rFonts w:hint="eastAsia" w:ascii="宋体" w:hAnsi="宋体" w:eastAsia="宋体" w:cs="宋体"/>
          <w:b/>
          <w:bCs/>
          <w:color w:val="auto"/>
          <w:sz w:val="32"/>
          <w:szCs w:val="32"/>
          <w:highlight w:val="none"/>
          <w:lang w:val="zh-CN"/>
        </w:rPr>
      </w:pPr>
      <w:r>
        <w:rPr>
          <w:rFonts w:hint="eastAsia" w:ascii="宋体" w:hAnsi="宋体" w:eastAsia="宋体" w:cs="宋体"/>
          <w:bCs/>
          <w:color w:val="auto"/>
          <w:highlight w:val="none"/>
        </w:rPr>
        <w:br w:type="page"/>
      </w:r>
      <w:r>
        <w:rPr>
          <w:rFonts w:hint="eastAsia" w:ascii="宋体" w:hAnsi="宋体" w:eastAsia="宋体" w:cs="宋体"/>
          <w:bCs/>
          <w:color w:val="auto"/>
          <w:highlight w:val="none"/>
        </w:rPr>
        <w:t>格式</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w:t>
      </w:r>
    </w:p>
    <w:p>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2"/>
          <w:szCs w:val="32"/>
          <w:highlight w:val="none"/>
          <w:lang w:val="zh-CN"/>
        </w:rPr>
        <w:t>参与编制</w:t>
      </w:r>
      <w:r>
        <w:rPr>
          <w:rFonts w:hint="eastAsia" w:ascii="宋体" w:hAnsi="宋体" w:eastAsia="宋体" w:cs="宋体"/>
          <w:b/>
          <w:bCs/>
          <w:color w:val="auto"/>
          <w:sz w:val="32"/>
          <w:szCs w:val="32"/>
          <w:highlight w:val="none"/>
        </w:rPr>
        <w:t>工程总承包实施方案</w:t>
      </w:r>
      <w:r>
        <w:rPr>
          <w:rFonts w:hint="eastAsia" w:ascii="宋体" w:hAnsi="宋体" w:eastAsia="宋体" w:cs="宋体"/>
          <w:b/>
          <w:bCs/>
          <w:color w:val="auto"/>
          <w:sz w:val="32"/>
          <w:szCs w:val="32"/>
          <w:highlight w:val="none"/>
          <w:lang w:val="zh-CN"/>
        </w:rPr>
        <w:t>投标文件人员名单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311"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20"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所承担工作</w:t>
            </w:r>
          </w:p>
        </w:tc>
        <w:tc>
          <w:tcPr>
            <w:tcW w:w="2449"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2425"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311"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320"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49"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425"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bl>
    <w:p>
      <w:pPr>
        <w:spacing w:line="360" w:lineRule="auto"/>
        <w:ind w:left="-210" w:leftChars="-100" w:right="-475" w:rightChars="-226" w:firstLine="235" w:firstLineChars="11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注：参与编制标书所有人员名单应包括如编制工程总承包实施方案、负责清样校对、负责打印及复印等所有人员在内的人员名单。</w:t>
      </w:r>
    </w:p>
    <w:p>
      <w:pPr>
        <w:spacing w:line="360" w:lineRule="auto"/>
        <w:ind w:right="-475" w:rightChars="-226"/>
        <w:rPr>
          <w:rFonts w:hint="eastAsia" w:ascii="宋体" w:hAnsi="宋体" w:eastAsia="宋体" w:cs="宋体"/>
          <w:b/>
          <w:color w:val="auto"/>
          <w:highlight w:val="none"/>
        </w:rPr>
      </w:pPr>
      <w:r>
        <w:rPr>
          <w:rFonts w:hint="eastAsia" w:ascii="宋体" w:hAnsi="宋体" w:eastAsia="宋体" w:cs="宋体"/>
          <w:color w:val="auto"/>
          <w:szCs w:val="21"/>
          <w:highlight w:val="none"/>
        </w:rPr>
        <w:br w:type="page"/>
      </w:r>
      <w:bookmarkEnd w:id="974"/>
      <w:bookmarkEnd w:id="975"/>
      <w:bookmarkEnd w:id="976"/>
      <w:bookmarkEnd w:id="977"/>
      <w:bookmarkEnd w:id="978"/>
      <w:bookmarkEnd w:id="979"/>
      <w:bookmarkEnd w:id="980"/>
      <w:bookmarkEnd w:id="981"/>
      <w:bookmarkEnd w:id="982"/>
      <w:bookmarkEnd w:id="983"/>
      <w:bookmarkEnd w:id="984"/>
      <w:bookmarkEnd w:id="985"/>
      <w:r>
        <w:rPr>
          <w:rFonts w:hint="eastAsia" w:ascii="宋体" w:hAnsi="宋体" w:eastAsia="宋体" w:cs="宋体"/>
          <w:bCs/>
          <w:color w:val="auto"/>
          <w:highlight w:val="none"/>
        </w:rPr>
        <w:t>格式</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w:t>
      </w:r>
    </w:p>
    <w:p>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参与编制经济标投标文件人员名单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7"/>
        <w:gridCol w:w="1183"/>
        <w:gridCol w:w="2770"/>
        <w:gridCol w:w="2258"/>
        <w:gridCol w:w="2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17"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183"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770"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所承担工作</w:t>
            </w:r>
          </w:p>
        </w:tc>
        <w:tc>
          <w:tcPr>
            <w:tcW w:w="2258"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2254" w:type="dxa"/>
            <w:tcBorders>
              <w:top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017"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017"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1183"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770"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8"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c>
          <w:tcPr>
            <w:tcW w:w="2254" w:type="dxa"/>
            <w:tcBorders>
              <w:bottom w:val="single" w:color="auto" w:sz="4" w:space="0"/>
            </w:tcBorders>
            <w:noWrap w:val="0"/>
            <w:vAlign w:val="center"/>
          </w:tcPr>
          <w:p>
            <w:pPr>
              <w:tabs>
                <w:tab w:val="left" w:pos="0"/>
                <w:tab w:val="left" w:pos="720"/>
              </w:tabs>
              <w:adjustRightInd w:val="0"/>
              <w:snapToGrid w:val="0"/>
              <w:spacing w:line="360" w:lineRule="auto"/>
              <w:jc w:val="center"/>
              <w:rPr>
                <w:rFonts w:hint="eastAsia" w:ascii="宋体" w:hAnsi="宋体" w:eastAsia="宋体" w:cs="宋体"/>
                <w:color w:val="auto"/>
                <w:highlight w:val="none"/>
              </w:rPr>
            </w:pPr>
          </w:p>
        </w:tc>
      </w:tr>
    </w:tbl>
    <w:p>
      <w:pPr>
        <w:tabs>
          <w:tab w:val="left" w:pos="720"/>
        </w:tabs>
        <w:snapToGri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注：参与编制标书所有人员名单应包括编制投标报价、负责清样校对、负责打印及复印等所有人员在内的人员名单。</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left"/>
        <w:rPr>
          <w:rFonts w:hint="eastAsia" w:ascii="宋体" w:hAnsi="宋体" w:eastAsia="宋体" w:cs="宋体"/>
          <w:color w:val="auto"/>
          <w:highlight w:val="none"/>
        </w:rPr>
      </w:pPr>
      <w:r>
        <w:rPr>
          <w:rFonts w:hint="eastAsia" w:ascii="宋体" w:hAnsi="宋体" w:eastAsia="宋体" w:cs="宋体"/>
          <w:color w:val="auto"/>
          <w:highlight w:val="none"/>
        </w:rPr>
        <w:t>格式9：</w:t>
      </w:r>
    </w:p>
    <w:p>
      <w:pPr>
        <w:jc w:val="right"/>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【项目名称】</w:t>
      </w:r>
    </w:p>
    <w:p>
      <w:pPr>
        <w:rPr>
          <w:rFonts w:hint="eastAsia" w:ascii="宋体" w:hAnsi="宋体" w:eastAsia="宋体" w:cs="宋体"/>
          <w:color w:val="auto"/>
          <w:sz w:val="20"/>
          <w:highlight w:val="none"/>
        </w:rPr>
      </w:pPr>
    </w:p>
    <w:p>
      <w:pPr>
        <w:rPr>
          <w:rFonts w:hint="eastAsia" w:ascii="宋体" w:hAnsi="宋体" w:eastAsia="宋体" w:cs="宋体"/>
          <w:color w:val="auto"/>
          <w:sz w:val="20"/>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投标文件</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（资格审查文件/工程总承包实施方案/经济标）</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法定代表人或其委托代理人：（签字或盖章）</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989" w:name="_Toc194"/>
      <w:bookmarkStart w:id="990" w:name="_Toc10741"/>
      <w:bookmarkStart w:id="991" w:name="_Toc14611"/>
      <w:bookmarkStart w:id="992" w:name="_Toc271821942"/>
      <w:bookmarkStart w:id="993" w:name="_Toc2218"/>
      <w:bookmarkStart w:id="994" w:name="_Toc490141090"/>
      <w:bookmarkStart w:id="995" w:name="_Toc300835233"/>
      <w:bookmarkStart w:id="996" w:name="_Toc8323"/>
    </w:p>
    <w:p>
      <w:pPr>
        <w:pStyle w:val="4"/>
        <w:jc w:val="center"/>
        <w:rPr>
          <w:rFonts w:hint="eastAsia" w:ascii="宋体" w:hAnsi="宋体" w:eastAsia="宋体" w:cs="宋体"/>
          <w:color w:val="auto"/>
          <w:highlight w:val="none"/>
        </w:rPr>
      </w:pPr>
      <w:bookmarkStart w:id="997" w:name="_Toc8733"/>
      <w:bookmarkStart w:id="998" w:name="_Toc15579"/>
      <w:r>
        <w:rPr>
          <w:rFonts w:hint="eastAsia" w:ascii="宋体" w:hAnsi="宋体" w:eastAsia="宋体" w:cs="宋体"/>
          <w:color w:val="auto"/>
          <w:kern w:val="44"/>
          <w:sz w:val="44"/>
          <w:szCs w:val="44"/>
          <w:highlight w:val="none"/>
        </w:rPr>
        <w:t>第八章其他资料</w:t>
      </w:r>
      <w:bookmarkEnd w:id="989"/>
      <w:bookmarkEnd w:id="990"/>
      <w:bookmarkEnd w:id="991"/>
      <w:bookmarkEnd w:id="992"/>
      <w:bookmarkEnd w:id="993"/>
      <w:bookmarkEnd w:id="994"/>
      <w:bookmarkEnd w:id="995"/>
      <w:bookmarkEnd w:id="996"/>
      <w:bookmarkEnd w:id="997"/>
      <w:bookmarkEnd w:id="998"/>
    </w:p>
    <w:p>
      <w:pPr>
        <w:pStyle w:val="15"/>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无</w:t>
      </w:r>
    </w:p>
    <w:p>
      <w:pPr>
        <w:rPr>
          <w:rFonts w:hint="eastAsia" w:ascii="宋体" w:hAnsi="宋体" w:eastAsia="宋体" w:cs="宋体"/>
          <w:color w:val="auto"/>
          <w:highlight w:val="none"/>
        </w:rPr>
      </w:pPr>
    </w:p>
    <w:sectPr>
      <w:footerReference r:id="rId12" w:type="default"/>
      <w:pgSz w:w="11906" w:h="16838"/>
      <w:pgMar w:top="1247" w:right="1133" w:bottom="1247" w:left="1361" w:header="851"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
    <w:pPr>
      <w:pStyle w:val="24"/>
      <w:framePr w:wrap="around" w:vAnchor="text" w:hAnchor="margin" w:xAlign="center" w:y="1"/>
      <w:rPr>
        <w:rStyle w:val="43"/>
      </w:rPr>
    </w:pPr>
    <w:r>
      <w:fldChar w:fldCharType="begin"/>
    </w:r>
    <w:r>
      <w:rPr>
        <w:rStyle w:val="43"/>
      </w:rPr>
      <w:instrText xml:space="preserve">PAGE  </w:instrText>
    </w:r>
    <w:r>
      <w:fldChar w:fldCharType="separate"/>
    </w:r>
    <w:r>
      <w:rPr>
        <w:rStyle w:val="43"/>
      </w:rPr>
      <w:t>I</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28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EsoIUnNAQAApwMAAA4AAAAAAAAAAQAgAAAAHwEAAGRycy9l&#10;Mm9Eb2MueG1sUEsFBgAAAAAGAAYAWQEAAF4FA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zgvsLswBAACnAwAADgAAAAAAAAABACAAAAAfAQAAZHJzL2Uy&#10;b0RvYy54bWxQSwUGAAAAAAYABgBZAQAAXQU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3"/>
      </w:rPr>
      <w:instrText xml:space="preserve"> PAGE </w:instrText>
    </w:r>
    <w:r>
      <w:fldChar w:fldCharType="separate"/>
    </w:r>
    <w:r>
      <w:rPr>
        <w:rStyle w:val="43"/>
      </w:rP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43"/>
      </w:rPr>
      <w:instrText xml:space="preserve"> PAGE </w:instrText>
    </w:r>
    <w:r>
      <w:fldChar w:fldCharType="separate"/>
    </w:r>
    <w:r>
      <w:rPr>
        <w:rStyle w:val="43"/>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91AE5"/>
    <w:multiLevelType w:val="singleLevel"/>
    <w:tmpl w:val="EF391AE5"/>
    <w:lvl w:ilvl="0" w:tentative="0">
      <w:start w:val="1"/>
      <w:numFmt w:val="decimal"/>
      <w:lvlText w:val="%1)"/>
      <w:lvlJc w:val="left"/>
      <w:pPr>
        <w:ind w:left="425" w:hanging="425"/>
      </w:pPr>
      <w:rPr>
        <w:rFonts w:hint="default"/>
      </w:rPr>
    </w:lvl>
  </w:abstractNum>
  <w:abstractNum w:abstractNumId="1">
    <w:nsid w:val="594ABBB2"/>
    <w:multiLevelType w:val="singleLevel"/>
    <w:tmpl w:val="594ABBB2"/>
    <w:lvl w:ilvl="0" w:tentative="0">
      <w:start w:val="1"/>
      <w:numFmt w:val="decimal"/>
      <w:lvlText w:val="%1."/>
      <w:lvlJc w:val="left"/>
      <w:pPr>
        <w:ind w:left="425" w:hanging="425"/>
      </w:pPr>
      <w:rPr>
        <w:rFonts w:hint="default"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2JmMjJlNzAxZDBiNjcxMTQ3OTJlNTYwODM2ZGUifQ=="/>
    <w:docVar w:name="KSO_WPS_MARK_KEY" w:val="fff55a07-387c-4f80-be7e-c8c3b2431ad3"/>
  </w:docVars>
  <w:rsids>
    <w:rsidRoot w:val="003D41E9"/>
    <w:rsid w:val="000008D5"/>
    <w:rsid w:val="00002FFF"/>
    <w:rsid w:val="00003DF9"/>
    <w:rsid w:val="00010148"/>
    <w:rsid w:val="00011932"/>
    <w:rsid w:val="00011E3E"/>
    <w:rsid w:val="00012828"/>
    <w:rsid w:val="000144DB"/>
    <w:rsid w:val="00015EC8"/>
    <w:rsid w:val="000177DB"/>
    <w:rsid w:val="00020ACF"/>
    <w:rsid w:val="00021041"/>
    <w:rsid w:val="00023926"/>
    <w:rsid w:val="00023C0A"/>
    <w:rsid w:val="00026578"/>
    <w:rsid w:val="000265CD"/>
    <w:rsid w:val="00026782"/>
    <w:rsid w:val="0002693B"/>
    <w:rsid w:val="00027BD3"/>
    <w:rsid w:val="000338D5"/>
    <w:rsid w:val="00033C48"/>
    <w:rsid w:val="00036DC1"/>
    <w:rsid w:val="00040944"/>
    <w:rsid w:val="000409CB"/>
    <w:rsid w:val="00044DC5"/>
    <w:rsid w:val="00045159"/>
    <w:rsid w:val="00051008"/>
    <w:rsid w:val="0005135F"/>
    <w:rsid w:val="0005372C"/>
    <w:rsid w:val="00054310"/>
    <w:rsid w:val="00056F13"/>
    <w:rsid w:val="000579F5"/>
    <w:rsid w:val="000601DD"/>
    <w:rsid w:val="00060BD5"/>
    <w:rsid w:val="0006504B"/>
    <w:rsid w:val="00066B02"/>
    <w:rsid w:val="00066EBC"/>
    <w:rsid w:val="00067E82"/>
    <w:rsid w:val="0007253C"/>
    <w:rsid w:val="00073EA0"/>
    <w:rsid w:val="000746F0"/>
    <w:rsid w:val="000753E4"/>
    <w:rsid w:val="00077002"/>
    <w:rsid w:val="00077F6D"/>
    <w:rsid w:val="00083C63"/>
    <w:rsid w:val="00084279"/>
    <w:rsid w:val="00084933"/>
    <w:rsid w:val="00085432"/>
    <w:rsid w:val="00086155"/>
    <w:rsid w:val="00086A94"/>
    <w:rsid w:val="000902A6"/>
    <w:rsid w:val="00094152"/>
    <w:rsid w:val="0009426A"/>
    <w:rsid w:val="00095B53"/>
    <w:rsid w:val="00097639"/>
    <w:rsid w:val="000A6CFD"/>
    <w:rsid w:val="000B1A62"/>
    <w:rsid w:val="000B2460"/>
    <w:rsid w:val="000B6913"/>
    <w:rsid w:val="000B7425"/>
    <w:rsid w:val="000C0193"/>
    <w:rsid w:val="000C4D08"/>
    <w:rsid w:val="000C50CF"/>
    <w:rsid w:val="000C63E0"/>
    <w:rsid w:val="000C69A1"/>
    <w:rsid w:val="000C70EF"/>
    <w:rsid w:val="000D1E5E"/>
    <w:rsid w:val="000D210D"/>
    <w:rsid w:val="000D23CA"/>
    <w:rsid w:val="000E0E68"/>
    <w:rsid w:val="000E1002"/>
    <w:rsid w:val="000E197C"/>
    <w:rsid w:val="000E2531"/>
    <w:rsid w:val="000E47D7"/>
    <w:rsid w:val="000E5FB0"/>
    <w:rsid w:val="000F05FD"/>
    <w:rsid w:val="000F0BDB"/>
    <w:rsid w:val="000F4A82"/>
    <w:rsid w:val="000F4D4F"/>
    <w:rsid w:val="000F5210"/>
    <w:rsid w:val="000F5B7D"/>
    <w:rsid w:val="000F6AAB"/>
    <w:rsid w:val="00102494"/>
    <w:rsid w:val="001037A9"/>
    <w:rsid w:val="0010470C"/>
    <w:rsid w:val="00104E00"/>
    <w:rsid w:val="00104FF7"/>
    <w:rsid w:val="00105B78"/>
    <w:rsid w:val="001067D3"/>
    <w:rsid w:val="001067F6"/>
    <w:rsid w:val="00107427"/>
    <w:rsid w:val="00107FD2"/>
    <w:rsid w:val="001108A6"/>
    <w:rsid w:val="001108B1"/>
    <w:rsid w:val="00111511"/>
    <w:rsid w:val="00115780"/>
    <w:rsid w:val="00115FE1"/>
    <w:rsid w:val="00121616"/>
    <w:rsid w:val="001219C2"/>
    <w:rsid w:val="00124EC1"/>
    <w:rsid w:val="001254F2"/>
    <w:rsid w:val="0012791A"/>
    <w:rsid w:val="00127B07"/>
    <w:rsid w:val="0013074C"/>
    <w:rsid w:val="00131B4E"/>
    <w:rsid w:val="00131BAE"/>
    <w:rsid w:val="00132220"/>
    <w:rsid w:val="001323A2"/>
    <w:rsid w:val="0013324F"/>
    <w:rsid w:val="0013673C"/>
    <w:rsid w:val="001403A5"/>
    <w:rsid w:val="001446F5"/>
    <w:rsid w:val="00145D45"/>
    <w:rsid w:val="0014763F"/>
    <w:rsid w:val="00147AFF"/>
    <w:rsid w:val="00151BC6"/>
    <w:rsid w:val="00153704"/>
    <w:rsid w:val="00154E45"/>
    <w:rsid w:val="001552E7"/>
    <w:rsid w:val="00155D8F"/>
    <w:rsid w:val="00155F53"/>
    <w:rsid w:val="001562E2"/>
    <w:rsid w:val="00160D8E"/>
    <w:rsid w:val="001621BE"/>
    <w:rsid w:val="001669D7"/>
    <w:rsid w:val="001702ED"/>
    <w:rsid w:val="00170EE2"/>
    <w:rsid w:val="001743CC"/>
    <w:rsid w:val="00176866"/>
    <w:rsid w:val="00176DC5"/>
    <w:rsid w:val="00177EBE"/>
    <w:rsid w:val="001827CA"/>
    <w:rsid w:val="00184387"/>
    <w:rsid w:val="0018568F"/>
    <w:rsid w:val="0018590C"/>
    <w:rsid w:val="00186669"/>
    <w:rsid w:val="001873F7"/>
    <w:rsid w:val="00192CE5"/>
    <w:rsid w:val="00193AC2"/>
    <w:rsid w:val="00196EC6"/>
    <w:rsid w:val="00197B37"/>
    <w:rsid w:val="001A04E9"/>
    <w:rsid w:val="001A0FBA"/>
    <w:rsid w:val="001A125A"/>
    <w:rsid w:val="001A1707"/>
    <w:rsid w:val="001A27E1"/>
    <w:rsid w:val="001A2B6D"/>
    <w:rsid w:val="001A2D0C"/>
    <w:rsid w:val="001A3244"/>
    <w:rsid w:val="001A3618"/>
    <w:rsid w:val="001A6A59"/>
    <w:rsid w:val="001B1356"/>
    <w:rsid w:val="001B2053"/>
    <w:rsid w:val="001B3123"/>
    <w:rsid w:val="001B49A5"/>
    <w:rsid w:val="001B49BA"/>
    <w:rsid w:val="001B57D9"/>
    <w:rsid w:val="001C021C"/>
    <w:rsid w:val="001C0C3C"/>
    <w:rsid w:val="001C0FB6"/>
    <w:rsid w:val="001C213C"/>
    <w:rsid w:val="001C23FE"/>
    <w:rsid w:val="001C347A"/>
    <w:rsid w:val="001C4AA6"/>
    <w:rsid w:val="001C4C08"/>
    <w:rsid w:val="001C555F"/>
    <w:rsid w:val="001C5911"/>
    <w:rsid w:val="001C66B4"/>
    <w:rsid w:val="001D6DA8"/>
    <w:rsid w:val="001E0630"/>
    <w:rsid w:val="001E1F21"/>
    <w:rsid w:val="001E31A2"/>
    <w:rsid w:val="001E4702"/>
    <w:rsid w:val="001F1E70"/>
    <w:rsid w:val="001F31ED"/>
    <w:rsid w:val="001F602A"/>
    <w:rsid w:val="001F60C9"/>
    <w:rsid w:val="001F7605"/>
    <w:rsid w:val="00201FE8"/>
    <w:rsid w:val="00202A8F"/>
    <w:rsid w:val="00207235"/>
    <w:rsid w:val="0020753F"/>
    <w:rsid w:val="0022026B"/>
    <w:rsid w:val="002202C6"/>
    <w:rsid w:val="00221374"/>
    <w:rsid w:val="00222856"/>
    <w:rsid w:val="00224AFC"/>
    <w:rsid w:val="002254B5"/>
    <w:rsid w:val="002266F0"/>
    <w:rsid w:val="002273C0"/>
    <w:rsid w:val="00227890"/>
    <w:rsid w:val="0023195C"/>
    <w:rsid w:val="00236F5C"/>
    <w:rsid w:val="0024007A"/>
    <w:rsid w:val="00244974"/>
    <w:rsid w:val="00244A76"/>
    <w:rsid w:val="00245472"/>
    <w:rsid w:val="00245712"/>
    <w:rsid w:val="00247061"/>
    <w:rsid w:val="00247B38"/>
    <w:rsid w:val="002507A9"/>
    <w:rsid w:val="0025229D"/>
    <w:rsid w:val="00255ADE"/>
    <w:rsid w:val="00255D37"/>
    <w:rsid w:val="002600B0"/>
    <w:rsid w:val="002601BB"/>
    <w:rsid w:val="00262425"/>
    <w:rsid w:val="00264023"/>
    <w:rsid w:val="002644F4"/>
    <w:rsid w:val="00265BCC"/>
    <w:rsid w:val="00265F7D"/>
    <w:rsid w:val="002669D7"/>
    <w:rsid w:val="002676AF"/>
    <w:rsid w:val="00270078"/>
    <w:rsid w:val="0027058C"/>
    <w:rsid w:val="0027092A"/>
    <w:rsid w:val="0027258B"/>
    <w:rsid w:val="00273CF4"/>
    <w:rsid w:val="0027506A"/>
    <w:rsid w:val="00277E7B"/>
    <w:rsid w:val="00280858"/>
    <w:rsid w:val="002811C6"/>
    <w:rsid w:val="002867B3"/>
    <w:rsid w:val="00286DEB"/>
    <w:rsid w:val="002873A9"/>
    <w:rsid w:val="00294C4B"/>
    <w:rsid w:val="002966EE"/>
    <w:rsid w:val="00297C0E"/>
    <w:rsid w:val="002A0149"/>
    <w:rsid w:val="002A0F27"/>
    <w:rsid w:val="002A1C4A"/>
    <w:rsid w:val="002A1F0D"/>
    <w:rsid w:val="002A276B"/>
    <w:rsid w:val="002A2A92"/>
    <w:rsid w:val="002A3F7D"/>
    <w:rsid w:val="002A726A"/>
    <w:rsid w:val="002B2861"/>
    <w:rsid w:val="002B42D6"/>
    <w:rsid w:val="002B5685"/>
    <w:rsid w:val="002B6531"/>
    <w:rsid w:val="002B7EEA"/>
    <w:rsid w:val="002C1373"/>
    <w:rsid w:val="002C1E27"/>
    <w:rsid w:val="002C24D7"/>
    <w:rsid w:val="002C317D"/>
    <w:rsid w:val="002C4104"/>
    <w:rsid w:val="002C4510"/>
    <w:rsid w:val="002C4FF2"/>
    <w:rsid w:val="002C5E52"/>
    <w:rsid w:val="002C6F01"/>
    <w:rsid w:val="002D2773"/>
    <w:rsid w:val="002D3EA0"/>
    <w:rsid w:val="002D7B03"/>
    <w:rsid w:val="002E0053"/>
    <w:rsid w:val="002E0EA0"/>
    <w:rsid w:val="002E1674"/>
    <w:rsid w:val="002E1709"/>
    <w:rsid w:val="002E31E7"/>
    <w:rsid w:val="002E3D5C"/>
    <w:rsid w:val="002E411A"/>
    <w:rsid w:val="002E556E"/>
    <w:rsid w:val="002E7226"/>
    <w:rsid w:val="002F0423"/>
    <w:rsid w:val="002F0968"/>
    <w:rsid w:val="002F22EA"/>
    <w:rsid w:val="002F44C2"/>
    <w:rsid w:val="002F6B48"/>
    <w:rsid w:val="00300015"/>
    <w:rsid w:val="00301833"/>
    <w:rsid w:val="00303183"/>
    <w:rsid w:val="003048E8"/>
    <w:rsid w:val="00306B68"/>
    <w:rsid w:val="00307332"/>
    <w:rsid w:val="00311BDE"/>
    <w:rsid w:val="00316683"/>
    <w:rsid w:val="00323414"/>
    <w:rsid w:val="00324479"/>
    <w:rsid w:val="00325D32"/>
    <w:rsid w:val="003260CD"/>
    <w:rsid w:val="00326CD0"/>
    <w:rsid w:val="003278F6"/>
    <w:rsid w:val="00330A1E"/>
    <w:rsid w:val="00330F26"/>
    <w:rsid w:val="003346C7"/>
    <w:rsid w:val="00334E02"/>
    <w:rsid w:val="003429DC"/>
    <w:rsid w:val="00343758"/>
    <w:rsid w:val="0034428D"/>
    <w:rsid w:val="0034574A"/>
    <w:rsid w:val="0034750B"/>
    <w:rsid w:val="00347518"/>
    <w:rsid w:val="00350A05"/>
    <w:rsid w:val="00351642"/>
    <w:rsid w:val="003530C7"/>
    <w:rsid w:val="0035395C"/>
    <w:rsid w:val="00353A84"/>
    <w:rsid w:val="0035535A"/>
    <w:rsid w:val="00355481"/>
    <w:rsid w:val="003575E3"/>
    <w:rsid w:val="003609EC"/>
    <w:rsid w:val="00363CEE"/>
    <w:rsid w:val="00364766"/>
    <w:rsid w:val="00370A78"/>
    <w:rsid w:val="003737A5"/>
    <w:rsid w:val="003755FB"/>
    <w:rsid w:val="00376F83"/>
    <w:rsid w:val="00380A97"/>
    <w:rsid w:val="00380B78"/>
    <w:rsid w:val="00380BC0"/>
    <w:rsid w:val="00380F68"/>
    <w:rsid w:val="00380FA3"/>
    <w:rsid w:val="003823BE"/>
    <w:rsid w:val="00382BB6"/>
    <w:rsid w:val="003837CA"/>
    <w:rsid w:val="003869EF"/>
    <w:rsid w:val="00392B45"/>
    <w:rsid w:val="0039331A"/>
    <w:rsid w:val="003971BF"/>
    <w:rsid w:val="00397593"/>
    <w:rsid w:val="003A3B59"/>
    <w:rsid w:val="003A3C0C"/>
    <w:rsid w:val="003A4445"/>
    <w:rsid w:val="003A4C49"/>
    <w:rsid w:val="003A60AA"/>
    <w:rsid w:val="003A73BA"/>
    <w:rsid w:val="003A7F69"/>
    <w:rsid w:val="003B36F6"/>
    <w:rsid w:val="003B7357"/>
    <w:rsid w:val="003C00C7"/>
    <w:rsid w:val="003C107A"/>
    <w:rsid w:val="003C208D"/>
    <w:rsid w:val="003C28DE"/>
    <w:rsid w:val="003C6059"/>
    <w:rsid w:val="003C6714"/>
    <w:rsid w:val="003C6E02"/>
    <w:rsid w:val="003C76F9"/>
    <w:rsid w:val="003C7BCB"/>
    <w:rsid w:val="003D1037"/>
    <w:rsid w:val="003D163C"/>
    <w:rsid w:val="003D22D6"/>
    <w:rsid w:val="003D2C3A"/>
    <w:rsid w:val="003D35F6"/>
    <w:rsid w:val="003D41E9"/>
    <w:rsid w:val="003D535B"/>
    <w:rsid w:val="003D7BF9"/>
    <w:rsid w:val="003E12EC"/>
    <w:rsid w:val="003E27C3"/>
    <w:rsid w:val="003E2FE0"/>
    <w:rsid w:val="003E4D1E"/>
    <w:rsid w:val="003E6002"/>
    <w:rsid w:val="003F107C"/>
    <w:rsid w:val="003F1D9D"/>
    <w:rsid w:val="003F2418"/>
    <w:rsid w:val="003F3BCF"/>
    <w:rsid w:val="003F578A"/>
    <w:rsid w:val="003F5B89"/>
    <w:rsid w:val="003F7A03"/>
    <w:rsid w:val="003F7B36"/>
    <w:rsid w:val="00403833"/>
    <w:rsid w:val="004043AB"/>
    <w:rsid w:val="00405139"/>
    <w:rsid w:val="0040584C"/>
    <w:rsid w:val="00405F18"/>
    <w:rsid w:val="00406C33"/>
    <w:rsid w:val="00410C55"/>
    <w:rsid w:val="00412C25"/>
    <w:rsid w:val="00413A3B"/>
    <w:rsid w:val="00415B42"/>
    <w:rsid w:val="00416E3C"/>
    <w:rsid w:val="0041729D"/>
    <w:rsid w:val="004205C1"/>
    <w:rsid w:val="00422D08"/>
    <w:rsid w:val="00425E10"/>
    <w:rsid w:val="00426785"/>
    <w:rsid w:val="004337B5"/>
    <w:rsid w:val="00435857"/>
    <w:rsid w:val="004408E7"/>
    <w:rsid w:val="00440D8D"/>
    <w:rsid w:val="00441B62"/>
    <w:rsid w:val="00443074"/>
    <w:rsid w:val="00443969"/>
    <w:rsid w:val="004443F8"/>
    <w:rsid w:val="004462E0"/>
    <w:rsid w:val="00447E57"/>
    <w:rsid w:val="00451399"/>
    <w:rsid w:val="00451973"/>
    <w:rsid w:val="00451A15"/>
    <w:rsid w:val="0045270C"/>
    <w:rsid w:val="0045602E"/>
    <w:rsid w:val="004571C5"/>
    <w:rsid w:val="00457EA8"/>
    <w:rsid w:val="004608A5"/>
    <w:rsid w:val="004624D7"/>
    <w:rsid w:val="004632D6"/>
    <w:rsid w:val="004649C0"/>
    <w:rsid w:val="00467FD6"/>
    <w:rsid w:val="00470246"/>
    <w:rsid w:val="00470F06"/>
    <w:rsid w:val="0047241F"/>
    <w:rsid w:val="00475E00"/>
    <w:rsid w:val="00475F68"/>
    <w:rsid w:val="00476960"/>
    <w:rsid w:val="004773A8"/>
    <w:rsid w:val="004804A5"/>
    <w:rsid w:val="00481C5C"/>
    <w:rsid w:val="004869C0"/>
    <w:rsid w:val="0048729B"/>
    <w:rsid w:val="00487596"/>
    <w:rsid w:val="00490E23"/>
    <w:rsid w:val="004916FE"/>
    <w:rsid w:val="00493390"/>
    <w:rsid w:val="004939A1"/>
    <w:rsid w:val="00494799"/>
    <w:rsid w:val="00494C7C"/>
    <w:rsid w:val="00496FD7"/>
    <w:rsid w:val="00497435"/>
    <w:rsid w:val="004A0463"/>
    <w:rsid w:val="004A1326"/>
    <w:rsid w:val="004A1656"/>
    <w:rsid w:val="004A5589"/>
    <w:rsid w:val="004A6E89"/>
    <w:rsid w:val="004B03C9"/>
    <w:rsid w:val="004B1EF4"/>
    <w:rsid w:val="004B312B"/>
    <w:rsid w:val="004B37C7"/>
    <w:rsid w:val="004B4E5C"/>
    <w:rsid w:val="004B57AA"/>
    <w:rsid w:val="004B7B4B"/>
    <w:rsid w:val="004B7F2E"/>
    <w:rsid w:val="004C00CD"/>
    <w:rsid w:val="004C0136"/>
    <w:rsid w:val="004C289A"/>
    <w:rsid w:val="004C5B56"/>
    <w:rsid w:val="004D4E0E"/>
    <w:rsid w:val="004D6E76"/>
    <w:rsid w:val="004E0B0F"/>
    <w:rsid w:val="004E1C93"/>
    <w:rsid w:val="004E1E43"/>
    <w:rsid w:val="004E3255"/>
    <w:rsid w:val="004E4446"/>
    <w:rsid w:val="004E500A"/>
    <w:rsid w:val="004E6FCF"/>
    <w:rsid w:val="004F09C3"/>
    <w:rsid w:val="004F0B1B"/>
    <w:rsid w:val="004F186C"/>
    <w:rsid w:val="004F1B1A"/>
    <w:rsid w:val="004F1D48"/>
    <w:rsid w:val="004F2544"/>
    <w:rsid w:val="004F3124"/>
    <w:rsid w:val="004F4014"/>
    <w:rsid w:val="004F4CE1"/>
    <w:rsid w:val="00502DD2"/>
    <w:rsid w:val="00504216"/>
    <w:rsid w:val="0050798F"/>
    <w:rsid w:val="00507C9E"/>
    <w:rsid w:val="00507F30"/>
    <w:rsid w:val="00511009"/>
    <w:rsid w:val="00511804"/>
    <w:rsid w:val="00515796"/>
    <w:rsid w:val="00515A7C"/>
    <w:rsid w:val="00515EA8"/>
    <w:rsid w:val="00516EC8"/>
    <w:rsid w:val="005203E0"/>
    <w:rsid w:val="00524C15"/>
    <w:rsid w:val="00525870"/>
    <w:rsid w:val="00527EC0"/>
    <w:rsid w:val="00530015"/>
    <w:rsid w:val="005303C1"/>
    <w:rsid w:val="00531145"/>
    <w:rsid w:val="0053291D"/>
    <w:rsid w:val="005330AB"/>
    <w:rsid w:val="005365AB"/>
    <w:rsid w:val="00537A4B"/>
    <w:rsid w:val="005418DD"/>
    <w:rsid w:val="00544CD6"/>
    <w:rsid w:val="00545204"/>
    <w:rsid w:val="0054658B"/>
    <w:rsid w:val="00546973"/>
    <w:rsid w:val="005507C7"/>
    <w:rsid w:val="00550F7D"/>
    <w:rsid w:val="00551427"/>
    <w:rsid w:val="00552EFC"/>
    <w:rsid w:val="00553B84"/>
    <w:rsid w:val="00554521"/>
    <w:rsid w:val="00557797"/>
    <w:rsid w:val="00560CC9"/>
    <w:rsid w:val="00561EC7"/>
    <w:rsid w:val="00561F98"/>
    <w:rsid w:val="00563F81"/>
    <w:rsid w:val="00565D10"/>
    <w:rsid w:val="0056707A"/>
    <w:rsid w:val="0057039A"/>
    <w:rsid w:val="00571250"/>
    <w:rsid w:val="00571A89"/>
    <w:rsid w:val="00571DCD"/>
    <w:rsid w:val="00571F8F"/>
    <w:rsid w:val="0057332D"/>
    <w:rsid w:val="0057352B"/>
    <w:rsid w:val="00573CC7"/>
    <w:rsid w:val="00576C4D"/>
    <w:rsid w:val="00576CF4"/>
    <w:rsid w:val="00577405"/>
    <w:rsid w:val="00581322"/>
    <w:rsid w:val="0058274A"/>
    <w:rsid w:val="005836C1"/>
    <w:rsid w:val="0058573A"/>
    <w:rsid w:val="005857D4"/>
    <w:rsid w:val="00593596"/>
    <w:rsid w:val="00594EFF"/>
    <w:rsid w:val="00597337"/>
    <w:rsid w:val="005976EF"/>
    <w:rsid w:val="005A1F22"/>
    <w:rsid w:val="005A346A"/>
    <w:rsid w:val="005A3A33"/>
    <w:rsid w:val="005A3F35"/>
    <w:rsid w:val="005B050D"/>
    <w:rsid w:val="005B1F15"/>
    <w:rsid w:val="005C1F2D"/>
    <w:rsid w:val="005C7531"/>
    <w:rsid w:val="005C7D41"/>
    <w:rsid w:val="005D0A5E"/>
    <w:rsid w:val="005D0A8B"/>
    <w:rsid w:val="005D241C"/>
    <w:rsid w:val="005E0048"/>
    <w:rsid w:val="005F01E4"/>
    <w:rsid w:val="005F1811"/>
    <w:rsid w:val="005F1D01"/>
    <w:rsid w:val="005F313B"/>
    <w:rsid w:val="005F39B2"/>
    <w:rsid w:val="005F3E82"/>
    <w:rsid w:val="005F532A"/>
    <w:rsid w:val="00600229"/>
    <w:rsid w:val="00600963"/>
    <w:rsid w:val="00602347"/>
    <w:rsid w:val="00604314"/>
    <w:rsid w:val="00606B9B"/>
    <w:rsid w:val="00607C28"/>
    <w:rsid w:val="00610AEA"/>
    <w:rsid w:val="00610BE7"/>
    <w:rsid w:val="0061230F"/>
    <w:rsid w:val="00612333"/>
    <w:rsid w:val="006125B4"/>
    <w:rsid w:val="00612718"/>
    <w:rsid w:val="00612730"/>
    <w:rsid w:val="006131C3"/>
    <w:rsid w:val="006160B4"/>
    <w:rsid w:val="00621446"/>
    <w:rsid w:val="00621DF3"/>
    <w:rsid w:val="00622282"/>
    <w:rsid w:val="00623172"/>
    <w:rsid w:val="00626C51"/>
    <w:rsid w:val="0062795E"/>
    <w:rsid w:val="006300DC"/>
    <w:rsid w:val="00631EFF"/>
    <w:rsid w:val="00632553"/>
    <w:rsid w:val="006342E5"/>
    <w:rsid w:val="0063783F"/>
    <w:rsid w:val="00642C71"/>
    <w:rsid w:val="00644297"/>
    <w:rsid w:val="0064495F"/>
    <w:rsid w:val="00644A56"/>
    <w:rsid w:val="00645FA2"/>
    <w:rsid w:val="00650EC9"/>
    <w:rsid w:val="006565FF"/>
    <w:rsid w:val="006618EC"/>
    <w:rsid w:val="0066402B"/>
    <w:rsid w:val="00664734"/>
    <w:rsid w:val="006647AD"/>
    <w:rsid w:val="00673458"/>
    <w:rsid w:val="006744B6"/>
    <w:rsid w:val="006745F5"/>
    <w:rsid w:val="00674A41"/>
    <w:rsid w:val="00674EB4"/>
    <w:rsid w:val="00676581"/>
    <w:rsid w:val="0067680B"/>
    <w:rsid w:val="00677009"/>
    <w:rsid w:val="00677DB9"/>
    <w:rsid w:val="00677E8F"/>
    <w:rsid w:val="00677ED7"/>
    <w:rsid w:val="00681B15"/>
    <w:rsid w:val="00682874"/>
    <w:rsid w:val="00683B8A"/>
    <w:rsid w:val="00683F48"/>
    <w:rsid w:val="006846D9"/>
    <w:rsid w:val="00684F04"/>
    <w:rsid w:val="00685659"/>
    <w:rsid w:val="006874B6"/>
    <w:rsid w:val="00692D08"/>
    <w:rsid w:val="006942CB"/>
    <w:rsid w:val="00695F30"/>
    <w:rsid w:val="00696013"/>
    <w:rsid w:val="00696867"/>
    <w:rsid w:val="0069775F"/>
    <w:rsid w:val="006A023D"/>
    <w:rsid w:val="006A1D79"/>
    <w:rsid w:val="006A3DF4"/>
    <w:rsid w:val="006A50E0"/>
    <w:rsid w:val="006A5D7D"/>
    <w:rsid w:val="006A5DD1"/>
    <w:rsid w:val="006A74BA"/>
    <w:rsid w:val="006B0AC4"/>
    <w:rsid w:val="006B2DAA"/>
    <w:rsid w:val="006B35E1"/>
    <w:rsid w:val="006B46E6"/>
    <w:rsid w:val="006B5490"/>
    <w:rsid w:val="006B5E8C"/>
    <w:rsid w:val="006B68E0"/>
    <w:rsid w:val="006B7D6F"/>
    <w:rsid w:val="006C2CB3"/>
    <w:rsid w:val="006C3D10"/>
    <w:rsid w:val="006C3F03"/>
    <w:rsid w:val="006C4C9B"/>
    <w:rsid w:val="006C5CF4"/>
    <w:rsid w:val="006C65BE"/>
    <w:rsid w:val="006C660E"/>
    <w:rsid w:val="006C6BC5"/>
    <w:rsid w:val="006D1329"/>
    <w:rsid w:val="006D28AC"/>
    <w:rsid w:val="006D5510"/>
    <w:rsid w:val="006D5982"/>
    <w:rsid w:val="006D6637"/>
    <w:rsid w:val="006D7D0E"/>
    <w:rsid w:val="006E0799"/>
    <w:rsid w:val="006E3EED"/>
    <w:rsid w:val="006E7DE1"/>
    <w:rsid w:val="006F425E"/>
    <w:rsid w:val="006F4E31"/>
    <w:rsid w:val="006F4F5F"/>
    <w:rsid w:val="006F5FD0"/>
    <w:rsid w:val="006F674F"/>
    <w:rsid w:val="006F6F48"/>
    <w:rsid w:val="006F7DBF"/>
    <w:rsid w:val="007000CB"/>
    <w:rsid w:val="00701154"/>
    <w:rsid w:val="00703762"/>
    <w:rsid w:val="0070504C"/>
    <w:rsid w:val="007068AC"/>
    <w:rsid w:val="007075B8"/>
    <w:rsid w:val="00713CB7"/>
    <w:rsid w:val="00713E76"/>
    <w:rsid w:val="007201FC"/>
    <w:rsid w:val="00722636"/>
    <w:rsid w:val="00722A56"/>
    <w:rsid w:val="00725033"/>
    <w:rsid w:val="00725476"/>
    <w:rsid w:val="0073033D"/>
    <w:rsid w:val="007318C2"/>
    <w:rsid w:val="00732DAB"/>
    <w:rsid w:val="0073318B"/>
    <w:rsid w:val="00734C19"/>
    <w:rsid w:val="00736681"/>
    <w:rsid w:val="007366E4"/>
    <w:rsid w:val="007368D2"/>
    <w:rsid w:val="00736B9A"/>
    <w:rsid w:val="00736E7F"/>
    <w:rsid w:val="007375B9"/>
    <w:rsid w:val="0074361B"/>
    <w:rsid w:val="007468DB"/>
    <w:rsid w:val="0074748B"/>
    <w:rsid w:val="00747C39"/>
    <w:rsid w:val="007515AC"/>
    <w:rsid w:val="00751C5F"/>
    <w:rsid w:val="00752078"/>
    <w:rsid w:val="00752B8A"/>
    <w:rsid w:val="00756AA0"/>
    <w:rsid w:val="00757455"/>
    <w:rsid w:val="00757ABE"/>
    <w:rsid w:val="00761058"/>
    <w:rsid w:val="007623B7"/>
    <w:rsid w:val="00762BE6"/>
    <w:rsid w:val="00762CDB"/>
    <w:rsid w:val="00763085"/>
    <w:rsid w:val="00763CE1"/>
    <w:rsid w:val="007660B8"/>
    <w:rsid w:val="00771442"/>
    <w:rsid w:val="0077155F"/>
    <w:rsid w:val="007720B4"/>
    <w:rsid w:val="007725B4"/>
    <w:rsid w:val="00773DEB"/>
    <w:rsid w:val="00774260"/>
    <w:rsid w:val="00775916"/>
    <w:rsid w:val="0077713E"/>
    <w:rsid w:val="00777697"/>
    <w:rsid w:val="0077792D"/>
    <w:rsid w:val="00780032"/>
    <w:rsid w:val="007804C7"/>
    <w:rsid w:val="007816E5"/>
    <w:rsid w:val="00783E33"/>
    <w:rsid w:val="007842E7"/>
    <w:rsid w:val="007845F6"/>
    <w:rsid w:val="0078698B"/>
    <w:rsid w:val="0078784E"/>
    <w:rsid w:val="00790609"/>
    <w:rsid w:val="00791AF0"/>
    <w:rsid w:val="007922B1"/>
    <w:rsid w:val="007936DF"/>
    <w:rsid w:val="007950CC"/>
    <w:rsid w:val="00795587"/>
    <w:rsid w:val="0079564C"/>
    <w:rsid w:val="007973FE"/>
    <w:rsid w:val="007A4E19"/>
    <w:rsid w:val="007A6D09"/>
    <w:rsid w:val="007B037D"/>
    <w:rsid w:val="007B19DA"/>
    <w:rsid w:val="007B3B3B"/>
    <w:rsid w:val="007B6A70"/>
    <w:rsid w:val="007B708E"/>
    <w:rsid w:val="007C1EED"/>
    <w:rsid w:val="007C2734"/>
    <w:rsid w:val="007C2D70"/>
    <w:rsid w:val="007C6B40"/>
    <w:rsid w:val="007D127D"/>
    <w:rsid w:val="007D505C"/>
    <w:rsid w:val="007D6505"/>
    <w:rsid w:val="007D7511"/>
    <w:rsid w:val="007E1C31"/>
    <w:rsid w:val="007E6E12"/>
    <w:rsid w:val="007F0AA2"/>
    <w:rsid w:val="0080156D"/>
    <w:rsid w:val="00802548"/>
    <w:rsid w:val="00803AA6"/>
    <w:rsid w:val="00803B2E"/>
    <w:rsid w:val="00803D18"/>
    <w:rsid w:val="00806EDD"/>
    <w:rsid w:val="00810B62"/>
    <w:rsid w:val="00811CE7"/>
    <w:rsid w:val="008135F9"/>
    <w:rsid w:val="00815FD3"/>
    <w:rsid w:val="0081673E"/>
    <w:rsid w:val="00817885"/>
    <w:rsid w:val="0082033F"/>
    <w:rsid w:val="0082100E"/>
    <w:rsid w:val="008212CD"/>
    <w:rsid w:val="0082189C"/>
    <w:rsid w:val="008235C0"/>
    <w:rsid w:val="00823699"/>
    <w:rsid w:val="0082381F"/>
    <w:rsid w:val="0082663C"/>
    <w:rsid w:val="00827AA2"/>
    <w:rsid w:val="008303DC"/>
    <w:rsid w:val="0083471B"/>
    <w:rsid w:val="0083668F"/>
    <w:rsid w:val="00836F06"/>
    <w:rsid w:val="00837B9B"/>
    <w:rsid w:val="00840075"/>
    <w:rsid w:val="00842780"/>
    <w:rsid w:val="00844625"/>
    <w:rsid w:val="008460F3"/>
    <w:rsid w:val="00846A2D"/>
    <w:rsid w:val="008470B5"/>
    <w:rsid w:val="008477B3"/>
    <w:rsid w:val="00847FCC"/>
    <w:rsid w:val="00851F56"/>
    <w:rsid w:val="00853334"/>
    <w:rsid w:val="008538D3"/>
    <w:rsid w:val="00853E48"/>
    <w:rsid w:val="008548BD"/>
    <w:rsid w:val="008571CD"/>
    <w:rsid w:val="00857C0F"/>
    <w:rsid w:val="00857CBD"/>
    <w:rsid w:val="00860AF8"/>
    <w:rsid w:val="00861322"/>
    <w:rsid w:val="00862649"/>
    <w:rsid w:val="008631D7"/>
    <w:rsid w:val="008632A0"/>
    <w:rsid w:val="008648C2"/>
    <w:rsid w:val="008654EB"/>
    <w:rsid w:val="0087089A"/>
    <w:rsid w:val="0087348B"/>
    <w:rsid w:val="00873C95"/>
    <w:rsid w:val="008743E4"/>
    <w:rsid w:val="008761F9"/>
    <w:rsid w:val="00877BAB"/>
    <w:rsid w:val="00880B3E"/>
    <w:rsid w:val="008820DB"/>
    <w:rsid w:val="00884D90"/>
    <w:rsid w:val="0088610B"/>
    <w:rsid w:val="008861AC"/>
    <w:rsid w:val="00890A58"/>
    <w:rsid w:val="00896445"/>
    <w:rsid w:val="00896636"/>
    <w:rsid w:val="00896998"/>
    <w:rsid w:val="008A0768"/>
    <w:rsid w:val="008A0ECF"/>
    <w:rsid w:val="008A21D1"/>
    <w:rsid w:val="008A2B9B"/>
    <w:rsid w:val="008A638D"/>
    <w:rsid w:val="008A6A43"/>
    <w:rsid w:val="008A7E2B"/>
    <w:rsid w:val="008B0F3E"/>
    <w:rsid w:val="008B0FC6"/>
    <w:rsid w:val="008B1F8C"/>
    <w:rsid w:val="008B29ED"/>
    <w:rsid w:val="008B61C1"/>
    <w:rsid w:val="008B6B0D"/>
    <w:rsid w:val="008B6BE9"/>
    <w:rsid w:val="008C05D7"/>
    <w:rsid w:val="008C45BA"/>
    <w:rsid w:val="008C650A"/>
    <w:rsid w:val="008D0932"/>
    <w:rsid w:val="008D18F1"/>
    <w:rsid w:val="008D3E27"/>
    <w:rsid w:val="008D7183"/>
    <w:rsid w:val="008E0DFA"/>
    <w:rsid w:val="008E247C"/>
    <w:rsid w:val="008E3557"/>
    <w:rsid w:val="008E3577"/>
    <w:rsid w:val="008E57DB"/>
    <w:rsid w:val="008E5A14"/>
    <w:rsid w:val="008E5C3F"/>
    <w:rsid w:val="008E5EA5"/>
    <w:rsid w:val="008E677B"/>
    <w:rsid w:val="008E705A"/>
    <w:rsid w:val="008E72D9"/>
    <w:rsid w:val="008F06BF"/>
    <w:rsid w:val="008F1320"/>
    <w:rsid w:val="008F1704"/>
    <w:rsid w:val="008F2899"/>
    <w:rsid w:val="008F29B3"/>
    <w:rsid w:val="008F3839"/>
    <w:rsid w:val="008F49BC"/>
    <w:rsid w:val="008F6D82"/>
    <w:rsid w:val="008F75D9"/>
    <w:rsid w:val="00900370"/>
    <w:rsid w:val="00904C1B"/>
    <w:rsid w:val="009078B0"/>
    <w:rsid w:val="00907A0A"/>
    <w:rsid w:val="00910248"/>
    <w:rsid w:val="00911087"/>
    <w:rsid w:val="00911AEC"/>
    <w:rsid w:val="00911CAE"/>
    <w:rsid w:val="00913B6A"/>
    <w:rsid w:val="00913C94"/>
    <w:rsid w:val="0092263D"/>
    <w:rsid w:val="00922FEC"/>
    <w:rsid w:val="00924ECE"/>
    <w:rsid w:val="00926C51"/>
    <w:rsid w:val="00927B57"/>
    <w:rsid w:val="009300E5"/>
    <w:rsid w:val="0093108F"/>
    <w:rsid w:val="00932CCB"/>
    <w:rsid w:val="009342BA"/>
    <w:rsid w:val="00934C3E"/>
    <w:rsid w:val="00934F28"/>
    <w:rsid w:val="009369CB"/>
    <w:rsid w:val="00940190"/>
    <w:rsid w:val="00940356"/>
    <w:rsid w:val="009424E3"/>
    <w:rsid w:val="00942BB7"/>
    <w:rsid w:val="00943BF1"/>
    <w:rsid w:val="009452E0"/>
    <w:rsid w:val="00945D12"/>
    <w:rsid w:val="00945FCB"/>
    <w:rsid w:val="009479A1"/>
    <w:rsid w:val="0095042E"/>
    <w:rsid w:val="009508AA"/>
    <w:rsid w:val="00951B51"/>
    <w:rsid w:val="00952579"/>
    <w:rsid w:val="00952ACD"/>
    <w:rsid w:val="00952F31"/>
    <w:rsid w:val="00961CB3"/>
    <w:rsid w:val="00961FD5"/>
    <w:rsid w:val="009631BB"/>
    <w:rsid w:val="00965286"/>
    <w:rsid w:val="009654A7"/>
    <w:rsid w:val="0096661D"/>
    <w:rsid w:val="00972104"/>
    <w:rsid w:val="00972566"/>
    <w:rsid w:val="009758CA"/>
    <w:rsid w:val="00981563"/>
    <w:rsid w:val="00981972"/>
    <w:rsid w:val="00982757"/>
    <w:rsid w:val="00984C13"/>
    <w:rsid w:val="00984C1F"/>
    <w:rsid w:val="00987121"/>
    <w:rsid w:val="0099011D"/>
    <w:rsid w:val="00990D3D"/>
    <w:rsid w:val="00991C96"/>
    <w:rsid w:val="0099565B"/>
    <w:rsid w:val="009A22D5"/>
    <w:rsid w:val="009A338B"/>
    <w:rsid w:val="009A675D"/>
    <w:rsid w:val="009A6CE0"/>
    <w:rsid w:val="009B1BF1"/>
    <w:rsid w:val="009B26DB"/>
    <w:rsid w:val="009B2BA8"/>
    <w:rsid w:val="009B3A2C"/>
    <w:rsid w:val="009B59DC"/>
    <w:rsid w:val="009C0B48"/>
    <w:rsid w:val="009C15CF"/>
    <w:rsid w:val="009C216D"/>
    <w:rsid w:val="009C72D6"/>
    <w:rsid w:val="009C741A"/>
    <w:rsid w:val="009C7780"/>
    <w:rsid w:val="009D0599"/>
    <w:rsid w:val="009D1723"/>
    <w:rsid w:val="009D319C"/>
    <w:rsid w:val="009D436B"/>
    <w:rsid w:val="009D5B80"/>
    <w:rsid w:val="009D7745"/>
    <w:rsid w:val="009E0332"/>
    <w:rsid w:val="009E1561"/>
    <w:rsid w:val="009E3EC6"/>
    <w:rsid w:val="009E4C1F"/>
    <w:rsid w:val="009E5B00"/>
    <w:rsid w:val="009E609E"/>
    <w:rsid w:val="009E77D6"/>
    <w:rsid w:val="009F1475"/>
    <w:rsid w:val="009F24EB"/>
    <w:rsid w:val="009F60E9"/>
    <w:rsid w:val="009F6FCE"/>
    <w:rsid w:val="00A016F9"/>
    <w:rsid w:val="00A01D0E"/>
    <w:rsid w:val="00A03A2A"/>
    <w:rsid w:val="00A04761"/>
    <w:rsid w:val="00A05945"/>
    <w:rsid w:val="00A06380"/>
    <w:rsid w:val="00A10737"/>
    <w:rsid w:val="00A12A94"/>
    <w:rsid w:val="00A13432"/>
    <w:rsid w:val="00A16192"/>
    <w:rsid w:val="00A169DA"/>
    <w:rsid w:val="00A17EBA"/>
    <w:rsid w:val="00A17F90"/>
    <w:rsid w:val="00A20A83"/>
    <w:rsid w:val="00A215D5"/>
    <w:rsid w:val="00A21793"/>
    <w:rsid w:val="00A217C6"/>
    <w:rsid w:val="00A251D7"/>
    <w:rsid w:val="00A261E7"/>
    <w:rsid w:val="00A27146"/>
    <w:rsid w:val="00A27920"/>
    <w:rsid w:val="00A31CC6"/>
    <w:rsid w:val="00A334D6"/>
    <w:rsid w:val="00A33D4B"/>
    <w:rsid w:val="00A33E60"/>
    <w:rsid w:val="00A362A6"/>
    <w:rsid w:val="00A363B9"/>
    <w:rsid w:val="00A374D3"/>
    <w:rsid w:val="00A41F62"/>
    <w:rsid w:val="00A45283"/>
    <w:rsid w:val="00A51CA3"/>
    <w:rsid w:val="00A51DB4"/>
    <w:rsid w:val="00A5311F"/>
    <w:rsid w:val="00A5414D"/>
    <w:rsid w:val="00A5464C"/>
    <w:rsid w:val="00A5544A"/>
    <w:rsid w:val="00A60FB6"/>
    <w:rsid w:val="00A62B4E"/>
    <w:rsid w:val="00A630FA"/>
    <w:rsid w:val="00A642BE"/>
    <w:rsid w:val="00A64BD8"/>
    <w:rsid w:val="00A679A3"/>
    <w:rsid w:val="00A67E13"/>
    <w:rsid w:val="00A71C03"/>
    <w:rsid w:val="00A73001"/>
    <w:rsid w:val="00A73B5E"/>
    <w:rsid w:val="00A73B61"/>
    <w:rsid w:val="00A748CA"/>
    <w:rsid w:val="00A74C13"/>
    <w:rsid w:val="00A80667"/>
    <w:rsid w:val="00A8088F"/>
    <w:rsid w:val="00A81F8D"/>
    <w:rsid w:val="00A830E2"/>
    <w:rsid w:val="00A84650"/>
    <w:rsid w:val="00A85304"/>
    <w:rsid w:val="00A87509"/>
    <w:rsid w:val="00A91EF2"/>
    <w:rsid w:val="00A92E23"/>
    <w:rsid w:val="00A9313F"/>
    <w:rsid w:val="00A93641"/>
    <w:rsid w:val="00A93D44"/>
    <w:rsid w:val="00A96D3D"/>
    <w:rsid w:val="00A97716"/>
    <w:rsid w:val="00AA2F2D"/>
    <w:rsid w:val="00AA51F9"/>
    <w:rsid w:val="00AB036F"/>
    <w:rsid w:val="00AB0A95"/>
    <w:rsid w:val="00AB4444"/>
    <w:rsid w:val="00AB5D6D"/>
    <w:rsid w:val="00AB6A71"/>
    <w:rsid w:val="00AB7B59"/>
    <w:rsid w:val="00AC0D9F"/>
    <w:rsid w:val="00AC423C"/>
    <w:rsid w:val="00AD0094"/>
    <w:rsid w:val="00AD0564"/>
    <w:rsid w:val="00AD0B43"/>
    <w:rsid w:val="00AD15E2"/>
    <w:rsid w:val="00AD2DF5"/>
    <w:rsid w:val="00AD61E3"/>
    <w:rsid w:val="00AD6618"/>
    <w:rsid w:val="00AD6DBF"/>
    <w:rsid w:val="00AD7186"/>
    <w:rsid w:val="00AE06D7"/>
    <w:rsid w:val="00AE0999"/>
    <w:rsid w:val="00AE20E7"/>
    <w:rsid w:val="00AE4315"/>
    <w:rsid w:val="00AE4FC7"/>
    <w:rsid w:val="00AE5349"/>
    <w:rsid w:val="00AF0B75"/>
    <w:rsid w:val="00AF1985"/>
    <w:rsid w:val="00AF1F12"/>
    <w:rsid w:val="00AF34D0"/>
    <w:rsid w:val="00AF77DC"/>
    <w:rsid w:val="00B002CC"/>
    <w:rsid w:val="00B00E12"/>
    <w:rsid w:val="00B01433"/>
    <w:rsid w:val="00B01E6B"/>
    <w:rsid w:val="00B02D70"/>
    <w:rsid w:val="00B06FFF"/>
    <w:rsid w:val="00B07124"/>
    <w:rsid w:val="00B1073B"/>
    <w:rsid w:val="00B10F29"/>
    <w:rsid w:val="00B11781"/>
    <w:rsid w:val="00B136CA"/>
    <w:rsid w:val="00B14907"/>
    <w:rsid w:val="00B1526A"/>
    <w:rsid w:val="00B1645D"/>
    <w:rsid w:val="00B16844"/>
    <w:rsid w:val="00B1719D"/>
    <w:rsid w:val="00B173E1"/>
    <w:rsid w:val="00B21AAC"/>
    <w:rsid w:val="00B22637"/>
    <w:rsid w:val="00B238BD"/>
    <w:rsid w:val="00B239B7"/>
    <w:rsid w:val="00B24390"/>
    <w:rsid w:val="00B24A03"/>
    <w:rsid w:val="00B265A5"/>
    <w:rsid w:val="00B30D56"/>
    <w:rsid w:val="00B3317E"/>
    <w:rsid w:val="00B33B60"/>
    <w:rsid w:val="00B35BE5"/>
    <w:rsid w:val="00B3606F"/>
    <w:rsid w:val="00B36546"/>
    <w:rsid w:val="00B36A16"/>
    <w:rsid w:val="00B36E86"/>
    <w:rsid w:val="00B37125"/>
    <w:rsid w:val="00B4208B"/>
    <w:rsid w:val="00B42A8A"/>
    <w:rsid w:val="00B44CD4"/>
    <w:rsid w:val="00B44DEB"/>
    <w:rsid w:val="00B47096"/>
    <w:rsid w:val="00B474C2"/>
    <w:rsid w:val="00B5228B"/>
    <w:rsid w:val="00B54799"/>
    <w:rsid w:val="00B54BD1"/>
    <w:rsid w:val="00B55120"/>
    <w:rsid w:val="00B56403"/>
    <w:rsid w:val="00B61B18"/>
    <w:rsid w:val="00B62A04"/>
    <w:rsid w:val="00B62FE1"/>
    <w:rsid w:val="00B70479"/>
    <w:rsid w:val="00B71C7C"/>
    <w:rsid w:val="00B72210"/>
    <w:rsid w:val="00B7252F"/>
    <w:rsid w:val="00B738F0"/>
    <w:rsid w:val="00B74812"/>
    <w:rsid w:val="00B7711D"/>
    <w:rsid w:val="00B805F7"/>
    <w:rsid w:val="00B831A7"/>
    <w:rsid w:val="00B8543F"/>
    <w:rsid w:val="00B85B16"/>
    <w:rsid w:val="00B86254"/>
    <w:rsid w:val="00B8693E"/>
    <w:rsid w:val="00B87DA5"/>
    <w:rsid w:val="00B90ACC"/>
    <w:rsid w:val="00B93F9C"/>
    <w:rsid w:val="00B95621"/>
    <w:rsid w:val="00B960A8"/>
    <w:rsid w:val="00B96468"/>
    <w:rsid w:val="00B964F9"/>
    <w:rsid w:val="00B97840"/>
    <w:rsid w:val="00B97900"/>
    <w:rsid w:val="00BA482E"/>
    <w:rsid w:val="00BB0271"/>
    <w:rsid w:val="00BB0564"/>
    <w:rsid w:val="00BB1DB2"/>
    <w:rsid w:val="00BB20C0"/>
    <w:rsid w:val="00BB22BB"/>
    <w:rsid w:val="00BB7211"/>
    <w:rsid w:val="00BB7A4E"/>
    <w:rsid w:val="00BC0DA6"/>
    <w:rsid w:val="00BC145D"/>
    <w:rsid w:val="00BD1942"/>
    <w:rsid w:val="00BD1D1C"/>
    <w:rsid w:val="00BD3CCF"/>
    <w:rsid w:val="00BD3DC6"/>
    <w:rsid w:val="00BD647B"/>
    <w:rsid w:val="00BE05BD"/>
    <w:rsid w:val="00BE062E"/>
    <w:rsid w:val="00BE2362"/>
    <w:rsid w:val="00BE6315"/>
    <w:rsid w:val="00BE6716"/>
    <w:rsid w:val="00BE6D7D"/>
    <w:rsid w:val="00BE7856"/>
    <w:rsid w:val="00BF0D8E"/>
    <w:rsid w:val="00BF1482"/>
    <w:rsid w:val="00BF2585"/>
    <w:rsid w:val="00BF3481"/>
    <w:rsid w:val="00BF6EE6"/>
    <w:rsid w:val="00BF706B"/>
    <w:rsid w:val="00C01016"/>
    <w:rsid w:val="00C01987"/>
    <w:rsid w:val="00C020F6"/>
    <w:rsid w:val="00C02A73"/>
    <w:rsid w:val="00C03475"/>
    <w:rsid w:val="00C042E1"/>
    <w:rsid w:val="00C10008"/>
    <w:rsid w:val="00C10BC9"/>
    <w:rsid w:val="00C13373"/>
    <w:rsid w:val="00C14480"/>
    <w:rsid w:val="00C160C4"/>
    <w:rsid w:val="00C201F4"/>
    <w:rsid w:val="00C22E98"/>
    <w:rsid w:val="00C23C94"/>
    <w:rsid w:val="00C26956"/>
    <w:rsid w:val="00C30B9B"/>
    <w:rsid w:val="00C31603"/>
    <w:rsid w:val="00C316D1"/>
    <w:rsid w:val="00C31D52"/>
    <w:rsid w:val="00C33D6F"/>
    <w:rsid w:val="00C3450A"/>
    <w:rsid w:val="00C361D5"/>
    <w:rsid w:val="00C37A5A"/>
    <w:rsid w:val="00C424BA"/>
    <w:rsid w:val="00C4495F"/>
    <w:rsid w:val="00C44B10"/>
    <w:rsid w:val="00C44F77"/>
    <w:rsid w:val="00C4538C"/>
    <w:rsid w:val="00C504CD"/>
    <w:rsid w:val="00C53723"/>
    <w:rsid w:val="00C53DE3"/>
    <w:rsid w:val="00C54395"/>
    <w:rsid w:val="00C54541"/>
    <w:rsid w:val="00C6272A"/>
    <w:rsid w:val="00C65469"/>
    <w:rsid w:val="00C65657"/>
    <w:rsid w:val="00C67226"/>
    <w:rsid w:val="00C711CD"/>
    <w:rsid w:val="00C7316C"/>
    <w:rsid w:val="00C73F24"/>
    <w:rsid w:val="00C74312"/>
    <w:rsid w:val="00C756F8"/>
    <w:rsid w:val="00C762CE"/>
    <w:rsid w:val="00C808E4"/>
    <w:rsid w:val="00C80A76"/>
    <w:rsid w:val="00C8239D"/>
    <w:rsid w:val="00C83349"/>
    <w:rsid w:val="00C8464F"/>
    <w:rsid w:val="00C84A1D"/>
    <w:rsid w:val="00C85321"/>
    <w:rsid w:val="00C8603D"/>
    <w:rsid w:val="00C87214"/>
    <w:rsid w:val="00C91054"/>
    <w:rsid w:val="00C92908"/>
    <w:rsid w:val="00C93E6A"/>
    <w:rsid w:val="00C93FD6"/>
    <w:rsid w:val="00C944E7"/>
    <w:rsid w:val="00C94931"/>
    <w:rsid w:val="00C964C2"/>
    <w:rsid w:val="00C97A79"/>
    <w:rsid w:val="00CA373F"/>
    <w:rsid w:val="00CA3EB2"/>
    <w:rsid w:val="00CA4916"/>
    <w:rsid w:val="00CA6150"/>
    <w:rsid w:val="00CA7424"/>
    <w:rsid w:val="00CA7D36"/>
    <w:rsid w:val="00CA7ED8"/>
    <w:rsid w:val="00CB3C26"/>
    <w:rsid w:val="00CB409F"/>
    <w:rsid w:val="00CB5653"/>
    <w:rsid w:val="00CB6343"/>
    <w:rsid w:val="00CB7CDA"/>
    <w:rsid w:val="00CC0CA8"/>
    <w:rsid w:val="00CC0FBF"/>
    <w:rsid w:val="00CC3001"/>
    <w:rsid w:val="00CC493E"/>
    <w:rsid w:val="00CC7C72"/>
    <w:rsid w:val="00CD0F5C"/>
    <w:rsid w:val="00CD1FA2"/>
    <w:rsid w:val="00CD3D54"/>
    <w:rsid w:val="00CD4620"/>
    <w:rsid w:val="00CD5140"/>
    <w:rsid w:val="00CD55CD"/>
    <w:rsid w:val="00CD7035"/>
    <w:rsid w:val="00CE084D"/>
    <w:rsid w:val="00CE28A6"/>
    <w:rsid w:val="00CE3817"/>
    <w:rsid w:val="00CE46B5"/>
    <w:rsid w:val="00CE7012"/>
    <w:rsid w:val="00CE770E"/>
    <w:rsid w:val="00CF0AD9"/>
    <w:rsid w:val="00CF3DB0"/>
    <w:rsid w:val="00CF46EE"/>
    <w:rsid w:val="00CF6675"/>
    <w:rsid w:val="00D00947"/>
    <w:rsid w:val="00D0320C"/>
    <w:rsid w:val="00D033A0"/>
    <w:rsid w:val="00D03B9B"/>
    <w:rsid w:val="00D04030"/>
    <w:rsid w:val="00D0493F"/>
    <w:rsid w:val="00D04EF1"/>
    <w:rsid w:val="00D071D0"/>
    <w:rsid w:val="00D07D29"/>
    <w:rsid w:val="00D152CE"/>
    <w:rsid w:val="00D17110"/>
    <w:rsid w:val="00D20F82"/>
    <w:rsid w:val="00D224D6"/>
    <w:rsid w:val="00D24057"/>
    <w:rsid w:val="00D24314"/>
    <w:rsid w:val="00D308B4"/>
    <w:rsid w:val="00D30E92"/>
    <w:rsid w:val="00D33A11"/>
    <w:rsid w:val="00D36C68"/>
    <w:rsid w:val="00D41393"/>
    <w:rsid w:val="00D417F9"/>
    <w:rsid w:val="00D419DC"/>
    <w:rsid w:val="00D41F1B"/>
    <w:rsid w:val="00D42046"/>
    <w:rsid w:val="00D4228D"/>
    <w:rsid w:val="00D4290A"/>
    <w:rsid w:val="00D433FA"/>
    <w:rsid w:val="00D447E9"/>
    <w:rsid w:val="00D46740"/>
    <w:rsid w:val="00D47A4E"/>
    <w:rsid w:val="00D502D8"/>
    <w:rsid w:val="00D50326"/>
    <w:rsid w:val="00D50572"/>
    <w:rsid w:val="00D54C66"/>
    <w:rsid w:val="00D54F61"/>
    <w:rsid w:val="00D6045F"/>
    <w:rsid w:val="00D60F88"/>
    <w:rsid w:val="00D63696"/>
    <w:rsid w:val="00D63D9A"/>
    <w:rsid w:val="00D710FB"/>
    <w:rsid w:val="00D72716"/>
    <w:rsid w:val="00D730E6"/>
    <w:rsid w:val="00D761DA"/>
    <w:rsid w:val="00D81B47"/>
    <w:rsid w:val="00D81F8A"/>
    <w:rsid w:val="00D835C3"/>
    <w:rsid w:val="00D84B2E"/>
    <w:rsid w:val="00D87D38"/>
    <w:rsid w:val="00D9052E"/>
    <w:rsid w:val="00D93AE3"/>
    <w:rsid w:val="00D95359"/>
    <w:rsid w:val="00DA0947"/>
    <w:rsid w:val="00DA1329"/>
    <w:rsid w:val="00DA162E"/>
    <w:rsid w:val="00DA30E4"/>
    <w:rsid w:val="00DA3394"/>
    <w:rsid w:val="00DA7896"/>
    <w:rsid w:val="00DB053B"/>
    <w:rsid w:val="00DB06E1"/>
    <w:rsid w:val="00DB1388"/>
    <w:rsid w:val="00DB280F"/>
    <w:rsid w:val="00DB3FB5"/>
    <w:rsid w:val="00DB4D30"/>
    <w:rsid w:val="00DB55EA"/>
    <w:rsid w:val="00DC0765"/>
    <w:rsid w:val="00DC11F3"/>
    <w:rsid w:val="00DC199B"/>
    <w:rsid w:val="00DC1E15"/>
    <w:rsid w:val="00DC1EE0"/>
    <w:rsid w:val="00DC422B"/>
    <w:rsid w:val="00DC5CE4"/>
    <w:rsid w:val="00DC7042"/>
    <w:rsid w:val="00DC75D5"/>
    <w:rsid w:val="00DC79D1"/>
    <w:rsid w:val="00DC7D9F"/>
    <w:rsid w:val="00DC7FF0"/>
    <w:rsid w:val="00DD0B0E"/>
    <w:rsid w:val="00DD76B4"/>
    <w:rsid w:val="00DE0BB9"/>
    <w:rsid w:val="00DE15EA"/>
    <w:rsid w:val="00DE1702"/>
    <w:rsid w:val="00DE3BC3"/>
    <w:rsid w:val="00DE4042"/>
    <w:rsid w:val="00DE4B64"/>
    <w:rsid w:val="00DE7035"/>
    <w:rsid w:val="00DE7590"/>
    <w:rsid w:val="00DE76CB"/>
    <w:rsid w:val="00DF1211"/>
    <w:rsid w:val="00DF2208"/>
    <w:rsid w:val="00DF387F"/>
    <w:rsid w:val="00DF500A"/>
    <w:rsid w:val="00DF6A8B"/>
    <w:rsid w:val="00DF7061"/>
    <w:rsid w:val="00DF7754"/>
    <w:rsid w:val="00E008C8"/>
    <w:rsid w:val="00E02141"/>
    <w:rsid w:val="00E02270"/>
    <w:rsid w:val="00E0383F"/>
    <w:rsid w:val="00E04267"/>
    <w:rsid w:val="00E05E2C"/>
    <w:rsid w:val="00E067C5"/>
    <w:rsid w:val="00E143D3"/>
    <w:rsid w:val="00E14FF6"/>
    <w:rsid w:val="00E155EE"/>
    <w:rsid w:val="00E1629A"/>
    <w:rsid w:val="00E167CB"/>
    <w:rsid w:val="00E17597"/>
    <w:rsid w:val="00E239B3"/>
    <w:rsid w:val="00E25AC2"/>
    <w:rsid w:val="00E263B7"/>
    <w:rsid w:val="00E2692E"/>
    <w:rsid w:val="00E2695F"/>
    <w:rsid w:val="00E27453"/>
    <w:rsid w:val="00E30CC9"/>
    <w:rsid w:val="00E31445"/>
    <w:rsid w:val="00E31C41"/>
    <w:rsid w:val="00E33B0E"/>
    <w:rsid w:val="00E343F7"/>
    <w:rsid w:val="00E36A76"/>
    <w:rsid w:val="00E3768B"/>
    <w:rsid w:val="00E4268A"/>
    <w:rsid w:val="00E4286D"/>
    <w:rsid w:val="00E42BEB"/>
    <w:rsid w:val="00E44051"/>
    <w:rsid w:val="00E4508E"/>
    <w:rsid w:val="00E453C9"/>
    <w:rsid w:val="00E45A94"/>
    <w:rsid w:val="00E46C16"/>
    <w:rsid w:val="00E47EF7"/>
    <w:rsid w:val="00E50530"/>
    <w:rsid w:val="00E5169B"/>
    <w:rsid w:val="00E51B5B"/>
    <w:rsid w:val="00E54892"/>
    <w:rsid w:val="00E567AA"/>
    <w:rsid w:val="00E57ADB"/>
    <w:rsid w:val="00E61702"/>
    <w:rsid w:val="00E63809"/>
    <w:rsid w:val="00E63ADB"/>
    <w:rsid w:val="00E63FE6"/>
    <w:rsid w:val="00E66F68"/>
    <w:rsid w:val="00E71019"/>
    <w:rsid w:val="00E71CD1"/>
    <w:rsid w:val="00E73612"/>
    <w:rsid w:val="00E741EE"/>
    <w:rsid w:val="00E74F27"/>
    <w:rsid w:val="00E75E23"/>
    <w:rsid w:val="00E76A7F"/>
    <w:rsid w:val="00E77589"/>
    <w:rsid w:val="00E8036A"/>
    <w:rsid w:val="00E81972"/>
    <w:rsid w:val="00E84D9C"/>
    <w:rsid w:val="00E84F02"/>
    <w:rsid w:val="00E85AA3"/>
    <w:rsid w:val="00E86EC6"/>
    <w:rsid w:val="00E871A4"/>
    <w:rsid w:val="00E92153"/>
    <w:rsid w:val="00E93B6C"/>
    <w:rsid w:val="00E95267"/>
    <w:rsid w:val="00E96DA1"/>
    <w:rsid w:val="00E978E4"/>
    <w:rsid w:val="00EA0C67"/>
    <w:rsid w:val="00EA1CDC"/>
    <w:rsid w:val="00EA2245"/>
    <w:rsid w:val="00EA4439"/>
    <w:rsid w:val="00EA471C"/>
    <w:rsid w:val="00EA4DA0"/>
    <w:rsid w:val="00EA50E7"/>
    <w:rsid w:val="00EA71DE"/>
    <w:rsid w:val="00EA793E"/>
    <w:rsid w:val="00EB27F4"/>
    <w:rsid w:val="00EB2BAB"/>
    <w:rsid w:val="00EB2FB4"/>
    <w:rsid w:val="00EB4AF8"/>
    <w:rsid w:val="00EB5B1A"/>
    <w:rsid w:val="00EC1943"/>
    <w:rsid w:val="00EC58C3"/>
    <w:rsid w:val="00EC76A4"/>
    <w:rsid w:val="00ED3BC9"/>
    <w:rsid w:val="00ED3ED2"/>
    <w:rsid w:val="00ED5715"/>
    <w:rsid w:val="00ED6A36"/>
    <w:rsid w:val="00ED787B"/>
    <w:rsid w:val="00EE07F0"/>
    <w:rsid w:val="00EE0A51"/>
    <w:rsid w:val="00EE24C1"/>
    <w:rsid w:val="00EE41A4"/>
    <w:rsid w:val="00EE6491"/>
    <w:rsid w:val="00EF1761"/>
    <w:rsid w:val="00EF1831"/>
    <w:rsid w:val="00EF5228"/>
    <w:rsid w:val="00EF5FC6"/>
    <w:rsid w:val="00EF6800"/>
    <w:rsid w:val="00EF7868"/>
    <w:rsid w:val="00F02064"/>
    <w:rsid w:val="00F0633E"/>
    <w:rsid w:val="00F075CA"/>
    <w:rsid w:val="00F10EA6"/>
    <w:rsid w:val="00F11C34"/>
    <w:rsid w:val="00F1302F"/>
    <w:rsid w:val="00F13202"/>
    <w:rsid w:val="00F143E3"/>
    <w:rsid w:val="00F14876"/>
    <w:rsid w:val="00F16039"/>
    <w:rsid w:val="00F229DE"/>
    <w:rsid w:val="00F23344"/>
    <w:rsid w:val="00F25E6A"/>
    <w:rsid w:val="00F26F19"/>
    <w:rsid w:val="00F30CC8"/>
    <w:rsid w:val="00F31C9B"/>
    <w:rsid w:val="00F354F3"/>
    <w:rsid w:val="00F36AE9"/>
    <w:rsid w:val="00F37B63"/>
    <w:rsid w:val="00F4036F"/>
    <w:rsid w:val="00F41826"/>
    <w:rsid w:val="00F43028"/>
    <w:rsid w:val="00F44610"/>
    <w:rsid w:val="00F45A00"/>
    <w:rsid w:val="00F460CD"/>
    <w:rsid w:val="00F47B09"/>
    <w:rsid w:val="00F53900"/>
    <w:rsid w:val="00F54FDF"/>
    <w:rsid w:val="00F57870"/>
    <w:rsid w:val="00F60037"/>
    <w:rsid w:val="00F62CB5"/>
    <w:rsid w:val="00F65535"/>
    <w:rsid w:val="00F66B3B"/>
    <w:rsid w:val="00F70891"/>
    <w:rsid w:val="00F7236A"/>
    <w:rsid w:val="00F73465"/>
    <w:rsid w:val="00F73C71"/>
    <w:rsid w:val="00F74507"/>
    <w:rsid w:val="00F76064"/>
    <w:rsid w:val="00F76FEF"/>
    <w:rsid w:val="00F77B9D"/>
    <w:rsid w:val="00F80E00"/>
    <w:rsid w:val="00F82E05"/>
    <w:rsid w:val="00F83EDF"/>
    <w:rsid w:val="00F86249"/>
    <w:rsid w:val="00F87055"/>
    <w:rsid w:val="00F900AF"/>
    <w:rsid w:val="00F91639"/>
    <w:rsid w:val="00F923B8"/>
    <w:rsid w:val="00F92FC2"/>
    <w:rsid w:val="00F93134"/>
    <w:rsid w:val="00F95E42"/>
    <w:rsid w:val="00F977B3"/>
    <w:rsid w:val="00FA103C"/>
    <w:rsid w:val="00FA1C7F"/>
    <w:rsid w:val="00FA4198"/>
    <w:rsid w:val="00FA4B4C"/>
    <w:rsid w:val="00FA51C5"/>
    <w:rsid w:val="00FA5496"/>
    <w:rsid w:val="00FA5FD4"/>
    <w:rsid w:val="00FA6F5B"/>
    <w:rsid w:val="00FA6F92"/>
    <w:rsid w:val="00FB0A91"/>
    <w:rsid w:val="00FB1786"/>
    <w:rsid w:val="00FB2582"/>
    <w:rsid w:val="00FB4138"/>
    <w:rsid w:val="00FB5931"/>
    <w:rsid w:val="00FB70F1"/>
    <w:rsid w:val="00FB756D"/>
    <w:rsid w:val="00FC09C9"/>
    <w:rsid w:val="00FC2C2D"/>
    <w:rsid w:val="00FC7C9B"/>
    <w:rsid w:val="00FD0786"/>
    <w:rsid w:val="00FD499A"/>
    <w:rsid w:val="00FD5A2A"/>
    <w:rsid w:val="00FE2574"/>
    <w:rsid w:val="00FE3B3D"/>
    <w:rsid w:val="00FE4F19"/>
    <w:rsid w:val="00FE6EEC"/>
    <w:rsid w:val="00FF01B0"/>
    <w:rsid w:val="00FF2888"/>
    <w:rsid w:val="00FF2B97"/>
    <w:rsid w:val="00FF373B"/>
    <w:rsid w:val="00FF5482"/>
    <w:rsid w:val="00FF556F"/>
    <w:rsid w:val="00FF7E6D"/>
    <w:rsid w:val="01026949"/>
    <w:rsid w:val="011322AB"/>
    <w:rsid w:val="01203FC3"/>
    <w:rsid w:val="01243A71"/>
    <w:rsid w:val="012723F3"/>
    <w:rsid w:val="012D6ADC"/>
    <w:rsid w:val="012E3330"/>
    <w:rsid w:val="012E6907"/>
    <w:rsid w:val="01477FAC"/>
    <w:rsid w:val="015978F4"/>
    <w:rsid w:val="01663C43"/>
    <w:rsid w:val="0169549A"/>
    <w:rsid w:val="01791CC9"/>
    <w:rsid w:val="018C7B99"/>
    <w:rsid w:val="01AB7109"/>
    <w:rsid w:val="01AD35EF"/>
    <w:rsid w:val="01AF588F"/>
    <w:rsid w:val="01B27F30"/>
    <w:rsid w:val="01C744FB"/>
    <w:rsid w:val="01FE6BD3"/>
    <w:rsid w:val="02125A59"/>
    <w:rsid w:val="022560C6"/>
    <w:rsid w:val="022B421F"/>
    <w:rsid w:val="02300221"/>
    <w:rsid w:val="0241242E"/>
    <w:rsid w:val="02654FCF"/>
    <w:rsid w:val="02763DF6"/>
    <w:rsid w:val="029A43EC"/>
    <w:rsid w:val="02B56978"/>
    <w:rsid w:val="02CE7DC8"/>
    <w:rsid w:val="02CF5C27"/>
    <w:rsid w:val="02DD3D38"/>
    <w:rsid w:val="02E565E2"/>
    <w:rsid w:val="02E75EAA"/>
    <w:rsid w:val="02EB5557"/>
    <w:rsid w:val="030716BE"/>
    <w:rsid w:val="031511C4"/>
    <w:rsid w:val="03350E4E"/>
    <w:rsid w:val="033A4CF6"/>
    <w:rsid w:val="03582652"/>
    <w:rsid w:val="03990A58"/>
    <w:rsid w:val="039A5874"/>
    <w:rsid w:val="03AB1523"/>
    <w:rsid w:val="03AC2BD1"/>
    <w:rsid w:val="03C93F57"/>
    <w:rsid w:val="03DB627C"/>
    <w:rsid w:val="03E00BE2"/>
    <w:rsid w:val="03E66E39"/>
    <w:rsid w:val="04052CCD"/>
    <w:rsid w:val="040F71A1"/>
    <w:rsid w:val="0422293F"/>
    <w:rsid w:val="04291226"/>
    <w:rsid w:val="04333E3D"/>
    <w:rsid w:val="04407E29"/>
    <w:rsid w:val="044D5ABA"/>
    <w:rsid w:val="045063F6"/>
    <w:rsid w:val="048605CC"/>
    <w:rsid w:val="04901812"/>
    <w:rsid w:val="049B2198"/>
    <w:rsid w:val="049C1B9D"/>
    <w:rsid w:val="04A14D61"/>
    <w:rsid w:val="04A70542"/>
    <w:rsid w:val="04E71EDB"/>
    <w:rsid w:val="04ED064B"/>
    <w:rsid w:val="04F12B2E"/>
    <w:rsid w:val="050821A4"/>
    <w:rsid w:val="051E31B4"/>
    <w:rsid w:val="052A7D3E"/>
    <w:rsid w:val="053425E6"/>
    <w:rsid w:val="054B2F85"/>
    <w:rsid w:val="055254F5"/>
    <w:rsid w:val="05562489"/>
    <w:rsid w:val="05564017"/>
    <w:rsid w:val="05715200"/>
    <w:rsid w:val="057C3509"/>
    <w:rsid w:val="05815E71"/>
    <w:rsid w:val="059647D4"/>
    <w:rsid w:val="05A95705"/>
    <w:rsid w:val="05C25E00"/>
    <w:rsid w:val="05C4778B"/>
    <w:rsid w:val="05C70FDF"/>
    <w:rsid w:val="060E0158"/>
    <w:rsid w:val="06156D08"/>
    <w:rsid w:val="062236ED"/>
    <w:rsid w:val="06446CAE"/>
    <w:rsid w:val="06863720"/>
    <w:rsid w:val="06CF51BF"/>
    <w:rsid w:val="06D1526E"/>
    <w:rsid w:val="06F81602"/>
    <w:rsid w:val="07130C7E"/>
    <w:rsid w:val="07275395"/>
    <w:rsid w:val="072B0D9B"/>
    <w:rsid w:val="072F4F4B"/>
    <w:rsid w:val="073A1DD8"/>
    <w:rsid w:val="076530BA"/>
    <w:rsid w:val="07675CBE"/>
    <w:rsid w:val="077046E8"/>
    <w:rsid w:val="07CD6512"/>
    <w:rsid w:val="07D5750E"/>
    <w:rsid w:val="07DB0D17"/>
    <w:rsid w:val="07EB2068"/>
    <w:rsid w:val="07F24004"/>
    <w:rsid w:val="07F404C6"/>
    <w:rsid w:val="07FF0346"/>
    <w:rsid w:val="080A3ADE"/>
    <w:rsid w:val="082F51F2"/>
    <w:rsid w:val="0840595D"/>
    <w:rsid w:val="08493425"/>
    <w:rsid w:val="088B4B61"/>
    <w:rsid w:val="088E49C1"/>
    <w:rsid w:val="08A32BD2"/>
    <w:rsid w:val="08A628B2"/>
    <w:rsid w:val="08BA79FE"/>
    <w:rsid w:val="08D15B8E"/>
    <w:rsid w:val="08D60CE5"/>
    <w:rsid w:val="091836FE"/>
    <w:rsid w:val="092D6612"/>
    <w:rsid w:val="0937514F"/>
    <w:rsid w:val="093E77A1"/>
    <w:rsid w:val="094267B3"/>
    <w:rsid w:val="09477AF6"/>
    <w:rsid w:val="09544CAF"/>
    <w:rsid w:val="09575EBB"/>
    <w:rsid w:val="09620A1B"/>
    <w:rsid w:val="097D1872"/>
    <w:rsid w:val="09A81770"/>
    <w:rsid w:val="09C35BF1"/>
    <w:rsid w:val="09D7343D"/>
    <w:rsid w:val="0A0A5C80"/>
    <w:rsid w:val="0A2472A1"/>
    <w:rsid w:val="0A2B2833"/>
    <w:rsid w:val="0A3622E4"/>
    <w:rsid w:val="0A5A6738"/>
    <w:rsid w:val="0A607704"/>
    <w:rsid w:val="0A827E27"/>
    <w:rsid w:val="0A850C6E"/>
    <w:rsid w:val="0AA0607F"/>
    <w:rsid w:val="0AD2375E"/>
    <w:rsid w:val="0ADB487C"/>
    <w:rsid w:val="0AE4027F"/>
    <w:rsid w:val="0AE61DC4"/>
    <w:rsid w:val="0AF133D3"/>
    <w:rsid w:val="0AFB595E"/>
    <w:rsid w:val="0B07016A"/>
    <w:rsid w:val="0B274F83"/>
    <w:rsid w:val="0B344DFA"/>
    <w:rsid w:val="0B5903B4"/>
    <w:rsid w:val="0B7218AA"/>
    <w:rsid w:val="0BA0325F"/>
    <w:rsid w:val="0BAB0918"/>
    <w:rsid w:val="0BB301A1"/>
    <w:rsid w:val="0BBE064B"/>
    <w:rsid w:val="0BBE78D7"/>
    <w:rsid w:val="0BC63694"/>
    <w:rsid w:val="0BD775A9"/>
    <w:rsid w:val="0BDD3BE6"/>
    <w:rsid w:val="0BE20C03"/>
    <w:rsid w:val="0BEB2DEB"/>
    <w:rsid w:val="0BEE316C"/>
    <w:rsid w:val="0BF0588E"/>
    <w:rsid w:val="0BF26547"/>
    <w:rsid w:val="0BF448E1"/>
    <w:rsid w:val="0BFB026D"/>
    <w:rsid w:val="0C0017E7"/>
    <w:rsid w:val="0C2E11BE"/>
    <w:rsid w:val="0C3618C3"/>
    <w:rsid w:val="0C3721AC"/>
    <w:rsid w:val="0C450D6C"/>
    <w:rsid w:val="0C4900DF"/>
    <w:rsid w:val="0C657188"/>
    <w:rsid w:val="0C7118B1"/>
    <w:rsid w:val="0C8D0028"/>
    <w:rsid w:val="0CA067AD"/>
    <w:rsid w:val="0CBF2C6D"/>
    <w:rsid w:val="0CD10E5C"/>
    <w:rsid w:val="0CE95B9C"/>
    <w:rsid w:val="0CED66EB"/>
    <w:rsid w:val="0D014632"/>
    <w:rsid w:val="0D11661E"/>
    <w:rsid w:val="0D15254A"/>
    <w:rsid w:val="0D1D1A10"/>
    <w:rsid w:val="0D4727EC"/>
    <w:rsid w:val="0D8B7595"/>
    <w:rsid w:val="0DA612C7"/>
    <w:rsid w:val="0DB60F77"/>
    <w:rsid w:val="0E057365"/>
    <w:rsid w:val="0E134E7E"/>
    <w:rsid w:val="0E1D5A1A"/>
    <w:rsid w:val="0E2A3DCF"/>
    <w:rsid w:val="0E33045A"/>
    <w:rsid w:val="0E3C458A"/>
    <w:rsid w:val="0E493F7A"/>
    <w:rsid w:val="0E4C23C1"/>
    <w:rsid w:val="0E585CB4"/>
    <w:rsid w:val="0E607A57"/>
    <w:rsid w:val="0E657831"/>
    <w:rsid w:val="0E9D715F"/>
    <w:rsid w:val="0EA461E1"/>
    <w:rsid w:val="0EB77253"/>
    <w:rsid w:val="0EB84A99"/>
    <w:rsid w:val="0ED158DD"/>
    <w:rsid w:val="0EE429F8"/>
    <w:rsid w:val="0EE851DC"/>
    <w:rsid w:val="0EF14F17"/>
    <w:rsid w:val="0EF96A7C"/>
    <w:rsid w:val="0EFB264F"/>
    <w:rsid w:val="0F0425BB"/>
    <w:rsid w:val="0F0A34B9"/>
    <w:rsid w:val="0F1C2D32"/>
    <w:rsid w:val="0F1D151B"/>
    <w:rsid w:val="0F2A5979"/>
    <w:rsid w:val="0F3F2B4E"/>
    <w:rsid w:val="0F6A41C5"/>
    <w:rsid w:val="0F6E64C0"/>
    <w:rsid w:val="0F825569"/>
    <w:rsid w:val="0F8B2F3A"/>
    <w:rsid w:val="0F9B7877"/>
    <w:rsid w:val="0FA954C3"/>
    <w:rsid w:val="0FB276E7"/>
    <w:rsid w:val="0FC036A5"/>
    <w:rsid w:val="0FE12F89"/>
    <w:rsid w:val="0FFE37DD"/>
    <w:rsid w:val="100A0A21"/>
    <w:rsid w:val="1020198B"/>
    <w:rsid w:val="10276604"/>
    <w:rsid w:val="103A1754"/>
    <w:rsid w:val="103F57F7"/>
    <w:rsid w:val="10411422"/>
    <w:rsid w:val="1044209D"/>
    <w:rsid w:val="10456D7D"/>
    <w:rsid w:val="10733B44"/>
    <w:rsid w:val="109B654F"/>
    <w:rsid w:val="10A46708"/>
    <w:rsid w:val="10B672D8"/>
    <w:rsid w:val="10BF1C90"/>
    <w:rsid w:val="10D10231"/>
    <w:rsid w:val="10D208A6"/>
    <w:rsid w:val="10E46634"/>
    <w:rsid w:val="11060689"/>
    <w:rsid w:val="11217992"/>
    <w:rsid w:val="11251188"/>
    <w:rsid w:val="11295221"/>
    <w:rsid w:val="113D0E65"/>
    <w:rsid w:val="113E7271"/>
    <w:rsid w:val="11416F6F"/>
    <w:rsid w:val="1155123C"/>
    <w:rsid w:val="11595B0A"/>
    <w:rsid w:val="11785055"/>
    <w:rsid w:val="118B5CAA"/>
    <w:rsid w:val="11941A64"/>
    <w:rsid w:val="11981C21"/>
    <w:rsid w:val="11AD2042"/>
    <w:rsid w:val="11B05B41"/>
    <w:rsid w:val="11B1304E"/>
    <w:rsid w:val="11B15FB9"/>
    <w:rsid w:val="11D75183"/>
    <w:rsid w:val="11DC205D"/>
    <w:rsid w:val="11EF13E0"/>
    <w:rsid w:val="11FC5AA4"/>
    <w:rsid w:val="11FF674C"/>
    <w:rsid w:val="120C5D7E"/>
    <w:rsid w:val="121F2D08"/>
    <w:rsid w:val="122B77F1"/>
    <w:rsid w:val="126F6405"/>
    <w:rsid w:val="128E7F06"/>
    <w:rsid w:val="1296148B"/>
    <w:rsid w:val="12971BF6"/>
    <w:rsid w:val="1299087C"/>
    <w:rsid w:val="12A5518B"/>
    <w:rsid w:val="12B17949"/>
    <w:rsid w:val="12B92856"/>
    <w:rsid w:val="12C237C9"/>
    <w:rsid w:val="12C863EF"/>
    <w:rsid w:val="12D30E1A"/>
    <w:rsid w:val="12D547F3"/>
    <w:rsid w:val="130B672E"/>
    <w:rsid w:val="132F4E87"/>
    <w:rsid w:val="13340126"/>
    <w:rsid w:val="13430AB3"/>
    <w:rsid w:val="13486D30"/>
    <w:rsid w:val="135F31AA"/>
    <w:rsid w:val="136F6921"/>
    <w:rsid w:val="13736DE8"/>
    <w:rsid w:val="13856B95"/>
    <w:rsid w:val="138A076D"/>
    <w:rsid w:val="139116FE"/>
    <w:rsid w:val="13AE3130"/>
    <w:rsid w:val="13B75D72"/>
    <w:rsid w:val="13B90896"/>
    <w:rsid w:val="13D14483"/>
    <w:rsid w:val="13DD24DF"/>
    <w:rsid w:val="13FC0B54"/>
    <w:rsid w:val="140B496C"/>
    <w:rsid w:val="14250C9D"/>
    <w:rsid w:val="142F1747"/>
    <w:rsid w:val="143F0797"/>
    <w:rsid w:val="144951AF"/>
    <w:rsid w:val="144A00B3"/>
    <w:rsid w:val="144D2814"/>
    <w:rsid w:val="14515E64"/>
    <w:rsid w:val="147131C9"/>
    <w:rsid w:val="14AC09F5"/>
    <w:rsid w:val="14CA5BC1"/>
    <w:rsid w:val="14E50E74"/>
    <w:rsid w:val="14FD5801"/>
    <w:rsid w:val="153B3CE9"/>
    <w:rsid w:val="154C18B6"/>
    <w:rsid w:val="154D5FC0"/>
    <w:rsid w:val="15542020"/>
    <w:rsid w:val="157F786D"/>
    <w:rsid w:val="158B6B9F"/>
    <w:rsid w:val="15B34F99"/>
    <w:rsid w:val="15C121D6"/>
    <w:rsid w:val="15E93E01"/>
    <w:rsid w:val="15EC59A4"/>
    <w:rsid w:val="16106C17"/>
    <w:rsid w:val="16223ECC"/>
    <w:rsid w:val="163C048F"/>
    <w:rsid w:val="164C51F6"/>
    <w:rsid w:val="16524359"/>
    <w:rsid w:val="165B5577"/>
    <w:rsid w:val="166F4C87"/>
    <w:rsid w:val="16707B63"/>
    <w:rsid w:val="1672275E"/>
    <w:rsid w:val="16A42B33"/>
    <w:rsid w:val="16B9067C"/>
    <w:rsid w:val="16C916FF"/>
    <w:rsid w:val="16FD7459"/>
    <w:rsid w:val="16FE21FD"/>
    <w:rsid w:val="17077A24"/>
    <w:rsid w:val="171271DA"/>
    <w:rsid w:val="171B1048"/>
    <w:rsid w:val="171C1ED0"/>
    <w:rsid w:val="173F2E75"/>
    <w:rsid w:val="175A04DB"/>
    <w:rsid w:val="1760504C"/>
    <w:rsid w:val="17842B4C"/>
    <w:rsid w:val="178D2288"/>
    <w:rsid w:val="1792345F"/>
    <w:rsid w:val="179E61E3"/>
    <w:rsid w:val="17A448C2"/>
    <w:rsid w:val="17AE49E6"/>
    <w:rsid w:val="17C03A07"/>
    <w:rsid w:val="17CA6515"/>
    <w:rsid w:val="17E23BBC"/>
    <w:rsid w:val="17F830FA"/>
    <w:rsid w:val="180E1199"/>
    <w:rsid w:val="18167A61"/>
    <w:rsid w:val="1818676D"/>
    <w:rsid w:val="18517AFB"/>
    <w:rsid w:val="187F1162"/>
    <w:rsid w:val="18865F78"/>
    <w:rsid w:val="18957E90"/>
    <w:rsid w:val="18983EC6"/>
    <w:rsid w:val="189C2759"/>
    <w:rsid w:val="18A60DE5"/>
    <w:rsid w:val="18C2749F"/>
    <w:rsid w:val="18D438B6"/>
    <w:rsid w:val="18DE006E"/>
    <w:rsid w:val="18F309AE"/>
    <w:rsid w:val="19045B0B"/>
    <w:rsid w:val="19102702"/>
    <w:rsid w:val="192416EA"/>
    <w:rsid w:val="193113BA"/>
    <w:rsid w:val="193D78C0"/>
    <w:rsid w:val="19621BDB"/>
    <w:rsid w:val="197507ED"/>
    <w:rsid w:val="199D3F96"/>
    <w:rsid w:val="19C74C01"/>
    <w:rsid w:val="19CA4715"/>
    <w:rsid w:val="19D05965"/>
    <w:rsid w:val="19E06166"/>
    <w:rsid w:val="1A3235FE"/>
    <w:rsid w:val="1A4F1F9A"/>
    <w:rsid w:val="1A544563"/>
    <w:rsid w:val="1A6A7FF2"/>
    <w:rsid w:val="1A78230D"/>
    <w:rsid w:val="1A7F7460"/>
    <w:rsid w:val="1A87622E"/>
    <w:rsid w:val="1A8D4A36"/>
    <w:rsid w:val="1A8F4BC6"/>
    <w:rsid w:val="1A9A6CAC"/>
    <w:rsid w:val="1A9B0514"/>
    <w:rsid w:val="1AA44EB0"/>
    <w:rsid w:val="1AAF3010"/>
    <w:rsid w:val="1AC447C1"/>
    <w:rsid w:val="1AC51B11"/>
    <w:rsid w:val="1AD0039B"/>
    <w:rsid w:val="1ADC29BA"/>
    <w:rsid w:val="1B1A6D66"/>
    <w:rsid w:val="1B2F0E66"/>
    <w:rsid w:val="1B3A3732"/>
    <w:rsid w:val="1B3E2828"/>
    <w:rsid w:val="1B5A494B"/>
    <w:rsid w:val="1B6877A2"/>
    <w:rsid w:val="1B6A60FA"/>
    <w:rsid w:val="1B7D7FE3"/>
    <w:rsid w:val="1B9A317F"/>
    <w:rsid w:val="1B9F2EE1"/>
    <w:rsid w:val="1BA4695A"/>
    <w:rsid w:val="1BA53EE6"/>
    <w:rsid w:val="1BAC38A3"/>
    <w:rsid w:val="1BC8177B"/>
    <w:rsid w:val="1BCF73A7"/>
    <w:rsid w:val="1BD43BC5"/>
    <w:rsid w:val="1BDE58F8"/>
    <w:rsid w:val="1BE307D6"/>
    <w:rsid w:val="1BE5050B"/>
    <w:rsid w:val="1BEE2A19"/>
    <w:rsid w:val="1BF67937"/>
    <w:rsid w:val="1C003D96"/>
    <w:rsid w:val="1C127C08"/>
    <w:rsid w:val="1C6B28A5"/>
    <w:rsid w:val="1C796CC0"/>
    <w:rsid w:val="1C9E0B62"/>
    <w:rsid w:val="1C9F4E79"/>
    <w:rsid w:val="1CA44E33"/>
    <w:rsid w:val="1CB919E4"/>
    <w:rsid w:val="1CC406E9"/>
    <w:rsid w:val="1CC9026A"/>
    <w:rsid w:val="1D080A59"/>
    <w:rsid w:val="1D153418"/>
    <w:rsid w:val="1D1E5FA7"/>
    <w:rsid w:val="1D2A05D5"/>
    <w:rsid w:val="1D2D30DE"/>
    <w:rsid w:val="1D3768AD"/>
    <w:rsid w:val="1D430ED0"/>
    <w:rsid w:val="1D451C5D"/>
    <w:rsid w:val="1D6525A5"/>
    <w:rsid w:val="1D714E5A"/>
    <w:rsid w:val="1D723AFD"/>
    <w:rsid w:val="1D737E50"/>
    <w:rsid w:val="1D8611E5"/>
    <w:rsid w:val="1D8D49B2"/>
    <w:rsid w:val="1DA572EF"/>
    <w:rsid w:val="1DC878B0"/>
    <w:rsid w:val="1DF0639E"/>
    <w:rsid w:val="1DF20628"/>
    <w:rsid w:val="1E005839"/>
    <w:rsid w:val="1E14059F"/>
    <w:rsid w:val="1E193770"/>
    <w:rsid w:val="1E2274DB"/>
    <w:rsid w:val="1E3D5D47"/>
    <w:rsid w:val="1E4424F0"/>
    <w:rsid w:val="1E50563C"/>
    <w:rsid w:val="1E537754"/>
    <w:rsid w:val="1E5A20DA"/>
    <w:rsid w:val="1E676504"/>
    <w:rsid w:val="1E6D6F9E"/>
    <w:rsid w:val="1E753EBE"/>
    <w:rsid w:val="1E761EDC"/>
    <w:rsid w:val="1E917E41"/>
    <w:rsid w:val="1EA33C4F"/>
    <w:rsid w:val="1EB81462"/>
    <w:rsid w:val="1EC1196C"/>
    <w:rsid w:val="1EE55552"/>
    <w:rsid w:val="1EFA2F67"/>
    <w:rsid w:val="1F0941AF"/>
    <w:rsid w:val="1F0C1330"/>
    <w:rsid w:val="1F1D25B4"/>
    <w:rsid w:val="1F4A3163"/>
    <w:rsid w:val="1F7A555B"/>
    <w:rsid w:val="1F9E2B9F"/>
    <w:rsid w:val="1FB706AC"/>
    <w:rsid w:val="1FC14756"/>
    <w:rsid w:val="1FC22F02"/>
    <w:rsid w:val="1FC84EA5"/>
    <w:rsid w:val="1FC95EE5"/>
    <w:rsid w:val="1FDE2442"/>
    <w:rsid w:val="1FF73CD4"/>
    <w:rsid w:val="202968CB"/>
    <w:rsid w:val="20315011"/>
    <w:rsid w:val="205B795D"/>
    <w:rsid w:val="2064239D"/>
    <w:rsid w:val="206E6519"/>
    <w:rsid w:val="208244E5"/>
    <w:rsid w:val="209A1D43"/>
    <w:rsid w:val="209F0772"/>
    <w:rsid w:val="20A47801"/>
    <w:rsid w:val="20BB253F"/>
    <w:rsid w:val="20BE4F05"/>
    <w:rsid w:val="20E57B32"/>
    <w:rsid w:val="21131AE2"/>
    <w:rsid w:val="21175205"/>
    <w:rsid w:val="21390601"/>
    <w:rsid w:val="21835E44"/>
    <w:rsid w:val="21A36C6B"/>
    <w:rsid w:val="21B9009F"/>
    <w:rsid w:val="21DC23E3"/>
    <w:rsid w:val="21E16856"/>
    <w:rsid w:val="21E478D6"/>
    <w:rsid w:val="21F62281"/>
    <w:rsid w:val="22075158"/>
    <w:rsid w:val="222D0B04"/>
    <w:rsid w:val="22431EDD"/>
    <w:rsid w:val="224F1198"/>
    <w:rsid w:val="22576F06"/>
    <w:rsid w:val="22762396"/>
    <w:rsid w:val="2286444D"/>
    <w:rsid w:val="229854E8"/>
    <w:rsid w:val="22993768"/>
    <w:rsid w:val="22B13442"/>
    <w:rsid w:val="22C41441"/>
    <w:rsid w:val="22CE39CA"/>
    <w:rsid w:val="22E628AC"/>
    <w:rsid w:val="22EA5BD8"/>
    <w:rsid w:val="22F8048F"/>
    <w:rsid w:val="23197A44"/>
    <w:rsid w:val="2338088B"/>
    <w:rsid w:val="234725AF"/>
    <w:rsid w:val="23524EC0"/>
    <w:rsid w:val="23724322"/>
    <w:rsid w:val="239904F4"/>
    <w:rsid w:val="23A35DF3"/>
    <w:rsid w:val="23D44147"/>
    <w:rsid w:val="23D92A81"/>
    <w:rsid w:val="23FF22EB"/>
    <w:rsid w:val="24057166"/>
    <w:rsid w:val="242B4D1A"/>
    <w:rsid w:val="243B6131"/>
    <w:rsid w:val="24554063"/>
    <w:rsid w:val="245E07C6"/>
    <w:rsid w:val="247A1211"/>
    <w:rsid w:val="247A7F67"/>
    <w:rsid w:val="24C42CDC"/>
    <w:rsid w:val="24CC1DEB"/>
    <w:rsid w:val="24D27486"/>
    <w:rsid w:val="24DD18F0"/>
    <w:rsid w:val="24EA7243"/>
    <w:rsid w:val="25271227"/>
    <w:rsid w:val="25644FE8"/>
    <w:rsid w:val="257229B7"/>
    <w:rsid w:val="25820ACA"/>
    <w:rsid w:val="25D732AA"/>
    <w:rsid w:val="25FB60DD"/>
    <w:rsid w:val="25FE475D"/>
    <w:rsid w:val="25FF3174"/>
    <w:rsid w:val="26073CE0"/>
    <w:rsid w:val="26222188"/>
    <w:rsid w:val="262305ED"/>
    <w:rsid w:val="264074E8"/>
    <w:rsid w:val="265240A1"/>
    <w:rsid w:val="26574040"/>
    <w:rsid w:val="2659355E"/>
    <w:rsid w:val="265D0685"/>
    <w:rsid w:val="266B03B6"/>
    <w:rsid w:val="267A6286"/>
    <w:rsid w:val="26860F71"/>
    <w:rsid w:val="26A621FC"/>
    <w:rsid w:val="26AC3CA6"/>
    <w:rsid w:val="26B8286D"/>
    <w:rsid w:val="26D96B3E"/>
    <w:rsid w:val="26E91FF2"/>
    <w:rsid w:val="26F642CB"/>
    <w:rsid w:val="27125CB8"/>
    <w:rsid w:val="27297E05"/>
    <w:rsid w:val="2733504A"/>
    <w:rsid w:val="274646A3"/>
    <w:rsid w:val="27651282"/>
    <w:rsid w:val="27702CEA"/>
    <w:rsid w:val="27B23E95"/>
    <w:rsid w:val="27B853C9"/>
    <w:rsid w:val="27C8382F"/>
    <w:rsid w:val="27DD6EF4"/>
    <w:rsid w:val="2828021F"/>
    <w:rsid w:val="28445DC4"/>
    <w:rsid w:val="28504263"/>
    <w:rsid w:val="28716E25"/>
    <w:rsid w:val="28A30E9D"/>
    <w:rsid w:val="28B37A8B"/>
    <w:rsid w:val="28B43680"/>
    <w:rsid w:val="28CF33E2"/>
    <w:rsid w:val="28D8075E"/>
    <w:rsid w:val="28E44919"/>
    <w:rsid w:val="28EC5824"/>
    <w:rsid w:val="28F41502"/>
    <w:rsid w:val="28F72078"/>
    <w:rsid w:val="29000B11"/>
    <w:rsid w:val="290B6908"/>
    <w:rsid w:val="290F551C"/>
    <w:rsid w:val="29115E76"/>
    <w:rsid w:val="29485C68"/>
    <w:rsid w:val="297B69ED"/>
    <w:rsid w:val="29821C59"/>
    <w:rsid w:val="29882031"/>
    <w:rsid w:val="298856B4"/>
    <w:rsid w:val="298C1881"/>
    <w:rsid w:val="29934A6D"/>
    <w:rsid w:val="299D3B83"/>
    <w:rsid w:val="29A86E25"/>
    <w:rsid w:val="29B829B5"/>
    <w:rsid w:val="29CF04F8"/>
    <w:rsid w:val="29DA5539"/>
    <w:rsid w:val="29DA7DCA"/>
    <w:rsid w:val="29DE3ECD"/>
    <w:rsid w:val="29F70520"/>
    <w:rsid w:val="2A00473E"/>
    <w:rsid w:val="2A150719"/>
    <w:rsid w:val="2A2418BE"/>
    <w:rsid w:val="2A242A8C"/>
    <w:rsid w:val="2A3064E9"/>
    <w:rsid w:val="2A355794"/>
    <w:rsid w:val="2A3D15D5"/>
    <w:rsid w:val="2A602203"/>
    <w:rsid w:val="2A635EC6"/>
    <w:rsid w:val="2A6E0388"/>
    <w:rsid w:val="2A6F4720"/>
    <w:rsid w:val="2A7A11A1"/>
    <w:rsid w:val="2A820732"/>
    <w:rsid w:val="2A8D5101"/>
    <w:rsid w:val="2A9923FA"/>
    <w:rsid w:val="2ABF01AC"/>
    <w:rsid w:val="2AC1443F"/>
    <w:rsid w:val="2ACB6DF0"/>
    <w:rsid w:val="2AD046C2"/>
    <w:rsid w:val="2AD55443"/>
    <w:rsid w:val="2AE674AF"/>
    <w:rsid w:val="2AF01C34"/>
    <w:rsid w:val="2B107731"/>
    <w:rsid w:val="2B2F426B"/>
    <w:rsid w:val="2B3012EB"/>
    <w:rsid w:val="2B481888"/>
    <w:rsid w:val="2B876854"/>
    <w:rsid w:val="2B8F395A"/>
    <w:rsid w:val="2B90556E"/>
    <w:rsid w:val="2B9B7ADD"/>
    <w:rsid w:val="2BA63F1D"/>
    <w:rsid w:val="2BDC3B15"/>
    <w:rsid w:val="2BDE3190"/>
    <w:rsid w:val="2BE0789B"/>
    <w:rsid w:val="2BFE70DC"/>
    <w:rsid w:val="2C194F91"/>
    <w:rsid w:val="2C3E7BCE"/>
    <w:rsid w:val="2C4163AA"/>
    <w:rsid w:val="2C6966A1"/>
    <w:rsid w:val="2C727379"/>
    <w:rsid w:val="2C7D1A05"/>
    <w:rsid w:val="2C925651"/>
    <w:rsid w:val="2C974875"/>
    <w:rsid w:val="2C9E5C92"/>
    <w:rsid w:val="2CA2747E"/>
    <w:rsid w:val="2CBF7E97"/>
    <w:rsid w:val="2CE71B4B"/>
    <w:rsid w:val="2CE87D43"/>
    <w:rsid w:val="2D0B6168"/>
    <w:rsid w:val="2D2371BC"/>
    <w:rsid w:val="2D307367"/>
    <w:rsid w:val="2D3C2DC7"/>
    <w:rsid w:val="2D452523"/>
    <w:rsid w:val="2D4E0BBD"/>
    <w:rsid w:val="2D541CF6"/>
    <w:rsid w:val="2D636E4D"/>
    <w:rsid w:val="2D7347CC"/>
    <w:rsid w:val="2D862BD2"/>
    <w:rsid w:val="2D915C05"/>
    <w:rsid w:val="2DB1335A"/>
    <w:rsid w:val="2DDB5AB4"/>
    <w:rsid w:val="2DE82045"/>
    <w:rsid w:val="2DE95E00"/>
    <w:rsid w:val="2DF13B75"/>
    <w:rsid w:val="2DF36D07"/>
    <w:rsid w:val="2DFA155F"/>
    <w:rsid w:val="2E1B260D"/>
    <w:rsid w:val="2E2A4C97"/>
    <w:rsid w:val="2E650E2E"/>
    <w:rsid w:val="2E6517AB"/>
    <w:rsid w:val="2E84114F"/>
    <w:rsid w:val="2E8A54C6"/>
    <w:rsid w:val="2E9378F5"/>
    <w:rsid w:val="2E9715C6"/>
    <w:rsid w:val="2EAB6895"/>
    <w:rsid w:val="2EB84F76"/>
    <w:rsid w:val="2EC64B5C"/>
    <w:rsid w:val="2ED54476"/>
    <w:rsid w:val="2EE65340"/>
    <w:rsid w:val="2EEC3DFF"/>
    <w:rsid w:val="2EF21E0C"/>
    <w:rsid w:val="2EFB4A42"/>
    <w:rsid w:val="2F010DAD"/>
    <w:rsid w:val="2F092EF0"/>
    <w:rsid w:val="2F0E6997"/>
    <w:rsid w:val="2F1D5335"/>
    <w:rsid w:val="2F315DEE"/>
    <w:rsid w:val="2F451C25"/>
    <w:rsid w:val="2F4A3E20"/>
    <w:rsid w:val="2F53386D"/>
    <w:rsid w:val="2F67594D"/>
    <w:rsid w:val="2F7E7EA1"/>
    <w:rsid w:val="2FBB2F82"/>
    <w:rsid w:val="2FC53D40"/>
    <w:rsid w:val="2FC93DCF"/>
    <w:rsid w:val="2FD53FB6"/>
    <w:rsid w:val="2FE3428D"/>
    <w:rsid w:val="2FE9744B"/>
    <w:rsid w:val="2FEE27D0"/>
    <w:rsid w:val="300C557A"/>
    <w:rsid w:val="30136890"/>
    <w:rsid w:val="303D4DC2"/>
    <w:rsid w:val="30446AC1"/>
    <w:rsid w:val="30447E22"/>
    <w:rsid w:val="305C38DF"/>
    <w:rsid w:val="30901D07"/>
    <w:rsid w:val="30A612CD"/>
    <w:rsid w:val="30B31E99"/>
    <w:rsid w:val="30BC1288"/>
    <w:rsid w:val="30C812B0"/>
    <w:rsid w:val="30EA70C1"/>
    <w:rsid w:val="30FA001C"/>
    <w:rsid w:val="31002970"/>
    <w:rsid w:val="31172A11"/>
    <w:rsid w:val="314667A8"/>
    <w:rsid w:val="314F5391"/>
    <w:rsid w:val="31892A3A"/>
    <w:rsid w:val="31A671C1"/>
    <w:rsid w:val="31B64E22"/>
    <w:rsid w:val="31BB1005"/>
    <w:rsid w:val="31D96C4D"/>
    <w:rsid w:val="31E4121D"/>
    <w:rsid w:val="31EB7444"/>
    <w:rsid w:val="321F6EED"/>
    <w:rsid w:val="32230EFC"/>
    <w:rsid w:val="32301898"/>
    <w:rsid w:val="32315963"/>
    <w:rsid w:val="323B6E74"/>
    <w:rsid w:val="325F307A"/>
    <w:rsid w:val="326903A1"/>
    <w:rsid w:val="32786AED"/>
    <w:rsid w:val="327B56DF"/>
    <w:rsid w:val="32967F9B"/>
    <w:rsid w:val="329D3CA8"/>
    <w:rsid w:val="32A83654"/>
    <w:rsid w:val="32B232EF"/>
    <w:rsid w:val="32B24700"/>
    <w:rsid w:val="32B73430"/>
    <w:rsid w:val="32C72418"/>
    <w:rsid w:val="332437B6"/>
    <w:rsid w:val="33915D09"/>
    <w:rsid w:val="33944AC2"/>
    <w:rsid w:val="33A46447"/>
    <w:rsid w:val="33A974DE"/>
    <w:rsid w:val="33D801B0"/>
    <w:rsid w:val="33FE3CF5"/>
    <w:rsid w:val="340454CD"/>
    <w:rsid w:val="34303663"/>
    <w:rsid w:val="344D66DB"/>
    <w:rsid w:val="345365E2"/>
    <w:rsid w:val="34553CCC"/>
    <w:rsid w:val="34655DB4"/>
    <w:rsid w:val="34811643"/>
    <w:rsid w:val="34962BC4"/>
    <w:rsid w:val="34A45101"/>
    <w:rsid w:val="34B17679"/>
    <w:rsid w:val="34CD2D05"/>
    <w:rsid w:val="34D85FF2"/>
    <w:rsid w:val="34D873B7"/>
    <w:rsid w:val="34DF68EB"/>
    <w:rsid w:val="35020CF9"/>
    <w:rsid w:val="350D3850"/>
    <w:rsid w:val="352245D3"/>
    <w:rsid w:val="352305CF"/>
    <w:rsid w:val="35230D3E"/>
    <w:rsid w:val="352A1BC7"/>
    <w:rsid w:val="35695A74"/>
    <w:rsid w:val="356A5D5E"/>
    <w:rsid w:val="356B3AD6"/>
    <w:rsid w:val="356D6ABA"/>
    <w:rsid w:val="356D7CE2"/>
    <w:rsid w:val="35783DA2"/>
    <w:rsid w:val="358A0F48"/>
    <w:rsid w:val="359302CF"/>
    <w:rsid w:val="35BB3402"/>
    <w:rsid w:val="35C12962"/>
    <w:rsid w:val="35C753A2"/>
    <w:rsid w:val="35CA52CD"/>
    <w:rsid w:val="35D167C5"/>
    <w:rsid w:val="35D671AC"/>
    <w:rsid w:val="35E46651"/>
    <w:rsid w:val="35FA4FA9"/>
    <w:rsid w:val="36044D47"/>
    <w:rsid w:val="36082880"/>
    <w:rsid w:val="36157562"/>
    <w:rsid w:val="36301896"/>
    <w:rsid w:val="36306CB3"/>
    <w:rsid w:val="363C59D6"/>
    <w:rsid w:val="363F5D8A"/>
    <w:rsid w:val="3654025F"/>
    <w:rsid w:val="365E6403"/>
    <w:rsid w:val="367E003A"/>
    <w:rsid w:val="368A3E01"/>
    <w:rsid w:val="36A17435"/>
    <w:rsid w:val="36EA7DD1"/>
    <w:rsid w:val="36FF6D74"/>
    <w:rsid w:val="3701395E"/>
    <w:rsid w:val="371B7CF7"/>
    <w:rsid w:val="372C6B90"/>
    <w:rsid w:val="374134DA"/>
    <w:rsid w:val="37536FC3"/>
    <w:rsid w:val="37550108"/>
    <w:rsid w:val="375A544D"/>
    <w:rsid w:val="375D182C"/>
    <w:rsid w:val="37723458"/>
    <w:rsid w:val="377E62C8"/>
    <w:rsid w:val="378E4F6A"/>
    <w:rsid w:val="37980BB9"/>
    <w:rsid w:val="37981102"/>
    <w:rsid w:val="37B22137"/>
    <w:rsid w:val="37B83BA9"/>
    <w:rsid w:val="37BC7E4B"/>
    <w:rsid w:val="37C24C19"/>
    <w:rsid w:val="37C50CCC"/>
    <w:rsid w:val="37D34539"/>
    <w:rsid w:val="37D6699D"/>
    <w:rsid w:val="37DF22DA"/>
    <w:rsid w:val="37E562C3"/>
    <w:rsid w:val="38044D88"/>
    <w:rsid w:val="381904C3"/>
    <w:rsid w:val="38313BB6"/>
    <w:rsid w:val="383D2F97"/>
    <w:rsid w:val="38500586"/>
    <w:rsid w:val="386E52EC"/>
    <w:rsid w:val="387E6AA8"/>
    <w:rsid w:val="38910B5D"/>
    <w:rsid w:val="389575DB"/>
    <w:rsid w:val="38CC1D4A"/>
    <w:rsid w:val="3918374D"/>
    <w:rsid w:val="391D07F7"/>
    <w:rsid w:val="39255523"/>
    <w:rsid w:val="394416E4"/>
    <w:rsid w:val="394B49EE"/>
    <w:rsid w:val="39695894"/>
    <w:rsid w:val="399860D0"/>
    <w:rsid w:val="399A250D"/>
    <w:rsid w:val="39A05CEA"/>
    <w:rsid w:val="39A43B31"/>
    <w:rsid w:val="39A84565"/>
    <w:rsid w:val="39D569DC"/>
    <w:rsid w:val="39DE2784"/>
    <w:rsid w:val="39E50DAD"/>
    <w:rsid w:val="39E613E1"/>
    <w:rsid w:val="3A02191F"/>
    <w:rsid w:val="3A0C4978"/>
    <w:rsid w:val="3A245EE6"/>
    <w:rsid w:val="3A290B28"/>
    <w:rsid w:val="3A2C2CB0"/>
    <w:rsid w:val="3A3F05A5"/>
    <w:rsid w:val="3A4303EB"/>
    <w:rsid w:val="3A435AC3"/>
    <w:rsid w:val="3A4542BB"/>
    <w:rsid w:val="3A500C0A"/>
    <w:rsid w:val="3A5913BB"/>
    <w:rsid w:val="3A5E5628"/>
    <w:rsid w:val="3A6E18AD"/>
    <w:rsid w:val="3A76274D"/>
    <w:rsid w:val="3A7828FC"/>
    <w:rsid w:val="3A9A4E2C"/>
    <w:rsid w:val="3AB32EF3"/>
    <w:rsid w:val="3ABE3914"/>
    <w:rsid w:val="3ACC6EE3"/>
    <w:rsid w:val="3ACD49A2"/>
    <w:rsid w:val="3AD95E00"/>
    <w:rsid w:val="3AEE11D6"/>
    <w:rsid w:val="3AF432BD"/>
    <w:rsid w:val="3AFA4AB9"/>
    <w:rsid w:val="3B0067F4"/>
    <w:rsid w:val="3B0F6025"/>
    <w:rsid w:val="3B1A0B84"/>
    <w:rsid w:val="3B4516A2"/>
    <w:rsid w:val="3B464036"/>
    <w:rsid w:val="3B56664B"/>
    <w:rsid w:val="3B64626A"/>
    <w:rsid w:val="3B72143A"/>
    <w:rsid w:val="3B755812"/>
    <w:rsid w:val="3B923306"/>
    <w:rsid w:val="3B99181B"/>
    <w:rsid w:val="3B9D6E59"/>
    <w:rsid w:val="3BB16B5F"/>
    <w:rsid w:val="3BC46D08"/>
    <w:rsid w:val="3BDD6CAD"/>
    <w:rsid w:val="3BDE597C"/>
    <w:rsid w:val="3BDE7F4F"/>
    <w:rsid w:val="3BEF38C7"/>
    <w:rsid w:val="3BEF64B7"/>
    <w:rsid w:val="3BFA5515"/>
    <w:rsid w:val="3BFF41E4"/>
    <w:rsid w:val="3C177848"/>
    <w:rsid w:val="3C2A3A8E"/>
    <w:rsid w:val="3C39735A"/>
    <w:rsid w:val="3C3B5F45"/>
    <w:rsid w:val="3C430061"/>
    <w:rsid w:val="3C460F98"/>
    <w:rsid w:val="3C5B6AC4"/>
    <w:rsid w:val="3C77021F"/>
    <w:rsid w:val="3C917532"/>
    <w:rsid w:val="3CAC23C4"/>
    <w:rsid w:val="3CAF3544"/>
    <w:rsid w:val="3CE05A4A"/>
    <w:rsid w:val="3CF32CC8"/>
    <w:rsid w:val="3D1808D1"/>
    <w:rsid w:val="3D205459"/>
    <w:rsid w:val="3D3A3646"/>
    <w:rsid w:val="3D3A6003"/>
    <w:rsid w:val="3D592DCB"/>
    <w:rsid w:val="3D6029C0"/>
    <w:rsid w:val="3D733BDF"/>
    <w:rsid w:val="3D8F1525"/>
    <w:rsid w:val="3D925980"/>
    <w:rsid w:val="3DAC7EA3"/>
    <w:rsid w:val="3DB11DC8"/>
    <w:rsid w:val="3DB35105"/>
    <w:rsid w:val="3DB42DAD"/>
    <w:rsid w:val="3DDD67A7"/>
    <w:rsid w:val="3E13168C"/>
    <w:rsid w:val="3E1758C2"/>
    <w:rsid w:val="3E3A595D"/>
    <w:rsid w:val="3E402446"/>
    <w:rsid w:val="3E551DA9"/>
    <w:rsid w:val="3E5B788F"/>
    <w:rsid w:val="3E5F4BC2"/>
    <w:rsid w:val="3E685188"/>
    <w:rsid w:val="3E7027FD"/>
    <w:rsid w:val="3E832C34"/>
    <w:rsid w:val="3E90381A"/>
    <w:rsid w:val="3EA74F13"/>
    <w:rsid w:val="3EB11A93"/>
    <w:rsid w:val="3EC43D05"/>
    <w:rsid w:val="3EC5366D"/>
    <w:rsid w:val="3EED18D5"/>
    <w:rsid w:val="3EF16A7D"/>
    <w:rsid w:val="3EFA5BFA"/>
    <w:rsid w:val="3F122343"/>
    <w:rsid w:val="3F137572"/>
    <w:rsid w:val="3F3A60A1"/>
    <w:rsid w:val="3F512FA9"/>
    <w:rsid w:val="3F5B60EE"/>
    <w:rsid w:val="3F7446E3"/>
    <w:rsid w:val="3F836EDA"/>
    <w:rsid w:val="3FAC2AD8"/>
    <w:rsid w:val="3FB74FAA"/>
    <w:rsid w:val="400C2644"/>
    <w:rsid w:val="400C287A"/>
    <w:rsid w:val="400F7E01"/>
    <w:rsid w:val="4016390C"/>
    <w:rsid w:val="401C63A3"/>
    <w:rsid w:val="40342B29"/>
    <w:rsid w:val="403F1BA2"/>
    <w:rsid w:val="40525E06"/>
    <w:rsid w:val="40554F9C"/>
    <w:rsid w:val="405C51E2"/>
    <w:rsid w:val="40757D16"/>
    <w:rsid w:val="408B6047"/>
    <w:rsid w:val="40A77433"/>
    <w:rsid w:val="40C5611F"/>
    <w:rsid w:val="40E94C15"/>
    <w:rsid w:val="40F42249"/>
    <w:rsid w:val="40FA32D9"/>
    <w:rsid w:val="4130498B"/>
    <w:rsid w:val="41385108"/>
    <w:rsid w:val="41500A72"/>
    <w:rsid w:val="41945529"/>
    <w:rsid w:val="41A9041E"/>
    <w:rsid w:val="41AC022D"/>
    <w:rsid w:val="41C2121F"/>
    <w:rsid w:val="41C321D0"/>
    <w:rsid w:val="41E85B63"/>
    <w:rsid w:val="41EE340C"/>
    <w:rsid w:val="420134D7"/>
    <w:rsid w:val="42024A2E"/>
    <w:rsid w:val="42140154"/>
    <w:rsid w:val="42272BDA"/>
    <w:rsid w:val="4227356D"/>
    <w:rsid w:val="422F0305"/>
    <w:rsid w:val="42414FF7"/>
    <w:rsid w:val="424E359E"/>
    <w:rsid w:val="4255455A"/>
    <w:rsid w:val="426C1929"/>
    <w:rsid w:val="4271080F"/>
    <w:rsid w:val="429465E9"/>
    <w:rsid w:val="42A0372F"/>
    <w:rsid w:val="42B01F92"/>
    <w:rsid w:val="42F42D5B"/>
    <w:rsid w:val="42FB76F9"/>
    <w:rsid w:val="43317ED4"/>
    <w:rsid w:val="43484F8B"/>
    <w:rsid w:val="435B1860"/>
    <w:rsid w:val="436E0E60"/>
    <w:rsid w:val="43951E61"/>
    <w:rsid w:val="439A18BD"/>
    <w:rsid w:val="43B17C4C"/>
    <w:rsid w:val="43BA1A2A"/>
    <w:rsid w:val="43DE73B1"/>
    <w:rsid w:val="43EB2A17"/>
    <w:rsid w:val="43FB4A62"/>
    <w:rsid w:val="4406674E"/>
    <w:rsid w:val="441F737F"/>
    <w:rsid w:val="44283943"/>
    <w:rsid w:val="4433100B"/>
    <w:rsid w:val="44603CC4"/>
    <w:rsid w:val="447014AB"/>
    <w:rsid w:val="447D4AC2"/>
    <w:rsid w:val="448F2897"/>
    <w:rsid w:val="44986938"/>
    <w:rsid w:val="44A267AE"/>
    <w:rsid w:val="44DB7DC1"/>
    <w:rsid w:val="450C0C5A"/>
    <w:rsid w:val="45262C1F"/>
    <w:rsid w:val="452B2491"/>
    <w:rsid w:val="45314561"/>
    <w:rsid w:val="45360363"/>
    <w:rsid w:val="455B0488"/>
    <w:rsid w:val="455F6221"/>
    <w:rsid w:val="456125F8"/>
    <w:rsid w:val="456C422C"/>
    <w:rsid w:val="45716800"/>
    <w:rsid w:val="45724655"/>
    <w:rsid w:val="45757B02"/>
    <w:rsid w:val="45AE4E71"/>
    <w:rsid w:val="45C73FC5"/>
    <w:rsid w:val="45E10B02"/>
    <w:rsid w:val="46073D34"/>
    <w:rsid w:val="460A4F6B"/>
    <w:rsid w:val="460D4073"/>
    <w:rsid w:val="462B61C2"/>
    <w:rsid w:val="464476D8"/>
    <w:rsid w:val="464A6F99"/>
    <w:rsid w:val="464B32B7"/>
    <w:rsid w:val="465A7DF0"/>
    <w:rsid w:val="46726720"/>
    <w:rsid w:val="46797E29"/>
    <w:rsid w:val="46A61E2C"/>
    <w:rsid w:val="46A63743"/>
    <w:rsid w:val="46B0712F"/>
    <w:rsid w:val="46B4048E"/>
    <w:rsid w:val="46C16C66"/>
    <w:rsid w:val="46D042F7"/>
    <w:rsid w:val="46D4586A"/>
    <w:rsid w:val="46F41FD5"/>
    <w:rsid w:val="474D1CAF"/>
    <w:rsid w:val="47503B46"/>
    <w:rsid w:val="476910E3"/>
    <w:rsid w:val="47B83053"/>
    <w:rsid w:val="47C90055"/>
    <w:rsid w:val="47D879F0"/>
    <w:rsid w:val="47F77964"/>
    <w:rsid w:val="47FA3F5B"/>
    <w:rsid w:val="480D4AD6"/>
    <w:rsid w:val="48116524"/>
    <w:rsid w:val="48155079"/>
    <w:rsid w:val="481E3DA9"/>
    <w:rsid w:val="48256D81"/>
    <w:rsid w:val="482C618B"/>
    <w:rsid w:val="48401F08"/>
    <w:rsid w:val="48492B70"/>
    <w:rsid w:val="48537C1B"/>
    <w:rsid w:val="486A6E89"/>
    <w:rsid w:val="48861F15"/>
    <w:rsid w:val="4892419C"/>
    <w:rsid w:val="48981928"/>
    <w:rsid w:val="48997614"/>
    <w:rsid w:val="48CA7B79"/>
    <w:rsid w:val="48E11998"/>
    <w:rsid w:val="490E6C60"/>
    <w:rsid w:val="49164517"/>
    <w:rsid w:val="49213E0B"/>
    <w:rsid w:val="49412C27"/>
    <w:rsid w:val="49520D56"/>
    <w:rsid w:val="4965548D"/>
    <w:rsid w:val="49904391"/>
    <w:rsid w:val="49C64593"/>
    <w:rsid w:val="49CE41A9"/>
    <w:rsid w:val="49D62A28"/>
    <w:rsid w:val="4A2114A3"/>
    <w:rsid w:val="4A2600EA"/>
    <w:rsid w:val="4A2A2728"/>
    <w:rsid w:val="4A4260BE"/>
    <w:rsid w:val="4A4F7F3C"/>
    <w:rsid w:val="4A506EBA"/>
    <w:rsid w:val="4A5556A0"/>
    <w:rsid w:val="4A5E7000"/>
    <w:rsid w:val="4A712AC8"/>
    <w:rsid w:val="4A727430"/>
    <w:rsid w:val="4A995804"/>
    <w:rsid w:val="4AB33992"/>
    <w:rsid w:val="4AB879DF"/>
    <w:rsid w:val="4AB87AE4"/>
    <w:rsid w:val="4ACA23CB"/>
    <w:rsid w:val="4AD11442"/>
    <w:rsid w:val="4AD3056E"/>
    <w:rsid w:val="4AD53D8E"/>
    <w:rsid w:val="4ADB4FBF"/>
    <w:rsid w:val="4B1A11EE"/>
    <w:rsid w:val="4B294DDA"/>
    <w:rsid w:val="4B371494"/>
    <w:rsid w:val="4B373838"/>
    <w:rsid w:val="4B391785"/>
    <w:rsid w:val="4B3D2867"/>
    <w:rsid w:val="4B410E9F"/>
    <w:rsid w:val="4B5317A1"/>
    <w:rsid w:val="4B582E12"/>
    <w:rsid w:val="4B5D6832"/>
    <w:rsid w:val="4B605AC7"/>
    <w:rsid w:val="4B685E5F"/>
    <w:rsid w:val="4BA27E5F"/>
    <w:rsid w:val="4BB0030E"/>
    <w:rsid w:val="4BB20456"/>
    <w:rsid w:val="4BBE11D3"/>
    <w:rsid w:val="4C075712"/>
    <w:rsid w:val="4C125DC6"/>
    <w:rsid w:val="4C2A4D88"/>
    <w:rsid w:val="4C3D4674"/>
    <w:rsid w:val="4C3D5E74"/>
    <w:rsid w:val="4C407515"/>
    <w:rsid w:val="4C4243A5"/>
    <w:rsid w:val="4C4420EC"/>
    <w:rsid w:val="4C47712F"/>
    <w:rsid w:val="4C4C77BA"/>
    <w:rsid w:val="4C5E28C9"/>
    <w:rsid w:val="4C770B3C"/>
    <w:rsid w:val="4CA64629"/>
    <w:rsid w:val="4CB36056"/>
    <w:rsid w:val="4CC015A6"/>
    <w:rsid w:val="4CE52376"/>
    <w:rsid w:val="4CF76C18"/>
    <w:rsid w:val="4D111A6F"/>
    <w:rsid w:val="4D1B189C"/>
    <w:rsid w:val="4D4118A5"/>
    <w:rsid w:val="4DA91FD9"/>
    <w:rsid w:val="4DBF6375"/>
    <w:rsid w:val="4DED6593"/>
    <w:rsid w:val="4E022D18"/>
    <w:rsid w:val="4E095BEA"/>
    <w:rsid w:val="4E147D4E"/>
    <w:rsid w:val="4E1F443F"/>
    <w:rsid w:val="4E213C5F"/>
    <w:rsid w:val="4E2E44B5"/>
    <w:rsid w:val="4E4803A1"/>
    <w:rsid w:val="4E5122C4"/>
    <w:rsid w:val="4E69796E"/>
    <w:rsid w:val="4E6A24DF"/>
    <w:rsid w:val="4E723027"/>
    <w:rsid w:val="4E842411"/>
    <w:rsid w:val="4E937FE2"/>
    <w:rsid w:val="4E9B63DD"/>
    <w:rsid w:val="4EA64EB4"/>
    <w:rsid w:val="4EAB73AD"/>
    <w:rsid w:val="4EB418E3"/>
    <w:rsid w:val="4EB86BA1"/>
    <w:rsid w:val="4ECD1539"/>
    <w:rsid w:val="4EF002CD"/>
    <w:rsid w:val="4EF43951"/>
    <w:rsid w:val="4F0E05AC"/>
    <w:rsid w:val="4F131D57"/>
    <w:rsid w:val="4F4B1B8D"/>
    <w:rsid w:val="4F530D5B"/>
    <w:rsid w:val="4F9521FD"/>
    <w:rsid w:val="4FA15CB7"/>
    <w:rsid w:val="4FA61F18"/>
    <w:rsid w:val="4FB74B5C"/>
    <w:rsid w:val="4FB7500E"/>
    <w:rsid w:val="4FB94ED8"/>
    <w:rsid w:val="4FC03C63"/>
    <w:rsid w:val="4FEA70CB"/>
    <w:rsid w:val="50075D88"/>
    <w:rsid w:val="50585BCD"/>
    <w:rsid w:val="505E5526"/>
    <w:rsid w:val="50647DDF"/>
    <w:rsid w:val="507578E0"/>
    <w:rsid w:val="50866DC8"/>
    <w:rsid w:val="509B0528"/>
    <w:rsid w:val="50B239AA"/>
    <w:rsid w:val="50C61111"/>
    <w:rsid w:val="50C8299F"/>
    <w:rsid w:val="50CF726D"/>
    <w:rsid w:val="50D97743"/>
    <w:rsid w:val="50E84DEF"/>
    <w:rsid w:val="50F32112"/>
    <w:rsid w:val="5120175F"/>
    <w:rsid w:val="514006DA"/>
    <w:rsid w:val="51494287"/>
    <w:rsid w:val="51575BFE"/>
    <w:rsid w:val="51614DB9"/>
    <w:rsid w:val="516D1A68"/>
    <w:rsid w:val="518747AB"/>
    <w:rsid w:val="51960CEF"/>
    <w:rsid w:val="519B0C71"/>
    <w:rsid w:val="519B18BA"/>
    <w:rsid w:val="51CD4943"/>
    <w:rsid w:val="51E42B8E"/>
    <w:rsid w:val="521627B9"/>
    <w:rsid w:val="52174C68"/>
    <w:rsid w:val="521D59C7"/>
    <w:rsid w:val="523B304C"/>
    <w:rsid w:val="523C09A6"/>
    <w:rsid w:val="524117A5"/>
    <w:rsid w:val="525A0DCA"/>
    <w:rsid w:val="52624FFD"/>
    <w:rsid w:val="52640967"/>
    <w:rsid w:val="528C204F"/>
    <w:rsid w:val="52A3291F"/>
    <w:rsid w:val="52DE636D"/>
    <w:rsid w:val="52DE74DE"/>
    <w:rsid w:val="52E67747"/>
    <w:rsid w:val="53093C38"/>
    <w:rsid w:val="535E7B3D"/>
    <w:rsid w:val="53632E09"/>
    <w:rsid w:val="536F17F8"/>
    <w:rsid w:val="53883E8E"/>
    <w:rsid w:val="538F666A"/>
    <w:rsid w:val="53AA2661"/>
    <w:rsid w:val="53BB66EA"/>
    <w:rsid w:val="53BF7CD9"/>
    <w:rsid w:val="53C35A62"/>
    <w:rsid w:val="53C946F2"/>
    <w:rsid w:val="53CE0EA1"/>
    <w:rsid w:val="53DC1BC5"/>
    <w:rsid w:val="53E93CBE"/>
    <w:rsid w:val="540C58D2"/>
    <w:rsid w:val="543B75C8"/>
    <w:rsid w:val="543E460F"/>
    <w:rsid w:val="5471589D"/>
    <w:rsid w:val="547822A4"/>
    <w:rsid w:val="548B2661"/>
    <w:rsid w:val="54A73588"/>
    <w:rsid w:val="54B25E40"/>
    <w:rsid w:val="54B5164D"/>
    <w:rsid w:val="54C05F9B"/>
    <w:rsid w:val="54EE32C2"/>
    <w:rsid w:val="54FB1B26"/>
    <w:rsid w:val="551E61C1"/>
    <w:rsid w:val="55494F18"/>
    <w:rsid w:val="55702FD1"/>
    <w:rsid w:val="55766E6E"/>
    <w:rsid w:val="55783FD0"/>
    <w:rsid w:val="557C732B"/>
    <w:rsid w:val="557D10A8"/>
    <w:rsid w:val="559E3642"/>
    <w:rsid w:val="55A35688"/>
    <w:rsid w:val="55C21041"/>
    <w:rsid w:val="55CA13CE"/>
    <w:rsid w:val="55CF1123"/>
    <w:rsid w:val="55D759D3"/>
    <w:rsid w:val="55EE3F1B"/>
    <w:rsid w:val="560A3C6B"/>
    <w:rsid w:val="563B3E89"/>
    <w:rsid w:val="56440D1A"/>
    <w:rsid w:val="565718E0"/>
    <w:rsid w:val="566E3FE9"/>
    <w:rsid w:val="56714E8A"/>
    <w:rsid w:val="567D4993"/>
    <w:rsid w:val="569C21BF"/>
    <w:rsid w:val="56B70B57"/>
    <w:rsid w:val="56BA1F37"/>
    <w:rsid w:val="56D8296F"/>
    <w:rsid w:val="56E6209D"/>
    <w:rsid w:val="56EC0261"/>
    <w:rsid w:val="5709604D"/>
    <w:rsid w:val="571F34FB"/>
    <w:rsid w:val="572509B2"/>
    <w:rsid w:val="573E6E70"/>
    <w:rsid w:val="57580F21"/>
    <w:rsid w:val="576F457F"/>
    <w:rsid w:val="57761A85"/>
    <w:rsid w:val="57873E5D"/>
    <w:rsid w:val="578C7F3A"/>
    <w:rsid w:val="57915E2C"/>
    <w:rsid w:val="57997AE8"/>
    <w:rsid w:val="57AB6DD5"/>
    <w:rsid w:val="57B1418D"/>
    <w:rsid w:val="57B2340E"/>
    <w:rsid w:val="57B3294B"/>
    <w:rsid w:val="57BD259B"/>
    <w:rsid w:val="57C47AE4"/>
    <w:rsid w:val="57C85650"/>
    <w:rsid w:val="57E013BB"/>
    <w:rsid w:val="580239A1"/>
    <w:rsid w:val="58201313"/>
    <w:rsid w:val="58377CD0"/>
    <w:rsid w:val="587A4904"/>
    <w:rsid w:val="58900396"/>
    <w:rsid w:val="589F457B"/>
    <w:rsid w:val="58BA65F8"/>
    <w:rsid w:val="58BB464A"/>
    <w:rsid w:val="58DC0A12"/>
    <w:rsid w:val="58DF2F7C"/>
    <w:rsid w:val="58E064E4"/>
    <w:rsid w:val="58E6780D"/>
    <w:rsid w:val="58EC3DE2"/>
    <w:rsid w:val="58FC482C"/>
    <w:rsid w:val="59240A5A"/>
    <w:rsid w:val="59335165"/>
    <w:rsid w:val="593F009B"/>
    <w:rsid w:val="59520E6A"/>
    <w:rsid w:val="5964343D"/>
    <w:rsid w:val="59697EB4"/>
    <w:rsid w:val="59747B49"/>
    <w:rsid w:val="59887C53"/>
    <w:rsid w:val="599312E4"/>
    <w:rsid w:val="599B1691"/>
    <w:rsid w:val="59CE4C28"/>
    <w:rsid w:val="59F22381"/>
    <w:rsid w:val="59FD190B"/>
    <w:rsid w:val="5A0F77D5"/>
    <w:rsid w:val="5A1F7AD4"/>
    <w:rsid w:val="5A4968FF"/>
    <w:rsid w:val="5A5B06EB"/>
    <w:rsid w:val="5A5C449C"/>
    <w:rsid w:val="5A80739A"/>
    <w:rsid w:val="5A967C7B"/>
    <w:rsid w:val="5A9D0F2B"/>
    <w:rsid w:val="5AF638CE"/>
    <w:rsid w:val="5B1A5C42"/>
    <w:rsid w:val="5B1C2265"/>
    <w:rsid w:val="5B3C6D8E"/>
    <w:rsid w:val="5B5005E7"/>
    <w:rsid w:val="5B576E5F"/>
    <w:rsid w:val="5B675BD0"/>
    <w:rsid w:val="5B6B010F"/>
    <w:rsid w:val="5B704FF7"/>
    <w:rsid w:val="5B7A6A5E"/>
    <w:rsid w:val="5B9A33AA"/>
    <w:rsid w:val="5B9C7E56"/>
    <w:rsid w:val="5BAD6D86"/>
    <w:rsid w:val="5BB034B8"/>
    <w:rsid w:val="5BD46FC8"/>
    <w:rsid w:val="5BE661D8"/>
    <w:rsid w:val="5C0507B4"/>
    <w:rsid w:val="5C074320"/>
    <w:rsid w:val="5C171D17"/>
    <w:rsid w:val="5C21628F"/>
    <w:rsid w:val="5C3564CD"/>
    <w:rsid w:val="5C5948CF"/>
    <w:rsid w:val="5C6E01CF"/>
    <w:rsid w:val="5C7B120D"/>
    <w:rsid w:val="5C7C63EE"/>
    <w:rsid w:val="5C804A80"/>
    <w:rsid w:val="5C9911B5"/>
    <w:rsid w:val="5CA303A0"/>
    <w:rsid w:val="5CBD5A36"/>
    <w:rsid w:val="5CDB71E4"/>
    <w:rsid w:val="5CE91FC1"/>
    <w:rsid w:val="5CF0206A"/>
    <w:rsid w:val="5D1062C6"/>
    <w:rsid w:val="5D3B7A74"/>
    <w:rsid w:val="5D6441E5"/>
    <w:rsid w:val="5D646881"/>
    <w:rsid w:val="5D6A31E3"/>
    <w:rsid w:val="5D8041EE"/>
    <w:rsid w:val="5D887B8B"/>
    <w:rsid w:val="5DBB4CBE"/>
    <w:rsid w:val="5DC11FE8"/>
    <w:rsid w:val="5DDA0E3E"/>
    <w:rsid w:val="5DE52AB4"/>
    <w:rsid w:val="5DF11787"/>
    <w:rsid w:val="5DF95C45"/>
    <w:rsid w:val="5E1659E0"/>
    <w:rsid w:val="5E1A2DF3"/>
    <w:rsid w:val="5E1A7EF1"/>
    <w:rsid w:val="5E1D3D05"/>
    <w:rsid w:val="5E1D77BF"/>
    <w:rsid w:val="5E2077AD"/>
    <w:rsid w:val="5E207BF4"/>
    <w:rsid w:val="5E345B18"/>
    <w:rsid w:val="5E3478C6"/>
    <w:rsid w:val="5E52301B"/>
    <w:rsid w:val="5E655CD1"/>
    <w:rsid w:val="5E6A5539"/>
    <w:rsid w:val="5E6D4B86"/>
    <w:rsid w:val="5E701F1F"/>
    <w:rsid w:val="5E736BDD"/>
    <w:rsid w:val="5E7566CF"/>
    <w:rsid w:val="5E802B0B"/>
    <w:rsid w:val="5E884949"/>
    <w:rsid w:val="5E8B2997"/>
    <w:rsid w:val="5E9801E6"/>
    <w:rsid w:val="5EA85969"/>
    <w:rsid w:val="5EB22319"/>
    <w:rsid w:val="5EBB71D1"/>
    <w:rsid w:val="5ECC1860"/>
    <w:rsid w:val="5EDF1F90"/>
    <w:rsid w:val="5EFB5D8C"/>
    <w:rsid w:val="5F1B6D3A"/>
    <w:rsid w:val="5F1D65AC"/>
    <w:rsid w:val="5F2D5C7D"/>
    <w:rsid w:val="5F2F3EB6"/>
    <w:rsid w:val="5F3E24DA"/>
    <w:rsid w:val="5F3F0B79"/>
    <w:rsid w:val="5F510350"/>
    <w:rsid w:val="5F562D50"/>
    <w:rsid w:val="5F6D679F"/>
    <w:rsid w:val="5F8455B9"/>
    <w:rsid w:val="5F900932"/>
    <w:rsid w:val="5FB137C1"/>
    <w:rsid w:val="5FDF6584"/>
    <w:rsid w:val="602A1686"/>
    <w:rsid w:val="60304378"/>
    <w:rsid w:val="603904BF"/>
    <w:rsid w:val="605802C0"/>
    <w:rsid w:val="60790CD5"/>
    <w:rsid w:val="60812872"/>
    <w:rsid w:val="60824919"/>
    <w:rsid w:val="60922264"/>
    <w:rsid w:val="60963565"/>
    <w:rsid w:val="60A02F4B"/>
    <w:rsid w:val="60B54334"/>
    <w:rsid w:val="60BB2905"/>
    <w:rsid w:val="60C2518A"/>
    <w:rsid w:val="60D029A6"/>
    <w:rsid w:val="60D61B1C"/>
    <w:rsid w:val="610372AD"/>
    <w:rsid w:val="61057F7F"/>
    <w:rsid w:val="610827FA"/>
    <w:rsid w:val="610C2589"/>
    <w:rsid w:val="614E7B14"/>
    <w:rsid w:val="615870CE"/>
    <w:rsid w:val="615C38F3"/>
    <w:rsid w:val="616218AA"/>
    <w:rsid w:val="616823A2"/>
    <w:rsid w:val="617642DB"/>
    <w:rsid w:val="61766D6D"/>
    <w:rsid w:val="6192700A"/>
    <w:rsid w:val="61A52FCE"/>
    <w:rsid w:val="61B50D1E"/>
    <w:rsid w:val="61E05B2F"/>
    <w:rsid w:val="624A7029"/>
    <w:rsid w:val="625F7870"/>
    <w:rsid w:val="626C2488"/>
    <w:rsid w:val="626E492E"/>
    <w:rsid w:val="6282189C"/>
    <w:rsid w:val="62943458"/>
    <w:rsid w:val="62A15E70"/>
    <w:rsid w:val="62BC4073"/>
    <w:rsid w:val="62C46DFA"/>
    <w:rsid w:val="62EE2739"/>
    <w:rsid w:val="62F06E6B"/>
    <w:rsid w:val="63122B71"/>
    <w:rsid w:val="631B36A0"/>
    <w:rsid w:val="63311316"/>
    <w:rsid w:val="635D23AF"/>
    <w:rsid w:val="635F6FF1"/>
    <w:rsid w:val="63615A0A"/>
    <w:rsid w:val="636954C3"/>
    <w:rsid w:val="63827311"/>
    <w:rsid w:val="63874B33"/>
    <w:rsid w:val="63882639"/>
    <w:rsid w:val="639A0912"/>
    <w:rsid w:val="639E5F60"/>
    <w:rsid w:val="63B079EF"/>
    <w:rsid w:val="63BB07F7"/>
    <w:rsid w:val="63C87779"/>
    <w:rsid w:val="63C926AE"/>
    <w:rsid w:val="63CA2C31"/>
    <w:rsid w:val="63D3192F"/>
    <w:rsid w:val="63D6336E"/>
    <w:rsid w:val="63E76722"/>
    <w:rsid w:val="63EA7B56"/>
    <w:rsid w:val="63EE169E"/>
    <w:rsid w:val="63F04EE1"/>
    <w:rsid w:val="640A312F"/>
    <w:rsid w:val="641621FE"/>
    <w:rsid w:val="64230869"/>
    <w:rsid w:val="6434391A"/>
    <w:rsid w:val="643749F8"/>
    <w:rsid w:val="645303C8"/>
    <w:rsid w:val="64BB2F53"/>
    <w:rsid w:val="64D30CB5"/>
    <w:rsid w:val="64D73325"/>
    <w:rsid w:val="64DD2A65"/>
    <w:rsid w:val="652C12E1"/>
    <w:rsid w:val="6537042B"/>
    <w:rsid w:val="653D6E59"/>
    <w:rsid w:val="654111B1"/>
    <w:rsid w:val="654A3D95"/>
    <w:rsid w:val="65644F35"/>
    <w:rsid w:val="65761848"/>
    <w:rsid w:val="65781972"/>
    <w:rsid w:val="658C02B4"/>
    <w:rsid w:val="65C10279"/>
    <w:rsid w:val="65CB4DD3"/>
    <w:rsid w:val="65DB65C9"/>
    <w:rsid w:val="65ED4B4F"/>
    <w:rsid w:val="65F52E6E"/>
    <w:rsid w:val="66124B82"/>
    <w:rsid w:val="66321D53"/>
    <w:rsid w:val="66374D47"/>
    <w:rsid w:val="663A376E"/>
    <w:rsid w:val="66546D57"/>
    <w:rsid w:val="66650F64"/>
    <w:rsid w:val="666C3121"/>
    <w:rsid w:val="666F718C"/>
    <w:rsid w:val="669B153B"/>
    <w:rsid w:val="669E6224"/>
    <w:rsid w:val="66A717F9"/>
    <w:rsid w:val="66C764AB"/>
    <w:rsid w:val="66D07E2F"/>
    <w:rsid w:val="66D86CE1"/>
    <w:rsid w:val="66E005EB"/>
    <w:rsid w:val="66EB7BDC"/>
    <w:rsid w:val="66F02DD0"/>
    <w:rsid w:val="67132E5A"/>
    <w:rsid w:val="67152B3F"/>
    <w:rsid w:val="67216F39"/>
    <w:rsid w:val="673F21A4"/>
    <w:rsid w:val="67814807"/>
    <w:rsid w:val="67843FC6"/>
    <w:rsid w:val="67865D3C"/>
    <w:rsid w:val="678B4940"/>
    <w:rsid w:val="679E2C8B"/>
    <w:rsid w:val="67AE266D"/>
    <w:rsid w:val="67BF6A43"/>
    <w:rsid w:val="67C326B0"/>
    <w:rsid w:val="67E90063"/>
    <w:rsid w:val="680C49B6"/>
    <w:rsid w:val="68122BE7"/>
    <w:rsid w:val="682466DF"/>
    <w:rsid w:val="68305F9A"/>
    <w:rsid w:val="68671904"/>
    <w:rsid w:val="687226EA"/>
    <w:rsid w:val="688838CC"/>
    <w:rsid w:val="68A75A3B"/>
    <w:rsid w:val="68E65C61"/>
    <w:rsid w:val="68ED426B"/>
    <w:rsid w:val="68F9302D"/>
    <w:rsid w:val="6913512C"/>
    <w:rsid w:val="69281AB2"/>
    <w:rsid w:val="69307E96"/>
    <w:rsid w:val="693F072E"/>
    <w:rsid w:val="69796AD5"/>
    <w:rsid w:val="698A3DA0"/>
    <w:rsid w:val="699B77EA"/>
    <w:rsid w:val="69A11A4E"/>
    <w:rsid w:val="69C03E39"/>
    <w:rsid w:val="69CA48DA"/>
    <w:rsid w:val="69EB17C1"/>
    <w:rsid w:val="69F90C5E"/>
    <w:rsid w:val="6A0372D4"/>
    <w:rsid w:val="6A066283"/>
    <w:rsid w:val="6A202D2A"/>
    <w:rsid w:val="6A2C708D"/>
    <w:rsid w:val="6A34198C"/>
    <w:rsid w:val="6A401CB8"/>
    <w:rsid w:val="6A47559F"/>
    <w:rsid w:val="6A4E1E6B"/>
    <w:rsid w:val="6A5744E6"/>
    <w:rsid w:val="6A620AD1"/>
    <w:rsid w:val="6A655A1D"/>
    <w:rsid w:val="6A6E20CD"/>
    <w:rsid w:val="6A860379"/>
    <w:rsid w:val="6A8D1F00"/>
    <w:rsid w:val="6A971A4D"/>
    <w:rsid w:val="6A973C6D"/>
    <w:rsid w:val="6A997E8D"/>
    <w:rsid w:val="6A9B0714"/>
    <w:rsid w:val="6AA25852"/>
    <w:rsid w:val="6AA47B81"/>
    <w:rsid w:val="6AA756A7"/>
    <w:rsid w:val="6ABD29F5"/>
    <w:rsid w:val="6AC03EA6"/>
    <w:rsid w:val="6ACD36E9"/>
    <w:rsid w:val="6ADD6008"/>
    <w:rsid w:val="6AE554AB"/>
    <w:rsid w:val="6AE9367A"/>
    <w:rsid w:val="6AEE4867"/>
    <w:rsid w:val="6AF6750A"/>
    <w:rsid w:val="6B2D7B0D"/>
    <w:rsid w:val="6B336EDF"/>
    <w:rsid w:val="6B4A349A"/>
    <w:rsid w:val="6B504889"/>
    <w:rsid w:val="6B6D2143"/>
    <w:rsid w:val="6B75099F"/>
    <w:rsid w:val="6B99345E"/>
    <w:rsid w:val="6B9A16B0"/>
    <w:rsid w:val="6BAE4093"/>
    <w:rsid w:val="6BB31F07"/>
    <w:rsid w:val="6BB33B3D"/>
    <w:rsid w:val="6BB9517E"/>
    <w:rsid w:val="6BBA58AE"/>
    <w:rsid w:val="6BD91E45"/>
    <w:rsid w:val="6BE35743"/>
    <w:rsid w:val="6BE422AB"/>
    <w:rsid w:val="6C041C46"/>
    <w:rsid w:val="6C0D6A98"/>
    <w:rsid w:val="6C0D6CD2"/>
    <w:rsid w:val="6C185E18"/>
    <w:rsid w:val="6C247FF8"/>
    <w:rsid w:val="6C256AA0"/>
    <w:rsid w:val="6C300275"/>
    <w:rsid w:val="6C455654"/>
    <w:rsid w:val="6C573C4E"/>
    <w:rsid w:val="6C635F46"/>
    <w:rsid w:val="6C814A98"/>
    <w:rsid w:val="6C864092"/>
    <w:rsid w:val="6C926FCC"/>
    <w:rsid w:val="6CB73EF0"/>
    <w:rsid w:val="6CCA1197"/>
    <w:rsid w:val="6CDA1963"/>
    <w:rsid w:val="6CE3141C"/>
    <w:rsid w:val="6D3B2A1F"/>
    <w:rsid w:val="6D434B50"/>
    <w:rsid w:val="6D5A1457"/>
    <w:rsid w:val="6D764B4B"/>
    <w:rsid w:val="6D935BD4"/>
    <w:rsid w:val="6D9601B3"/>
    <w:rsid w:val="6DB24ECA"/>
    <w:rsid w:val="6DBF54EE"/>
    <w:rsid w:val="6DD93FE6"/>
    <w:rsid w:val="6DDD223F"/>
    <w:rsid w:val="6DDD726C"/>
    <w:rsid w:val="6DE17C6B"/>
    <w:rsid w:val="6DE86112"/>
    <w:rsid w:val="6DEC64D3"/>
    <w:rsid w:val="6DEC6E59"/>
    <w:rsid w:val="6DFA4688"/>
    <w:rsid w:val="6E012539"/>
    <w:rsid w:val="6E032E11"/>
    <w:rsid w:val="6E056334"/>
    <w:rsid w:val="6E101294"/>
    <w:rsid w:val="6E173205"/>
    <w:rsid w:val="6E1F2CD6"/>
    <w:rsid w:val="6E273271"/>
    <w:rsid w:val="6E972714"/>
    <w:rsid w:val="6EA93D45"/>
    <w:rsid w:val="6EB66A23"/>
    <w:rsid w:val="6EBC42C7"/>
    <w:rsid w:val="6EC30EF3"/>
    <w:rsid w:val="6EC321EB"/>
    <w:rsid w:val="6F0A6122"/>
    <w:rsid w:val="6F131548"/>
    <w:rsid w:val="6F1833F2"/>
    <w:rsid w:val="6F2202E4"/>
    <w:rsid w:val="6F3A1A85"/>
    <w:rsid w:val="6F3C005F"/>
    <w:rsid w:val="6F4E26C1"/>
    <w:rsid w:val="6F7B432D"/>
    <w:rsid w:val="6F8306AD"/>
    <w:rsid w:val="6F8B47EF"/>
    <w:rsid w:val="6F8C7562"/>
    <w:rsid w:val="6F930389"/>
    <w:rsid w:val="6FA31026"/>
    <w:rsid w:val="6FAC6737"/>
    <w:rsid w:val="6FB67AB5"/>
    <w:rsid w:val="6FBB39A3"/>
    <w:rsid w:val="6FEF1A2E"/>
    <w:rsid w:val="6FFD6AD8"/>
    <w:rsid w:val="6FFF1172"/>
    <w:rsid w:val="70040DA1"/>
    <w:rsid w:val="700B0193"/>
    <w:rsid w:val="702F1E41"/>
    <w:rsid w:val="70337A16"/>
    <w:rsid w:val="70434A88"/>
    <w:rsid w:val="706D0DBA"/>
    <w:rsid w:val="70C40075"/>
    <w:rsid w:val="70D46265"/>
    <w:rsid w:val="70E24DC6"/>
    <w:rsid w:val="7100489B"/>
    <w:rsid w:val="711C6932"/>
    <w:rsid w:val="71270B6B"/>
    <w:rsid w:val="71504376"/>
    <w:rsid w:val="71621C83"/>
    <w:rsid w:val="716F4C2B"/>
    <w:rsid w:val="717757A3"/>
    <w:rsid w:val="71A0032F"/>
    <w:rsid w:val="71E865E8"/>
    <w:rsid w:val="71EE0AFF"/>
    <w:rsid w:val="722D12D6"/>
    <w:rsid w:val="723C376D"/>
    <w:rsid w:val="723F483A"/>
    <w:rsid w:val="72403C7E"/>
    <w:rsid w:val="72691DDC"/>
    <w:rsid w:val="727C30E4"/>
    <w:rsid w:val="728704B4"/>
    <w:rsid w:val="728C5D71"/>
    <w:rsid w:val="72976C41"/>
    <w:rsid w:val="729F22F4"/>
    <w:rsid w:val="72AA090C"/>
    <w:rsid w:val="72C27B14"/>
    <w:rsid w:val="72C54699"/>
    <w:rsid w:val="72CF07C8"/>
    <w:rsid w:val="72D12129"/>
    <w:rsid w:val="72D568FA"/>
    <w:rsid w:val="72E4478C"/>
    <w:rsid w:val="72E9477F"/>
    <w:rsid w:val="730701C4"/>
    <w:rsid w:val="737412C0"/>
    <w:rsid w:val="737C5B3F"/>
    <w:rsid w:val="73890FB8"/>
    <w:rsid w:val="738E6DC2"/>
    <w:rsid w:val="73B2271D"/>
    <w:rsid w:val="73B54437"/>
    <w:rsid w:val="73FC458A"/>
    <w:rsid w:val="74067F66"/>
    <w:rsid w:val="741A4194"/>
    <w:rsid w:val="742C784E"/>
    <w:rsid w:val="74336ED9"/>
    <w:rsid w:val="743B0E6B"/>
    <w:rsid w:val="744E1B8D"/>
    <w:rsid w:val="74574430"/>
    <w:rsid w:val="745A3460"/>
    <w:rsid w:val="74983CAD"/>
    <w:rsid w:val="74A76BEC"/>
    <w:rsid w:val="74AE3F3A"/>
    <w:rsid w:val="74C35F1C"/>
    <w:rsid w:val="74D12D5B"/>
    <w:rsid w:val="74E92270"/>
    <w:rsid w:val="75020200"/>
    <w:rsid w:val="75030A1D"/>
    <w:rsid w:val="753471F5"/>
    <w:rsid w:val="753D45B1"/>
    <w:rsid w:val="755F0C93"/>
    <w:rsid w:val="7561323F"/>
    <w:rsid w:val="756C007D"/>
    <w:rsid w:val="75732795"/>
    <w:rsid w:val="75743189"/>
    <w:rsid w:val="75AA35D0"/>
    <w:rsid w:val="75AF3E0A"/>
    <w:rsid w:val="75C27D42"/>
    <w:rsid w:val="75C31342"/>
    <w:rsid w:val="75CA0F28"/>
    <w:rsid w:val="75E73A55"/>
    <w:rsid w:val="75F560E8"/>
    <w:rsid w:val="76047119"/>
    <w:rsid w:val="764020CA"/>
    <w:rsid w:val="76573627"/>
    <w:rsid w:val="765B23C1"/>
    <w:rsid w:val="766E2ED7"/>
    <w:rsid w:val="768737FE"/>
    <w:rsid w:val="76876D3B"/>
    <w:rsid w:val="769D2AE8"/>
    <w:rsid w:val="76AA649E"/>
    <w:rsid w:val="76AF2244"/>
    <w:rsid w:val="76C45645"/>
    <w:rsid w:val="76CD6FD7"/>
    <w:rsid w:val="76D907F2"/>
    <w:rsid w:val="76E76AE7"/>
    <w:rsid w:val="7705184E"/>
    <w:rsid w:val="770E706D"/>
    <w:rsid w:val="771B32FB"/>
    <w:rsid w:val="772061C2"/>
    <w:rsid w:val="773635A3"/>
    <w:rsid w:val="774359D0"/>
    <w:rsid w:val="774B0057"/>
    <w:rsid w:val="775552F7"/>
    <w:rsid w:val="77737E5E"/>
    <w:rsid w:val="77D769EE"/>
    <w:rsid w:val="77E55E3F"/>
    <w:rsid w:val="77FB2266"/>
    <w:rsid w:val="780B67AA"/>
    <w:rsid w:val="780F36EB"/>
    <w:rsid w:val="78160310"/>
    <w:rsid w:val="78165FB6"/>
    <w:rsid w:val="781A26D9"/>
    <w:rsid w:val="782D0EAA"/>
    <w:rsid w:val="784F175E"/>
    <w:rsid w:val="78652A7C"/>
    <w:rsid w:val="787B55AA"/>
    <w:rsid w:val="78867514"/>
    <w:rsid w:val="788972C0"/>
    <w:rsid w:val="788F74DF"/>
    <w:rsid w:val="78B76295"/>
    <w:rsid w:val="78D93ABE"/>
    <w:rsid w:val="78E76E9A"/>
    <w:rsid w:val="78E8666B"/>
    <w:rsid w:val="78F73403"/>
    <w:rsid w:val="78FD6DDA"/>
    <w:rsid w:val="790B5096"/>
    <w:rsid w:val="790E5CD2"/>
    <w:rsid w:val="791F5DD1"/>
    <w:rsid w:val="793A066D"/>
    <w:rsid w:val="796B6708"/>
    <w:rsid w:val="79744337"/>
    <w:rsid w:val="797D10DD"/>
    <w:rsid w:val="79906A52"/>
    <w:rsid w:val="79911EB7"/>
    <w:rsid w:val="79B35745"/>
    <w:rsid w:val="79C21488"/>
    <w:rsid w:val="79D50292"/>
    <w:rsid w:val="79D939F5"/>
    <w:rsid w:val="7A225007"/>
    <w:rsid w:val="7A6E6D8B"/>
    <w:rsid w:val="7AB4334D"/>
    <w:rsid w:val="7ABC7D15"/>
    <w:rsid w:val="7ABE6A3D"/>
    <w:rsid w:val="7AC04563"/>
    <w:rsid w:val="7ACC7018"/>
    <w:rsid w:val="7AF106DC"/>
    <w:rsid w:val="7B091A01"/>
    <w:rsid w:val="7B1813E3"/>
    <w:rsid w:val="7B203CB4"/>
    <w:rsid w:val="7B3909E4"/>
    <w:rsid w:val="7B3F1C91"/>
    <w:rsid w:val="7B5B2BD1"/>
    <w:rsid w:val="7B67482C"/>
    <w:rsid w:val="7B766044"/>
    <w:rsid w:val="7B7E768D"/>
    <w:rsid w:val="7BAF53C2"/>
    <w:rsid w:val="7BBD7792"/>
    <w:rsid w:val="7BD15117"/>
    <w:rsid w:val="7BEB46DA"/>
    <w:rsid w:val="7BEE6627"/>
    <w:rsid w:val="7BF2397D"/>
    <w:rsid w:val="7C0E7550"/>
    <w:rsid w:val="7C22144C"/>
    <w:rsid w:val="7C374B6D"/>
    <w:rsid w:val="7C3945CD"/>
    <w:rsid w:val="7C454059"/>
    <w:rsid w:val="7C4A252D"/>
    <w:rsid w:val="7C8B79BE"/>
    <w:rsid w:val="7C8C49FF"/>
    <w:rsid w:val="7C921FEC"/>
    <w:rsid w:val="7CA6495B"/>
    <w:rsid w:val="7CD06039"/>
    <w:rsid w:val="7D090245"/>
    <w:rsid w:val="7D186A00"/>
    <w:rsid w:val="7D391A22"/>
    <w:rsid w:val="7D3D0ED7"/>
    <w:rsid w:val="7D3D2B59"/>
    <w:rsid w:val="7D44147C"/>
    <w:rsid w:val="7D4C440D"/>
    <w:rsid w:val="7D5320D7"/>
    <w:rsid w:val="7D5566FC"/>
    <w:rsid w:val="7D5B3637"/>
    <w:rsid w:val="7D622C0F"/>
    <w:rsid w:val="7D763CE2"/>
    <w:rsid w:val="7D76593E"/>
    <w:rsid w:val="7D8A222E"/>
    <w:rsid w:val="7DAE6B7A"/>
    <w:rsid w:val="7DB52379"/>
    <w:rsid w:val="7DC15EC7"/>
    <w:rsid w:val="7DD554FF"/>
    <w:rsid w:val="7DD62E5F"/>
    <w:rsid w:val="7DDA402F"/>
    <w:rsid w:val="7DF32EA2"/>
    <w:rsid w:val="7DF612B7"/>
    <w:rsid w:val="7DF76F38"/>
    <w:rsid w:val="7E0657C5"/>
    <w:rsid w:val="7E0809C4"/>
    <w:rsid w:val="7E1F78C4"/>
    <w:rsid w:val="7E2B6A9B"/>
    <w:rsid w:val="7E466ADD"/>
    <w:rsid w:val="7E4A7264"/>
    <w:rsid w:val="7E9160DA"/>
    <w:rsid w:val="7E93795B"/>
    <w:rsid w:val="7EAE29C8"/>
    <w:rsid w:val="7EBA35C6"/>
    <w:rsid w:val="7EBB7110"/>
    <w:rsid w:val="7ECD2214"/>
    <w:rsid w:val="7ED71E7C"/>
    <w:rsid w:val="7EF2318A"/>
    <w:rsid w:val="7EF41DAC"/>
    <w:rsid w:val="7EF73C90"/>
    <w:rsid w:val="7F002CFA"/>
    <w:rsid w:val="7F113BA9"/>
    <w:rsid w:val="7F21759B"/>
    <w:rsid w:val="7F234C77"/>
    <w:rsid w:val="7F2B492F"/>
    <w:rsid w:val="7F38623C"/>
    <w:rsid w:val="7F3929CB"/>
    <w:rsid w:val="7F715890"/>
    <w:rsid w:val="7F7E5BA0"/>
    <w:rsid w:val="7F95288D"/>
    <w:rsid w:val="7FA64BA6"/>
    <w:rsid w:val="7FC06324"/>
    <w:rsid w:val="7FC955B0"/>
    <w:rsid w:val="7FCB5F7C"/>
    <w:rsid w:val="7FD11ABA"/>
    <w:rsid w:val="7FFB26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sdException w:qFormat="1" w:uiPriority="99" w:semiHidden="0" w:name="Body Text First Indent 2" w:locked="1"/>
    <w:lsdException w:qFormat="1" w:unhideWhenUsed="0" w:uiPriority="0" w:semiHidden="0" w:name="Note Heading" w:locked="1"/>
    <w:lsdException w:qFormat="1" w:unhideWhenUsed="0" w:uiPriority="99" w:name="Body Text 2"/>
    <w:lsdException w:qFormat="1" w:unhideWhenUsed="0" w:uiPriority="99"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48"/>
    <w:qFormat/>
    <w:uiPriority w:val="9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0"/>
    <w:qFormat/>
    <w:uiPriority w:val="99"/>
    <w:pPr>
      <w:keepNext/>
      <w:keepLines/>
      <w:spacing w:before="260" w:after="260" w:line="415" w:lineRule="auto"/>
      <w:ind w:firstLine="137" w:firstLineChars="49"/>
      <w:outlineLvl w:val="2"/>
    </w:pPr>
    <w:rPr>
      <w:rFonts w:ascii="黑体" w:hAnsi="宋体" w:eastAsia="黑体"/>
      <w:bCs/>
      <w:kern w:val="0"/>
      <w:sz w:val="28"/>
      <w:szCs w:val="28"/>
    </w:rPr>
  </w:style>
  <w:style w:type="paragraph" w:styleId="6">
    <w:name w:val="heading 4"/>
    <w:basedOn w:val="1"/>
    <w:next w:val="1"/>
    <w:link w:val="51"/>
    <w:qFormat/>
    <w:uiPriority w:val="99"/>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2"/>
    <w:qFormat/>
    <w:uiPriority w:val="99"/>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3"/>
    <w:qFormat/>
    <w:uiPriority w:val="99"/>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54"/>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55"/>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Plain Text"/>
    <w:basedOn w:val="1"/>
    <w:next w:val="1"/>
    <w:link w:val="61"/>
    <w:qFormat/>
    <w:uiPriority w:val="99"/>
    <w:rPr>
      <w:rFonts w:hAnsi="Courier New"/>
      <w:kern w:val="0"/>
      <w:sz w:val="24"/>
    </w:rPr>
  </w:style>
  <w:style w:type="paragraph" w:styleId="11">
    <w:name w:val="toc 7"/>
    <w:basedOn w:val="1"/>
    <w:next w:val="1"/>
    <w:qFormat/>
    <w:uiPriority w:val="99"/>
    <w:pPr>
      <w:ind w:left="1260"/>
      <w:jc w:val="left"/>
    </w:pPr>
    <w:rPr>
      <w:sz w:val="18"/>
      <w:szCs w:val="18"/>
    </w:rPr>
  </w:style>
  <w:style w:type="paragraph" w:styleId="12">
    <w:name w:val="Note Heading"/>
    <w:basedOn w:val="1"/>
    <w:next w:val="1"/>
    <w:qFormat/>
    <w:locked/>
    <w:uiPriority w:val="0"/>
    <w:pPr>
      <w:snapToGrid w:val="0"/>
      <w:spacing w:before="120" w:after="120" w:line="320" w:lineRule="exact"/>
      <w:ind w:firstLine="413" w:firstLineChars="200"/>
    </w:pPr>
    <w:rPr>
      <w:rFonts w:ascii="宋体" w:hAnsi="宋体"/>
      <w:b/>
      <w:color w:val="000000"/>
    </w:rPr>
  </w:style>
  <w:style w:type="paragraph" w:styleId="13">
    <w:name w:val="Normal Indent"/>
    <w:basedOn w:val="1"/>
    <w:qFormat/>
    <w:uiPriority w:val="99"/>
    <w:pPr>
      <w:ind w:firstLine="420" w:firstLineChars="200"/>
    </w:pPr>
  </w:style>
  <w:style w:type="paragraph" w:styleId="14">
    <w:name w:val="Document Map"/>
    <w:basedOn w:val="1"/>
    <w:link w:val="56"/>
    <w:qFormat/>
    <w:uiPriority w:val="99"/>
    <w:pPr>
      <w:shd w:val="clear" w:color="auto" w:fill="000080"/>
    </w:pPr>
    <w:rPr>
      <w:kern w:val="0"/>
      <w:sz w:val="24"/>
      <w:szCs w:val="20"/>
    </w:rPr>
  </w:style>
  <w:style w:type="paragraph" w:styleId="15">
    <w:name w:val="annotation text"/>
    <w:basedOn w:val="1"/>
    <w:link w:val="57"/>
    <w:qFormat/>
    <w:uiPriority w:val="0"/>
    <w:pPr>
      <w:jc w:val="left"/>
    </w:pPr>
    <w:rPr>
      <w:kern w:val="0"/>
      <w:sz w:val="24"/>
      <w:szCs w:val="20"/>
    </w:rPr>
  </w:style>
  <w:style w:type="paragraph" w:styleId="16">
    <w:name w:val="Body Text 3"/>
    <w:basedOn w:val="1"/>
    <w:link w:val="58"/>
    <w:qFormat/>
    <w:uiPriority w:val="99"/>
    <w:rPr>
      <w:rFonts w:ascii="宋体"/>
      <w:kern w:val="0"/>
      <w:sz w:val="20"/>
      <w:szCs w:val="20"/>
    </w:rPr>
  </w:style>
  <w:style w:type="paragraph" w:styleId="17">
    <w:name w:val="Body Text"/>
    <w:basedOn w:val="1"/>
    <w:next w:val="1"/>
    <w:link w:val="59"/>
    <w:qFormat/>
    <w:uiPriority w:val="99"/>
    <w:pPr>
      <w:spacing w:after="120"/>
    </w:pPr>
    <w:rPr>
      <w:kern w:val="0"/>
      <w:sz w:val="24"/>
    </w:rPr>
  </w:style>
  <w:style w:type="paragraph" w:styleId="18">
    <w:name w:val="Body Text Indent"/>
    <w:basedOn w:val="1"/>
    <w:link w:val="60"/>
    <w:qFormat/>
    <w:uiPriority w:val="99"/>
    <w:pPr>
      <w:spacing w:after="120"/>
      <w:ind w:left="420" w:leftChars="200"/>
    </w:pPr>
    <w:rPr>
      <w:kern w:val="0"/>
      <w:sz w:val="24"/>
    </w:rPr>
  </w:style>
  <w:style w:type="paragraph" w:styleId="19">
    <w:name w:val="toc 5"/>
    <w:basedOn w:val="1"/>
    <w:next w:val="1"/>
    <w:qFormat/>
    <w:uiPriority w:val="99"/>
    <w:pPr>
      <w:ind w:left="840"/>
      <w:jc w:val="left"/>
    </w:pPr>
    <w:rPr>
      <w:sz w:val="18"/>
      <w:szCs w:val="18"/>
    </w:rPr>
  </w:style>
  <w:style w:type="paragraph" w:styleId="20">
    <w:name w:val="toc 3"/>
    <w:basedOn w:val="1"/>
    <w:next w:val="1"/>
    <w:qFormat/>
    <w:uiPriority w:val="99"/>
    <w:pPr>
      <w:ind w:left="420"/>
      <w:jc w:val="left"/>
    </w:pPr>
    <w:rPr>
      <w:iCs/>
      <w:sz w:val="20"/>
      <w:szCs w:val="20"/>
    </w:rPr>
  </w:style>
  <w:style w:type="paragraph" w:styleId="21">
    <w:name w:val="toc 8"/>
    <w:basedOn w:val="1"/>
    <w:next w:val="1"/>
    <w:qFormat/>
    <w:uiPriority w:val="99"/>
    <w:pPr>
      <w:ind w:left="1470"/>
      <w:jc w:val="left"/>
    </w:pPr>
    <w:rPr>
      <w:sz w:val="18"/>
      <w:szCs w:val="18"/>
    </w:rPr>
  </w:style>
  <w:style w:type="paragraph" w:styleId="22">
    <w:name w:val="Date"/>
    <w:basedOn w:val="1"/>
    <w:next w:val="1"/>
    <w:link w:val="62"/>
    <w:qFormat/>
    <w:uiPriority w:val="99"/>
    <w:rPr>
      <w:kern w:val="0"/>
      <w:sz w:val="20"/>
      <w:szCs w:val="20"/>
    </w:rPr>
  </w:style>
  <w:style w:type="paragraph" w:styleId="23">
    <w:name w:val="Balloon Text"/>
    <w:basedOn w:val="1"/>
    <w:link w:val="63"/>
    <w:qFormat/>
    <w:uiPriority w:val="99"/>
    <w:rPr>
      <w:kern w:val="0"/>
      <w:sz w:val="18"/>
      <w:szCs w:val="18"/>
    </w:rPr>
  </w:style>
  <w:style w:type="paragraph" w:styleId="24">
    <w:name w:val="footer"/>
    <w:basedOn w:val="1"/>
    <w:link w:val="64"/>
    <w:qFormat/>
    <w:uiPriority w:val="99"/>
    <w:pPr>
      <w:tabs>
        <w:tab w:val="center" w:pos="4153"/>
        <w:tab w:val="right" w:pos="8306"/>
      </w:tabs>
      <w:snapToGrid w:val="0"/>
      <w:jc w:val="left"/>
    </w:pPr>
    <w:rPr>
      <w:kern w:val="0"/>
      <w:sz w:val="18"/>
      <w:szCs w:val="18"/>
    </w:rPr>
  </w:style>
  <w:style w:type="paragraph" w:styleId="25">
    <w:name w:val="header"/>
    <w:basedOn w:val="1"/>
    <w:link w:val="65"/>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99"/>
    <w:pPr>
      <w:spacing w:before="120" w:after="120"/>
      <w:jc w:val="left"/>
    </w:pPr>
    <w:rPr>
      <w:b/>
      <w:bCs/>
      <w:caps/>
      <w:sz w:val="20"/>
      <w:szCs w:val="20"/>
    </w:rPr>
  </w:style>
  <w:style w:type="paragraph" w:styleId="27">
    <w:name w:val="toc 4"/>
    <w:basedOn w:val="1"/>
    <w:next w:val="1"/>
    <w:qFormat/>
    <w:uiPriority w:val="99"/>
    <w:pPr>
      <w:ind w:left="630"/>
      <w:jc w:val="left"/>
    </w:pPr>
    <w:rPr>
      <w:sz w:val="18"/>
      <w:szCs w:val="18"/>
    </w:rPr>
  </w:style>
  <w:style w:type="paragraph" w:styleId="28">
    <w:name w:val="toc 6"/>
    <w:basedOn w:val="1"/>
    <w:next w:val="1"/>
    <w:qFormat/>
    <w:uiPriority w:val="99"/>
    <w:pPr>
      <w:ind w:left="1050"/>
      <w:jc w:val="left"/>
    </w:pPr>
    <w:rPr>
      <w:sz w:val="18"/>
      <w:szCs w:val="18"/>
    </w:rPr>
  </w:style>
  <w:style w:type="paragraph" w:styleId="29">
    <w:name w:val="Body Text Indent 3"/>
    <w:basedOn w:val="1"/>
    <w:link w:val="66"/>
    <w:qFormat/>
    <w:uiPriority w:val="99"/>
    <w:pPr>
      <w:spacing w:after="120"/>
      <w:ind w:left="420" w:leftChars="200"/>
    </w:pPr>
    <w:rPr>
      <w:kern w:val="0"/>
      <w:sz w:val="16"/>
      <w:szCs w:val="16"/>
    </w:rPr>
  </w:style>
  <w:style w:type="paragraph" w:styleId="30">
    <w:name w:val="toc 2"/>
    <w:basedOn w:val="1"/>
    <w:next w:val="1"/>
    <w:qFormat/>
    <w:uiPriority w:val="99"/>
    <w:pPr>
      <w:ind w:left="210"/>
      <w:jc w:val="left"/>
    </w:pPr>
    <w:rPr>
      <w:smallCaps/>
      <w:sz w:val="20"/>
      <w:szCs w:val="20"/>
    </w:rPr>
  </w:style>
  <w:style w:type="paragraph" w:styleId="31">
    <w:name w:val="toc 9"/>
    <w:basedOn w:val="1"/>
    <w:next w:val="1"/>
    <w:qFormat/>
    <w:uiPriority w:val="99"/>
    <w:pPr>
      <w:ind w:left="1680"/>
      <w:jc w:val="left"/>
    </w:pPr>
    <w:rPr>
      <w:sz w:val="18"/>
      <w:szCs w:val="18"/>
    </w:rPr>
  </w:style>
  <w:style w:type="paragraph" w:styleId="32">
    <w:name w:val="Body Text 2"/>
    <w:basedOn w:val="1"/>
    <w:link w:val="67"/>
    <w:semiHidden/>
    <w:qFormat/>
    <w:uiPriority w:val="99"/>
    <w:pPr>
      <w:spacing w:after="120" w:line="480" w:lineRule="auto"/>
    </w:pPr>
    <w:rPr>
      <w:kern w:val="0"/>
      <w:sz w:val="24"/>
    </w:rPr>
  </w:style>
  <w:style w:type="paragraph" w:styleId="33">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unhideWhenUsed/>
    <w:qFormat/>
    <w:locked/>
    <w:uiPriority w:val="99"/>
    <w:pPr>
      <w:spacing w:before="100" w:beforeAutospacing="1" w:after="100" w:afterAutospacing="1"/>
      <w:ind w:left="0" w:right="0"/>
      <w:jc w:val="left"/>
    </w:pPr>
    <w:rPr>
      <w:kern w:val="0"/>
      <w:sz w:val="24"/>
      <w:lang w:val="en-US" w:eastAsia="zh-CN" w:bidi="ar"/>
    </w:rPr>
  </w:style>
  <w:style w:type="paragraph" w:styleId="35">
    <w:name w:val="index 1"/>
    <w:basedOn w:val="1"/>
    <w:next w:val="1"/>
    <w:qFormat/>
    <w:uiPriority w:val="99"/>
    <w:pPr>
      <w:spacing w:line="220" w:lineRule="exact"/>
      <w:jc w:val="center"/>
    </w:pPr>
    <w:rPr>
      <w:rFonts w:ascii="仿宋_GB2312" w:eastAsia="仿宋_GB2312"/>
      <w:szCs w:val="21"/>
    </w:rPr>
  </w:style>
  <w:style w:type="paragraph" w:styleId="36">
    <w:name w:val="Title"/>
    <w:basedOn w:val="1"/>
    <w:link w:val="68"/>
    <w:qFormat/>
    <w:uiPriority w:val="99"/>
    <w:pPr>
      <w:adjustRightInd w:val="0"/>
      <w:spacing w:before="240" w:after="60" w:line="420" w:lineRule="atLeast"/>
      <w:jc w:val="center"/>
      <w:textAlignment w:val="baseline"/>
      <w:outlineLvl w:val="0"/>
    </w:pPr>
    <w:rPr>
      <w:rFonts w:ascii="Arial" w:hAnsi="Arial"/>
      <w:b/>
      <w:kern w:val="0"/>
      <w:sz w:val="20"/>
      <w:szCs w:val="20"/>
    </w:rPr>
  </w:style>
  <w:style w:type="paragraph" w:styleId="37">
    <w:name w:val="annotation subject"/>
    <w:basedOn w:val="15"/>
    <w:next w:val="15"/>
    <w:link w:val="69"/>
    <w:qFormat/>
    <w:uiPriority w:val="99"/>
    <w:pPr>
      <w:jc w:val="both"/>
    </w:pPr>
    <w:rPr>
      <w:b/>
    </w:rPr>
  </w:style>
  <w:style w:type="paragraph" w:styleId="38">
    <w:name w:val="Body Text First Indent"/>
    <w:basedOn w:val="17"/>
    <w:link w:val="70"/>
    <w:qFormat/>
    <w:uiPriority w:val="0"/>
    <w:pPr>
      <w:spacing w:line="312" w:lineRule="auto"/>
      <w:ind w:firstLine="420"/>
    </w:pPr>
    <w:rPr>
      <w:kern w:val="2"/>
      <w:lang w:val="en-US" w:eastAsia="zh-CN"/>
    </w:rPr>
  </w:style>
  <w:style w:type="paragraph" w:styleId="39">
    <w:name w:val="Body Text First Indent 2"/>
    <w:basedOn w:val="18"/>
    <w:unhideWhenUsed/>
    <w:qFormat/>
    <w:locked/>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99"/>
    <w:rPr>
      <w:rFonts w:cs="Times New Roman"/>
    </w:rPr>
  </w:style>
  <w:style w:type="character" w:styleId="44">
    <w:name w:val="FollowedHyperlink"/>
    <w:semiHidden/>
    <w:qFormat/>
    <w:uiPriority w:val="99"/>
    <w:rPr>
      <w:rFonts w:cs="Times New Roman"/>
      <w:color w:val="954F72"/>
      <w:u w:val="single"/>
    </w:rPr>
  </w:style>
  <w:style w:type="character" w:styleId="45">
    <w:name w:val="Hyperlink"/>
    <w:qFormat/>
    <w:uiPriority w:val="99"/>
    <w:rPr>
      <w:rFonts w:cs="Times New Roman"/>
      <w:color w:val="0000FF"/>
      <w:u w:val="single"/>
    </w:rPr>
  </w:style>
  <w:style w:type="character" w:styleId="46">
    <w:name w:val="annotation reference"/>
    <w:qFormat/>
    <w:uiPriority w:val="99"/>
    <w:rPr>
      <w:rFonts w:cs="Times New Roman"/>
      <w:sz w:val="21"/>
    </w:rPr>
  </w:style>
  <w:style w:type="character" w:styleId="47">
    <w:name w:val="footnote reference"/>
    <w:qFormat/>
    <w:uiPriority w:val="99"/>
    <w:rPr>
      <w:rFonts w:cs="Times New Roman"/>
      <w:vertAlign w:val="superscript"/>
    </w:rPr>
  </w:style>
  <w:style w:type="character" w:customStyle="1" w:styleId="48">
    <w:name w:val="标题 2 Char"/>
    <w:link w:val="4"/>
    <w:qFormat/>
    <w:locked/>
    <w:uiPriority w:val="99"/>
    <w:rPr>
      <w:rFonts w:ascii="Arial" w:hAnsi="Arial" w:eastAsia="黑体" w:cs="Times New Roman"/>
      <w:b/>
      <w:bCs/>
      <w:sz w:val="32"/>
      <w:szCs w:val="32"/>
    </w:rPr>
  </w:style>
  <w:style w:type="character" w:customStyle="1" w:styleId="49">
    <w:name w:val="标题 1 Char"/>
    <w:link w:val="3"/>
    <w:qFormat/>
    <w:locked/>
    <w:uiPriority w:val="99"/>
    <w:rPr>
      <w:rFonts w:ascii="Times New Roman" w:hAnsi="Times New Roman" w:eastAsia="宋体" w:cs="Times New Roman"/>
      <w:b/>
      <w:bCs/>
      <w:kern w:val="44"/>
      <w:sz w:val="44"/>
      <w:szCs w:val="44"/>
    </w:rPr>
  </w:style>
  <w:style w:type="character" w:customStyle="1" w:styleId="50">
    <w:name w:val="标题 3 Char"/>
    <w:link w:val="5"/>
    <w:qFormat/>
    <w:locked/>
    <w:uiPriority w:val="99"/>
    <w:rPr>
      <w:rFonts w:ascii="黑体" w:hAnsi="宋体" w:eastAsia="黑体" w:cs="Times New Roman"/>
      <w:bCs/>
      <w:sz w:val="28"/>
      <w:szCs w:val="28"/>
    </w:rPr>
  </w:style>
  <w:style w:type="character" w:customStyle="1" w:styleId="51">
    <w:name w:val="标题 4 Char"/>
    <w:link w:val="6"/>
    <w:qFormat/>
    <w:locked/>
    <w:uiPriority w:val="99"/>
    <w:rPr>
      <w:rFonts w:ascii="Arial" w:hAnsi="Arial" w:eastAsia="黑体" w:cs="Times New Roman"/>
      <w:b/>
      <w:bCs/>
      <w:sz w:val="28"/>
      <w:szCs w:val="28"/>
    </w:rPr>
  </w:style>
  <w:style w:type="character" w:customStyle="1" w:styleId="52">
    <w:name w:val="标题 6 Char"/>
    <w:link w:val="7"/>
    <w:qFormat/>
    <w:locked/>
    <w:uiPriority w:val="99"/>
    <w:rPr>
      <w:rFonts w:ascii="Arial" w:hAnsi="Arial" w:eastAsia="黑体" w:cs="Times New Roman"/>
      <w:b/>
      <w:bCs/>
      <w:kern w:val="0"/>
      <w:sz w:val="24"/>
      <w:szCs w:val="24"/>
    </w:rPr>
  </w:style>
  <w:style w:type="character" w:customStyle="1" w:styleId="53">
    <w:name w:val="标题 7 Char"/>
    <w:link w:val="8"/>
    <w:qFormat/>
    <w:locked/>
    <w:uiPriority w:val="99"/>
    <w:rPr>
      <w:rFonts w:ascii="Times New Roman" w:hAnsi="Times New Roman" w:eastAsia="宋体" w:cs="Times New Roman"/>
      <w:b/>
      <w:bCs/>
      <w:kern w:val="0"/>
      <w:sz w:val="24"/>
      <w:szCs w:val="24"/>
    </w:rPr>
  </w:style>
  <w:style w:type="character" w:customStyle="1" w:styleId="54">
    <w:name w:val="标题 8 Char"/>
    <w:link w:val="9"/>
    <w:qFormat/>
    <w:locked/>
    <w:uiPriority w:val="99"/>
    <w:rPr>
      <w:rFonts w:ascii="Arial" w:hAnsi="Arial" w:eastAsia="黑体" w:cs="Times New Roman"/>
      <w:kern w:val="0"/>
      <w:sz w:val="24"/>
      <w:szCs w:val="24"/>
    </w:rPr>
  </w:style>
  <w:style w:type="character" w:customStyle="1" w:styleId="55">
    <w:name w:val="标题 9 Char"/>
    <w:link w:val="10"/>
    <w:qFormat/>
    <w:locked/>
    <w:uiPriority w:val="99"/>
    <w:rPr>
      <w:rFonts w:ascii="Arial" w:hAnsi="Arial" w:eastAsia="黑体" w:cs="Times New Roman"/>
      <w:kern w:val="0"/>
      <w:sz w:val="21"/>
      <w:szCs w:val="21"/>
    </w:rPr>
  </w:style>
  <w:style w:type="character" w:customStyle="1" w:styleId="56">
    <w:name w:val="文档结构图 Char"/>
    <w:link w:val="14"/>
    <w:qFormat/>
    <w:locked/>
    <w:uiPriority w:val="99"/>
    <w:rPr>
      <w:rFonts w:eastAsia="宋体" w:cs="Times New Roman"/>
      <w:sz w:val="24"/>
      <w:shd w:val="clear" w:color="auto" w:fill="000080"/>
    </w:rPr>
  </w:style>
  <w:style w:type="character" w:customStyle="1" w:styleId="57">
    <w:name w:val="批注文字 Char"/>
    <w:link w:val="15"/>
    <w:qFormat/>
    <w:locked/>
    <w:uiPriority w:val="0"/>
    <w:rPr>
      <w:rFonts w:eastAsia="宋体" w:cs="Times New Roman"/>
      <w:sz w:val="24"/>
    </w:rPr>
  </w:style>
  <w:style w:type="character" w:customStyle="1" w:styleId="58">
    <w:name w:val="正文文本 3 Char"/>
    <w:link w:val="16"/>
    <w:qFormat/>
    <w:locked/>
    <w:uiPriority w:val="99"/>
    <w:rPr>
      <w:rFonts w:ascii="宋体" w:hAnsi="Times New Roman" w:eastAsia="宋体" w:cs="Times New Roman"/>
      <w:sz w:val="20"/>
      <w:szCs w:val="20"/>
    </w:rPr>
  </w:style>
  <w:style w:type="character" w:customStyle="1" w:styleId="59">
    <w:name w:val="正文文本 Char1"/>
    <w:link w:val="17"/>
    <w:semiHidden/>
    <w:qFormat/>
    <w:locked/>
    <w:uiPriority w:val="99"/>
    <w:rPr>
      <w:rFonts w:ascii="Times New Roman" w:hAnsi="Times New Roman" w:eastAsia="宋体" w:cs="Times New Roman"/>
      <w:sz w:val="24"/>
      <w:szCs w:val="24"/>
    </w:rPr>
  </w:style>
  <w:style w:type="character" w:customStyle="1" w:styleId="60">
    <w:name w:val="正文文本缩进 Char"/>
    <w:link w:val="18"/>
    <w:qFormat/>
    <w:locked/>
    <w:uiPriority w:val="99"/>
    <w:rPr>
      <w:rFonts w:ascii="Times New Roman" w:hAnsi="Times New Roman" w:eastAsia="宋体" w:cs="Times New Roman"/>
      <w:sz w:val="24"/>
      <w:szCs w:val="24"/>
    </w:rPr>
  </w:style>
  <w:style w:type="character" w:customStyle="1" w:styleId="61">
    <w:name w:val="纯文本 Char"/>
    <w:link w:val="2"/>
    <w:qFormat/>
    <w:locked/>
    <w:uiPriority w:val="99"/>
    <w:rPr>
      <w:rFonts w:ascii="Times New Roman" w:hAnsi="Courier New" w:eastAsia="宋体" w:cs="Times New Roman"/>
      <w:sz w:val="24"/>
      <w:szCs w:val="24"/>
    </w:rPr>
  </w:style>
  <w:style w:type="character" w:customStyle="1" w:styleId="62">
    <w:name w:val="日期 Char"/>
    <w:link w:val="22"/>
    <w:qFormat/>
    <w:locked/>
    <w:uiPriority w:val="99"/>
    <w:rPr>
      <w:rFonts w:ascii="Times New Roman" w:hAnsi="Times New Roman" w:eastAsia="宋体" w:cs="Times New Roman"/>
      <w:sz w:val="20"/>
      <w:szCs w:val="20"/>
    </w:rPr>
  </w:style>
  <w:style w:type="character" w:customStyle="1" w:styleId="63">
    <w:name w:val="批注框文本 Char"/>
    <w:link w:val="23"/>
    <w:qFormat/>
    <w:locked/>
    <w:uiPriority w:val="99"/>
    <w:rPr>
      <w:rFonts w:ascii="Times New Roman" w:hAnsi="Times New Roman" w:eastAsia="宋体" w:cs="Times New Roman"/>
      <w:sz w:val="18"/>
      <w:szCs w:val="18"/>
    </w:rPr>
  </w:style>
  <w:style w:type="character" w:customStyle="1" w:styleId="64">
    <w:name w:val="页脚 Char"/>
    <w:link w:val="24"/>
    <w:qFormat/>
    <w:locked/>
    <w:uiPriority w:val="99"/>
    <w:rPr>
      <w:rFonts w:cs="Times New Roman"/>
      <w:sz w:val="18"/>
      <w:szCs w:val="18"/>
    </w:rPr>
  </w:style>
  <w:style w:type="character" w:customStyle="1" w:styleId="65">
    <w:name w:val="页眉 Char"/>
    <w:link w:val="25"/>
    <w:qFormat/>
    <w:locked/>
    <w:uiPriority w:val="99"/>
    <w:rPr>
      <w:rFonts w:cs="Times New Roman"/>
      <w:sz w:val="18"/>
      <w:szCs w:val="18"/>
    </w:rPr>
  </w:style>
  <w:style w:type="character" w:customStyle="1" w:styleId="66">
    <w:name w:val="正文文本缩进 3 Char"/>
    <w:link w:val="29"/>
    <w:qFormat/>
    <w:locked/>
    <w:uiPriority w:val="99"/>
    <w:rPr>
      <w:rFonts w:ascii="Times New Roman" w:hAnsi="Times New Roman" w:eastAsia="宋体" w:cs="Times New Roman"/>
      <w:sz w:val="16"/>
      <w:szCs w:val="16"/>
    </w:rPr>
  </w:style>
  <w:style w:type="character" w:customStyle="1" w:styleId="67">
    <w:name w:val="正文文本 2 Char"/>
    <w:link w:val="32"/>
    <w:semiHidden/>
    <w:qFormat/>
    <w:locked/>
    <w:uiPriority w:val="99"/>
    <w:rPr>
      <w:rFonts w:ascii="Times New Roman" w:hAnsi="Times New Roman" w:eastAsia="宋体" w:cs="Times New Roman"/>
      <w:sz w:val="24"/>
      <w:szCs w:val="24"/>
    </w:rPr>
  </w:style>
  <w:style w:type="character" w:customStyle="1" w:styleId="68">
    <w:name w:val="标题 Char"/>
    <w:link w:val="36"/>
    <w:qFormat/>
    <w:locked/>
    <w:uiPriority w:val="99"/>
    <w:rPr>
      <w:rFonts w:ascii="Arial" w:hAnsi="Arial" w:eastAsia="宋体" w:cs="Times New Roman"/>
      <w:b/>
      <w:kern w:val="0"/>
      <w:sz w:val="20"/>
      <w:szCs w:val="20"/>
    </w:rPr>
  </w:style>
  <w:style w:type="character" w:customStyle="1" w:styleId="69">
    <w:name w:val="批注主题 Char"/>
    <w:link w:val="37"/>
    <w:qFormat/>
    <w:locked/>
    <w:uiPriority w:val="99"/>
    <w:rPr>
      <w:rFonts w:eastAsia="宋体" w:cs="Times New Roman"/>
      <w:b/>
      <w:sz w:val="24"/>
    </w:rPr>
  </w:style>
  <w:style w:type="character" w:customStyle="1" w:styleId="70">
    <w:name w:val="正文首行缩进 Char"/>
    <w:link w:val="38"/>
    <w:qFormat/>
    <w:locked/>
    <w:uiPriority w:val="0"/>
    <w:rPr>
      <w:rFonts w:eastAsia="宋体" w:cs="Times New Roman"/>
      <w:kern w:val="2"/>
      <w:sz w:val="24"/>
      <w:szCs w:val="24"/>
      <w:lang w:val="en-US" w:eastAsia="zh-CN" w:bidi="ar-SA"/>
    </w:rPr>
  </w:style>
  <w:style w:type="paragraph" w:customStyle="1" w:styleId="71">
    <w:name w:val="_Style 3"/>
    <w:basedOn w:val="1"/>
    <w:qFormat/>
    <w:uiPriority w:val="0"/>
    <w:pPr>
      <w:ind w:firstLine="420" w:firstLineChars="200"/>
    </w:pPr>
    <w:rPr>
      <w:sz w:val="20"/>
    </w:rPr>
  </w:style>
  <w:style w:type="paragraph" w:customStyle="1" w:styleId="72">
    <w:name w:val=" Char Char"/>
    <w:basedOn w:val="1"/>
    <w:qFormat/>
    <w:uiPriority w:val="0"/>
    <w:rPr>
      <w:sz w:val="30"/>
    </w:rPr>
  </w:style>
  <w:style w:type="character" w:customStyle="1" w:styleId="73">
    <w:name w:val="times"/>
    <w:qFormat/>
    <w:uiPriority w:val="0"/>
    <w:rPr>
      <w:color w:val="3399FF"/>
      <w:bdr w:val="single" w:color="D1EDF8" w:sz="6" w:space="0"/>
      <w:shd w:val="clear" w:color="auto" w:fill="EAF9FF"/>
    </w:rPr>
  </w:style>
  <w:style w:type="character" w:customStyle="1" w:styleId="74">
    <w:name w:val="times1"/>
    <w:qFormat/>
    <w:uiPriority w:val="0"/>
    <w:rPr>
      <w:color w:val="CDCDCD"/>
      <w:bdr w:val="single" w:color="CDCDCD" w:sz="6" w:space="0"/>
      <w:shd w:val="clear" w:color="auto" w:fill="EFEFEF"/>
    </w:rPr>
  </w:style>
  <w:style w:type="character" w:customStyle="1" w:styleId="75">
    <w:name w:val="正文首行缩进 Char1"/>
    <w:basedOn w:val="59"/>
    <w:semiHidden/>
    <w:qFormat/>
    <w:uiPriority w:val="99"/>
  </w:style>
  <w:style w:type="character" w:customStyle="1" w:styleId="76">
    <w:name w:val="16"/>
    <w:qFormat/>
    <w:uiPriority w:val="0"/>
    <w:rPr>
      <w:rFonts w:hint="eastAsia" w:ascii="仿宋" w:hAnsi="仿宋" w:eastAsia="仿宋"/>
      <w:color w:val="000000"/>
      <w:sz w:val="28"/>
      <w:szCs w:val="28"/>
    </w:rPr>
  </w:style>
  <w:style w:type="character" w:customStyle="1" w:styleId="77">
    <w:name w:val="15"/>
    <w:qFormat/>
    <w:uiPriority w:val="0"/>
    <w:rPr>
      <w:rFonts w:hint="default" w:ascii="Times New Roman" w:hAnsi="Times New Roman" w:cs="Times New Roman"/>
    </w:rPr>
  </w:style>
  <w:style w:type="character" w:customStyle="1" w:styleId="78">
    <w:name w:val="批注文字 Char1"/>
    <w:semiHidden/>
    <w:qFormat/>
    <w:uiPriority w:val="99"/>
    <w:rPr>
      <w:rFonts w:ascii="Times New Roman" w:hAnsi="Times New Roman" w:eastAsia="宋体" w:cs="Times New Roman"/>
      <w:sz w:val="24"/>
      <w:szCs w:val="24"/>
    </w:rPr>
  </w:style>
  <w:style w:type="character" w:customStyle="1" w:styleId="79">
    <w:name w:val=" Char Char11"/>
    <w:qFormat/>
    <w:uiPriority w:val="0"/>
    <w:rPr>
      <w:rFonts w:ascii="Calibri" w:hAnsi="Calibri" w:eastAsia="宋体" w:cs="Times New Roman"/>
    </w:rPr>
  </w:style>
  <w:style w:type="character" w:customStyle="1" w:styleId="80">
    <w:name w:val="文档结构图 Char1"/>
    <w:semiHidden/>
    <w:qFormat/>
    <w:uiPriority w:val="99"/>
    <w:rPr>
      <w:rFonts w:ascii="Microsoft YaHei UI" w:hAnsi="Times New Roman" w:eastAsia="Microsoft YaHei UI" w:cs="Times New Roman"/>
      <w:sz w:val="18"/>
      <w:szCs w:val="18"/>
    </w:rPr>
  </w:style>
  <w:style w:type="character" w:customStyle="1" w:styleId="81">
    <w:name w:val="font161"/>
    <w:qFormat/>
    <w:uiPriority w:val="99"/>
    <w:rPr>
      <w:b/>
      <w:sz w:val="32"/>
    </w:rPr>
  </w:style>
  <w:style w:type="character" w:customStyle="1" w:styleId="82">
    <w:name w:val="批注主题 Char1"/>
    <w:semiHidden/>
    <w:qFormat/>
    <w:uiPriority w:val="99"/>
    <w:rPr>
      <w:rFonts w:ascii="Times New Roman" w:hAnsi="Times New Roman" w:eastAsia="宋体" w:cs="Times New Roman"/>
      <w:b/>
      <w:bCs/>
      <w:sz w:val="24"/>
      <w:szCs w:val="24"/>
    </w:rPr>
  </w:style>
  <w:style w:type="character" w:customStyle="1" w:styleId="83">
    <w:name w:val="正文文本 Char"/>
    <w:qFormat/>
    <w:uiPriority w:val="99"/>
    <w:rPr>
      <w:rFonts w:eastAsia="宋体"/>
      <w:kern w:val="2"/>
      <w:sz w:val="24"/>
      <w:lang w:val="en-US" w:eastAsia="zh-CN"/>
    </w:rPr>
  </w:style>
  <w:style w:type="character" w:customStyle="1" w:styleId="84">
    <w:name w:val="文一 Char Char"/>
    <w:qFormat/>
    <w:uiPriority w:val="0"/>
    <w:rPr>
      <w:rFonts w:eastAsia="宋体"/>
      <w:snapToGrid w:val="0"/>
      <w:spacing w:val="4"/>
      <w:sz w:val="24"/>
      <w:szCs w:val="24"/>
      <w:lang w:val="en-US" w:eastAsia="zh-CN" w:bidi="ar-SA"/>
    </w:rPr>
  </w:style>
  <w:style w:type="character" w:customStyle="1" w:styleId="85">
    <w:name w:val="hover"/>
    <w:basedOn w:val="42"/>
    <w:qFormat/>
    <w:uiPriority w:val="0"/>
  </w:style>
  <w:style w:type="character" w:customStyle="1" w:styleId="86">
    <w:name w:val="文一 Char"/>
    <w:link w:val="87"/>
    <w:qFormat/>
    <w:locked/>
    <w:uiPriority w:val="0"/>
    <w:rPr>
      <w:rFonts w:ascii="Times New Roman" w:hAnsi="Times New Roman" w:eastAsia="宋体"/>
      <w:snapToGrid/>
      <w:spacing w:val="4"/>
      <w:kern w:val="0"/>
      <w:sz w:val="24"/>
    </w:rPr>
  </w:style>
  <w:style w:type="paragraph" w:customStyle="1" w:styleId="87">
    <w:name w:val="文一"/>
    <w:basedOn w:val="1"/>
    <w:link w:val="86"/>
    <w:qFormat/>
    <w:uiPriority w:val="0"/>
    <w:pPr>
      <w:topLinePunct/>
      <w:adjustRightInd w:val="0"/>
      <w:snapToGrid w:val="0"/>
      <w:spacing w:line="360" w:lineRule="auto"/>
      <w:ind w:firstLine="200" w:firstLineChars="200"/>
    </w:pPr>
    <w:rPr>
      <w:spacing w:val="4"/>
      <w:kern w:val="0"/>
      <w:sz w:val="24"/>
      <w:szCs w:val="20"/>
    </w:rPr>
  </w:style>
  <w:style w:type="paragraph" w:customStyle="1" w:styleId="88">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89">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章节三"/>
    <w:basedOn w:val="87"/>
    <w:next w:val="87"/>
    <w:qFormat/>
    <w:uiPriority w:val="99"/>
    <w:pPr>
      <w:spacing w:beforeLines="50" w:afterLines="50" w:line="240" w:lineRule="auto"/>
      <w:ind w:firstLine="0" w:firstLineChars="0"/>
      <w:jc w:val="left"/>
      <w:outlineLvl w:val="2"/>
    </w:pPr>
    <w:rPr>
      <w:rFonts w:ascii="黑体" w:hAnsi="宋体" w:eastAsia="黑体"/>
      <w:b/>
    </w:rPr>
  </w:style>
  <w:style w:type="paragraph" w:customStyle="1" w:styleId="91">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bCs w:val="0"/>
      <w:sz w:val="32"/>
      <w:szCs w:val="20"/>
    </w:rPr>
  </w:style>
  <w:style w:type="paragraph" w:customStyle="1" w:styleId="92">
    <w:name w:val="样式 标题 3 + (中文) 黑体 小四 非加粗 段前: 7.8 磅 段后: 0 磅 行距: 固定值 20 磅"/>
    <w:basedOn w:val="5"/>
    <w:qFormat/>
    <w:uiPriority w:val="99"/>
    <w:pPr>
      <w:spacing w:before="0" w:after="0" w:line="400" w:lineRule="exact"/>
    </w:pPr>
    <w:rPr>
      <w:rFonts w:cs="宋体"/>
      <w:bCs w:val="0"/>
      <w:sz w:val="24"/>
      <w:szCs w:val="20"/>
    </w:rPr>
  </w:style>
  <w:style w:type="paragraph" w:customStyle="1" w:styleId="93">
    <w:name w:val="发文落款"/>
    <w:basedOn w:val="88"/>
    <w:qFormat/>
    <w:uiPriority w:val="99"/>
    <w:pPr>
      <w:ind w:left="4094" w:right="607" w:firstLine="0"/>
      <w:jc w:val="center"/>
    </w:pPr>
  </w:style>
  <w:style w:type="paragraph" w:customStyle="1" w:styleId="94">
    <w:name w:val="_Style 2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表头"/>
    <w:basedOn w:val="1"/>
    <w:qFormat/>
    <w:uiPriority w:val="99"/>
    <w:pPr>
      <w:spacing w:line="360" w:lineRule="auto"/>
      <w:jc w:val="center"/>
    </w:pPr>
    <w:rPr>
      <w:rFonts w:ascii="黑体" w:eastAsia="黑体"/>
      <w:kern w:val="0"/>
      <w:sz w:val="24"/>
      <w:szCs w:val="20"/>
    </w:rPr>
  </w:style>
  <w:style w:type="paragraph" w:customStyle="1" w:styleId="96">
    <w:name w:val="样式2"/>
    <w:basedOn w:val="5"/>
    <w:qFormat/>
    <w:uiPriority w:val="99"/>
    <w:rPr>
      <w:i/>
    </w:rPr>
  </w:style>
  <w:style w:type="paragraph" w:customStyle="1" w:styleId="97">
    <w:name w:val="样式1"/>
    <w:basedOn w:val="1"/>
    <w:next w:val="6"/>
    <w:qFormat/>
    <w:uiPriority w:val="99"/>
    <w:pPr>
      <w:spacing w:line="360" w:lineRule="auto"/>
      <w:ind w:firstLine="420" w:firstLineChars="200"/>
    </w:pPr>
    <w:rPr>
      <w:rFonts w:ascii="宋体" w:hAnsi="宋体"/>
      <w:szCs w:val="21"/>
    </w:rPr>
  </w:style>
  <w:style w:type="paragraph" w:styleId="98">
    <w:name w:val="List Paragraph"/>
    <w:basedOn w:val="1"/>
    <w:qFormat/>
    <w:uiPriority w:val="99"/>
    <w:pPr>
      <w:ind w:firstLine="420" w:firstLineChars="200"/>
    </w:pPr>
  </w:style>
  <w:style w:type="paragraph" w:customStyle="1" w:styleId="99">
    <w:name w:val="样式 标题 3 + 首行缩进:  1.06 厘米"/>
    <w:basedOn w:val="5"/>
    <w:qFormat/>
    <w:uiPriority w:val="99"/>
    <w:pPr>
      <w:spacing w:before="120" w:after="0" w:line="240" w:lineRule="auto"/>
      <w:jc w:val="center"/>
    </w:pPr>
    <w:rPr>
      <w:rFonts w:ascii="宋体" w:cs="宋体"/>
      <w:color w:val="000000"/>
    </w:rPr>
  </w:style>
  <w:style w:type="paragraph" w:customStyle="1" w:styleId="100">
    <w:name w:val="List Paragraph1"/>
    <w:basedOn w:val="1"/>
    <w:qFormat/>
    <w:uiPriority w:val="0"/>
    <w:pPr>
      <w:ind w:firstLine="420" w:firstLineChars="200"/>
    </w:pPr>
  </w:style>
  <w:style w:type="paragraph" w:customStyle="1" w:styleId="101">
    <w:name w:val="Char"/>
    <w:basedOn w:val="1"/>
    <w:qFormat/>
    <w:uiPriority w:val="99"/>
    <w:pPr>
      <w:tabs>
        <w:tab w:val="left" w:pos="360"/>
      </w:tabs>
    </w:pPr>
    <w:rPr>
      <w:sz w:val="24"/>
    </w:rPr>
  </w:style>
  <w:style w:type="paragraph" w:customStyle="1" w:styleId="102">
    <w:name w:val="_Style 101"/>
    <w:semiHidden/>
    <w:qFormat/>
    <w:uiPriority w:val="99"/>
    <w:rPr>
      <w:rFonts w:ascii="Times New Roman" w:hAnsi="Times New Roman" w:eastAsia="宋体" w:cs="Times New Roman"/>
      <w:kern w:val="2"/>
      <w:sz w:val="21"/>
      <w:szCs w:val="24"/>
      <w:lang w:val="en-US" w:eastAsia="zh-CN" w:bidi="ar-SA"/>
    </w:rPr>
  </w:style>
  <w:style w:type="paragraph" w:customStyle="1" w:styleId="103">
    <w:name w:val="正文 New New"/>
    <w:qFormat/>
    <w:uiPriority w:val="0"/>
    <w:pPr>
      <w:spacing w:line="360" w:lineRule="auto"/>
    </w:pPr>
    <w:rPr>
      <w:rFonts w:ascii="Tahoma" w:hAnsi="Tahoma" w:eastAsia="宋体" w:cs="Times New Roman"/>
      <w:sz w:val="22"/>
      <w:szCs w:val="22"/>
      <w:lang w:val="en-US" w:eastAsia="zh-CN" w:bidi="ar-SA"/>
    </w:rPr>
  </w:style>
  <w:style w:type="paragraph" w:customStyle="1" w:styleId="104">
    <w:name w:val="修订1"/>
    <w:qFormat/>
    <w:uiPriority w:val="99"/>
    <w:rPr>
      <w:rFonts w:ascii="Times New Roman" w:hAnsi="Times New Roman" w:eastAsia="宋体" w:cs="Times New Roman"/>
      <w:kern w:val="2"/>
      <w:sz w:val="21"/>
      <w:szCs w:val="24"/>
      <w:lang w:val="en-US" w:eastAsia="zh-CN" w:bidi="ar-SA"/>
    </w:rPr>
  </w:style>
  <w:style w:type="paragraph" w:customStyle="1" w:styleId="105">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06">
    <w:name w:val="1"/>
    <w:basedOn w:val="1"/>
    <w:qFormat/>
    <w:uiPriority w:val="99"/>
  </w:style>
  <w:style w:type="paragraph" w:customStyle="1" w:styleId="107">
    <w:name w:val="表格文字"/>
    <w:basedOn w:val="1"/>
    <w:qFormat/>
    <w:uiPriority w:val="99"/>
    <w:pPr>
      <w:adjustRightInd w:val="0"/>
      <w:spacing w:line="420" w:lineRule="atLeast"/>
      <w:jc w:val="left"/>
      <w:textAlignment w:val="baseline"/>
    </w:pPr>
    <w:rPr>
      <w:kern w:val="0"/>
      <w:szCs w:val="20"/>
    </w:rPr>
  </w:style>
  <w:style w:type="paragraph" w:customStyle="1" w:styleId="108">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bCs w:val="0"/>
      <w:sz w:val="28"/>
      <w:szCs w:val="20"/>
    </w:rPr>
  </w:style>
  <w:style w:type="paragraph" w:customStyle="1" w:styleId="109">
    <w:name w:val="文二"/>
    <w:basedOn w:val="1"/>
    <w:qFormat/>
    <w:uiPriority w:val="0"/>
    <w:pPr>
      <w:jc w:val="left"/>
    </w:pPr>
    <w:rPr>
      <w:rFonts w:ascii="宋体" w:hAnsi="宋体"/>
      <w:szCs w:val="21"/>
    </w:rPr>
  </w:style>
  <w:style w:type="paragraph" w:customStyle="1" w:styleId="110">
    <w:name w:val="正题"/>
    <w:basedOn w:val="87"/>
    <w:next w:val="87"/>
    <w:qFormat/>
    <w:uiPriority w:val="0"/>
    <w:pPr>
      <w:ind w:firstLine="0" w:firstLineChars="0"/>
      <w:jc w:val="center"/>
    </w:pPr>
    <w:rPr>
      <w:rFonts w:eastAsia="黑体"/>
      <w:b/>
      <w:sz w:val="36"/>
      <w:szCs w:val="36"/>
    </w:rPr>
  </w:style>
  <w:style w:type="paragraph" w:customStyle="1" w:styleId="111">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Char1"/>
    <w:basedOn w:val="1"/>
    <w:qFormat/>
    <w:uiPriority w:val="99"/>
    <w:pPr>
      <w:tabs>
        <w:tab w:val="left" w:pos="360"/>
      </w:tabs>
    </w:pPr>
    <w:rPr>
      <w:sz w:val="24"/>
    </w:rPr>
  </w:style>
  <w:style w:type="paragraph" w:customStyle="1" w:styleId="113">
    <w:name w:val="表格"/>
    <w:basedOn w:val="1"/>
    <w:qFormat/>
    <w:uiPriority w:val="99"/>
    <w:pPr>
      <w:jc w:val="center"/>
      <w:textAlignment w:val="center"/>
    </w:pPr>
    <w:rPr>
      <w:rFonts w:ascii="华文细黑" w:hAnsi="华文细黑"/>
      <w:kern w:val="0"/>
      <w:szCs w:val="20"/>
    </w:rPr>
  </w:style>
  <w:style w:type="paragraph" w:customStyle="1" w:styleId="114">
    <w:name w:val="样式 宋体 行距: 1.5 倍行距"/>
    <w:basedOn w:val="1"/>
    <w:qFormat/>
    <w:uiPriority w:val="99"/>
    <w:pPr>
      <w:jc w:val="center"/>
    </w:pPr>
    <w:rPr>
      <w:b/>
      <w:bCs/>
    </w:rPr>
  </w:style>
  <w:style w:type="character" w:customStyle="1" w:styleId="115">
    <w:name w:val="Body text (2) + 10 pt"/>
    <w:basedOn w:val="42"/>
    <w:qFormat/>
    <w:uiPriority w:val="0"/>
    <w:rPr>
      <w:rFonts w:ascii="宋体" w:hAnsi="宋体" w:eastAsia="宋体" w:cs="宋体"/>
      <w:color w:val="000000"/>
      <w:spacing w:val="0"/>
      <w:w w:val="100"/>
      <w:position w:val="0"/>
      <w:sz w:val="20"/>
      <w:szCs w:val="20"/>
      <w:u w:val="none"/>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4537</Words>
  <Characters>4773</Characters>
  <Lines>247</Lines>
  <Paragraphs>69</Paragraphs>
  <TotalTime>33</TotalTime>
  <ScaleCrop>false</ScaleCrop>
  <LinksUpToDate>false</LinksUpToDate>
  <CharactersWithSpaces>4833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2020-08-07T08:03:00Z</dcterms:created>
  <dc:creator>Administrator</dc:creator>
  <cp:lastModifiedBy>HP</cp:lastModifiedBy>
  <cp:lastPrinted>2024-11-08T01:28:00Z</cp:lastPrinted>
  <dcterms:modified xsi:type="dcterms:W3CDTF">2025-07-14T03:56:38Z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CE628DB676084D52B24A9C57C9277AED</vt:lpwstr>
  </property>
  <property fmtid="{D5CDD505-2E9C-101B-9397-08002B2CF9AE}" pid="4" name="commondata">
    <vt:lpwstr>eyJoZGlkIjoiODQzNWFmNzJkNjc5YTE5YzE5YmU4YmYwZGFjMmQ5NWMifQ==</vt:lpwstr>
  </property>
  <property fmtid="{D5CDD505-2E9C-101B-9397-08002B2CF9AE}" pid="5" name="KSOTemplateDocerSaveRecord">
    <vt:lpwstr>eyJoZGlkIjoiNWY1ZjliYzFmMGUxYjBmY2U5ZDZlZjE2ZGI3ZDYxMzUiLCJ1c2VySWQiOiI0MzI4Mjc0MDcifQ==</vt:lpwstr>
  </property>
</Properties>
</file>