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90F06">
      <w:pPr>
        <w:tabs>
          <w:tab w:val="left" w:pos="561"/>
          <w:tab w:val="center" w:pos="4513"/>
          <w:tab w:val="left" w:pos="5723"/>
        </w:tabs>
        <w:spacing w:line="360" w:lineRule="auto"/>
        <w:jc w:val="center"/>
        <w:rPr>
          <w:color w:val="auto"/>
          <w:highlight w:val="none"/>
        </w:rPr>
      </w:pPr>
    </w:p>
    <w:p w14:paraId="420E2884">
      <w:pPr>
        <w:spacing w:line="360" w:lineRule="auto"/>
        <w:jc w:val="center"/>
        <w:rPr>
          <w:rFonts w:ascii="宋体" w:hAnsi="宋体" w:eastAsia="宋体"/>
          <w:b/>
          <w:color w:val="auto"/>
          <w:kern w:val="2"/>
          <w:sz w:val="40"/>
          <w:szCs w:val="60"/>
          <w:highlight w:val="none"/>
          <w:lang w:eastAsia="zh-CN"/>
        </w:rPr>
      </w:pPr>
    </w:p>
    <w:p w14:paraId="3BB6F4E6">
      <w:pPr>
        <w:spacing w:line="360" w:lineRule="auto"/>
        <w:jc w:val="center"/>
        <w:rPr>
          <w:rFonts w:ascii="宋体" w:hAnsi="宋体" w:eastAsia="宋体"/>
          <w:b/>
          <w:color w:val="auto"/>
          <w:kern w:val="2"/>
          <w:sz w:val="40"/>
          <w:szCs w:val="60"/>
          <w:highlight w:val="none"/>
          <w:lang w:eastAsia="zh-CN"/>
        </w:rPr>
      </w:pPr>
    </w:p>
    <w:p w14:paraId="658B29E1">
      <w:pPr>
        <w:spacing w:line="360" w:lineRule="auto"/>
        <w:jc w:val="center"/>
        <w:rPr>
          <w:rFonts w:hint="eastAsia" w:ascii="宋体" w:hAnsi="宋体" w:eastAsia="宋体"/>
          <w:b/>
          <w:color w:val="auto"/>
          <w:kern w:val="2"/>
          <w:sz w:val="56"/>
          <w:szCs w:val="56"/>
          <w:highlight w:val="none"/>
          <w:lang w:eastAsia="zh-CN"/>
        </w:rPr>
      </w:pPr>
      <w:r>
        <w:rPr>
          <w:rFonts w:hint="eastAsia" w:ascii="宋体" w:hAnsi="宋体" w:eastAsia="宋体"/>
          <w:b/>
          <w:color w:val="auto"/>
          <w:kern w:val="2"/>
          <w:sz w:val="56"/>
          <w:szCs w:val="56"/>
          <w:highlight w:val="none"/>
          <w:lang w:eastAsia="zh-CN"/>
        </w:rPr>
        <w:t>前锋水乡首开区提升改造建设</w:t>
      </w:r>
    </w:p>
    <w:p w14:paraId="378A8432">
      <w:pPr>
        <w:spacing w:line="360" w:lineRule="auto"/>
        <w:jc w:val="center"/>
        <w:rPr>
          <w:rFonts w:hint="default" w:ascii="宋体" w:hAnsi="宋体" w:eastAsia="宋体"/>
          <w:b/>
          <w:color w:val="auto"/>
          <w:kern w:val="2"/>
          <w:sz w:val="56"/>
          <w:szCs w:val="56"/>
          <w:highlight w:val="none"/>
          <w:lang w:val="en-US" w:eastAsia="zh-CN"/>
        </w:rPr>
      </w:pPr>
      <w:r>
        <w:rPr>
          <w:rFonts w:hint="eastAsia" w:ascii="宋体" w:hAnsi="宋体" w:eastAsia="宋体"/>
          <w:b/>
          <w:color w:val="auto"/>
          <w:kern w:val="2"/>
          <w:sz w:val="56"/>
          <w:szCs w:val="56"/>
          <w:highlight w:val="none"/>
          <w:lang w:eastAsia="zh-CN"/>
        </w:rPr>
        <w:t>方案设计</w:t>
      </w:r>
      <w:r>
        <w:rPr>
          <w:rFonts w:hint="eastAsia" w:ascii="宋体" w:hAnsi="宋体" w:eastAsia="宋体"/>
          <w:b/>
          <w:color w:val="auto"/>
          <w:kern w:val="2"/>
          <w:sz w:val="56"/>
          <w:szCs w:val="56"/>
          <w:highlight w:val="none"/>
          <w:lang w:val="en-US" w:eastAsia="zh-CN"/>
        </w:rPr>
        <w:t>项目</w:t>
      </w:r>
    </w:p>
    <w:p w14:paraId="5D9A0181">
      <w:pPr>
        <w:spacing w:line="360" w:lineRule="auto"/>
        <w:jc w:val="center"/>
        <w:rPr>
          <w:rFonts w:ascii="宋体" w:hAnsi="宋体" w:eastAsia="宋体"/>
          <w:b/>
          <w:color w:val="auto"/>
          <w:kern w:val="2"/>
          <w:sz w:val="40"/>
          <w:szCs w:val="60"/>
          <w:highlight w:val="none"/>
          <w:lang w:eastAsia="zh-CN"/>
        </w:rPr>
      </w:pPr>
    </w:p>
    <w:p w14:paraId="69B3807A">
      <w:pPr>
        <w:spacing w:line="360" w:lineRule="auto"/>
        <w:jc w:val="center"/>
        <w:rPr>
          <w:rFonts w:ascii="宋体" w:hAnsi="宋体" w:eastAsia="宋体"/>
          <w:b/>
          <w:color w:val="auto"/>
          <w:kern w:val="2"/>
          <w:sz w:val="40"/>
          <w:szCs w:val="60"/>
          <w:highlight w:val="none"/>
          <w:lang w:eastAsia="zh-CN"/>
        </w:rPr>
      </w:pPr>
    </w:p>
    <w:p w14:paraId="21259343">
      <w:pPr>
        <w:spacing w:line="360" w:lineRule="auto"/>
        <w:jc w:val="center"/>
        <w:rPr>
          <w:rFonts w:ascii="宋体" w:hAnsi="宋体" w:eastAsia="宋体"/>
          <w:b/>
          <w:color w:val="auto"/>
          <w:kern w:val="2"/>
          <w:sz w:val="96"/>
          <w:szCs w:val="84"/>
          <w:highlight w:val="none"/>
          <w:lang w:eastAsia="zh-CN"/>
        </w:rPr>
      </w:pPr>
      <w:r>
        <w:rPr>
          <w:rFonts w:ascii="宋体" w:hAnsi="宋体" w:eastAsia="宋体"/>
          <w:b/>
          <w:color w:val="auto"/>
          <w:kern w:val="2"/>
          <w:sz w:val="96"/>
          <w:szCs w:val="84"/>
          <w:highlight w:val="none"/>
          <w:lang w:eastAsia="zh-CN"/>
        </w:rPr>
        <w:t>招标文件</w:t>
      </w:r>
    </w:p>
    <w:p w14:paraId="2B273A54">
      <w:pPr>
        <w:spacing w:line="360" w:lineRule="auto"/>
        <w:rPr>
          <w:rFonts w:ascii="宋体" w:hAnsi="宋体" w:eastAsia="宋体"/>
          <w:color w:val="auto"/>
          <w:sz w:val="32"/>
          <w:szCs w:val="32"/>
          <w:highlight w:val="none"/>
          <w:lang w:eastAsia="zh-CN"/>
        </w:rPr>
      </w:pPr>
    </w:p>
    <w:p w14:paraId="5D8DF05F">
      <w:pPr>
        <w:spacing w:line="360" w:lineRule="auto"/>
        <w:rPr>
          <w:rFonts w:ascii="宋体" w:hAnsi="宋体" w:eastAsia="宋体"/>
          <w:color w:val="auto"/>
          <w:sz w:val="32"/>
          <w:szCs w:val="32"/>
          <w:highlight w:val="none"/>
          <w:lang w:eastAsia="zh-CN"/>
        </w:rPr>
      </w:pPr>
    </w:p>
    <w:p w14:paraId="5E2BD6E3">
      <w:pPr>
        <w:spacing w:line="360" w:lineRule="auto"/>
        <w:rPr>
          <w:rFonts w:ascii="宋体" w:hAnsi="宋体" w:eastAsia="宋体"/>
          <w:color w:val="auto"/>
          <w:sz w:val="32"/>
          <w:szCs w:val="32"/>
          <w:highlight w:val="none"/>
          <w:lang w:eastAsia="zh-CN"/>
        </w:rPr>
      </w:pPr>
    </w:p>
    <w:p w14:paraId="67AC6965">
      <w:pPr>
        <w:spacing w:line="360" w:lineRule="auto"/>
        <w:rPr>
          <w:rFonts w:ascii="宋体" w:hAnsi="宋体" w:eastAsia="宋体"/>
          <w:color w:val="auto"/>
          <w:sz w:val="32"/>
          <w:szCs w:val="32"/>
          <w:highlight w:val="none"/>
          <w:lang w:eastAsia="zh-CN"/>
        </w:rPr>
      </w:pPr>
    </w:p>
    <w:p w14:paraId="5FF64F19">
      <w:pPr>
        <w:pStyle w:val="4"/>
        <w:rPr>
          <w:color w:val="auto"/>
          <w:highlight w:val="none"/>
          <w:lang w:eastAsia="zh-CN"/>
        </w:rPr>
      </w:pPr>
    </w:p>
    <w:p w14:paraId="56CDCB5F">
      <w:pPr>
        <w:spacing w:line="360" w:lineRule="auto"/>
        <w:rPr>
          <w:rFonts w:ascii="宋体" w:hAnsi="宋体" w:eastAsia="宋体"/>
          <w:color w:val="auto"/>
          <w:sz w:val="32"/>
          <w:szCs w:val="32"/>
          <w:highlight w:val="none"/>
          <w:lang w:eastAsia="zh-CN"/>
        </w:rPr>
      </w:pPr>
    </w:p>
    <w:p w14:paraId="220B48AD">
      <w:pPr>
        <w:spacing w:line="360" w:lineRule="auto"/>
        <w:rPr>
          <w:rFonts w:ascii="宋体" w:hAnsi="宋体" w:eastAsia="宋体"/>
          <w:color w:val="auto"/>
          <w:sz w:val="32"/>
          <w:szCs w:val="32"/>
          <w:highlight w:val="none"/>
          <w:lang w:eastAsia="zh-CN"/>
        </w:rPr>
      </w:pPr>
    </w:p>
    <w:p w14:paraId="5E96710F">
      <w:pPr>
        <w:spacing w:line="360" w:lineRule="auto"/>
        <w:rPr>
          <w:rFonts w:ascii="宋体" w:hAnsi="宋体" w:eastAsia="宋体"/>
          <w:color w:val="auto"/>
          <w:sz w:val="32"/>
          <w:szCs w:val="32"/>
          <w:highlight w:val="none"/>
          <w:lang w:eastAsia="zh-CN"/>
        </w:rPr>
      </w:pPr>
      <w:r>
        <w:rPr>
          <w:rFonts w:hint="eastAsia" w:ascii="宋体" w:hAnsi="宋体" w:eastAsia="宋体"/>
          <w:color w:val="auto"/>
          <w:sz w:val="32"/>
          <w:szCs w:val="32"/>
          <w:highlight w:val="none"/>
          <w:lang w:eastAsia="zh-CN"/>
        </w:rPr>
        <w:t>招   标   人：</w:t>
      </w:r>
      <w:r>
        <w:rPr>
          <w:rFonts w:hint="eastAsia" w:ascii="宋体" w:hAnsi="宋体" w:eastAsia="宋体"/>
          <w:color w:val="auto"/>
          <w:sz w:val="32"/>
          <w:szCs w:val="32"/>
          <w:highlight w:val="none"/>
          <w:u w:val="single"/>
          <w:lang w:eastAsia="zh-CN"/>
        </w:rPr>
        <w:t>广州南沙科技投资有限公司</w:t>
      </w:r>
    </w:p>
    <w:p w14:paraId="3D89E9D7">
      <w:pPr>
        <w:spacing w:line="360" w:lineRule="auto"/>
        <w:rPr>
          <w:rFonts w:ascii="宋体" w:hAnsi="宋体" w:eastAsia="宋体"/>
          <w:color w:val="auto"/>
          <w:sz w:val="32"/>
          <w:szCs w:val="32"/>
          <w:highlight w:val="none"/>
          <w:lang w:eastAsia="zh-CN"/>
        </w:rPr>
      </w:pPr>
      <w:r>
        <w:rPr>
          <w:rFonts w:hint="eastAsia" w:ascii="宋体" w:hAnsi="宋体" w:eastAsia="宋体"/>
          <w:color w:val="auto"/>
          <w:sz w:val="32"/>
          <w:szCs w:val="32"/>
          <w:highlight w:val="none"/>
          <w:lang w:eastAsia="zh-CN"/>
        </w:rPr>
        <w:t>招标代理机构：</w:t>
      </w:r>
      <w:r>
        <w:rPr>
          <w:rFonts w:hint="eastAsia" w:ascii="宋体" w:hAnsi="宋体" w:eastAsia="宋体"/>
          <w:color w:val="auto"/>
          <w:sz w:val="32"/>
          <w:szCs w:val="32"/>
          <w:highlight w:val="none"/>
          <w:u w:val="single"/>
          <w:lang w:eastAsia="zh-CN"/>
        </w:rPr>
        <w:t>广州万亿采购科技有限公司</w:t>
      </w:r>
    </w:p>
    <w:p w14:paraId="1A1F87B0">
      <w:pPr>
        <w:tabs>
          <w:tab w:val="left" w:pos="561"/>
        </w:tabs>
        <w:spacing w:line="360" w:lineRule="auto"/>
        <w:rPr>
          <w:rFonts w:ascii="宋体" w:hAnsi="宋体" w:eastAsia="宋体" w:cs="宋体"/>
          <w:b/>
          <w:bCs/>
          <w:color w:val="auto"/>
          <w:sz w:val="28"/>
          <w:szCs w:val="28"/>
          <w:highlight w:val="none"/>
          <w:lang w:eastAsia="zh-CN"/>
        </w:rPr>
        <w:sectPr>
          <w:footerReference r:id="rId3" w:type="default"/>
          <w:pgSz w:w="11907" w:h="16839"/>
          <w:pgMar w:top="1440" w:right="1800" w:bottom="1440" w:left="1800" w:header="0" w:footer="919" w:gutter="0"/>
          <w:cols w:space="720" w:num="1"/>
          <w:docGrid w:linePitch="299" w:charSpace="0"/>
        </w:sectPr>
      </w:pPr>
      <w:r>
        <w:rPr>
          <w:rFonts w:hint="eastAsia" w:ascii="宋体" w:hAnsi="宋体" w:eastAsia="宋体"/>
          <w:color w:val="auto"/>
          <w:sz w:val="32"/>
          <w:szCs w:val="32"/>
          <w:highlight w:val="none"/>
          <w:lang w:eastAsia="zh-CN"/>
        </w:rPr>
        <w:t>日        期：</w:t>
      </w:r>
      <w:r>
        <w:rPr>
          <w:rFonts w:hint="eastAsia" w:ascii="宋体" w:hAnsi="宋体" w:eastAsia="宋体"/>
          <w:color w:val="auto"/>
          <w:sz w:val="32"/>
          <w:szCs w:val="32"/>
          <w:highlight w:val="none"/>
          <w:u w:val="single"/>
          <w:lang w:eastAsia="zh-CN"/>
        </w:rPr>
        <w:t>20</w:t>
      </w:r>
      <w:r>
        <w:rPr>
          <w:rFonts w:ascii="宋体" w:hAnsi="宋体" w:eastAsia="宋体"/>
          <w:color w:val="auto"/>
          <w:sz w:val="32"/>
          <w:szCs w:val="32"/>
          <w:highlight w:val="none"/>
          <w:u w:val="single"/>
          <w:lang w:eastAsia="zh-CN"/>
        </w:rPr>
        <w:t>2</w:t>
      </w:r>
      <w:r>
        <w:rPr>
          <w:rFonts w:hint="eastAsia" w:ascii="宋体" w:hAnsi="宋体" w:eastAsia="宋体"/>
          <w:color w:val="auto"/>
          <w:sz w:val="32"/>
          <w:szCs w:val="32"/>
          <w:highlight w:val="none"/>
          <w:u w:val="single"/>
          <w:lang w:val="en-US" w:eastAsia="zh-CN"/>
        </w:rPr>
        <w:t>5</w:t>
      </w:r>
      <w:r>
        <w:rPr>
          <w:rFonts w:hint="eastAsia" w:ascii="宋体" w:hAnsi="宋体" w:eastAsia="宋体"/>
          <w:color w:val="auto"/>
          <w:sz w:val="32"/>
          <w:szCs w:val="32"/>
          <w:highlight w:val="none"/>
          <w:lang w:eastAsia="zh-CN"/>
        </w:rPr>
        <w:t>年</w:t>
      </w:r>
      <w:r>
        <w:rPr>
          <w:rFonts w:hint="eastAsia" w:ascii="宋体" w:hAnsi="宋体" w:eastAsia="宋体"/>
          <w:color w:val="auto"/>
          <w:sz w:val="32"/>
          <w:szCs w:val="32"/>
          <w:highlight w:val="none"/>
          <w:u w:val="single"/>
          <w:lang w:val="en-US" w:eastAsia="zh-CN"/>
        </w:rPr>
        <w:t>07</w:t>
      </w:r>
      <w:r>
        <w:rPr>
          <w:rFonts w:hint="eastAsia" w:ascii="宋体" w:hAnsi="宋体" w:eastAsia="宋体"/>
          <w:color w:val="auto"/>
          <w:sz w:val="32"/>
          <w:szCs w:val="32"/>
          <w:highlight w:val="none"/>
          <w:lang w:eastAsia="zh-CN"/>
        </w:rPr>
        <w:t>月</w:t>
      </w:r>
    </w:p>
    <w:p w14:paraId="6EF8FEF1">
      <w:pPr>
        <w:tabs>
          <w:tab w:val="left" w:pos="561"/>
          <w:tab w:val="center" w:pos="4513"/>
          <w:tab w:val="left" w:pos="5723"/>
        </w:tabs>
        <w:spacing w:line="360" w:lineRule="auto"/>
        <w:jc w:val="center"/>
        <w:rPr>
          <w:rFonts w:ascii="宋体" w:hAnsi="宋体" w:eastAsia="宋体"/>
          <w:color w:val="auto"/>
          <w:sz w:val="24"/>
          <w:szCs w:val="24"/>
          <w:highlight w:val="none"/>
        </w:rPr>
      </w:pPr>
      <w:r>
        <w:rPr>
          <w:rFonts w:ascii="宋体" w:hAnsi="宋体" w:eastAsia="宋体" w:cs="宋体"/>
          <w:b/>
          <w:bCs/>
          <w:color w:val="auto"/>
          <w:sz w:val="28"/>
          <w:szCs w:val="28"/>
          <w:highlight w:val="none"/>
          <w:lang w:eastAsia="zh-CN"/>
        </w:rPr>
        <w:t>目</w:t>
      </w:r>
      <w:r>
        <w:rPr>
          <w:rFonts w:ascii="宋体" w:hAnsi="宋体" w:eastAsia="宋体" w:cs="宋体"/>
          <w:b/>
          <w:bCs/>
          <w:color w:val="auto"/>
          <w:sz w:val="28"/>
          <w:szCs w:val="28"/>
          <w:highlight w:val="none"/>
          <w:lang w:eastAsia="zh-CN"/>
        </w:rPr>
        <w:tab/>
      </w:r>
      <w:r>
        <w:rPr>
          <w:rFonts w:ascii="宋体" w:hAnsi="宋体" w:eastAsia="宋体" w:cs="宋体"/>
          <w:b/>
          <w:bCs/>
          <w:color w:val="auto"/>
          <w:sz w:val="28"/>
          <w:szCs w:val="28"/>
          <w:highlight w:val="none"/>
          <w:lang w:eastAsia="zh-CN"/>
        </w:rPr>
        <w:t>录</w:t>
      </w:r>
      <w:r>
        <w:rPr>
          <w:rFonts w:ascii="宋体" w:hAnsi="宋体" w:eastAsia="宋体" w:cs="宋体"/>
          <w:color w:val="auto"/>
          <w:sz w:val="24"/>
          <w:szCs w:val="24"/>
          <w:highlight w:val="none"/>
          <w:lang w:eastAsia="zh-CN"/>
        </w:rPr>
        <w:fldChar w:fldCharType="begin"/>
      </w:r>
      <w:r>
        <w:rPr>
          <w:rFonts w:ascii="宋体" w:hAnsi="宋体" w:eastAsia="宋体" w:cs="宋体"/>
          <w:color w:val="auto"/>
          <w:sz w:val="24"/>
          <w:szCs w:val="24"/>
          <w:highlight w:val="none"/>
          <w:lang w:eastAsia="zh-CN"/>
        </w:rPr>
        <w:instrText xml:space="preserve"> TOC \o "1-3" \h \z \u </w:instrText>
      </w:r>
      <w:r>
        <w:rPr>
          <w:rFonts w:ascii="宋体" w:hAnsi="宋体" w:eastAsia="宋体" w:cs="宋体"/>
          <w:color w:val="auto"/>
          <w:sz w:val="24"/>
          <w:szCs w:val="24"/>
          <w:highlight w:val="none"/>
          <w:lang w:eastAsia="zh-CN"/>
        </w:rPr>
        <w:fldChar w:fldCharType="separate"/>
      </w:r>
    </w:p>
    <w:p w14:paraId="3633AE09">
      <w:pPr>
        <w:pStyle w:val="16"/>
        <w:tabs>
          <w:tab w:val="right" w:leader="dot" w:pos="9350"/>
        </w:tabs>
        <w:spacing w:line="360" w:lineRule="auto"/>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"_Toc25152728" </w:instrText>
      </w:r>
      <w:r>
        <w:rPr>
          <w:color w:val="auto"/>
          <w:highlight w:val="none"/>
        </w:rPr>
        <w:fldChar w:fldCharType="separate"/>
      </w:r>
      <w:r>
        <w:rPr>
          <w:rStyle w:val="27"/>
          <w:rFonts w:hint="eastAsia"/>
          <w:color w:val="auto"/>
          <w:sz w:val="24"/>
          <w:szCs w:val="24"/>
          <w:highlight w:val="none"/>
          <w:lang w:eastAsia="zh-CN"/>
        </w:rPr>
        <w:t>第一卷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_Toc25152728 \h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color w:val="auto"/>
          <w:sz w:val="24"/>
          <w:szCs w:val="24"/>
          <w:highlight w:val="none"/>
        </w:rPr>
        <w:fldChar w:fldCharType="end"/>
      </w:r>
    </w:p>
    <w:p w14:paraId="6BF03E9A">
      <w:pPr>
        <w:pStyle w:val="16"/>
        <w:tabs>
          <w:tab w:val="right" w:leader="dot" w:pos="9350"/>
        </w:tabs>
        <w:spacing w:line="360" w:lineRule="auto"/>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"_Toc25152729" </w:instrText>
      </w:r>
      <w:r>
        <w:rPr>
          <w:color w:val="auto"/>
          <w:highlight w:val="none"/>
        </w:rPr>
        <w:fldChar w:fldCharType="separate"/>
      </w:r>
      <w:r>
        <w:rPr>
          <w:rStyle w:val="27"/>
          <w:rFonts w:hint="eastAsia"/>
          <w:color w:val="auto"/>
          <w:sz w:val="24"/>
          <w:szCs w:val="24"/>
          <w:highlight w:val="none"/>
          <w:lang w:eastAsia="zh-CN"/>
        </w:rPr>
        <w:t>第一章</w:t>
      </w:r>
      <w:r>
        <w:rPr>
          <w:rStyle w:val="27"/>
          <w:color w:val="auto"/>
          <w:sz w:val="24"/>
          <w:szCs w:val="24"/>
          <w:highlight w:val="none"/>
          <w:lang w:eastAsia="zh-CN"/>
        </w:rPr>
        <w:t xml:space="preserve">  </w:t>
      </w:r>
      <w:r>
        <w:rPr>
          <w:rStyle w:val="27"/>
          <w:rFonts w:hint="eastAsia"/>
          <w:color w:val="auto"/>
          <w:sz w:val="24"/>
          <w:szCs w:val="24"/>
          <w:highlight w:val="none"/>
          <w:lang w:eastAsia="zh-CN"/>
        </w:rPr>
        <w:t>招标公告</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_Toc25152729 \h </w:instrText>
      </w:r>
      <w:r>
        <w:rPr>
          <w:color w:val="auto"/>
          <w:sz w:val="24"/>
          <w:szCs w:val="24"/>
          <w:highlight w:val="none"/>
        </w:rPr>
        <w:fldChar w:fldCharType="separate"/>
      </w:r>
      <w:r>
        <w:rPr>
          <w:color w:val="auto"/>
          <w:sz w:val="24"/>
          <w:szCs w:val="24"/>
          <w:highlight w:val="none"/>
        </w:rPr>
        <w:t>3</w:t>
      </w:r>
      <w:r>
        <w:rPr>
          <w:color w:val="auto"/>
          <w:sz w:val="24"/>
          <w:szCs w:val="24"/>
          <w:highlight w:val="none"/>
        </w:rPr>
        <w:fldChar w:fldCharType="end"/>
      </w:r>
      <w:r>
        <w:rPr>
          <w:color w:val="auto"/>
          <w:sz w:val="24"/>
          <w:szCs w:val="24"/>
          <w:highlight w:val="none"/>
        </w:rPr>
        <w:fldChar w:fldCharType="end"/>
      </w:r>
    </w:p>
    <w:p w14:paraId="5BF98B5A">
      <w:pPr>
        <w:pStyle w:val="16"/>
        <w:tabs>
          <w:tab w:val="right" w:leader="dot" w:pos="9350"/>
        </w:tabs>
        <w:spacing w:line="360" w:lineRule="auto"/>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"_Toc25152730" </w:instrText>
      </w:r>
      <w:r>
        <w:rPr>
          <w:color w:val="auto"/>
          <w:highlight w:val="none"/>
        </w:rPr>
        <w:fldChar w:fldCharType="separate"/>
      </w:r>
      <w:r>
        <w:rPr>
          <w:rStyle w:val="27"/>
          <w:rFonts w:hint="eastAsia"/>
          <w:color w:val="auto"/>
          <w:sz w:val="24"/>
          <w:szCs w:val="24"/>
          <w:highlight w:val="none"/>
          <w:lang w:eastAsia="zh-CN"/>
        </w:rPr>
        <w:t>第二章</w:t>
      </w:r>
      <w:r>
        <w:rPr>
          <w:rStyle w:val="27"/>
          <w:color w:val="auto"/>
          <w:sz w:val="24"/>
          <w:szCs w:val="24"/>
          <w:highlight w:val="none"/>
          <w:lang w:eastAsia="zh-CN"/>
        </w:rPr>
        <w:t xml:space="preserve">  </w:t>
      </w:r>
      <w:r>
        <w:rPr>
          <w:rStyle w:val="27"/>
          <w:rFonts w:hint="eastAsia"/>
          <w:color w:val="auto"/>
          <w:sz w:val="24"/>
          <w:szCs w:val="24"/>
          <w:highlight w:val="none"/>
          <w:lang w:eastAsia="zh-CN"/>
        </w:rPr>
        <w:t>投标人须知</w:t>
      </w:r>
      <w:r>
        <w:rPr>
          <w:color w:val="auto"/>
          <w:sz w:val="24"/>
          <w:szCs w:val="24"/>
          <w:highlight w:val="none"/>
        </w:rPr>
        <w:tab/>
      </w:r>
      <w:r>
        <w:rPr>
          <w:rFonts w:hint="eastAsia"/>
          <w:color w:val="auto"/>
          <w:sz w:val="24"/>
          <w:szCs w:val="24"/>
          <w:highlight w:val="none"/>
          <w:lang w:eastAsia="zh-CN"/>
        </w:rPr>
        <w:t>5</w:t>
      </w:r>
      <w:r>
        <w:rPr>
          <w:rFonts w:hint="eastAsia"/>
          <w:color w:val="auto"/>
          <w:sz w:val="24"/>
          <w:szCs w:val="24"/>
          <w:highlight w:val="none"/>
          <w:lang w:eastAsia="zh-CN"/>
        </w:rPr>
        <w:fldChar w:fldCharType="end"/>
      </w:r>
    </w:p>
    <w:p w14:paraId="55816E7F">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"_Toc25152731" </w:instrText>
      </w:r>
      <w:r>
        <w:rPr>
          <w:color w:val="auto"/>
          <w:highlight w:val="none"/>
        </w:rPr>
        <w:fldChar w:fldCharType="separate"/>
      </w:r>
      <w:r>
        <w:rPr>
          <w:rStyle w:val="27"/>
          <w:rFonts w:hint="eastAsia"/>
          <w:color w:val="auto"/>
          <w:sz w:val="24"/>
          <w:szCs w:val="24"/>
          <w:highlight w:val="none"/>
          <w:lang w:eastAsia="zh-CN"/>
        </w:rPr>
        <w:t>投标人须知前附表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_Toc25152731 \h </w:instrText>
      </w:r>
      <w:r>
        <w:rPr>
          <w:color w:val="auto"/>
          <w:sz w:val="24"/>
          <w:szCs w:val="24"/>
          <w:highlight w:val="none"/>
        </w:rPr>
        <w:fldChar w:fldCharType="separate"/>
      </w:r>
      <w:r>
        <w:rPr>
          <w:color w:val="auto"/>
          <w:sz w:val="24"/>
          <w:szCs w:val="24"/>
          <w:highlight w:val="none"/>
        </w:rPr>
        <w:t>4</w:t>
      </w:r>
      <w:r>
        <w:rPr>
          <w:color w:val="auto"/>
          <w:sz w:val="24"/>
          <w:szCs w:val="24"/>
          <w:highlight w:val="none"/>
        </w:rPr>
        <w:fldChar w:fldCharType="end"/>
      </w:r>
      <w:r>
        <w:rPr>
          <w:color w:val="auto"/>
          <w:sz w:val="24"/>
          <w:szCs w:val="24"/>
          <w:highlight w:val="none"/>
        </w:rPr>
        <w:fldChar w:fldCharType="end"/>
      </w:r>
    </w:p>
    <w:p w14:paraId="241D57E3">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"_Toc25152732" </w:instrText>
      </w:r>
      <w:r>
        <w:rPr>
          <w:color w:val="auto"/>
          <w:highlight w:val="none"/>
        </w:rPr>
        <w:fldChar w:fldCharType="separate"/>
      </w:r>
      <w:r>
        <w:rPr>
          <w:rStyle w:val="27"/>
          <w:color w:val="auto"/>
          <w:sz w:val="24"/>
          <w:szCs w:val="24"/>
          <w:highlight w:val="none"/>
        </w:rPr>
        <w:t xml:space="preserve">1. </w:t>
      </w:r>
      <w:r>
        <w:rPr>
          <w:rStyle w:val="27"/>
          <w:rFonts w:hint="eastAsia"/>
          <w:color w:val="auto"/>
          <w:sz w:val="24"/>
          <w:szCs w:val="24"/>
          <w:highlight w:val="none"/>
        </w:rPr>
        <w:t>总则</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_Toc25152732 \h </w:instrText>
      </w:r>
      <w:r>
        <w:rPr>
          <w:color w:val="auto"/>
          <w:sz w:val="24"/>
          <w:szCs w:val="24"/>
          <w:highlight w:val="none"/>
        </w:rPr>
        <w:fldChar w:fldCharType="separate"/>
      </w:r>
      <w:r>
        <w:rPr>
          <w:color w:val="auto"/>
          <w:sz w:val="24"/>
          <w:szCs w:val="24"/>
          <w:highlight w:val="none"/>
        </w:rPr>
        <w:t>14</w:t>
      </w:r>
      <w:r>
        <w:rPr>
          <w:color w:val="auto"/>
          <w:sz w:val="24"/>
          <w:szCs w:val="24"/>
          <w:highlight w:val="none"/>
        </w:rPr>
        <w:fldChar w:fldCharType="end"/>
      </w:r>
      <w:r>
        <w:rPr>
          <w:color w:val="auto"/>
          <w:sz w:val="24"/>
          <w:szCs w:val="24"/>
          <w:highlight w:val="none"/>
        </w:rPr>
        <w:fldChar w:fldCharType="end"/>
      </w:r>
    </w:p>
    <w:p w14:paraId="3E13E649">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"_Toc25152733" </w:instrText>
      </w:r>
      <w:r>
        <w:rPr>
          <w:color w:val="auto"/>
          <w:highlight w:val="none"/>
        </w:rPr>
        <w:fldChar w:fldCharType="separate"/>
      </w:r>
      <w:r>
        <w:rPr>
          <w:rStyle w:val="27"/>
          <w:color w:val="auto"/>
          <w:sz w:val="24"/>
          <w:szCs w:val="24"/>
          <w:highlight w:val="none"/>
        </w:rPr>
        <w:t xml:space="preserve">2. </w:t>
      </w:r>
      <w:r>
        <w:rPr>
          <w:rStyle w:val="27"/>
          <w:rFonts w:hint="eastAsia"/>
          <w:color w:val="auto"/>
          <w:sz w:val="24"/>
          <w:szCs w:val="24"/>
          <w:highlight w:val="none"/>
        </w:rPr>
        <w:t>招标文件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_Toc25152733 \h </w:instrText>
      </w:r>
      <w:r>
        <w:rPr>
          <w:color w:val="auto"/>
          <w:sz w:val="24"/>
          <w:szCs w:val="24"/>
          <w:highlight w:val="none"/>
        </w:rPr>
        <w:fldChar w:fldCharType="separate"/>
      </w:r>
      <w:r>
        <w:rPr>
          <w:color w:val="auto"/>
          <w:sz w:val="24"/>
          <w:szCs w:val="24"/>
          <w:highlight w:val="none"/>
        </w:rPr>
        <w:t>17</w:t>
      </w:r>
      <w:r>
        <w:rPr>
          <w:color w:val="auto"/>
          <w:sz w:val="24"/>
          <w:szCs w:val="24"/>
          <w:highlight w:val="none"/>
        </w:rPr>
        <w:fldChar w:fldCharType="end"/>
      </w:r>
      <w:r>
        <w:rPr>
          <w:color w:val="auto"/>
          <w:sz w:val="24"/>
          <w:szCs w:val="24"/>
          <w:highlight w:val="none"/>
        </w:rPr>
        <w:fldChar w:fldCharType="end"/>
      </w:r>
    </w:p>
    <w:p w14:paraId="27134BBB">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"_Toc25152734" </w:instrText>
      </w:r>
      <w:r>
        <w:rPr>
          <w:color w:val="auto"/>
          <w:highlight w:val="none"/>
        </w:rPr>
        <w:fldChar w:fldCharType="separate"/>
      </w:r>
      <w:r>
        <w:rPr>
          <w:rStyle w:val="27"/>
          <w:color w:val="auto"/>
          <w:sz w:val="24"/>
          <w:szCs w:val="24"/>
          <w:highlight w:val="none"/>
        </w:rPr>
        <w:t xml:space="preserve">3. </w:t>
      </w:r>
      <w:r>
        <w:rPr>
          <w:rStyle w:val="27"/>
          <w:rFonts w:hint="eastAsia"/>
          <w:color w:val="auto"/>
          <w:sz w:val="24"/>
          <w:szCs w:val="24"/>
          <w:highlight w:val="none"/>
        </w:rPr>
        <w:t>投标文件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_Toc25152734 \h </w:instrText>
      </w:r>
      <w:r>
        <w:rPr>
          <w:color w:val="auto"/>
          <w:sz w:val="24"/>
          <w:szCs w:val="24"/>
          <w:highlight w:val="none"/>
        </w:rPr>
        <w:fldChar w:fldCharType="separate"/>
      </w:r>
      <w:r>
        <w:rPr>
          <w:color w:val="auto"/>
          <w:sz w:val="24"/>
          <w:szCs w:val="24"/>
          <w:highlight w:val="none"/>
        </w:rPr>
        <w:t>19</w:t>
      </w:r>
      <w:r>
        <w:rPr>
          <w:color w:val="auto"/>
          <w:sz w:val="24"/>
          <w:szCs w:val="24"/>
          <w:highlight w:val="none"/>
        </w:rPr>
        <w:fldChar w:fldCharType="end"/>
      </w:r>
      <w:r>
        <w:rPr>
          <w:color w:val="auto"/>
          <w:sz w:val="24"/>
          <w:szCs w:val="24"/>
          <w:highlight w:val="none"/>
        </w:rPr>
        <w:fldChar w:fldCharType="end"/>
      </w:r>
    </w:p>
    <w:p w14:paraId="3B392879">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"_Toc25152735" </w:instrText>
      </w:r>
      <w:r>
        <w:rPr>
          <w:color w:val="auto"/>
          <w:highlight w:val="none"/>
        </w:rPr>
        <w:fldChar w:fldCharType="separate"/>
      </w:r>
      <w:r>
        <w:rPr>
          <w:rStyle w:val="27"/>
          <w:color w:val="auto"/>
          <w:sz w:val="24"/>
          <w:szCs w:val="24"/>
          <w:highlight w:val="none"/>
        </w:rPr>
        <w:t xml:space="preserve">4. </w:t>
      </w:r>
      <w:r>
        <w:rPr>
          <w:rStyle w:val="27"/>
          <w:rFonts w:hint="eastAsia"/>
          <w:color w:val="auto"/>
          <w:sz w:val="24"/>
          <w:szCs w:val="24"/>
          <w:highlight w:val="none"/>
        </w:rPr>
        <w:t>投标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_Toc25152735 \h </w:instrText>
      </w:r>
      <w:r>
        <w:rPr>
          <w:color w:val="auto"/>
          <w:sz w:val="24"/>
          <w:szCs w:val="24"/>
          <w:highlight w:val="none"/>
        </w:rPr>
        <w:fldChar w:fldCharType="separate"/>
      </w:r>
      <w:r>
        <w:rPr>
          <w:color w:val="auto"/>
          <w:sz w:val="24"/>
          <w:szCs w:val="24"/>
          <w:highlight w:val="none"/>
        </w:rPr>
        <w:t>23</w:t>
      </w:r>
      <w:r>
        <w:rPr>
          <w:color w:val="auto"/>
          <w:sz w:val="24"/>
          <w:szCs w:val="24"/>
          <w:highlight w:val="none"/>
        </w:rPr>
        <w:fldChar w:fldCharType="end"/>
      </w:r>
      <w:r>
        <w:rPr>
          <w:color w:val="auto"/>
          <w:sz w:val="24"/>
          <w:szCs w:val="24"/>
          <w:highlight w:val="none"/>
        </w:rPr>
        <w:fldChar w:fldCharType="end"/>
      </w:r>
    </w:p>
    <w:p w14:paraId="748496A2">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"_Toc25152736" </w:instrText>
      </w:r>
      <w:r>
        <w:rPr>
          <w:color w:val="auto"/>
          <w:highlight w:val="none"/>
        </w:rPr>
        <w:fldChar w:fldCharType="separate"/>
      </w:r>
      <w:r>
        <w:rPr>
          <w:rStyle w:val="27"/>
          <w:color w:val="auto"/>
          <w:sz w:val="24"/>
          <w:szCs w:val="24"/>
          <w:highlight w:val="none"/>
        </w:rPr>
        <w:t xml:space="preserve">5. </w:t>
      </w:r>
      <w:r>
        <w:rPr>
          <w:rStyle w:val="27"/>
          <w:rFonts w:hint="eastAsia"/>
          <w:color w:val="auto"/>
          <w:sz w:val="24"/>
          <w:szCs w:val="24"/>
          <w:highlight w:val="none"/>
        </w:rPr>
        <w:t>开标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_Toc25152736 \h </w:instrText>
      </w:r>
      <w:r>
        <w:rPr>
          <w:color w:val="auto"/>
          <w:sz w:val="24"/>
          <w:szCs w:val="24"/>
          <w:highlight w:val="none"/>
        </w:rPr>
        <w:fldChar w:fldCharType="separate"/>
      </w:r>
      <w:r>
        <w:rPr>
          <w:color w:val="auto"/>
          <w:sz w:val="24"/>
          <w:szCs w:val="24"/>
          <w:highlight w:val="none"/>
        </w:rPr>
        <w:t>24</w:t>
      </w:r>
      <w:r>
        <w:rPr>
          <w:color w:val="auto"/>
          <w:sz w:val="24"/>
          <w:szCs w:val="24"/>
          <w:highlight w:val="none"/>
        </w:rPr>
        <w:fldChar w:fldCharType="end"/>
      </w:r>
      <w:r>
        <w:rPr>
          <w:color w:val="auto"/>
          <w:sz w:val="24"/>
          <w:szCs w:val="24"/>
          <w:highlight w:val="none"/>
        </w:rPr>
        <w:fldChar w:fldCharType="end"/>
      </w:r>
    </w:p>
    <w:p w14:paraId="0C4D460B">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"_Toc25152737" </w:instrText>
      </w:r>
      <w:r>
        <w:rPr>
          <w:color w:val="auto"/>
          <w:highlight w:val="none"/>
        </w:rPr>
        <w:fldChar w:fldCharType="separate"/>
      </w:r>
      <w:r>
        <w:rPr>
          <w:rStyle w:val="27"/>
          <w:color w:val="auto"/>
          <w:sz w:val="24"/>
          <w:szCs w:val="24"/>
          <w:highlight w:val="none"/>
        </w:rPr>
        <w:t xml:space="preserve">6. </w:t>
      </w:r>
      <w:r>
        <w:rPr>
          <w:rStyle w:val="27"/>
          <w:rFonts w:hint="eastAsia"/>
          <w:color w:val="auto"/>
          <w:sz w:val="24"/>
          <w:szCs w:val="24"/>
          <w:highlight w:val="none"/>
        </w:rPr>
        <w:t>评标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_Toc25152737 \h </w:instrText>
      </w:r>
      <w:r>
        <w:rPr>
          <w:color w:val="auto"/>
          <w:sz w:val="24"/>
          <w:szCs w:val="24"/>
          <w:highlight w:val="none"/>
        </w:rPr>
        <w:fldChar w:fldCharType="separate"/>
      </w:r>
      <w:r>
        <w:rPr>
          <w:color w:val="auto"/>
          <w:sz w:val="24"/>
          <w:szCs w:val="24"/>
          <w:highlight w:val="none"/>
        </w:rPr>
        <w:t>26</w:t>
      </w:r>
      <w:r>
        <w:rPr>
          <w:color w:val="auto"/>
          <w:sz w:val="24"/>
          <w:szCs w:val="24"/>
          <w:highlight w:val="none"/>
        </w:rPr>
        <w:fldChar w:fldCharType="end"/>
      </w:r>
      <w:r>
        <w:rPr>
          <w:color w:val="auto"/>
          <w:sz w:val="24"/>
          <w:szCs w:val="24"/>
          <w:highlight w:val="none"/>
        </w:rPr>
        <w:fldChar w:fldCharType="end"/>
      </w:r>
    </w:p>
    <w:p w14:paraId="3FB44906">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"_Toc25152738" </w:instrText>
      </w:r>
      <w:r>
        <w:rPr>
          <w:color w:val="auto"/>
          <w:highlight w:val="none"/>
        </w:rPr>
        <w:fldChar w:fldCharType="separate"/>
      </w:r>
      <w:r>
        <w:rPr>
          <w:rStyle w:val="27"/>
          <w:color w:val="auto"/>
          <w:sz w:val="24"/>
          <w:szCs w:val="24"/>
          <w:highlight w:val="none"/>
        </w:rPr>
        <w:t xml:space="preserve">7. </w:t>
      </w:r>
      <w:r>
        <w:rPr>
          <w:rStyle w:val="27"/>
          <w:rFonts w:hint="eastAsia"/>
          <w:color w:val="auto"/>
          <w:sz w:val="24"/>
          <w:szCs w:val="24"/>
          <w:highlight w:val="none"/>
        </w:rPr>
        <w:t>合同授予</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_Toc25152738 \h </w:instrText>
      </w:r>
      <w:r>
        <w:rPr>
          <w:color w:val="auto"/>
          <w:sz w:val="24"/>
          <w:szCs w:val="24"/>
          <w:highlight w:val="none"/>
        </w:rPr>
        <w:fldChar w:fldCharType="separate"/>
      </w:r>
      <w:r>
        <w:rPr>
          <w:color w:val="auto"/>
          <w:sz w:val="24"/>
          <w:szCs w:val="24"/>
          <w:highlight w:val="none"/>
        </w:rPr>
        <w:t>26</w:t>
      </w:r>
      <w:r>
        <w:rPr>
          <w:color w:val="auto"/>
          <w:sz w:val="24"/>
          <w:szCs w:val="24"/>
          <w:highlight w:val="none"/>
        </w:rPr>
        <w:fldChar w:fldCharType="end"/>
      </w:r>
      <w:r>
        <w:rPr>
          <w:color w:val="auto"/>
          <w:sz w:val="24"/>
          <w:szCs w:val="24"/>
          <w:highlight w:val="none"/>
        </w:rPr>
        <w:fldChar w:fldCharType="end"/>
      </w:r>
    </w:p>
    <w:p w14:paraId="4EE0B53F">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"_Toc25152739" </w:instrText>
      </w:r>
      <w:r>
        <w:rPr>
          <w:color w:val="auto"/>
          <w:highlight w:val="none"/>
        </w:rPr>
        <w:fldChar w:fldCharType="separate"/>
      </w:r>
      <w:r>
        <w:rPr>
          <w:rStyle w:val="27"/>
          <w:color w:val="auto"/>
          <w:sz w:val="24"/>
          <w:szCs w:val="24"/>
          <w:highlight w:val="none"/>
        </w:rPr>
        <w:t>8.</w:t>
      </w:r>
      <w:r>
        <w:rPr>
          <w:rStyle w:val="27"/>
          <w:color w:val="auto"/>
          <w:sz w:val="24"/>
          <w:szCs w:val="24"/>
          <w:highlight w:val="none"/>
          <w:lang w:eastAsia="zh-CN"/>
        </w:rPr>
        <w:t xml:space="preserve"> </w:t>
      </w:r>
      <w:r>
        <w:rPr>
          <w:rStyle w:val="27"/>
          <w:rFonts w:hint="eastAsia"/>
          <w:color w:val="auto"/>
          <w:sz w:val="24"/>
          <w:szCs w:val="24"/>
          <w:highlight w:val="none"/>
        </w:rPr>
        <w:t>纪律和监督</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_Toc25152739 \h </w:instrText>
      </w:r>
      <w:r>
        <w:rPr>
          <w:color w:val="auto"/>
          <w:sz w:val="24"/>
          <w:szCs w:val="24"/>
          <w:highlight w:val="none"/>
        </w:rPr>
        <w:fldChar w:fldCharType="separate"/>
      </w:r>
      <w:r>
        <w:rPr>
          <w:color w:val="auto"/>
          <w:sz w:val="24"/>
          <w:szCs w:val="24"/>
          <w:highlight w:val="none"/>
        </w:rPr>
        <w:t>28</w:t>
      </w:r>
      <w:r>
        <w:rPr>
          <w:color w:val="auto"/>
          <w:sz w:val="24"/>
          <w:szCs w:val="24"/>
          <w:highlight w:val="none"/>
        </w:rPr>
        <w:fldChar w:fldCharType="end"/>
      </w:r>
      <w:r>
        <w:rPr>
          <w:color w:val="auto"/>
          <w:sz w:val="24"/>
          <w:szCs w:val="24"/>
          <w:highlight w:val="none"/>
        </w:rPr>
        <w:fldChar w:fldCharType="end"/>
      </w:r>
    </w:p>
    <w:p w14:paraId="0860FE8E">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"_Toc25152740" </w:instrText>
      </w:r>
      <w:r>
        <w:rPr>
          <w:color w:val="auto"/>
          <w:highlight w:val="none"/>
        </w:rPr>
        <w:fldChar w:fldCharType="separate"/>
      </w:r>
      <w:r>
        <w:rPr>
          <w:rStyle w:val="27"/>
          <w:color w:val="auto"/>
          <w:sz w:val="24"/>
          <w:szCs w:val="24"/>
          <w:highlight w:val="none"/>
          <w:lang w:eastAsia="zh-CN"/>
        </w:rPr>
        <w:t xml:space="preserve">9. </w:t>
      </w:r>
      <w:r>
        <w:rPr>
          <w:rStyle w:val="27"/>
          <w:rFonts w:hint="eastAsia"/>
          <w:color w:val="auto"/>
          <w:sz w:val="24"/>
          <w:szCs w:val="24"/>
          <w:highlight w:val="none"/>
          <w:lang w:eastAsia="zh-CN"/>
        </w:rPr>
        <w:t>是否采用电子招标投标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_Toc25152740 \h </w:instrText>
      </w:r>
      <w:r>
        <w:rPr>
          <w:color w:val="auto"/>
          <w:sz w:val="24"/>
          <w:szCs w:val="24"/>
          <w:highlight w:val="none"/>
        </w:rPr>
        <w:fldChar w:fldCharType="separate"/>
      </w:r>
      <w:r>
        <w:rPr>
          <w:color w:val="auto"/>
          <w:sz w:val="24"/>
          <w:szCs w:val="24"/>
          <w:highlight w:val="none"/>
        </w:rPr>
        <w:t>29</w:t>
      </w:r>
      <w:r>
        <w:rPr>
          <w:color w:val="auto"/>
          <w:sz w:val="24"/>
          <w:szCs w:val="24"/>
          <w:highlight w:val="none"/>
        </w:rPr>
        <w:fldChar w:fldCharType="end"/>
      </w:r>
      <w:r>
        <w:rPr>
          <w:color w:val="auto"/>
          <w:sz w:val="24"/>
          <w:szCs w:val="24"/>
          <w:highlight w:val="none"/>
        </w:rPr>
        <w:fldChar w:fldCharType="end"/>
      </w:r>
    </w:p>
    <w:p w14:paraId="1DD59B65">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"_Toc25152741" </w:instrText>
      </w:r>
      <w:r>
        <w:rPr>
          <w:color w:val="auto"/>
          <w:highlight w:val="none"/>
        </w:rPr>
        <w:fldChar w:fldCharType="separate"/>
      </w:r>
      <w:r>
        <w:rPr>
          <w:rStyle w:val="27"/>
          <w:color w:val="auto"/>
          <w:sz w:val="24"/>
          <w:szCs w:val="24"/>
          <w:highlight w:val="none"/>
        </w:rPr>
        <w:t xml:space="preserve">10. </w:t>
      </w:r>
      <w:r>
        <w:rPr>
          <w:rStyle w:val="27"/>
          <w:rFonts w:hint="eastAsia"/>
          <w:color w:val="auto"/>
          <w:sz w:val="24"/>
          <w:szCs w:val="24"/>
          <w:highlight w:val="none"/>
        </w:rPr>
        <w:t>需要补充的其他内容</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_Toc25152741 \h </w:instrText>
      </w:r>
      <w:r>
        <w:rPr>
          <w:color w:val="auto"/>
          <w:sz w:val="24"/>
          <w:szCs w:val="24"/>
          <w:highlight w:val="none"/>
        </w:rPr>
        <w:fldChar w:fldCharType="separate"/>
      </w:r>
      <w:r>
        <w:rPr>
          <w:color w:val="auto"/>
          <w:sz w:val="24"/>
          <w:szCs w:val="24"/>
          <w:highlight w:val="none"/>
        </w:rPr>
        <w:t>29</w:t>
      </w:r>
      <w:r>
        <w:rPr>
          <w:color w:val="auto"/>
          <w:sz w:val="24"/>
          <w:szCs w:val="24"/>
          <w:highlight w:val="none"/>
        </w:rPr>
        <w:fldChar w:fldCharType="end"/>
      </w:r>
      <w:r>
        <w:rPr>
          <w:color w:val="auto"/>
          <w:sz w:val="24"/>
          <w:szCs w:val="24"/>
          <w:highlight w:val="none"/>
        </w:rPr>
        <w:fldChar w:fldCharType="end"/>
      </w:r>
    </w:p>
    <w:p w14:paraId="6DF506A4">
      <w:pPr>
        <w:pStyle w:val="16"/>
        <w:tabs>
          <w:tab w:val="right" w:leader="dot" w:pos="9350"/>
        </w:tabs>
        <w:spacing w:line="360" w:lineRule="auto"/>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"_Toc25152742" </w:instrText>
      </w:r>
      <w:r>
        <w:rPr>
          <w:color w:val="auto"/>
          <w:highlight w:val="none"/>
        </w:rPr>
        <w:fldChar w:fldCharType="separate"/>
      </w:r>
      <w:r>
        <w:rPr>
          <w:rStyle w:val="27"/>
          <w:rFonts w:hint="eastAsia"/>
          <w:color w:val="auto"/>
          <w:spacing w:val="2"/>
          <w:sz w:val="24"/>
          <w:szCs w:val="24"/>
          <w:highlight w:val="none"/>
          <w:lang w:eastAsia="zh-CN"/>
        </w:rPr>
        <w:t>第三章评标办法（综合评估法）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_Toc25152742 \h </w:instrText>
      </w:r>
      <w:r>
        <w:rPr>
          <w:color w:val="auto"/>
          <w:sz w:val="24"/>
          <w:szCs w:val="24"/>
          <w:highlight w:val="none"/>
        </w:rPr>
        <w:fldChar w:fldCharType="separate"/>
      </w:r>
      <w:r>
        <w:rPr>
          <w:color w:val="auto"/>
          <w:sz w:val="24"/>
          <w:szCs w:val="24"/>
          <w:highlight w:val="none"/>
        </w:rPr>
        <w:t>35</w:t>
      </w:r>
      <w:r>
        <w:rPr>
          <w:color w:val="auto"/>
          <w:sz w:val="24"/>
          <w:szCs w:val="24"/>
          <w:highlight w:val="none"/>
        </w:rPr>
        <w:fldChar w:fldCharType="end"/>
      </w:r>
      <w:r>
        <w:rPr>
          <w:color w:val="auto"/>
          <w:sz w:val="24"/>
          <w:szCs w:val="24"/>
          <w:highlight w:val="none"/>
        </w:rPr>
        <w:fldChar w:fldCharType="end"/>
      </w:r>
    </w:p>
    <w:p w14:paraId="0B17A33E">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"_Toc25152743" </w:instrText>
      </w:r>
      <w:r>
        <w:rPr>
          <w:color w:val="auto"/>
          <w:highlight w:val="none"/>
        </w:rPr>
        <w:fldChar w:fldCharType="separate"/>
      </w:r>
      <w:r>
        <w:rPr>
          <w:rStyle w:val="27"/>
          <w:rFonts w:hint="eastAsia"/>
          <w:color w:val="auto"/>
          <w:sz w:val="24"/>
          <w:szCs w:val="24"/>
          <w:highlight w:val="none"/>
        </w:rPr>
        <w:t>评标办法前附表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_Toc25152743 \h </w:instrText>
      </w:r>
      <w:r>
        <w:rPr>
          <w:color w:val="auto"/>
          <w:sz w:val="24"/>
          <w:szCs w:val="24"/>
          <w:highlight w:val="none"/>
        </w:rPr>
        <w:fldChar w:fldCharType="separate"/>
      </w:r>
      <w:r>
        <w:rPr>
          <w:color w:val="auto"/>
          <w:sz w:val="24"/>
          <w:szCs w:val="24"/>
          <w:highlight w:val="none"/>
        </w:rPr>
        <w:t>35</w:t>
      </w:r>
      <w:r>
        <w:rPr>
          <w:color w:val="auto"/>
          <w:sz w:val="24"/>
          <w:szCs w:val="24"/>
          <w:highlight w:val="none"/>
        </w:rPr>
        <w:fldChar w:fldCharType="end"/>
      </w:r>
      <w:r>
        <w:rPr>
          <w:color w:val="auto"/>
          <w:sz w:val="24"/>
          <w:szCs w:val="24"/>
          <w:highlight w:val="none"/>
        </w:rPr>
        <w:fldChar w:fldCharType="end"/>
      </w:r>
    </w:p>
    <w:p w14:paraId="69780AE0">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"_Toc25152744" </w:instrText>
      </w:r>
      <w:r>
        <w:rPr>
          <w:color w:val="auto"/>
          <w:highlight w:val="none"/>
        </w:rPr>
        <w:fldChar w:fldCharType="separate"/>
      </w:r>
      <w:r>
        <w:rPr>
          <w:rStyle w:val="27"/>
          <w:color w:val="auto"/>
          <w:sz w:val="24"/>
          <w:szCs w:val="24"/>
          <w:highlight w:val="none"/>
        </w:rPr>
        <w:t xml:space="preserve">1. </w:t>
      </w:r>
      <w:r>
        <w:rPr>
          <w:rStyle w:val="27"/>
          <w:rFonts w:hint="eastAsia"/>
          <w:color w:val="auto"/>
          <w:sz w:val="24"/>
          <w:szCs w:val="24"/>
          <w:highlight w:val="none"/>
        </w:rPr>
        <w:t>评标方法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_Toc25152744 \h </w:instrText>
      </w:r>
      <w:r>
        <w:rPr>
          <w:color w:val="auto"/>
          <w:sz w:val="24"/>
          <w:szCs w:val="24"/>
          <w:highlight w:val="none"/>
        </w:rPr>
        <w:fldChar w:fldCharType="separate"/>
      </w:r>
      <w:r>
        <w:rPr>
          <w:color w:val="auto"/>
          <w:sz w:val="24"/>
          <w:szCs w:val="24"/>
          <w:highlight w:val="none"/>
        </w:rPr>
        <w:t>35</w:t>
      </w:r>
      <w:r>
        <w:rPr>
          <w:color w:val="auto"/>
          <w:sz w:val="24"/>
          <w:szCs w:val="24"/>
          <w:highlight w:val="none"/>
        </w:rPr>
        <w:fldChar w:fldCharType="end"/>
      </w:r>
      <w:r>
        <w:rPr>
          <w:color w:val="auto"/>
          <w:sz w:val="24"/>
          <w:szCs w:val="24"/>
          <w:highlight w:val="none"/>
        </w:rPr>
        <w:fldChar w:fldCharType="end"/>
      </w:r>
    </w:p>
    <w:p w14:paraId="1F525CB0">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"_Toc25152745" </w:instrText>
      </w:r>
      <w:r>
        <w:rPr>
          <w:color w:val="auto"/>
          <w:highlight w:val="none"/>
        </w:rPr>
        <w:fldChar w:fldCharType="separate"/>
      </w:r>
      <w:r>
        <w:rPr>
          <w:rStyle w:val="27"/>
          <w:color w:val="auto"/>
          <w:sz w:val="24"/>
          <w:szCs w:val="24"/>
          <w:highlight w:val="none"/>
        </w:rPr>
        <w:t xml:space="preserve">2. </w:t>
      </w:r>
      <w:r>
        <w:rPr>
          <w:rStyle w:val="27"/>
          <w:rFonts w:hint="eastAsia"/>
          <w:color w:val="auto"/>
          <w:sz w:val="24"/>
          <w:szCs w:val="24"/>
          <w:highlight w:val="none"/>
        </w:rPr>
        <w:t>评审标准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_Toc25152745 \h </w:instrText>
      </w:r>
      <w:r>
        <w:rPr>
          <w:color w:val="auto"/>
          <w:sz w:val="24"/>
          <w:szCs w:val="24"/>
          <w:highlight w:val="none"/>
        </w:rPr>
        <w:fldChar w:fldCharType="separate"/>
      </w:r>
      <w:r>
        <w:rPr>
          <w:color w:val="auto"/>
          <w:sz w:val="24"/>
          <w:szCs w:val="24"/>
          <w:highlight w:val="none"/>
        </w:rPr>
        <w:t>41</w:t>
      </w:r>
      <w:r>
        <w:rPr>
          <w:color w:val="auto"/>
          <w:sz w:val="24"/>
          <w:szCs w:val="24"/>
          <w:highlight w:val="none"/>
        </w:rPr>
        <w:fldChar w:fldCharType="end"/>
      </w:r>
      <w:r>
        <w:rPr>
          <w:color w:val="auto"/>
          <w:sz w:val="24"/>
          <w:szCs w:val="24"/>
          <w:highlight w:val="none"/>
        </w:rPr>
        <w:fldChar w:fldCharType="end"/>
      </w:r>
    </w:p>
    <w:p w14:paraId="707144F7">
      <w:pPr>
        <w:pStyle w:val="11"/>
        <w:tabs>
          <w:tab w:val="right" w:leader="dot" w:pos="9350"/>
        </w:tabs>
        <w:spacing w:line="360" w:lineRule="auto"/>
        <w:ind w:left="0"/>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"_Toc25152746" </w:instrText>
      </w:r>
      <w:r>
        <w:rPr>
          <w:color w:val="auto"/>
          <w:highlight w:val="none"/>
        </w:rPr>
        <w:fldChar w:fldCharType="separate"/>
      </w:r>
      <w:r>
        <w:rPr>
          <w:rStyle w:val="27"/>
          <w:color w:val="auto"/>
          <w:sz w:val="24"/>
          <w:szCs w:val="24"/>
          <w:highlight w:val="none"/>
        </w:rPr>
        <w:t xml:space="preserve">3. </w:t>
      </w:r>
      <w:r>
        <w:rPr>
          <w:rStyle w:val="27"/>
          <w:rFonts w:hint="eastAsia"/>
          <w:color w:val="auto"/>
          <w:sz w:val="24"/>
          <w:szCs w:val="24"/>
          <w:highlight w:val="none"/>
        </w:rPr>
        <w:t>评标程序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_Toc25152746 \h </w:instrText>
      </w:r>
      <w:r>
        <w:rPr>
          <w:color w:val="auto"/>
          <w:sz w:val="24"/>
          <w:szCs w:val="24"/>
          <w:highlight w:val="none"/>
        </w:rPr>
        <w:fldChar w:fldCharType="separate"/>
      </w:r>
      <w:r>
        <w:rPr>
          <w:color w:val="auto"/>
          <w:sz w:val="24"/>
          <w:szCs w:val="24"/>
          <w:highlight w:val="none"/>
        </w:rPr>
        <w:t>41</w:t>
      </w:r>
      <w:r>
        <w:rPr>
          <w:color w:val="auto"/>
          <w:sz w:val="24"/>
          <w:szCs w:val="24"/>
          <w:highlight w:val="none"/>
        </w:rPr>
        <w:fldChar w:fldCharType="end"/>
      </w:r>
      <w:r>
        <w:rPr>
          <w:color w:val="auto"/>
          <w:sz w:val="24"/>
          <w:szCs w:val="24"/>
          <w:highlight w:val="none"/>
        </w:rPr>
        <w:fldChar w:fldCharType="end"/>
      </w:r>
    </w:p>
    <w:p w14:paraId="1EB7BFFF">
      <w:pPr>
        <w:pStyle w:val="16"/>
        <w:tabs>
          <w:tab w:val="right" w:leader="dot" w:pos="9350"/>
        </w:tabs>
        <w:spacing w:line="360" w:lineRule="auto"/>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"_Toc25152747" </w:instrText>
      </w:r>
      <w:r>
        <w:rPr>
          <w:color w:val="auto"/>
          <w:highlight w:val="none"/>
        </w:rPr>
        <w:fldChar w:fldCharType="separate"/>
      </w:r>
      <w:r>
        <w:rPr>
          <w:rStyle w:val="27"/>
          <w:rFonts w:hint="eastAsia"/>
          <w:color w:val="auto"/>
          <w:sz w:val="24"/>
          <w:szCs w:val="24"/>
          <w:highlight w:val="none"/>
          <w:lang w:eastAsia="zh-CN"/>
        </w:rPr>
        <w:t>第四章</w:t>
      </w:r>
      <w:r>
        <w:rPr>
          <w:rStyle w:val="27"/>
          <w:color w:val="auto"/>
          <w:sz w:val="24"/>
          <w:szCs w:val="24"/>
          <w:highlight w:val="none"/>
          <w:lang w:eastAsia="zh-CN"/>
        </w:rPr>
        <w:t xml:space="preserve">  </w:t>
      </w:r>
      <w:r>
        <w:rPr>
          <w:rStyle w:val="27"/>
          <w:rFonts w:hint="eastAsia"/>
          <w:color w:val="auto"/>
          <w:sz w:val="24"/>
          <w:szCs w:val="24"/>
          <w:highlight w:val="none"/>
          <w:lang w:eastAsia="zh-CN"/>
        </w:rPr>
        <w:t>合同条款及格式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_Toc25152747 \h </w:instrText>
      </w:r>
      <w:r>
        <w:rPr>
          <w:color w:val="auto"/>
          <w:sz w:val="24"/>
          <w:szCs w:val="24"/>
          <w:highlight w:val="none"/>
        </w:rPr>
        <w:fldChar w:fldCharType="separate"/>
      </w:r>
      <w:r>
        <w:rPr>
          <w:color w:val="auto"/>
          <w:sz w:val="24"/>
          <w:szCs w:val="24"/>
          <w:highlight w:val="none"/>
        </w:rPr>
        <w:t>44</w:t>
      </w:r>
      <w:r>
        <w:rPr>
          <w:color w:val="auto"/>
          <w:sz w:val="24"/>
          <w:szCs w:val="24"/>
          <w:highlight w:val="none"/>
        </w:rPr>
        <w:fldChar w:fldCharType="end"/>
      </w:r>
      <w:r>
        <w:rPr>
          <w:color w:val="auto"/>
          <w:sz w:val="24"/>
          <w:szCs w:val="24"/>
          <w:highlight w:val="none"/>
        </w:rPr>
        <w:fldChar w:fldCharType="end"/>
      </w:r>
    </w:p>
    <w:p w14:paraId="15DFA2BF">
      <w:pPr>
        <w:pStyle w:val="16"/>
        <w:tabs>
          <w:tab w:val="right" w:leader="dot" w:pos="9350"/>
        </w:tabs>
        <w:spacing w:line="360" w:lineRule="auto"/>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"_Toc25152748" </w:instrText>
      </w:r>
      <w:r>
        <w:rPr>
          <w:color w:val="auto"/>
          <w:highlight w:val="none"/>
        </w:rPr>
        <w:fldChar w:fldCharType="separate"/>
      </w:r>
      <w:r>
        <w:rPr>
          <w:rStyle w:val="27"/>
          <w:rFonts w:hint="eastAsia"/>
          <w:color w:val="auto"/>
          <w:sz w:val="24"/>
          <w:szCs w:val="24"/>
          <w:highlight w:val="none"/>
          <w:lang w:eastAsia="zh-CN"/>
        </w:rPr>
        <w:t>第二</w:t>
      </w:r>
      <w:bookmarkStart w:id="0" w:name="_Hlt60074167"/>
      <w:r>
        <w:rPr>
          <w:rStyle w:val="27"/>
          <w:rFonts w:hint="eastAsia"/>
          <w:color w:val="auto"/>
          <w:sz w:val="24"/>
          <w:szCs w:val="24"/>
          <w:highlight w:val="none"/>
          <w:lang w:eastAsia="zh-CN"/>
        </w:rPr>
        <w:t>卷</w:t>
      </w:r>
      <w:bookmarkEnd w:id="0"/>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_Toc25152748 \h </w:instrText>
      </w:r>
      <w:r>
        <w:rPr>
          <w:color w:val="auto"/>
          <w:sz w:val="24"/>
          <w:szCs w:val="24"/>
          <w:highlight w:val="none"/>
        </w:rPr>
        <w:fldChar w:fldCharType="separate"/>
      </w:r>
      <w:r>
        <w:rPr>
          <w:color w:val="auto"/>
          <w:sz w:val="24"/>
          <w:szCs w:val="24"/>
          <w:highlight w:val="none"/>
        </w:rPr>
        <w:t>45</w:t>
      </w:r>
      <w:r>
        <w:rPr>
          <w:color w:val="auto"/>
          <w:sz w:val="24"/>
          <w:szCs w:val="24"/>
          <w:highlight w:val="none"/>
        </w:rPr>
        <w:fldChar w:fldCharType="end"/>
      </w:r>
      <w:r>
        <w:rPr>
          <w:color w:val="auto"/>
          <w:sz w:val="24"/>
          <w:szCs w:val="24"/>
          <w:highlight w:val="none"/>
        </w:rPr>
        <w:fldChar w:fldCharType="end"/>
      </w:r>
    </w:p>
    <w:p w14:paraId="74DAF1C0">
      <w:pPr>
        <w:pStyle w:val="16"/>
        <w:tabs>
          <w:tab w:val="right" w:leader="dot" w:pos="9350"/>
        </w:tabs>
        <w:spacing w:line="360" w:lineRule="auto"/>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"_Toc25152749" </w:instrText>
      </w:r>
      <w:r>
        <w:rPr>
          <w:color w:val="auto"/>
          <w:highlight w:val="none"/>
        </w:rPr>
        <w:fldChar w:fldCharType="separate"/>
      </w:r>
      <w:r>
        <w:rPr>
          <w:rStyle w:val="27"/>
          <w:rFonts w:hint="eastAsia"/>
          <w:color w:val="auto"/>
          <w:sz w:val="24"/>
          <w:szCs w:val="24"/>
          <w:highlight w:val="none"/>
          <w:lang w:eastAsia="zh-CN"/>
        </w:rPr>
        <w:t>第五章</w:t>
      </w:r>
      <w:r>
        <w:rPr>
          <w:rStyle w:val="27"/>
          <w:color w:val="auto"/>
          <w:sz w:val="24"/>
          <w:szCs w:val="24"/>
          <w:highlight w:val="none"/>
          <w:lang w:eastAsia="zh-CN"/>
        </w:rPr>
        <w:t xml:space="preserve">  </w:t>
      </w:r>
      <w:r>
        <w:rPr>
          <w:rStyle w:val="27"/>
          <w:rFonts w:hint="eastAsia"/>
          <w:color w:val="auto"/>
          <w:sz w:val="24"/>
          <w:szCs w:val="24"/>
          <w:highlight w:val="none"/>
          <w:lang w:val="en-US" w:eastAsia="zh-CN"/>
        </w:rPr>
        <w:t>招标</w:t>
      </w:r>
      <w:r>
        <w:rPr>
          <w:rStyle w:val="27"/>
          <w:rFonts w:hint="eastAsia"/>
          <w:color w:val="auto"/>
          <w:sz w:val="24"/>
          <w:szCs w:val="24"/>
          <w:highlight w:val="none"/>
          <w:lang w:eastAsia="zh-CN"/>
        </w:rPr>
        <w:t>人要求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_Toc25152749 \h </w:instrText>
      </w:r>
      <w:r>
        <w:rPr>
          <w:color w:val="auto"/>
          <w:sz w:val="24"/>
          <w:szCs w:val="24"/>
          <w:highlight w:val="none"/>
        </w:rPr>
        <w:fldChar w:fldCharType="separate"/>
      </w:r>
      <w:r>
        <w:rPr>
          <w:color w:val="auto"/>
          <w:sz w:val="24"/>
          <w:szCs w:val="24"/>
          <w:highlight w:val="none"/>
        </w:rPr>
        <w:t>46</w:t>
      </w:r>
      <w:r>
        <w:rPr>
          <w:color w:val="auto"/>
          <w:sz w:val="24"/>
          <w:szCs w:val="24"/>
          <w:highlight w:val="none"/>
        </w:rPr>
        <w:fldChar w:fldCharType="end"/>
      </w:r>
      <w:r>
        <w:rPr>
          <w:color w:val="auto"/>
          <w:sz w:val="24"/>
          <w:szCs w:val="24"/>
          <w:highlight w:val="none"/>
        </w:rPr>
        <w:fldChar w:fldCharType="end"/>
      </w:r>
    </w:p>
    <w:p w14:paraId="21A419B6">
      <w:pPr>
        <w:pStyle w:val="16"/>
        <w:tabs>
          <w:tab w:val="right" w:leader="dot" w:pos="9350"/>
        </w:tabs>
        <w:spacing w:line="360" w:lineRule="auto"/>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"_Toc25152751" </w:instrText>
      </w:r>
      <w:r>
        <w:rPr>
          <w:color w:val="auto"/>
          <w:highlight w:val="none"/>
        </w:rPr>
        <w:fldChar w:fldCharType="separate"/>
      </w:r>
      <w:r>
        <w:rPr>
          <w:rStyle w:val="27"/>
          <w:rFonts w:hint="eastAsia"/>
          <w:color w:val="auto"/>
          <w:sz w:val="24"/>
          <w:szCs w:val="24"/>
          <w:highlight w:val="none"/>
          <w:lang w:eastAsia="zh-CN"/>
        </w:rPr>
        <w:t>第三卷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_Toc25152751 \h </w:instrText>
      </w:r>
      <w:r>
        <w:rPr>
          <w:color w:val="auto"/>
          <w:sz w:val="24"/>
          <w:szCs w:val="24"/>
          <w:highlight w:val="none"/>
        </w:rPr>
        <w:fldChar w:fldCharType="separate"/>
      </w:r>
      <w:r>
        <w:rPr>
          <w:color w:val="auto"/>
          <w:sz w:val="24"/>
          <w:szCs w:val="24"/>
          <w:highlight w:val="none"/>
        </w:rPr>
        <w:t>48</w:t>
      </w:r>
      <w:r>
        <w:rPr>
          <w:color w:val="auto"/>
          <w:sz w:val="24"/>
          <w:szCs w:val="24"/>
          <w:highlight w:val="none"/>
        </w:rPr>
        <w:fldChar w:fldCharType="end"/>
      </w:r>
      <w:r>
        <w:rPr>
          <w:color w:val="auto"/>
          <w:sz w:val="24"/>
          <w:szCs w:val="24"/>
          <w:highlight w:val="none"/>
        </w:rPr>
        <w:fldChar w:fldCharType="end"/>
      </w:r>
    </w:p>
    <w:p w14:paraId="3877E6FE">
      <w:pPr>
        <w:pStyle w:val="16"/>
        <w:tabs>
          <w:tab w:val="right" w:leader="dot" w:pos="9350"/>
        </w:tabs>
        <w:spacing w:line="360" w:lineRule="auto"/>
        <w:rPr>
          <w:color w:val="auto"/>
          <w:kern w:val="2"/>
          <w:sz w:val="24"/>
          <w:szCs w:val="24"/>
          <w:highlight w:val="none"/>
          <w:lang w:eastAsia="zh-CN"/>
        </w:rPr>
      </w:pPr>
      <w:r>
        <w:rPr>
          <w:color w:val="auto"/>
          <w:highlight w:val="none"/>
        </w:rPr>
        <w:fldChar w:fldCharType="begin"/>
      </w:r>
      <w:r>
        <w:rPr>
          <w:color w:val="auto"/>
          <w:highlight w:val="none"/>
        </w:rPr>
        <w:instrText xml:space="preserve"> HYPERLINK \l "_Toc25152752" </w:instrText>
      </w:r>
      <w:r>
        <w:rPr>
          <w:color w:val="auto"/>
          <w:highlight w:val="none"/>
        </w:rPr>
        <w:fldChar w:fldCharType="separate"/>
      </w:r>
      <w:r>
        <w:rPr>
          <w:rStyle w:val="27"/>
          <w:rFonts w:hint="eastAsia"/>
          <w:color w:val="auto"/>
          <w:sz w:val="24"/>
          <w:szCs w:val="24"/>
          <w:highlight w:val="none"/>
          <w:lang w:eastAsia="zh-CN"/>
        </w:rPr>
        <w:t>第六章</w:t>
      </w:r>
      <w:r>
        <w:rPr>
          <w:rStyle w:val="27"/>
          <w:color w:val="auto"/>
          <w:sz w:val="24"/>
          <w:szCs w:val="24"/>
          <w:highlight w:val="none"/>
          <w:lang w:eastAsia="zh-CN"/>
        </w:rPr>
        <w:t xml:space="preserve">  </w:t>
      </w:r>
      <w:r>
        <w:rPr>
          <w:rStyle w:val="27"/>
          <w:rFonts w:hint="eastAsia"/>
          <w:color w:val="auto"/>
          <w:sz w:val="24"/>
          <w:szCs w:val="24"/>
          <w:highlight w:val="none"/>
          <w:lang w:eastAsia="zh-CN"/>
        </w:rPr>
        <w:t>投标文件格式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_Toc25152752 \h </w:instrText>
      </w:r>
      <w:r>
        <w:rPr>
          <w:color w:val="auto"/>
          <w:sz w:val="24"/>
          <w:szCs w:val="24"/>
          <w:highlight w:val="none"/>
        </w:rPr>
        <w:fldChar w:fldCharType="separate"/>
      </w:r>
      <w:r>
        <w:rPr>
          <w:color w:val="auto"/>
          <w:sz w:val="24"/>
          <w:szCs w:val="24"/>
          <w:highlight w:val="none"/>
        </w:rPr>
        <w:t>49</w:t>
      </w:r>
      <w:r>
        <w:rPr>
          <w:color w:val="auto"/>
          <w:sz w:val="24"/>
          <w:szCs w:val="24"/>
          <w:highlight w:val="none"/>
        </w:rPr>
        <w:fldChar w:fldCharType="end"/>
      </w:r>
      <w:r>
        <w:rPr>
          <w:color w:val="auto"/>
          <w:sz w:val="24"/>
          <w:szCs w:val="24"/>
          <w:highlight w:val="none"/>
        </w:rPr>
        <w:fldChar w:fldCharType="end"/>
      </w:r>
    </w:p>
    <w:p w14:paraId="6090C673">
      <w:pPr>
        <w:tabs>
          <w:tab w:val="left" w:pos="561"/>
        </w:tabs>
        <w:spacing w:line="360" w:lineRule="auto"/>
        <w:jc w:val="center"/>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fldChar w:fldCharType="end"/>
      </w:r>
    </w:p>
    <w:p w14:paraId="26E1953B">
      <w:pPr>
        <w:rPr>
          <w:rFonts w:ascii="宋体" w:hAnsi="宋体" w:eastAsia="宋体" w:cs="宋体"/>
          <w:color w:val="auto"/>
          <w:sz w:val="20"/>
          <w:szCs w:val="20"/>
          <w:highlight w:val="none"/>
          <w:lang w:eastAsia="zh-CN"/>
        </w:rPr>
      </w:pPr>
      <w:r>
        <w:rPr>
          <w:rFonts w:ascii="宋体" w:hAnsi="宋体" w:eastAsia="宋体" w:cs="宋体"/>
          <w:color w:val="auto"/>
          <w:sz w:val="24"/>
          <w:szCs w:val="24"/>
          <w:highlight w:val="none"/>
          <w:lang w:eastAsia="zh-CN"/>
        </w:rPr>
        <w:br w:type="page"/>
      </w:r>
      <w:bookmarkStart w:id="1" w:name="_Toc25137978"/>
      <w:bookmarkStart w:id="2" w:name="_Toc25152728"/>
    </w:p>
    <w:p w14:paraId="2AC0F070">
      <w:pPr>
        <w:rPr>
          <w:rFonts w:ascii="宋体" w:hAnsi="宋体" w:eastAsia="宋体" w:cs="宋体"/>
          <w:color w:val="auto"/>
          <w:sz w:val="20"/>
          <w:szCs w:val="20"/>
          <w:highlight w:val="none"/>
          <w:lang w:eastAsia="zh-CN"/>
        </w:rPr>
      </w:pPr>
    </w:p>
    <w:p w14:paraId="44D173EE">
      <w:pPr>
        <w:rPr>
          <w:rFonts w:ascii="宋体" w:hAnsi="宋体" w:eastAsia="宋体" w:cs="宋体"/>
          <w:color w:val="auto"/>
          <w:sz w:val="20"/>
          <w:szCs w:val="20"/>
          <w:highlight w:val="none"/>
          <w:lang w:eastAsia="zh-CN"/>
        </w:rPr>
      </w:pPr>
    </w:p>
    <w:p w14:paraId="4826A79B">
      <w:pPr>
        <w:rPr>
          <w:rFonts w:ascii="宋体" w:hAnsi="宋体" w:eastAsia="宋体" w:cs="宋体"/>
          <w:color w:val="auto"/>
          <w:sz w:val="20"/>
          <w:szCs w:val="20"/>
          <w:highlight w:val="none"/>
          <w:lang w:eastAsia="zh-CN"/>
        </w:rPr>
      </w:pPr>
    </w:p>
    <w:p w14:paraId="24BB1672">
      <w:pPr>
        <w:rPr>
          <w:rFonts w:ascii="宋体" w:hAnsi="宋体" w:eastAsia="宋体" w:cs="宋体"/>
          <w:color w:val="auto"/>
          <w:sz w:val="20"/>
          <w:szCs w:val="20"/>
          <w:highlight w:val="none"/>
          <w:lang w:eastAsia="zh-CN"/>
        </w:rPr>
      </w:pPr>
    </w:p>
    <w:p w14:paraId="41B414FD">
      <w:pPr>
        <w:pStyle w:val="2"/>
        <w:spacing w:line="738" w:lineRule="exact"/>
        <w:ind w:right="3"/>
        <w:jc w:val="center"/>
        <w:rPr>
          <w:rFonts w:ascii="宋体" w:hAnsi="宋体" w:eastAsia="宋体"/>
          <w:color w:val="auto"/>
          <w:highlight w:val="none"/>
          <w:lang w:eastAsia="zh-CN"/>
        </w:rPr>
      </w:pPr>
      <w:r>
        <w:rPr>
          <w:rFonts w:ascii="宋体" w:hAnsi="宋体" w:eastAsia="宋体"/>
          <w:color w:val="auto"/>
          <w:highlight w:val="none"/>
          <w:lang w:eastAsia="zh-CN"/>
        </w:rPr>
        <w:t>第一卷</w:t>
      </w:r>
      <w:bookmarkEnd w:id="1"/>
      <w:bookmarkEnd w:id="2"/>
    </w:p>
    <w:p w14:paraId="0C724E16">
      <w:pPr>
        <w:tabs>
          <w:tab w:val="left" w:pos="561"/>
        </w:tabs>
        <w:spacing w:line="360" w:lineRule="auto"/>
        <w:jc w:val="center"/>
        <w:rPr>
          <w:rFonts w:ascii="宋体" w:hAnsi="宋体" w:eastAsia="宋体"/>
          <w:color w:val="auto"/>
          <w:highlight w:val="none"/>
          <w:lang w:eastAsia="zh-CN"/>
        </w:rPr>
      </w:pPr>
      <w:r>
        <w:rPr>
          <w:rFonts w:ascii="宋体" w:hAnsi="宋体" w:eastAsia="宋体"/>
          <w:color w:val="auto"/>
          <w:highlight w:val="none"/>
          <w:lang w:eastAsia="zh-CN"/>
        </w:rPr>
        <w:br w:type="page"/>
      </w:r>
    </w:p>
    <w:p w14:paraId="5DAA0264">
      <w:pPr>
        <w:pStyle w:val="2"/>
        <w:jc w:val="center"/>
        <w:rPr>
          <w:rFonts w:ascii="宋体" w:hAnsi="宋体" w:eastAsia="宋体"/>
          <w:color w:val="auto"/>
          <w:highlight w:val="none"/>
          <w:lang w:eastAsia="zh-CN"/>
        </w:rPr>
      </w:pPr>
      <w:bookmarkStart w:id="3" w:name="_Toc25152729"/>
      <w:bookmarkStart w:id="4" w:name="_Toc25137979"/>
      <w:r>
        <w:rPr>
          <w:rFonts w:ascii="宋体" w:hAnsi="宋体" w:eastAsia="宋体"/>
          <w:color w:val="auto"/>
          <w:highlight w:val="none"/>
          <w:lang w:eastAsia="zh-CN"/>
        </w:rPr>
        <w:t>第一章</w:t>
      </w:r>
      <w:r>
        <w:rPr>
          <w:rFonts w:hint="eastAsia" w:ascii="宋体" w:hAnsi="宋体" w:eastAsia="宋体"/>
          <w:color w:val="auto"/>
          <w:highlight w:val="none"/>
          <w:lang w:eastAsia="zh-CN"/>
        </w:rPr>
        <w:t xml:space="preserve">  </w:t>
      </w:r>
      <w:r>
        <w:rPr>
          <w:rFonts w:ascii="宋体" w:hAnsi="宋体" w:eastAsia="宋体"/>
          <w:color w:val="auto"/>
          <w:highlight w:val="none"/>
          <w:lang w:eastAsia="zh-CN"/>
        </w:rPr>
        <w:t>招标公告</w:t>
      </w:r>
      <w:bookmarkEnd w:id="3"/>
      <w:bookmarkEnd w:id="4"/>
    </w:p>
    <w:p w14:paraId="4E4F5527">
      <w:pPr>
        <w:widowControl/>
        <w:spacing w:line="360" w:lineRule="auto"/>
        <w:jc w:val="center"/>
        <w:rPr>
          <w:rFonts w:ascii="宋体" w:hAnsi="宋体" w:eastAsia="宋体"/>
          <w:color w:val="auto"/>
          <w:sz w:val="24"/>
          <w:szCs w:val="24"/>
          <w:highlight w:val="none"/>
          <w:lang w:eastAsia="zh-CN"/>
        </w:rPr>
      </w:pPr>
    </w:p>
    <w:p w14:paraId="34411D46">
      <w:pPr>
        <w:pageBreakBefore w:val="0"/>
        <w:kinsoku/>
        <w:wordWrap/>
        <w:overflowPunct/>
        <w:topLinePunct w:val="0"/>
        <w:bidi w:val="0"/>
        <w:spacing w:line="360" w:lineRule="auto"/>
        <w:ind w:left="0" w:leftChars="0"/>
        <w:jc w:val="center"/>
        <w:textAlignment w:val="auto"/>
        <w:rPr>
          <w:rFonts w:hint="eastAsia" w:ascii="宋体" w:hAnsi="宋体"/>
          <w:b/>
          <w:color w:val="auto"/>
          <w:sz w:val="36"/>
          <w:szCs w:val="36"/>
          <w:highlight w:val="none"/>
          <w:u w:val="single"/>
          <w:lang w:eastAsia="zh-CN"/>
        </w:rPr>
      </w:pPr>
      <w:r>
        <w:rPr>
          <w:rFonts w:hint="eastAsia" w:ascii="宋体" w:hAnsi="宋体"/>
          <w:b/>
          <w:color w:val="auto"/>
          <w:sz w:val="36"/>
          <w:szCs w:val="36"/>
          <w:highlight w:val="none"/>
          <w:u w:val="single"/>
          <w:lang w:eastAsia="zh-CN"/>
        </w:rPr>
        <w:t>前锋水乡首开区提升改造建设方案设计项目</w:t>
      </w:r>
    </w:p>
    <w:p w14:paraId="78D948CB">
      <w:pPr>
        <w:pageBreakBefore w:val="0"/>
        <w:kinsoku/>
        <w:wordWrap/>
        <w:overflowPunct/>
        <w:topLinePunct w:val="0"/>
        <w:bidi w:val="0"/>
        <w:spacing w:line="360" w:lineRule="auto"/>
        <w:ind w:left="0" w:leftChars="0"/>
        <w:jc w:val="center"/>
        <w:textAlignment w:val="auto"/>
        <w:rPr>
          <w:rFonts w:ascii="宋体" w:hAnsi="宋体"/>
          <w:b/>
          <w:color w:val="auto"/>
          <w:sz w:val="36"/>
          <w:szCs w:val="36"/>
          <w:highlight w:val="none"/>
        </w:rPr>
      </w:pPr>
      <w:r>
        <w:rPr>
          <w:rFonts w:hint="eastAsia" w:ascii="宋体" w:hAnsi="宋体"/>
          <w:b/>
          <w:color w:val="auto"/>
          <w:sz w:val="36"/>
          <w:szCs w:val="36"/>
          <w:highlight w:val="none"/>
        </w:rPr>
        <w:t>招标公告</w:t>
      </w:r>
    </w:p>
    <w:p w14:paraId="0D781D2C">
      <w:pPr>
        <w:pStyle w:val="3"/>
        <w:pageBreakBefore w:val="0"/>
        <w:kinsoku/>
        <w:wordWrap/>
        <w:overflowPunct/>
        <w:topLinePunct w:val="0"/>
        <w:bidi w:val="0"/>
        <w:spacing w:before="0" w:after="0" w:line="360" w:lineRule="auto"/>
        <w:ind w:left="0" w:leftChars="0"/>
        <w:textAlignment w:val="auto"/>
        <w:rPr>
          <w:rFonts w:ascii="宋体" w:hAnsi="宋体"/>
          <w:b/>
          <w:color w:val="auto"/>
          <w:sz w:val="32"/>
          <w:highlight w:val="none"/>
        </w:rPr>
      </w:pPr>
      <w:r>
        <w:rPr>
          <w:rFonts w:hint="eastAsia" w:ascii="宋体" w:hAnsi="宋体"/>
          <w:b/>
          <w:color w:val="auto"/>
          <w:spacing w:val="1"/>
          <w:sz w:val="32"/>
          <w:highlight w:val="none"/>
        </w:rPr>
        <w:t>1</w:t>
      </w:r>
      <w:r>
        <w:rPr>
          <w:rFonts w:hint="eastAsia" w:ascii="宋体" w:hAnsi="宋体"/>
          <w:b/>
          <w:color w:val="auto"/>
          <w:sz w:val="32"/>
          <w:highlight w:val="none"/>
        </w:rPr>
        <w:t>.招标条件</w:t>
      </w:r>
    </w:p>
    <w:p w14:paraId="63702A9C">
      <w:pPr>
        <w:pageBreakBefore w:val="0"/>
        <w:kinsoku/>
        <w:wordWrap/>
        <w:overflowPunct/>
        <w:topLinePunct w:val="0"/>
        <w:bidi w:val="0"/>
        <w:spacing w:line="360" w:lineRule="auto"/>
        <w:ind w:left="0" w:leftChars="0" w:firstLine="480" w:firstLineChars="200"/>
        <w:textAlignment w:val="auto"/>
        <w:rPr>
          <w:rFonts w:ascii="宋体" w:hAnsi="宋体"/>
          <w:color w:val="auto"/>
          <w:sz w:val="24"/>
          <w:szCs w:val="24"/>
          <w:highlight w:val="none"/>
        </w:rPr>
      </w:pPr>
      <w:r>
        <w:rPr>
          <w:rFonts w:hint="eastAsia" w:ascii="宋体" w:hAnsi="宋体" w:cs="宋体"/>
          <w:color w:val="auto"/>
          <w:sz w:val="24"/>
          <w:szCs w:val="24"/>
          <w:highlight w:val="none"/>
          <w:u w:val="single"/>
          <w:lang w:eastAsia="zh-CN"/>
        </w:rPr>
        <w:t>前锋水乡首开区提升改造建设方案设计项目</w:t>
      </w:r>
      <w:r>
        <w:rPr>
          <w:rFonts w:hint="eastAsia" w:ascii="宋体" w:hAnsi="宋体" w:cs="宋体"/>
          <w:color w:val="auto"/>
          <w:sz w:val="24"/>
          <w:szCs w:val="24"/>
          <w:highlight w:val="none"/>
        </w:rPr>
        <w:t>已由</w:t>
      </w:r>
      <w:r>
        <w:rPr>
          <w:rFonts w:hint="eastAsia" w:ascii="宋体" w:hAnsi="宋体" w:cs="宋体"/>
          <w:color w:val="auto"/>
          <w:sz w:val="24"/>
          <w:szCs w:val="24"/>
          <w:highlight w:val="none"/>
          <w:u w:val="single"/>
        </w:rPr>
        <w:t>相关文件</w:t>
      </w:r>
      <w:r>
        <w:rPr>
          <w:rFonts w:hint="eastAsia" w:ascii="宋体" w:hAnsi="宋体" w:cs="宋体"/>
          <w:color w:val="auto"/>
          <w:sz w:val="24"/>
          <w:szCs w:val="24"/>
          <w:highlight w:val="none"/>
        </w:rPr>
        <w:t>批准建设，建设资金来自</w:t>
      </w:r>
      <w:r>
        <w:rPr>
          <w:rFonts w:hint="eastAsia" w:ascii="宋体" w:hAnsi="宋体"/>
          <w:color w:val="auto"/>
          <w:sz w:val="24"/>
          <w:szCs w:val="24"/>
          <w:highlight w:val="none"/>
          <w:u w:val="single"/>
          <w:lang w:eastAsia="zh-CN"/>
        </w:rPr>
        <w:t>企业自筹资金</w:t>
      </w:r>
      <w:r>
        <w:rPr>
          <w:rFonts w:hint="eastAsia" w:ascii="宋体" w:hAnsi="宋体" w:cs="宋体"/>
          <w:color w:val="auto"/>
          <w:sz w:val="24"/>
          <w:szCs w:val="24"/>
          <w:highlight w:val="none"/>
        </w:rPr>
        <w:t>，招标人为</w:t>
      </w:r>
      <w:r>
        <w:rPr>
          <w:rFonts w:hint="eastAsia" w:ascii="宋体" w:hAnsi="宋体"/>
          <w:color w:val="auto"/>
          <w:sz w:val="24"/>
          <w:szCs w:val="24"/>
          <w:highlight w:val="none"/>
          <w:u w:val="single"/>
          <w:lang w:eastAsia="zh-CN"/>
        </w:rPr>
        <w:t>广州南沙科技投资有限公司</w:t>
      </w:r>
      <w:r>
        <w:rPr>
          <w:rFonts w:hint="eastAsia" w:ascii="宋体" w:hAnsi="宋体"/>
          <w:color w:val="auto"/>
          <w:sz w:val="24"/>
          <w:szCs w:val="24"/>
          <w:highlight w:val="none"/>
          <w:u w:val="single"/>
        </w:rPr>
        <w:t>，</w:t>
      </w:r>
      <w:r>
        <w:rPr>
          <w:rFonts w:hint="eastAsia" w:ascii="宋体" w:hAnsi="宋体" w:cs="宋体"/>
          <w:color w:val="auto"/>
          <w:sz w:val="24"/>
          <w:szCs w:val="24"/>
          <w:highlight w:val="none"/>
        </w:rPr>
        <w:t>本项目已具备招标条件，现对该项目的</w:t>
      </w:r>
      <w:r>
        <w:rPr>
          <w:rFonts w:hint="eastAsia" w:ascii="宋体" w:hAnsi="宋体" w:cs="宋体"/>
          <w:color w:val="auto"/>
          <w:sz w:val="24"/>
          <w:szCs w:val="24"/>
          <w:highlight w:val="none"/>
          <w:u w:val="single"/>
        </w:rPr>
        <w:t>方案设计</w:t>
      </w:r>
      <w:r>
        <w:rPr>
          <w:rFonts w:hint="eastAsia" w:ascii="宋体" w:hAnsi="宋体" w:cs="宋体"/>
          <w:color w:val="auto"/>
          <w:sz w:val="24"/>
          <w:szCs w:val="24"/>
          <w:highlight w:val="none"/>
        </w:rPr>
        <w:t>进行公开招标</w:t>
      </w:r>
      <w:r>
        <w:rPr>
          <w:rFonts w:hint="eastAsia" w:ascii="宋体" w:hAnsi="宋体"/>
          <w:color w:val="auto"/>
          <w:sz w:val="24"/>
          <w:szCs w:val="24"/>
          <w:highlight w:val="none"/>
        </w:rPr>
        <w:t>。</w:t>
      </w:r>
    </w:p>
    <w:p w14:paraId="54600B52">
      <w:pPr>
        <w:pStyle w:val="3"/>
        <w:pageBreakBefore w:val="0"/>
        <w:kinsoku/>
        <w:wordWrap/>
        <w:overflowPunct/>
        <w:topLinePunct w:val="0"/>
        <w:bidi w:val="0"/>
        <w:spacing w:before="0" w:after="0" w:line="360" w:lineRule="auto"/>
        <w:ind w:left="0" w:leftChars="0"/>
        <w:textAlignment w:val="auto"/>
        <w:rPr>
          <w:rFonts w:ascii="宋体" w:hAnsi="宋体"/>
          <w:b/>
          <w:color w:val="auto"/>
          <w:spacing w:val="1"/>
          <w:sz w:val="32"/>
          <w:highlight w:val="none"/>
        </w:rPr>
      </w:pPr>
      <w:bookmarkStart w:id="5" w:name="_Toc25072049"/>
      <w:r>
        <w:rPr>
          <w:rFonts w:hint="eastAsia" w:ascii="宋体" w:hAnsi="宋体"/>
          <w:b/>
          <w:color w:val="auto"/>
          <w:spacing w:val="1"/>
          <w:sz w:val="32"/>
          <w:highlight w:val="none"/>
        </w:rPr>
        <w:t>2.项目概况与招标范围</w:t>
      </w:r>
      <w:bookmarkEnd w:id="5"/>
    </w:p>
    <w:p w14:paraId="4412FEAE">
      <w:pPr>
        <w:pageBreakBefore w:val="0"/>
        <w:kinsoku/>
        <w:wordWrap/>
        <w:overflowPunct/>
        <w:topLinePunct w:val="0"/>
        <w:bidi w:val="0"/>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招标项目概况</w:t>
      </w:r>
    </w:p>
    <w:p w14:paraId="3B5A1717">
      <w:pPr>
        <w:pageBreakBefore w:val="0"/>
        <w:kinsoku/>
        <w:wordWrap/>
        <w:overflowPunct/>
        <w:topLinePunct w:val="0"/>
        <w:bidi w:val="0"/>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 招标项目名称：</w:t>
      </w:r>
      <w:r>
        <w:rPr>
          <w:rFonts w:hint="eastAsia" w:ascii="宋体" w:hAnsi="宋体" w:cs="宋体"/>
          <w:color w:val="auto"/>
          <w:sz w:val="24"/>
          <w:szCs w:val="24"/>
          <w:highlight w:val="none"/>
          <w:u w:val="single"/>
          <w:lang w:eastAsia="zh-CN"/>
        </w:rPr>
        <w:t>前锋水乡首开区提升改造建设方案设计项目</w:t>
      </w:r>
      <w:r>
        <w:rPr>
          <w:rFonts w:hint="eastAsia" w:ascii="宋体" w:hAnsi="宋体" w:eastAsia="宋体" w:cs="宋体"/>
          <w:color w:val="auto"/>
          <w:sz w:val="24"/>
          <w:szCs w:val="24"/>
          <w:highlight w:val="none"/>
        </w:rPr>
        <w:t>。</w:t>
      </w:r>
    </w:p>
    <w:p w14:paraId="774C06BC">
      <w:pPr>
        <w:pageBreakBefore w:val="0"/>
        <w:kinsoku/>
        <w:wordWrap/>
        <w:overflowPunct/>
        <w:topLinePunct w:val="0"/>
        <w:bidi w:val="0"/>
        <w:spacing w:line="360" w:lineRule="auto"/>
        <w:ind w:left="0" w:leftChars="0"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2.1.2 工程建设地点：</w:t>
      </w:r>
      <w:r>
        <w:rPr>
          <w:rFonts w:hint="eastAsia" w:ascii="宋体" w:hAnsi="宋体" w:eastAsia="宋体" w:cs="宋体"/>
          <w:color w:val="auto"/>
          <w:sz w:val="24"/>
          <w:szCs w:val="24"/>
          <w:highlight w:val="none"/>
          <w:u w:val="single"/>
        </w:rPr>
        <w:t>广州市</w:t>
      </w:r>
      <w:r>
        <w:rPr>
          <w:rFonts w:hint="eastAsia" w:ascii="宋体" w:hAnsi="宋体" w:cs="宋体"/>
          <w:color w:val="auto"/>
          <w:sz w:val="24"/>
          <w:szCs w:val="24"/>
          <w:highlight w:val="none"/>
          <w:u w:val="single"/>
          <w:lang w:val="en-US" w:eastAsia="zh-CN"/>
        </w:rPr>
        <w:t>南沙</w:t>
      </w:r>
      <w:r>
        <w:rPr>
          <w:rFonts w:hint="eastAsia" w:ascii="宋体" w:hAnsi="宋体" w:eastAsia="宋体" w:cs="宋体"/>
          <w:color w:val="auto"/>
          <w:sz w:val="24"/>
          <w:szCs w:val="24"/>
          <w:highlight w:val="none"/>
          <w:u w:val="single"/>
        </w:rPr>
        <w:t>区。</w:t>
      </w:r>
    </w:p>
    <w:p w14:paraId="2D753618">
      <w:pPr>
        <w:pageBreakBefore w:val="0"/>
        <w:kinsoku/>
        <w:wordWrap/>
        <w:overflowPunct/>
        <w:topLinePunct w:val="0"/>
        <w:bidi w:val="0"/>
        <w:spacing w:line="360" w:lineRule="auto"/>
        <w:ind w:left="0" w:leftChars="0"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2.1.3 工程建设规模：</w:t>
      </w:r>
      <w:r>
        <w:rPr>
          <w:rFonts w:hint="eastAsia" w:ascii="宋体" w:hAnsi="宋体" w:eastAsia="宋体" w:cs="宋体"/>
          <w:color w:val="auto"/>
          <w:sz w:val="24"/>
          <w:szCs w:val="24"/>
          <w:highlight w:val="none"/>
          <w:u w:val="single"/>
        </w:rPr>
        <w:t>前锋水乡首开区占地约12公顷(180亩)，物业138栋，总建筑面积约16500平米。充分理解项目区位、交通、自然生态及人文底蕴等资源禀赋及优势，按照“农、文、商、旅”融合的需求结合百千万工程建设，以“钻石水乡、湾区客厅”为定位将项目打造成三产融合的新质乡村综合体，并据此定位展开规划设计。按照初步设计深度要求，完成首开区规划及建筑改造、园林景观、小市政、泛光、环境导视、海绵城市等各专项方案设计(包含二涌区域小市政改造方案)</w:t>
      </w:r>
      <w:r>
        <w:rPr>
          <w:rFonts w:hint="eastAsia" w:ascii="宋体" w:hAnsi="宋体" w:cs="宋体"/>
          <w:color w:val="auto"/>
          <w:sz w:val="24"/>
          <w:szCs w:val="24"/>
          <w:highlight w:val="none"/>
          <w:u w:val="single"/>
          <w:lang w:val="en-US" w:eastAsia="zh-CN"/>
        </w:rPr>
        <w:t>及</w:t>
      </w:r>
      <w:r>
        <w:rPr>
          <w:rFonts w:hint="eastAsia" w:ascii="宋体" w:hAnsi="宋体" w:eastAsia="宋体" w:cs="宋体"/>
          <w:color w:val="auto"/>
          <w:sz w:val="24"/>
          <w:szCs w:val="24"/>
          <w:highlight w:val="none"/>
          <w:u w:val="single"/>
        </w:rPr>
        <w:t>初步设计图纸</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现场设计全程把控、项目总结等</w:t>
      </w:r>
      <w:r>
        <w:rPr>
          <w:rFonts w:hint="eastAsia" w:ascii="宋体" w:hAnsi="宋体" w:eastAsia="宋体" w:cs="宋体"/>
          <w:color w:val="auto"/>
          <w:sz w:val="24"/>
          <w:szCs w:val="24"/>
          <w:highlight w:val="none"/>
          <w:lang w:val="en-US" w:eastAsia="zh-CN"/>
        </w:rPr>
        <w:t>。</w:t>
      </w:r>
    </w:p>
    <w:p w14:paraId="08D8290A">
      <w:pPr>
        <w:pageBreakBefore w:val="0"/>
        <w:kinsoku/>
        <w:wordWrap/>
        <w:overflowPunct/>
        <w:topLinePunct w:val="0"/>
        <w:bidi w:val="0"/>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2.1.4 规划用地文件：</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609CDBC1">
      <w:pPr>
        <w:pageBreakBefore w:val="0"/>
        <w:kinsoku/>
        <w:wordWrap/>
        <w:overflowPunct/>
        <w:topLinePunct w:val="0"/>
        <w:bidi w:val="0"/>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2.1.5 项目批准文件：</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16C42BEC">
      <w:pPr>
        <w:pageBreakBefore w:val="0"/>
        <w:kinsoku/>
        <w:wordWrap/>
        <w:overflowPunct/>
        <w:topLinePunct w:val="0"/>
        <w:bidi w:val="0"/>
        <w:spacing w:line="360" w:lineRule="auto"/>
        <w:ind w:left="0" w:lef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2.1.6 资金来源：</w:t>
      </w:r>
      <w:r>
        <w:rPr>
          <w:rFonts w:hint="eastAsia" w:ascii="宋体" w:hAnsi="宋体" w:cs="宋体"/>
          <w:color w:val="auto"/>
          <w:sz w:val="24"/>
          <w:szCs w:val="24"/>
          <w:highlight w:val="none"/>
          <w:u w:val="single"/>
          <w:lang w:eastAsia="zh-CN"/>
        </w:rPr>
        <w:t>企业自筹资金</w:t>
      </w:r>
    </w:p>
    <w:p w14:paraId="1782016D">
      <w:pPr>
        <w:pageBreakBefore w:val="0"/>
        <w:kinsoku/>
        <w:wordWrap/>
        <w:overflowPunct/>
        <w:topLinePunct w:val="0"/>
        <w:bidi w:val="0"/>
        <w:spacing w:line="360" w:lineRule="auto"/>
        <w:ind w:left="0" w:leftChars="0" w:firstLine="480" w:firstLineChars="200"/>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2.1.7 投资总额：</w:t>
      </w:r>
      <w:r>
        <w:rPr>
          <w:rFonts w:hint="eastAsia" w:ascii="宋体" w:hAnsi="宋体" w:eastAsia="宋体" w:cs="宋体"/>
          <w:color w:val="auto"/>
          <w:sz w:val="24"/>
          <w:szCs w:val="24"/>
          <w:highlight w:val="none"/>
          <w:u w:val="single"/>
        </w:rPr>
        <w:t>本项目总投资计划约</w:t>
      </w:r>
      <w:r>
        <w:rPr>
          <w:rFonts w:hint="eastAsia" w:ascii="宋体" w:hAnsi="宋体" w:cs="宋体"/>
          <w:color w:val="auto"/>
          <w:sz w:val="24"/>
          <w:szCs w:val="24"/>
          <w:highlight w:val="none"/>
          <w:u w:val="single"/>
          <w:lang w:val="en-US" w:eastAsia="zh-CN"/>
        </w:rPr>
        <w:t xml:space="preserve"> 1亿</w:t>
      </w:r>
      <w:r>
        <w:rPr>
          <w:rFonts w:hint="eastAsia" w:ascii="宋体" w:hAnsi="宋体" w:eastAsia="宋体" w:cs="宋体"/>
          <w:color w:val="auto"/>
          <w:sz w:val="24"/>
          <w:szCs w:val="24"/>
          <w:highlight w:val="none"/>
          <w:u w:val="single"/>
        </w:rPr>
        <w:t>元</w:t>
      </w:r>
      <w:r>
        <w:rPr>
          <w:rFonts w:hint="eastAsia" w:ascii="宋体" w:hAnsi="宋体" w:eastAsia="宋体" w:cs="宋体"/>
          <w:color w:val="auto"/>
          <w:sz w:val="24"/>
          <w:szCs w:val="24"/>
          <w:highlight w:val="none"/>
        </w:rPr>
        <w:t>。</w:t>
      </w:r>
    </w:p>
    <w:p w14:paraId="058EF606">
      <w:pPr>
        <w:pageBreakBefore w:val="0"/>
        <w:kinsoku/>
        <w:wordWrap/>
        <w:overflowPunct/>
        <w:topLinePunct w:val="0"/>
        <w:bidi w:val="0"/>
        <w:spacing w:line="360" w:lineRule="auto"/>
        <w:ind w:left="0" w:leftChars="0"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2.1.8 标段划分：</w:t>
      </w:r>
      <w:r>
        <w:rPr>
          <w:rFonts w:hint="eastAsia" w:ascii="宋体" w:hAnsi="宋体" w:eastAsia="宋体" w:cs="宋体"/>
          <w:color w:val="auto"/>
          <w:sz w:val="24"/>
          <w:szCs w:val="24"/>
          <w:highlight w:val="none"/>
          <w:u w:val="single"/>
        </w:rPr>
        <w:t>本项目设1个标段。</w:t>
      </w:r>
    </w:p>
    <w:p w14:paraId="3E76537F">
      <w:pPr>
        <w:pageBreakBefore w:val="0"/>
        <w:kinsoku/>
        <w:wordWrap/>
        <w:overflowPunct/>
        <w:topLinePunct w:val="0"/>
        <w:bidi w:val="0"/>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招标范围及招标内容：</w:t>
      </w:r>
    </w:p>
    <w:p w14:paraId="186C8344">
      <w:pPr>
        <w:pageBreakBefore w:val="0"/>
        <w:kinsoku/>
        <w:wordWrap/>
        <w:overflowPunct/>
        <w:topLinePunct w:val="0"/>
        <w:bidi w:val="0"/>
        <w:spacing w:line="360" w:lineRule="auto"/>
        <w:ind w:left="0" w:leftChars="0"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招标范围及招标内容：</w:t>
      </w:r>
      <w:bookmarkStart w:id="6" w:name="_Hlk154586085"/>
      <w:r>
        <w:rPr>
          <w:rFonts w:hint="eastAsia" w:ascii="宋体" w:hAnsi="宋体" w:eastAsia="宋体" w:cs="宋体"/>
          <w:color w:val="auto"/>
          <w:sz w:val="24"/>
          <w:szCs w:val="24"/>
          <w:highlight w:val="none"/>
          <w:u w:val="single"/>
        </w:rPr>
        <w:t>根据基础资料等要求，完成项目建设范围所涉及建设内容的方案</w:t>
      </w:r>
      <w:r>
        <w:rPr>
          <w:rFonts w:hint="eastAsia" w:ascii="宋体" w:hAnsi="宋体" w:cs="宋体"/>
          <w:color w:val="auto"/>
          <w:sz w:val="24"/>
          <w:szCs w:val="24"/>
          <w:highlight w:val="none"/>
          <w:u w:val="single"/>
          <w:lang w:eastAsia="zh-CN"/>
        </w:rPr>
        <w:t>设计</w:t>
      </w:r>
      <w:r>
        <w:rPr>
          <w:rFonts w:hint="eastAsia" w:ascii="宋体" w:hAnsi="宋体" w:eastAsia="宋体" w:cs="宋体"/>
          <w:color w:val="auto"/>
          <w:sz w:val="24"/>
          <w:szCs w:val="24"/>
          <w:highlight w:val="none"/>
          <w:u w:val="single"/>
        </w:rPr>
        <w:t>工作</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具体要求详见设计任务书）</w:t>
      </w:r>
      <w:r>
        <w:rPr>
          <w:rFonts w:hint="eastAsia" w:ascii="宋体" w:hAnsi="宋体" w:eastAsia="宋体" w:cs="宋体"/>
          <w:color w:val="auto"/>
          <w:sz w:val="24"/>
          <w:szCs w:val="24"/>
          <w:highlight w:val="none"/>
          <w:u w:val="single"/>
        </w:rPr>
        <w:t>；负责协调和配合相关主管部门对相关工作成果进行审批，直至获得批复。</w:t>
      </w:r>
    </w:p>
    <w:bookmarkEnd w:id="6"/>
    <w:p w14:paraId="4798AE70">
      <w:pPr>
        <w:pStyle w:val="3"/>
        <w:pageBreakBefore w:val="0"/>
        <w:kinsoku/>
        <w:wordWrap/>
        <w:overflowPunct/>
        <w:topLinePunct w:val="0"/>
        <w:bidi w:val="0"/>
        <w:spacing w:before="0" w:after="0" w:line="360" w:lineRule="auto"/>
        <w:ind w:left="0" w:leftChars="0"/>
        <w:textAlignment w:val="auto"/>
        <w:rPr>
          <w:rFonts w:hint="eastAsia" w:ascii="宋体" w:hAnsi="宋体"/>
          <w:b/>
          <w:color w:val="auto"/>
          <w:spacing w:val="1"/>
          <w:sz w:val="32"/>
          <w:highlight w:val="none"/>
        </w:rPr>
      </w:pPr>
      <w:r>
        <w:rPr>
          <w:rFonts w:hint="eastAsia" w:ascii="宋体" w:hAnsi="宋体"/>
          <w:b/>
          <w:color w:val="auto"/>
          <w:spacing w:val="1"/>
          <w:sz w:val="32"/>
          <w:highlight w:val="none"/>
        </w:rPr>
        <w:t>3.设计服务期、工作目标：</w:t>
      </w:r>
    </w:p>
    <w:p w14:paraId="40436425">
      <w:pPr>
        <w:pageBreakBefore w:val="0"/>
        <w:kinsoku/>
        <w:wordWrap/>
        <w:overflowPunct/>
        <w:topLinePunct w:val="0"/>
        <w:bidi w:val="0"/>
        <w:snapToGrid w:val="0"/>
        <w:spacing w:line="360" w:lineRule="auto"/>
        <w:ind w:left="0" w:leftChars="0" w:firstLine="480" w:firstLineChars="200"/>
        <w:textAlignment w:val="auto"/>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3.1  工作目标：按照设计任务书及合同约定，按时、按量、保质完成首开区规划及建筑改造、园林景观、小市政、泛光、环境导视、海绵城市等各专项方案设计及扩大初步方案设计及估算、概算等。</w:t>
      </w:r>
    </w:p>
    <w:p w14:paraId="134E6304">
      <w:pPr>
        <w:pageBreakBefore w:val="0"/>
        <w:kinsoku/>
        <w:wordWrap/>
        <w:overflowPunct/>
        <w:topLinePunct w:val="0"/>
        <w:bidi w:val="0"/>
        <w:snapToGrid w:val="0"/>
        <w:spacing w:line="360" w:lineRule="auto"/>
        <w:ind w:left="0" w:leftChars="0" w:firstLine="480" w:firstLineChars="200"/>
        <w:textAlignment w:val="auto"/>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3.2  设计工期：中标人应在设计合同签订后</w:t>
      </w:r>
      <w:r>
        <w:rPr>
          <w:rFonts w:hint="eastAsia" w:ascii="宋体" w:hAnsi="宋体" w:cs="宋体"/>
          <w:color w:val="auto"/>
          <w:sz w:val="24"/>
          <w:szCs w:val="24"/>
          <w:highlight w:val="none"/>
          <w:u w:val="single"/>
          <w:lang w:val="en-US" w:eastAsia="zh-CN"/>
        </w:rPr>
        <w:t>25</w:t>
      </w:r>
      <w:r>
        <w:rPr>
          <w:rFonts w:hint="eastAsia" w:ascii="宋体" w:hAnsi="宋体" w:cs="宋体"/>
          <w:color w:val="auto"/>
          <w:sz w:val="24"/>
          <w:szCs w:val="24"/>
          <w:highlight w:val="none"/>
          <w:u w:val="single"/>
        </w:rPr>
        <w:t>日内，完成所有工作任务的方案设计内容并出具投资估算，并提交甲方审核；</w:t>
      </w:r>
    </w:p>
    <w:p w14:paraId="321520C1">
      <w:pPr>
        <w:pageBreakBefore w:val="0"/>
        <w:kinsoku/>
        <w:wordWrap/>
        <w:overflowPunct/>
        <w:topLinePunct w:val="0"/>
        <w:bidi w:val="0"/>
        <w:snapToGrid w:val="0"/>
        <w:spacing w:line="360" w:lineRule="auto"/>
        <w:ind w:left="0" w:leftChars="0" w:firstLine="480" w:firstLineChars="200"/>
        <w:textAlignment w:val="auto"/>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方案设计获甲方书面确认后</w:t>
      </w:r>
      <w:r>
        <w:rPr>
          <w:rFonts w:hint="eastAsia" w:ascii="宋体" w:hAnsi="宋体" w:cs="宋体"/>
          <w:color w:val="auto"/>
          <w:sz w:val="24"/>
          <w:szCs w:val="24"/>
          <w:highlight w:val="none"/>
          <w:u w:val="single"/>
          <w:lang w:val="en-US" w:eastAsia="zh-CN"/>
        </w:rPr>
        <w:t>25</w:t>
      </w:r>
      <w:r>
        <w:rPr>
          <w:rFonts w:hint="eastAsia" w:ascii="宋体" w:hAnsi="宋体" w:cs="宋体"/>
          <w:color w:val="auto"/>
          <w:sz w:val="24"/>
          <w:szCs w:val="24"/>
          <w:highlight w:val="none"/>
          <w:u w:val="single"/>
        </w:rPr>
        <w:t>日内，</w:t>
      </w:r>
      <w:r>
        <w:rPr>
          <w:rFonts w:hint="eastAsia" w:ascii="宋体" w:hAnsi="宋体" w:cs="宋体"/>
          <w:color w:val="auto"/>
          <w:sz w:val="24"/>
          <w:szCs w:val="24"/>
          <w:highlight w:val="none"/>
          <w:u w:val="single"/>
          <w:lang w:val="en-US" w:eastAsia="zh-CN"/>
        </w:rPr>
        <w:t>完成设计任务书所列的所有</w:t>
      </w:r>
      <w:r>
        <w:rPr>
          <w:rFonts w:hint="eastAsia" w:ascii="宋体" w:hAnsi="宋体" w:cs="宋体"/>
          <w:color w:val="auto"/>
          <w:sz w:val="24"/>
          <w:szCs w:val="24"/>
          <w:highlight w:val="none"/>
          <w:u w:val="single"/>
        </w:rPr>
        <w:t>的初步设计内容</w:t>
      </w:r>
      <w:r>
        <w:rPr>
          <w:rFonts w:hint="eastAsia" w:ascii="宋体" w:hAnsi="宋体" w:cs="宋体"/>
          <w:color w:val="auto"/>
          <w:sz w:val="24"/>
          <w:szCs w:val="24"/>
          <w:highlight w:val="none"/>
          <w:u w:val="single"/>
          <w:lang w:val="en-US" w:eastAsia="zh-CN"/>
        </w:rPr>
        <w:t>及</w:t>
      </w:r>
      <w:r>
        <w:rPr>
          <w:rFonts w:hint="eastAsia" w:ascii="宋体" w:hAnsi="宋体" w:cs="宋体"/>
          <w:color w:val="auto"/>
          <w:sz w:val="24"/>
          <w:szCs w:val="24"/>
          <w:highlight w:val="none"/>
          <w:u w:val="single"/>
        </w:rPr>
        <w:t>出具初步设计概算文件，提交甲方审核。</w:t>
      </w:r>
    </w:p>
    <w:p w14:paraId="7979236A">
      <w:pPr>
        <w:pStyle w:val="3"/>
        <w:pageBreakBefore w:val="0"/>
        <w:kinsoku/>
        <w:wordWrap/>
        <w:overflowPunct/>
        <w:topLinePunct w:val="0"/>
        <w:bidi w:val="0"/>
        <w:spacing w:before="0" w:after="0" w:line="360" w:lineRule="auto"/>
        <w:ind w:left="0" w:leftChars="0"/>
        <w:textAlignment w:val="auto"/>
        <w:rPr>
          <w:rFonts w:hint="eastAsia" w:ascii="宋体" w:hAnsi="宋体"/>
          <w:b/>
          <w:color w:val="auto"/>
          <w:spacing w:val="1"/>
          <w:sz w:val="32"/>
          <w:highlight w:val="none"/>
        </w:rPr>
      </w:pPr>
      <w:r>
        <w:rPr>
          <w:rFonts w:hint="eastAsia" w:ascii="宋体" w:hAnsi="宋体"/>
          <w:b/>
          <w:color w:val="auto"/>
          <w:spacing w:val="1"/>
          <w:sz w:val="32"/>
          <w:highlight w:val="none"/>
        </w:rPr>
        <w:t>4.投标限价</w:t>
      </w:r>
    </w:p>
    <w:p w14:paraId="25C1F3B5">
      <w:pPr>
        <w:pageBreakBefore w:val="0"/>
        <w:kinsoku/>
        <w:wordWrap/>
        <w:overflowPunct/>
        <w:topLinePunct w:val="0"/>
        <w:bidi w:val="0"/>
        <w:snapToGrid w:val="0"/>
        <w:spacing w:line="360" w:lineRule="auto"/>
        <w:ind w:left="0" w:leftChars="0" w:firstLine="480" w:firstLineChars="200"/>
        <w:textAlignment w:val="auto"/>
        <w:rPr>
          <w:rFonts w:hint="eastAsia" w:ascii="宋体" w:hAnsi="宋体" w:cs="宋体"/>
          <w:b/>
          <w:color w:val="auto"/>
          <w:sz w:val="24"/>
          <w:highlight w:val="none"/>
          <w:u w:val="single"/>
        </w:rPr>
      </w:pPr>
      <w:r>
        <w:rPr>
          <w:rFonts w:hint="eastAsia" w:ascii="宋体" w:hAnsi="宋体"/>
          <w:color w:val="auto"/>
          <w:sz w:val="24"/>
          <w:highlight w:val="none"/>
          <w:u w:val="single"/>
        </w:rPr>
        <w:t>4.1</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最高投标限价：本项目</w:t>
      </w:r>
      <w:r>
        <w:rPr>
          <w:rFonts w:hint="eastAsia" w:ascii="宋体" w:hAnsi="宋体"/>
          <w:color w:val="auto"/>
          <w:sz w:val="24"/>
          <w:highlight w:val="none"/>
          <w:u w:val="single"/>
          <w:lang w:eastAsia="zh-CN"/>
        </w:rPr>
        <w:t>提升改造建设方案</w:t>
      </w:r>
      <w:r>
        <w:rPr>
          <w:rFonts w:hint="eastAsia" w:ascii="宋体" w:hAnsi="宋体"/>
          <w:color w:val="auto"/>
          <w:sz w:val="24"/>
          <w:highlight w:val="none"/>
          <w:u w:val="single"/>
        </w:rPr>
        <w:t>设计费最高投标限价总价为：</w:t>
      </w:r>
      <w:r>
        <w:rPr>
          <w:rFonts w:hint="eastAsia" w:ascii="宋体" w:hAnsi="宋体"/>
          <w:color w:val="auto"/>
          <w:sz w:val="24"/>
          <w:highlight w:val="none"/>
          <w:u w:val="single"/>
          <w:lang w:val="en-US" w:eastAsia="zh-CN"/>
        </w:rPr>
        <w:t>128.00</w:t>
      </w:r>
      <w:r>
        <w:rPr>
          <w:rFonts w:hint="eastAsia" w:ascii="宋体" w:hAnsi="宋体"/>
          <w:color w:val="auto"/>
          <w:sz w:val="24"/>
          <w:highlight w:val="none"/>
          <w:u w:val="single"/>
        </w:rPr>
        <w:t>万</w:t>
      </w:r>
      <w:r>
        <w:rPr>
          <w:rFonts w:hint="eastAsia" w:ascii="宋体" w:hAnsi="宋体"/>
          <w:b w:val="0"/>
          <w:bCs/>
          <w:color w:val="auto"/>
          <w:sz w:val="24"/>
          <w:highlight w:val="none"/>
          <w:u w:val="single"/>
        </w:rPr>
        <w:t>元。</w:t>
      </w:r>
    </w:p>
    <w:p w14:paraId="0C22FC02">
      <w:pPr>
        <w:pStyle w:val="3"/>
        <w:pageBreakBefore w:val="0"/>
        <w:kinsoku/>
        <w:wordWrap/>
        <w:overflowPunct/>
        <w:topLinePunct w:val="0"/>
        <w:bidi w:val="0"/>
        <w:spacing w:before="0" w:after="0" w:line="360" w:lineRule="auto"/>
        <w:ind w:left="0" w:leftChars="0"/>
        <w:textAlignment w:val="auto"/>
        <w:rPr>
          <w:rFonts w:ascii="宋体" w:hAnsi="宋体"/>
          <w:b/>
          <w:color w:val="auto"/>
          <w:spacing w:val="1"/>
          <w:sz w:val="32"/>
          <w:highlight w:val="none"/>
        </w:rPr>
      </w:pPr>
      <w:bookmarkStart w:id="7" w:name="_Toc25072050"/>
      <w:r>
        <w:rPr>
          <w:rFonts w:hint="eastAsia" w:ascii="宋体" w:hAnsi="宋体"/>
          <w:b/>
          <w:color w:val="auto"/>
          <w:spacing w:val="1"/>
          <w:sz w:val="32"/>
          <w:highlight w:val="none"/>
        </w:rPr>
        <w:t>5.投标人资格要求</w:t>
      </w:r>
      <w:bookmarkEnd w:id="7"/>
    </w:p>
    <w:p w14:paraId="6B2217CB">
      <w:pPr>
        <w:pageBreakBefore w:val="0"/>
        <w:kinsoku/>
        <w:wordWrap/>
        <w:overflowPunct/>
        <w:topLinePunct w:val="0"/>
        <w:autoSpaceDE w:val="0"/>
        <w:autoSpaceDN w:val="0"/>
        <w:bidi w:val="0"/>
        <w:adjustRightInd w:val="0"/>
        <w:spacing w:line="360" w:lineRule="auto"/>
        <w:ind w:left="0" w:leftChars="0" w:firstLine="480" w:firstLineChars="200"/>
        <w:textAlignment w:val="auto"/>
        <w:rPr>
          <w:rFonts w:hint="eastAsia" w:ascii="宋体" w:hAnsi="宋体"/>
          <w:color w:val="auto"/>
          <w:kern w:val="0"/>
          <w:sz w:val="24"/>
          <w:szCs w:val="24"/>
          <w:highlight w:val="none"/>
          <w:u w:val="single"/>
        </w:rPr>
      </w:pPr>
      <w:r>
        <w:rPr>
          <w:rFonts w:hint="eastAsia" w:ascii="宋体" w:hAnsi="宋体"/>
          <w:color w:val="auto"/>
          <w:kern w:val="0"/>
          <w:sz w:val="24"/>
          <w:szCs w:val="24"/>
          <w:highlight w:val="none"/>
          <w:u w:val="single"/>
        </w:rPr>
        <w:t>5.1 投标人与招标人过去3年内无合同履约纠纷，没有不得参加投标的情形。</w:t>
      </w:r>
    </w:p>
    <w:p w14:paraId="526E6E0D">
      <w:pPr>
        <w:pageBreakBefore w:val="0"/>
        <w:kinsoku/>
        <w:wordWrap/>
        <w:overflowPunct/>
        <w:topLinePunct w:val="0"/>
        <w:autoSpaceDE w:val="0"/>
        <w:autoSpaceDN w:val="0"/>
        <w:bidi w:val="0"/>
        <w:adjustRightInd w:val="0"/>
        <w:spacing w:line="360" w:lineRule="auto"/>
        <w:ind w:left="0" w:leftChars="0" w:firstLine="480" w:firstLineChars="200"/>
        <w:textAlignment w:val="auto"/>
        <w:rPr>
          <w:rFonts w:hint="eastAsia" w:ascii="宋体" w:hAnsi="宋体" w:cs="宋体"/>
          <w:color w:val="auto"/>
          <w:sz w:val="24"/>
          <w:szCs w:val="24"/>
          <w:highlight w:val="none"/>
        </w:rPr>
      </w:pPr>
      <w:r>
        <w:rPr>
          <w:rFonts w:hint="eastAsia" w:ascii="宋体" w:hAnsi="宋体"/>
          <w:color w:val="auto"/>
          <w:kern w:val="0"/>
          <w:sz w:val="24"/>
          <w:szCs w:val="24"/>
          <w:highlight w:val="none"/>
        </w:rPr>
        <w:t>[注释] 合同履约纠纷是指招标人过去3年内曾与投标人签订合同，并且对投标人不满意。不得参加投标的情形详见招标文件第二章投标人须知第1.4.3条。</w:t>
      </w:r>
    </w:p>
    <w:p w14:paraId="5B236C09">
      <w:pPr>
        <w:pageBreakBefore w:val="0"/>
        <w:kinsoku/>
        <w:wordWrap/>
        <w:overflowPunct/>
        <w:topLinePunct w:val="0"/>
        <w:autoSpaceDE w:val="0"/>
        <w:autoSpaceDN w:val="0"/>
        <w:bidi w:val="0"/>
        <w:adjustRightInd w:val="0"/>
        <w:spacing w:line="360" w:lineRule="auto"/>
        <w:ind w:left="0" w:leftChars="0" w:firstLine="480" w:firstLineChars="200"/>
        <w:textAlignment w:val="auto"/>
        <w:rPr>
          <w:rFonts w:hint="eastAsia" w:ascii="宋体" w:hAnsi="宋体"/>
          <w:color w:val="auto"/>
          <w:spacing w:val="9"/>
          <w:kern w:val="0"/>
          <w:sz w:val="24"/>
          <w:szCs w:val="24"/>
          <w:highlight w:val="none"/>
          <w:u w:val="single"/>
        </w:rPr>
      </w:pPr>
      <w:r>
        <w:rPr>
          <w:rFonts w:hint="eastAsia" w:ascii="宋体" w:hAnsi="宋体"/>
          <w:color w:val="auto"/>
          <w:kern w:val="0"/>
          <w:sz w:val="24"/>
          <w:szCs w:val="24"/>
          <w:highlight w:val="none"/>
          <w:u w:val="single"/>
        </w:rPr>
        <w:t>5.2 国内申请人须具备建设行政主管部门颁发的以下资质证书</w:t>
      </w:r>
    </w:p>
    <w:p w14:paraId="10CCFFBF">
      <w:pPr>
        <w:pageBreakBefore w:val="0"/>
        <w:kinsoku/>
        <w:wordWrap/>
        <w:overflowPunct/>
        <w:topLinePunct w:val="0"/>
        <w:autoSpaceDE w:val="0"/>
        <w:autoSpaceDN w:val="0"/>
        <w:bidi w:val="0"/>
        <w:adjustRightInd w:val="0"/>
        <w:spacing w:line="360" w:lineRule="auto"/>
        <w:ind w:left="0" w:leftChars="0" w:firstLine="508" w:firstLineChars="200"/>
        <w:textAlignment w:val="auto"/>
        <w:rPr>
          <w:rFonts w:hint="eastAsia" w:ascii="宋体" w:hAnsi="宋体"/>
          <w:color w:val="auto"/>
          <w:spacing w:val="7"/>
          <w:kern w:val="0"/>
          <w:sz w:val="24"/>
          <w:szCs w:val="24"/>
          <w:highlight w:val="none"/>
          <w:u w:val="single"/>
        </w:rPr>
      </w:pPr>
      <w:r>
        <w:rPr>
          <w:rFonts w:hint="eastAsia" w:ascii="宋体" w:hAnsi="宋体"/>
          <w:color w:val="auto"/>
          <w:spacing w:val="7"/>
          <w:kern w:val="0"/>
          <w:sz w:val="24"/>
          <w:szCs w:val="24"/>
          <w:highlight w:val="none"/>
          <w:u w:val="single"/>
        </w:rPr>
        <w:t>工程设计资质：具备以下①或②或③项设计资质之一：</w:t>
      </w:r>
    </w:p>
    <w:p w14:paraId="31FED121">
      <w:pPr>
        <w:pageBreakBefore w:val="0"/>
        <w:kinsoku/>
        <w:wordWrap/>
        <w:overflowPunct/>
        <w:topLinePunct w:val="0"/>
        <w:autoSpaceDE w:val="0"/>
        <w:autoSpaceDN w:val="0"/>
        <w:bidi w:val="0"/>
        <w:adjustRightInd w:val="0"/>
        <w:spacing w:line="360" w:lineRule="auto"/>
        <w:ind w:left="0" w:leftChars="0" w:firstLine="508" w:firstLineChars="200"/>
        <w:textAlignment w:val="auto"/>
        <w:rPr>
          <w:rFonts w:hint="eastAsia" w:ascii="宋体" w:hAnsi="宋体"/>
          <w:color w:val="auto"/>
          <w:spacing w:val="7"/>
          <w:kern w:val="0"/>
          <w:sz w:val="24"/>
          <w:szCs w:val="24"/>
          <w:highlight w:val="none"/>
          <w:u w:val="single"/>
        </w:rPr>
      </w:pPr>
      <w:r>
        <w:rPr>
          <w:rFonts w:hint="eastAsia" w:ascii="宋体" w:hAnsi="宋体"/>
          <w:color w:val="auto"/>
          <w:spacing w:val="7"/>
          <w:kern w:val="0"/>
          <w:sz w:val="24"/>
          <w:szCs w:val="24"/>
          <w:highlight w:val="none"/>
          <w:u w:val="single"/>
        </w:rPr>
        <w:t>①工程设计综合甲级资质；</w:t>
      </w:r>
    </w:p>
    <w:p w14:paraId="1A2ACE69">
      <w:pPr>
        <w:pageBreakBefore w:val="0"/>
        <w:kinsoku/>
        <w:wordWrap/>
        <w:overflowPunct/>
        <w:topLinePunct w:val="0"/>
        <w:autoSpaceDE w:val="0"/>
        <w:autoSpaceDN w:val="0"/>
        <w:bidi w:val="0"/>
        <w:adjustRightInd w:val="0"/>
        <w:spacing w:line="360" w:lineRule="auto"/>
        <w:ind w:left="0" w:leftChars="0" w:firstLine="508" w:firstLineChars="200"/>
        <w:textAlignment w:val="auto"/>
        <w:rPr>
          <w:rFonts w:hint="eastAsia" w:ascii="宋体" w:hAnsi="宋体"/>
          <w:color w:val="auto"/>
          <w:spacing w:val="7"/>
          <w:kern w:val="0"/>
          <w:sz w:val="24"/>
          <w:szCs w:val="24"/>
          <w:highlight w:val="none"/>
          <w:u w:val="single"/>
        </w:rPr>
      </w:pPr>
      <w:r>
        <w:rPr>
          <w:rFonts w:hint="eastAsia" w:ascii="宋体" w:hAnsi="宋体"/>
          <w:color w:val="auto"/>
          <w:spacing w:val="7"/>
          <w:kern w:val="0"/>
          <w:sz w:val="24"/>
          <w:szCs w:val="24"/>
          <w:highlight w:val="none"/>
          <w:u w:val="single"/>
        </w:rPr>
        <w:t>②工程设计（建筑行业）丙级或以上资质。</w:t>
      </w:r>
    </w:p>
    <w:p w14:paraId="1DADAA54">
      <w:pPr>
        <w:pageBreakBefore w:val="0"/>
        <w:kinsoku/>
        <w:wordWrap/>
        <w:overflowPunct/>
        <w:topLinePunct w:val="0"/>
        <w:autoSpaceDE w:val="0"/>
        <w:autoSpaceDN w:val="0"/>
        <w:bidi w:val="0"/>
        <w:adjustRightInd w:val="0"/>
        <w:spacing w:line="360" w:lineRule="auto"/>
        <w:ind w:left="0" w:leftChars="0" w:firstLine="508" w:firstLineChars="200"/>
        <w:textAlignment w:val="auto"/>
        <w:rPr>
          <w:rFonts w:hint="eastAsia" w:ascii="宋体" w:hAnsi="宋体"/>
          <w:color w:val="auto"/>
          <w:spacing w:val="7"/>
          <w:kern w:val="0"/>
          <w:sz w:val="24"/>
          <w:szCs w:val="24"/>
          <w:highlight w:val="none"/>
          <w:u w:val="single"/>
        </w:rPr>
      </w:pPr>
      <w:r>
        <w:rPr>
          <w:rFonts w:hint="eastAsia" w:ascii="宋体" w:hAnsi="宋体"/>
          <w:color w:val="auto"/>
          <w:spacing w:val="7"/>
          <w:kern w:val="0"/>
          <w:sz w:val="24"/>
          <w:szCs w:val="24"/>
          <w:highlight w:val="none"/>
          <w:u w:val="single"/>
        </w:rPr>
        <w:t>③具备建筑设计事务所资质。</w:t>
      </w:r>
    </w:p>
    <w:p w14:paraId="46CD0F65">
      <w:pPr>
        <w:pageBreakBefore w:val="0"/>
        <w:kinsoku/>
        <w:wordWrap/>
        <w:overflowPunct/>
        <w:topLinePunct w:val="0"/>
        <w:autoSpaceDE w:val="0"/>
        <w:autoSpaceDN w:val="0"/>
        <w:bidi w:val="0"/>
        <w:adjustRightInd w:val="0"/>
        <w:spacing w:line="360" w:lineRule="auto"/>
        <w:ind w:left="0" w:leftChars="0" w:firstLine="508" w:firstLineChars="200"/>
        <w:textAlignment w:val="auto"/>
        <w:rPr>
          <w:rFonts w:hint="eastAsia" w:ascii="宋体" w:hAnsi="宋体"/>
          <w:color w:val="auto"/>
          <w:spacing w:val="7"/>
          <w:kern w:val="0"/>
          <w:sz w:val="24"/>
          <w:szCs w:val="24"/>
          <w:highlight w:val="none"/>
          <w:u w:val="single"/>
        </w:rPr>
      </w:pPr>
      <w:r>
        <w:rPr>
          <w:rFonts w:hint="eastAsia" w:ascii="宋体" w:hAnsi="宋体"/>
          <w:color w:val="auto"/>
          <w:spacing w:val="7"/>
          <w:kern w:val="0"/>
          <w:sz w:val="24"/>
          <w:szCs w:val="24"/>
          <w:highlight w:val="none"/>
          <w:u w:val="single"/>
        </w:rPr>
        <w:t>香港企业独立参加投标的，须在广东省住房和城乡建设主管部门备案且备案的业务范围应符合本招标项目对工程设计资质的要求。</w:t>
      </w:r>
    </w:p>
    <w:p w14:paraId="066DFE36">
      <w:pPr>
        <w:pageBreakBefore w:val="0"/>
        <w:kinsoku/>
        <w:wordWrap/>
        <w:overflowPunct/>
        <w:topLinePunct w:val="0"/>
        <w:autoSpaceDE w:val="0"/>
        <w:autoSpaceDN w:val="0"/>
        <w:bidi w:val="0"/>
        <w:adjustRightInd w:val="0"/>
        <w:spacing w:line="360" w:lineRule="auto"/>
        <w:ind w:left="0" w:leftChars="0" w:firstLine="508" w:firstLineChars="200"/>
        <w:textAlignment w:val="auto"/>
        <w:rPr>
          <w:rFonts w:hint="eastAsia" w:ascii="宋体" w:hAnsi="宋体"/>
          <w:color w:val="auto"/>
          <w:spacing w:val="7"/>
          <w:kern w:val="0"/>
          <w:sz w:val="24"/>
          <w:szCs w:val="24"/>
          <w:highlight w:val="none"/>
          <w:u w:val="single"/>
        </w:rPr>
      </w:pPr>
      <w:r>
        <w:rPr>
          <w:rFonts w:hint="eastAsia" w:ascii="宋体" w:hAnsi="宋体"/>
          <w:color w:val="auto"/>
          <w:spacing w:val="7"/>
          <w:kern w:val="0"/>
          <w:sz w:val="24"/>
          <w:szCs w:val="24"/>
          <w:highlight w:val="none"/>
          <w:u w:val="single"/>
        </w:rPr>
        <w:t>注：香港企业备案的业务范围依据《广东省住房和城乡建设厅关于印发香港工程建设咨询企业和专业人士在粤港澳大湾区内地城市开业执业试点管理暂行办法的通知》（粤建规范〔2020〕1号，详见链接：http://zfcxjst.gd.gov.cn/xxgk/wjtz/content/post_3137220.html）确定。香港企业须提供满足招标文件要求的相应资质证书及备案证明资料扫描件”。</w:t>
      </w:r>
    </w:p>
    <w:p w14:paraId="1E81DF43">
      <w:pPr>
        <w:pageBreakBefore w:val="0"/>
        <w:kinsoku/>
        <w:wordWrap/>
        <w:overflowPunct/>
        <w:topLinePunct w:val="0"/>
        <w:autoSpaceDE w:val="0"/>
        <w:autoSpaceDN w:val="0"/>
        <w:bidi w:val="0"/>
        <w:adjustRightInd w:val="0"/>
        <w:spacing w:line="360" w:lineRule="auto"/>
        <w:ind w:left="0" w:leftChars="0" w:firstLine="508" w:firstLineChars="200"/>
        <w:textAlignment w:val="auto"/>
        <w:rPr>
          <w:rFonts w:hint="eastAsia" w:ascii="宋体" w:hAnsi="宋体"/>
          <w:color w:val="auto"/>
          <w:spacing w:val="7"/>
          <w:kern w:val="0"/>
          <w:sz w:val="24"/>
          <w:szCs w:val="24"/>
          <w:highlight w:val="none"/>
          <w:u w:val="single"/>
        </w:rPr>
      </w:pPr>
      <w:r>
        <w:rPr>
          <w:rFonts w:hint="eastAsia" w:ascii="宋体" w:hAnsi="宋体"/>
          <w:color w:val="auto"/>
          <w:spacing w:val="7"/>
          <w:kern w:val="0"/>
          <w:sz w:val="24"/>
          <w:szCs w:val="24"/>
          <w:highlight w:val="none"/>
          <w:u w:val="single"/>
        </w:rPr>
        <w:t>5.3 外国或澳门、台湾的设计企业必须选择一家符合上述条件的企业进行合作设计。香港企业如不单独参加投标，也必须选择一家符合上述条件的企业进行合作设计。</w:t>
      </w:r>
    </w:p>
    <w:p w14:paraId="2CACD351">
      <w:pPr>
        <w:pageBreakBefore w:val="0"/>
        <w:kinsoku/>
        <w:wordWrap/>
        <w:overflowPunct/>
        <w:topLinePunct w:val="0"/>
        <w:autoSpaceDE w:val="0"/>
        <w:autoSpaceDN w:val="0"/>
        <w:bidi w:val="0"/>
        <w:adjustRightInd w:val="0"/>
        <w:spacing w:line="360" w:lineRule="auto"/>
        <w:ind w:left="0" w:leftChars="0" w:firstLine="508" w:firstLineChars="200"/>
        <w:jc w:val="left"/>
        <w:textAlignment w:val="auto"/>
        <w:rPr>
          <w:rFonts w:hint="eastAsia" w:ascii="宋体" w:hAnsi="宋体"/>
          <w:color w:val="auto"/>
          <w:spacing w:val="7"/>
          <w:kern w:val="0"/>
          <w:sz w:val="24"/>
          <w:szCs w:val="24"/>
          <w:highlight w:val="none"/>
          <w:u w:val="single"/>
        </w:rPr>
      </w:pPr>
      <w:r>
        <w:rPr>
          <w:rFonts w:hint="eastAsia" w:ascii="宋体" w:hAnsi="宋体"/>
          <w:color w:val="auto"/>
          <w:spacing w:val="7"/>
          <w:kern w:val="0"/>
          <w:sz w:val="24"/>
          <w:szCs w:val="24"/>
          <w:highlight w:val="none"/>
          <w:u w:val="single"/>
        </w:rPr>
        <w:t>5.4 投标人已在广州市住房和城乡建设局建立企业信用档案，拟委派的项目负责人须是本企业信用档案中的在册人员。（信用档案办理详见《广州市住建行业信用管理平台设计企业信息录入指引》。）</w:t>
      </w:r>
    </w:p>
    <w:p w14:paraId="4A99A6D6">
      <w:pPr>
        <w:pageBreakBefore w:val="0"/>
        <w:kinsoku/>
        <w:wordWrap/>
        <w:overflowPunct/>
        <w:topLinePunct w:val="0"/>
        <w:autoSpaceDE w:val="0"/>
        <w:autoSpaceDN w:val="0"/>
        <w:bidi w:val="0"/>
        <w:adjustRightInd w:val="0"/>
        <w:spacing w:line="360" w:lineRule="auto"/>
        <w:ind w:left="0" w:leftChars="0" w:firstLine="508" w:firstLineChars="200"/>
        <w:textAlignment w:val="auto"/>
        <w:rPr>
          <w:rFonts w:ascii="宋体" w:hAnsi="宋体"/>
          <w:color w:val="auto"/>
          <w:spacing w:val="7"/>
          <w:kern w:val="0"/>
          <w:sz w:val="24"/>
          <w:szCs w:val="24"/>
          <w:highlight w:val="none"/>
          <w:u w:val="single"/>
        </w:rPr>
      </w:pPr>
      <w:r>
        <w:rPr>
          <w:rFonts w:hint="eastAsia" w:ascii="宋体" w:hAnsi="宋体"/>
          <w:color w:val="auto"/>
          <w:spacing w:val="7"/>
          <w:kern w:val="0"/>
          <w:sz w:val="24"/>
          <w:szCs w:val="24"/>
          <w:highlight w:val="none"/>
          <w:u w:val="single"/>
        </w:rPr>
        <w:t>5.5</w:t>
      </w:r>
      <w:r>
        <w:rPr>
          <w:rFonts w:ascii="宋体" w:hAnsi="宋体"/>
          <w:color w:val="auto"/>
          <w:spacing w:val="7"/>
          <w:kern w:val="0"/>
          <w:sz w:val="24"/>
          <w:szCs w:val="24"/>
          <w:highlight w:val="none"/>
          <w:u w:val="single"/>
        </w:rPr>
        <w:t xml:space="preserve"> </w:t>
      </w:r>
      <w:r>
        <w:rPr>
          <w:rFonts w:hint="eastAsia" w:ascii="宋体" w:hAnsi="宋体"/>
          <w:color w:val="auto"/>
          <w:spacing w:val="7"/>
          <w:kern w:val="0"/>
          <w:sz w:val="24"/>
          <w:szCs w:val="24"/>
          <w:highlight w:val="none"/>
          <w:u w:val="single"/>
        </w:rPr>
        <w:t>申请人委派的项目负责人须具备</w:t>
      </w:r>
      <w:r>
        <w:rPr>
          <w:rFonts w:hint="eastAsia" w:ascii="宋体" w:hAnsi="宋体"/>
          <w:color w:val="auto"/>
          <w:spacing w:val="7"/>
          <w:kern w:val="0"/>
          <w:sz w:val="24"/>
          <w:szCs w:val="24"/>
          <w:highlight w:val="none"/>
          <w:u w:val="single"/>
          <w:lang w:val="en-US" w:eastAsia="zh-CN"/>
        </w:rPr>
        <w:t>二</w:t>
      </w:r>
      <w:r>
        <w:rPr>
          <w:rFonts w:hint="eastAsia" w:ascii="宋体" w:hAnsi="宋体"/>
          <w:color w:val="auto"/>
          <w:spacing w:val="7"/>
          <w:kern w:val="0"/>
          <w:sz w:val="24"/>
          <w:szCs w:val="24"/>
          <w:highlight w:val="none"/>
          <w:u w:val="single"/>
        </w:rPr>
        <w:t>级注册建筑师资格,或在广东省住房和城乡建设主管部门备案且备案的业务范围符合本招标项目对项目负责人要求的香港专业人士，香港专业人士的备案业务范围依据《广东省住房和城乡建设厅关于印发香港工程建设咨询企业和专业人士在粤港澳大湾区内地城市开业执业试点管理暂行办法的通知》（粤建规范〔2020〕1号）确定。</w:t>
      </w:r>
    </w:p>
    <w:p w14:paraId="48DE24A1">
      <w:pPr>
        <w:pageBreakBefore w:val="0"/>
        <w:kinsoku/>
        <w:wordWrap/>
        <w:overflowPunct/>
        <w:topLinePunct w:val="0"/>
        <w:autoSpaceDE w:val="0"/>
        <w:autoSpaceDN w:val="0"/>
        <w:bidi w:val="0"/>
        <w:adjustRightInd w:val="0"/>
        <w:spacing w:line="360" w:lineRule="auto"/>
        <w:ind w:left="0" w:leftChars="0" w:firstLine="508" w:firstLineChars="200"/>
        <w:textAlignment w:val="auto"/>
        <w:rPr>
          <w:rFonts w:hint="eastAsia" w:ascii="宋体" w:hAnsi="宋体" w:eastAsia="宋体"/>
          <w:color w:val="auto"/>
          <w:spacing w:val="7"/>
          <w:kern w:val="0"/>
          <w:sz w:val="24"/>
          <w:szCs w:val="24"/>
          <w:highlight w:val="none"/>
          <w:u w:val="single"/>
          <w:lang w:val="en-US" w:eastAsia="zh-CN"/>
        </w:rPr>
      </w:pPr>
      <w:r>
        <w:rPr>
          <w:rFonts w:hint="eastAsia" w:ascii="宋体" w:hAnsi="宋体"/>
          <w:color w:val="auto"/>
          <w:spacing w:val="7"/>
          <w:kern w:val="0"/>
          <w:sz w:val="24"/>
          <w:szCs w:val="24"/>
          <w:highlight w:val="none"/>
          <w:u w:val="single"/>
        </w:rPr>
        <w:t>5.6</w:t>
      </w:r>
      <w:r>
        <w:rPr>
          <w:rFonts w:ascii="宋体" w:hAnsi="宋体"/>
          <w:color w:val="auto"/>
          <w:spacing w:val="7"/>
          <w:kern w:val="0"/>
          <w:sz w:val="24"/>
          <w:szCs w:val="24"/>
          <w:highlight w:val="none"/>
          <w:u w:val="single"/>
        </w:rPr>
        <w:t xml:space="preserve"> </w:t>
      </w:r>
      <w:r>
        <w:rPr>
          <w:rFonts w:hint="eastAsia" w:ascii="宋体" w:hAnsi="宋体"/>
          <w:color w:val="auto"/>
          <w:spacing w:val="7"/>
          <w:kern w:val="0"/>
          <w:sz w:val="24"/>
          <w:szCs w:val="24"/>
          <w:highlight w:val="none"/>
          <w:u w:val="single"/>
        </w:rPr>
        <w:t>关于联合体投标：本次招标不接受联合体投标</w:t>
      </w:r>
      <w:r>
        <w:rPr>
          <w:rFonts w:hint="eastAsia" w:ascii="宋体" w:hAnsi="宋体"/>
          <w:color w:val="auto"/>
          <w:spacing w:val="7"/>
          <w:kern w:val="0"/>
          <w:sz w:val="24"/>
          <w:szCs w:val="24"/>
          <w:highlight w:val="none"/>
          <w:u w:val="single"/>
          <w:lang w:eastAsia="zh-CN"/>
        </w:rPr>
        <w:t>。</w:t>
      </w:r>
    </w:p>
    <w:p w14:paraId="4F8F7926">
      <w:pPr>
        <w:pageBreakBefore w:val="0"/>
        <w:kinsoku/>
        <w:wordWrap/>
        <w:overflowPunct/>
        <w:topLinePunct w:val="0"/>
        <w:autoSpaceDE w:val="0"/>
        <w:autoSpaceDN w:val="0"/>
        <w:bidi w:val="0"/>
        <w:adjustRightInd w:val="0"/>
        <w:spacing w:line="360" w:lineRule="auto"/>
        <w:ind w:left="0" w:leftChars="0" w:firstLine="508" w:firstLineChars="200"/>
        <w:textAlignment w:val="auto"/>
        <w:rPr>
          <w:rFonts w:hint="eastAsia" w:ascii="宋体" w:hAnsi="宋体"/>
          <w:color w:val="auto"/>
          <w:spacing w:val="7"/>
          <w:kern w:val="0"/>
          <w:sz w:val="24"/>
          <w:szCs w:val="24"/>
          <w:highlight w:val="none"/>
          <w:u w:val="single"/>
        </w:rPr>
      </w:pPr>
      <w:r>
        <w:rPr>
          <w:rFonts w:hint="eastAsia" w:ascii="宋体" w:hAnsi="宋体"/>
          <w:color w:val="auto"/>
          <w:spacing w:val="7"/>
          <w:kern w:val="0"/>
          <w:sz w:val="24"/>
          <w:szCs w:val="24"/>
          <w:highlight w:val="none"/>
          <w:u w:val="single"/>
        </w:rPr>
        <w:t>5.7 信誉要求：未被列入拖欠农民工工资失信联合惩戒对象名单。注：投标人无需提供资料，资格审查时，按广州交易集团有限公司（广州公共资源交易中心）交易系统比对的结果进行评审。</w:t>
      </w:r>
    </w:p>
    <w:p w14:paraId="1F4A98EA">
      <w:pPr>
        <w:pageBreakBefore w:val="0"/>
        <w:kinsoku/>
        <w:wordWrap/>
        <w:overflowPunct/>
        <w:topLinePunct w:val="0"/>
        <w:autoSpaceDE w:val="0"/>
        <w:autoSpaceDN w:val="0"/>
        <w:bidi w:val="0"/>
        <w:adjustRightInd w:val="0"/>
        <w:spacing w:line="360" w:lineRule="auto"/>
        <w:ind w:left="0" w:leftChars="0" w:firstLine="508" w:firstLineChars="200"/>
        <w:textAlignment w:val="auto"/>
        <w:rPr>
          <w:rFonts w:ascii="宋体" w:hAnsi="宋体"/>
          <w:color w:val="auto"/>
          <w:spacing w:val="7"/>
          <w:kern w:val="0"/>
          <w:sz w:val="24"/>
          <w:szCs w:val="24"/>
          <w:highlight w:val="none"/>
          <w:u w:val="single"/>
        </w:rPr>
      </w:pPr>
      <w:r>
        <w:rPr>
          <w:rFonts w:hint="eastAsia" w:ascii="宋体" w:hAnsi="宋体"/>
          <w:color w:val="auto"/>
          <w:spacing w:val="7"/>
          <w:kern w:val="0"/>
          <w:sz w:val="24"/>
          <w:szCs w:val="24"/>
          <w:highlight w:val="none"/>
          <w:u w:val="single"/>
        </w:rPr>
        <w:t>5.8  其他要求：</w:t>
      </w:r>
    </w:p>
    <w:p w14:paraId="57CAEF4B">
      <w:pPr>
        <w:pageBreakBefore w:val="0"/>
        <w:kinsoku/>
        <w:wordWrap/>
        <w:overflowPunct/>
        <w:topLinePunct w:val="0"/>
        <w:autoSpaceDE w:val="0"/>
        <w:autoSpaceDN w:val="0"/>
        <w:bidi w:val="0"/>
        <w:adjustRightInd w:val="0"/>
        <w:spacing w:line="360" w:lineRule="auto"/>
        <w:ind w:left="0" w:leftChars="0" w:firstLine="508" w:firstLineChars="200"/>
        <w:textAlignment w:val="auto"/>
        <w:rPr>
          <w:rFonts w:ascii="宋体" w:hAnsi="宋体"/>
          <w:color w:val="auto"/>
          <w:spacing w:val="7"/>
          <w:kern w:val="0"/>
          <w:sz w:val="24"/>
          <w:szCs w:val="24"/>
          <w:highlight w:val="none"/>
          <w:u w:val="single"/>
        </w:rPr>
      </w:pPr>
      <w:r>
        <w:rPr>
          <w:rFonts w:ascii="宋体" w:hAnsi="宋体"/>
          <w:color w:val="auto"/>
          <w:spacing w:val="7"/>
          <w:kern w:val="0"/>
          <w:sz w:val="24"/>
          <w:szCs w:val="24"/>
          <w:highlight w:val="none"/>
          <w:u w:val="single"/>
        </w:rPr>
        <w:t>5.8.</w:t>
      </w:r>
      <w:r>
        <w:rPr>
          <w:rFonts w:hint="eastAsia" w:ascii="宋体" w:hAnsi="宋体"/>
          <w:color w:val="auto"/>
          <w:spacing w:val="7"/>
          <w:kern w:val="0"/>
          <w:sz w:val="24"/>
          <w:szCs w:val="24"/>
          <w:highlight w:val="none"/>
          <w:u w:val="single"/>
        </w:rPr>
        <w:t>1投标人不存在招标文件第二章“投标人须知”第1.4.3项规定的任何一种情形（根据《投标人声明》进行评审，投标人</w:t>
      </w:r>
      <w:r>
        <w:rPr>
          <w:rFonts w:ascii="宋体" w:hAnsi="宋体"/>
          <w:color w:val="auto"/>
          <w:spacing w:val="7"/>
          <w:kern w:val="0"/>
          <w:sz w:val="24"/>
          <w:szCs w:val="24"/>
          <w:highlight w:val="none"/>
          <w:u w:val="single"/>
        </w:rPr>
        <w:t>已</w:t>
      </w:r>
      <w:r>
        <w:rPr>
          <w:rFonts w:hint="eastAsia" w:ascii="宋体" w:hAnsi="宋体"/>
          <w:color w:val="auto"/>
          <w:spacing w:val="7"/>
          <w:kern w:val="0"/>
          <w:sz w:val="24"/>
          <w:szCs w:val="24"/>
          <w:highlight w:val="none"/>
          <w:u w:val="single"/>
        </w:rPr>
        <w:t>按《投标人声明》</w:t>
      </w:r>
      <w:r>
        <w:rPr>
          <w:rFonts w:hint="eastAsia" w:ascii="宋体" w:hAnsi="宋体"/>
          <w:color w:val="auto"/>
          <w:sz w:val="24"/>
          <w:szCs w:val="24"/>
          <w:highlight w:val="none"/>
          <w:u w:val="single"/>
        </w:rPr>
        <w:t>（格式见招标公告附件1）</w:t>
      </w:r>
      <w:r>
        <w:rPr>
          <w:rFonts w:hint="eastAsia" w:ascii="宋体" w:hAnsi="宋体"/>
          <w:color w:val="auto"/>
          <w:spacing w:val="7"/>
          <w:kern w:val="0"/>
          <w:sz w:val="24"/>
          <w:szCs w:val="24"/>
          <w:highlight w:val="none"/>
          <w:u w:val="single"/>
        </w:rPr>
        <w:t>规定的格式填写并加盖投标人公章）。</w:t>
      </w:r>
    </w:p>
    <w:p w14:paraId="2BFAAEE4">
      <w:pPr>
        <w:pageBreakBefore w:val="0"/>
        <w:kinsoku/>
        <w:wordWrap/>
        <w:overflowPunct/>
        <w:topLinePunct w:val="0"/>
        <w:autoSpaceDE w:val="0"/>
        <w:autoSpaceDN w:val="0"/>
        <w:bidi w:val="0"/>
        <w:adjustRightInd w:val="0"/>
        <w:spacing w:line="360" w:lineRule="auto"/>
        <w:ind w:left="0" w:leftChars="0" w:firstLine="508" w:firstLineChars="200"/>
        <w:textAlignment w:val="auto"/>
        <w:rPr>
          <w:rFonts w:hint="eastAsia" w:ascii="宋体" w:hAnsi="宋体" w:cs="宋体"/>
          <w:color w:val="auto"/>
          <w:sz w:val="24"/>
          <w:szCs w:val="24"/>
          <w:highlight w:val="none"/>
          <w:lang w:bidi="ar"/>
        </w:rPr>
      </w:pPr>
      <w:r>
        <w:rPr>
          <w:rFonts w:hint="eastAsia" w:ascii="宋体" w:hAnsi="宋体"/>
          <w:color w:val="auto"/>
          <w:spacing w:val="7"/>
          <w:kern w:val="0"/>
          <w:sz w:val="24"/>
          <w:szCs w:val="24"/>
          <w:highlight w:val="none"/>
          <w:u w:val="single"/>
        </w:rPr>
        <w:t>5</w:t>
      </w:r>
      <w:r>
        <w:rPr>
          <w:rFonts w:ascii="宋体" w:hAnsi="宋体"/>
          <w:color w:val="auto"/>
          <w:spacing w:val="7"/>
          <w:kern w:val="0"/>
          <w:sz w:val="24"/>
          <w:szCs w:val="24"/>
          <w:highlight w:val="none"/>
          <w:u w:val="single"/>
        </w:rPr>
        <w:t>.8.</w:t>
      </w:r>
      <w:r>
        <w:rPr>
          <w:rFonts w:hint="eastAsia" w:ascii="宋体" w:hAnsi="宋体"/>
          <w:color w:val="auto"/>
          <w:spacing w:val="7"/>
          <w:kern w:val="0"/>
          <w:sz w:val="24"/>
          <w:szCs w:val="24"/>
          <w:highlight w:val="none"/>
          <w:u w:val="single"/>
        </w:rPr>
        <w:t>2</w:t>
      </w:r>
      <w:r>
        <w:rPr>
          <w:rFonts w:ascii="宋体" w:hAnsi="宋体"/>
          <w:color w:val="auto"/>
          <w:spacing w:val="7"/>
          <w:kern w:val="0"/>
          <w:sz w:val="24"/>
          <w:szCs w:val="24"/>
          <w:highlight w:val="none"/>
          <w:u w:val="single"/>
        </w:rPr>
        <w:t xml:space="preserve"> </w:t>
      </w:r>
      <w:r>
        <w:rPr>
          <w:rFonts w:hint="eastAsia" w:ascii="宋体" w:hAnsi="宋体"/>
          <w:color w:val="auto"/>
          <w:spacing w:val="7"/>
          <w:kern w:val="0"/>
          <w:sz w:val="24"/>
          <w:szCs w:val="24"/>
          <w:highlight w:val="none"/>
          <w:u w:val="single"/>
        </w:rPr>
        <w:t>投标人未出现以下情形：与本项目其它投标人的单位负责人为同一人或者存在控股、管理关系的。</w:t>
      </w:r>
      <w:r>
        <w:rPr>
          <w:rFonts w:hint="eastAsia" w:ascii="宋体" w:hAnsi="宋体"/>
          <w:color w:val="auto"/>
          <w:sz w:val="24"/>
          <w:szCs w:val="24"/>
          <w:highlight w:val="none"/>
          <w:u w:val="single"/>
        </w:rPr>
        <w:t>（按投标人提供的《投标申请人声明》第六条内容进行评审）</w:t>
      </w:r>
      <w:r>
        <w:rPr>
          <w:rFonts w:hint="eastAsia" w:ascii="宋体" w:hAnsi="宋体" w:cs="宋体"/>
          <w:color w:val="auto"/>
          <w:sz w:val="24"/>
          <w:szCs w:val="24"/>
          <w:highlight w:val="none"/>
          <w:lang w:bidi="ar"/>
        </w:rPr>
        <w:t>。</w:t>
      </w:r>
    </w:p>
    <w:p w14:paraId="65B3C4D0">
      <w:pPr>
        <w:widowControl/>
        <w:numPr>
          <w:ilvl w:val="0"/>
          <w:numId w:val="1"/>
        </w:numPr>
        <w:autoSpaceDE w:val="0"/>
        <w:autoSpaceDN w:val="0"/>
        <w:adjustRightInd w:val="0"/>
        <w:spacing w:line="360" w:lineRule="auto"/>
        <w:ind w:left="0" w:leftChars="0" w:firstLine="508" w:firstLineChars="200"/>
        <w:jc w:val="left"/>
        <w:rPr>
          <w:rFonts w:hint="eastAsia" w:ascii="宋体" w:hAnsi="宋体" w:cs="Times New Roman"/>
          <w:b w:val="0"/>
          <w:bCs w:val="0"/>
          <w:color w:val="auto"/>
          <w:spacing w:val="7"/>
          <w:kern w:val="0"/>
          <w:sz w:val="24"/>
          <w:szCs w:val="24"/>
          <w:highlight w:val="none"/>
          <w:u w:val="single"/>
        </w:rPr>
      </w:pPr>
      <w:r>
        <w:rPr>
          <w:rFonts w:hint="eastAsia" w:ascii="宋体" w:hAnsi="宋体"/>
          <w:color w:val="auto"/>
          <w:spacing w:val="7"/>
          <w:kern w:val="0"/>
          <w:sz w:val="24"/>
          <w:szCs w:val="24"/>
          <w:highlight w:val="none"/>
          <w:u w:val="single"/>
        </w:rPr>
        <w:t>5</w:t>
      </w:r>
      <w:r>
        <w:rPr>
          <w:rFonts w:ascii="宋体" w:hAnsi="宋体"/>
          <w:color w:val="auto"/>
          <w:spacing w:val="7"/>
          <w:kern w:val="0"/>
          <w:sz w:val="24"/>
          <w:szCs w:val="24"/>
          <w:highlight w:val="none"/>
          <w:u w:val="single"/>
        </w:rPr>
        <w:t>.8.</w:t>
      </w:r>
      <w:r>
        <w:rPr>
          <w:rFonts w:hint="eastAsia" w:ascii="宋体" w:hAnsi="宋体"/>
          <w:color w:val="auto"/>
          <w:spacing w:val="7"/>
          <w:kern w:val="0"/>
          <w:sz w:val="24"/>
          <w:szCs w:val="24"/>
          <w:highlight w:val="none"/>
          <w:u w:val="single"/>
          <w:lang w:val="en-US" w:eastAsia="zh-CN"/>
        </w:rPr>
        <w:t xml:space="preserve">3 </w:t>
      </w:r>
      <w:r>
        <w:rPr>
          <w:rFonts w:hint="eastAsia" w:ascii="宋体" w:hAnsi="宋体" w:cs="Times New Roman"/>
          <w:b w:val="0"/>
          <w:bCs w:val="0"/>
          <w:color w:val="auto"/>
          <w:spacing w:val="7"/>
          <w:kern w:val="0"/>
          <w:sz w:val="24"/>
          <w:szCs w:val="24"/>
          <w:highlight w:val="none"/>
          <w:u w:val="single"/>
        </w:rPr>
        <w:t>设计服务人员配备要求表</w:t>
      </w:r>
      <w:r>
        <w:rPr>
          <w:rFonts w:hint="eastAsia" w:ascii="宋体" w:hAnsi="宋体" w:cs="Times New Roman"/>
          <w:b w:val="0"/>
          <w:bCs w:val="0"/>
          <w:color w:val="auto"/>
          <w:spacing w:val="7"/>
          <w:kern w:val="0"/>
          <w:sz w:val="24"/>
          <w:szCs w:val="24"/>
          <w:highlight w:val="none"/>
          <w:u w:val="single"/>
          <w:lang w:eastAsia="zh-CN"/>
        </w:rPr>
        <w:t>：</w:t>
      </w:r>
      <w:r>
        <w:rPr>
          <w:rFonts w:hint="eastAsia" w:ascii="宋体" w:hAnsi="宋体" w:eastAsia="宋体" w:cs="Times New Roman"/>
          <w:color w:val="auto"/>
          <w:spacing w:val="7"/>
          <w:kern w:val="0"/>
          <w:sz w:val="24"/>
          <w:szCs w:val="24"/>
          <w:highlight w:val="none"/>
          <w:u w:val="single"/>
          <w:lang w:val="en-US" w:eastAsia="zh-CN"/>
        </w:rPr>
        <w:t>满足</w:t>
      </w:r>
      <w:r>
        <w:rPr>
          <w:rFonts w:hint="eastAsia" w:ascii="宋体" w:hAnsi="宋体" w:cs="Times New Roman"/>
          <w:color w:val="auto"/>
          <w:spacing w:val="7"/>
          <w:kern w:val="0"/>
          <w:sz w:val="24"/>
          <w:szCs w:val="24"/>
          <w:highlight w:val="none"/>
          <w:u w:val="single"/>
          <w:lang w:val="en-US" w:eastAsia="zh-CN"/>
        </w:rPr>
        <w:t>发包人要求中的</w:t>
      </w:r>
      <w:r>
        <w:rPr>
          <w:rFonts w:hint="eastAsia" w:ascii="宋体" w:hAnsi="宋体" w:eastAsia="宋体" w:cs="Times New Roman"/>
          <w:color w:val="auto"/>
          <w:spacing w:val="7"/>
          <w:kern w:val="0"/>
          <w:sz w:val="24"/>
          <w:szCs w:val="24"/>
          <w:highlight w:val="none"/>
          <w:u w:val="single"/>
          <w:lang w:eastAsia="zh-CN"/>
        </w:rPr>
        <w:t>设计服务人员配备要求表</w:t>
      </w:r>
      <w:r>
        <w:rPr>
          <w:rFonts w:hint="eastAsia" w:ascii="宋体" w:hAnsi="宋体" w:eastAsia="宋体" w:cs="Times New Roman"/>
          <w:color w:val="auto"/>
          <w:spacing w:val="7"/>
          <w:kern w:val="0"/>
          <w:sz w:val="24"/>
          <w:szCs w:val="24"/>
          <w:highlight w:val="none"/>
          <w:u w:val="single"/>
          <w:lang w:val="en-US" w:eastAsia="zh-CN"/>
        </w:rPr>
        <w:t>的人员最低配备要求</w:t>
      </w:r>
      <w:r>
        <w:rPr>
          <w:rFonts w:hint="eastAsia" w:ascii="宋体" w:hAnsi="宋体" w:cs="Times New Roman"/>
          <w:color w:val="auto"/>
          <w:spacing w:val="7"/>
          <w:kern w:val="0"/>
          <w:sz w:val="24"/>
          <w:szCs w:val="24"/>
          <w:highlight w:val="none"/>
          <w:u w:val="single"/>
          <w:lang w:val="en-US" w:eastAsia="zh-CN"/>
        </w:rPr>
        <w:t>。</w:t>
      </w:r>
    </w:p>
    <w:p w14:paraId="1B14ECE0">
      <w:pPr>
        <w:pageBreakBefore w:val="0"/>
        <w:kinsoku/>
        <w:wordWrap/>
        <w:overflowPunct/>
        <w:topLinePunct w:val="0"/>
        <w:autoSpaceDE w:val="0"/>
        <w:autoSpaceDN w:val="0"/>
        <w:bidi w:val="0"/>
        <w:adjustRightInd w:val="0"/>
        <w:spacing w:line="360" w:lineRule="auto"/>
        <w:ind w:left="0" w:leftChars="0" w:firstLine="480" w:firstLineChars="200"/>
        <w:textAlignment w:val="auto"/>
        <w:rPr>
          <w:rFonts w:hint="eastAsia" w:ascii="宋体" w:hAnsi="宋体" w:cs="宋体"/>
          <w:color w:val="auto"/>
          <w:sz w:val="24"/>
          <w:szCs w:val="24"/>
          <w:highlight w:val="none"/>
          <w:lang w:bidi="ar"/>
        </w:rPr>
      </w:pPr>
    </w:p>
    <w:p w14:paraId="5738FA7F">
      <w:pPr>
        <w:pStyle w:val="3"/>
        <w:pageBreakBefore w:val="0"/>
        <w:kinsoku/>
        <w:wordWrap/>
        <w:overflowPunct/>
        <w:topLinePunct w:val="0"/>
        <w:bidi w:val="0"/>
        <w:spacing w:before="0" w:after="0" w:line="360" w:lineRule="auto"/>
        <w:ind w:left="0" w:leftChars="0"/>
        <w:textAlignment w:val="auto"/>
        <w:rPr>
          <w:rFonts w:hint="eastAsia" w:ascii="宋体" w:hAnsi="宋体"/>
          <w:b/>
          <w:color w:val="auto"/>
          <w:spacing w:val="1"/>
          <w:sz w:val="32"/>
          <w:highlight w:val="none"/>
        </w:rPr>
      </w:pPr>
      <w:bookmarkStart w:id="8" w:name="_Toc25072051"/>
      <w:r>
        <w:rPr>
          <w:rFonts w:hint="eastAsia" w:ascii="宋体" w:hAnsi="宋体"/>
          <w:b/>
          <w:color w:val="auto"/>
          <w:spacing w:val="1"/>
          <w:sz w:val="32"/>
          <w:highlight w:val="none"/>
        </w:rPr>
        <w:t>6.未中标单位经济补偿及补偿金额：</w:t>
      </w:r>
    </w:p>
    <w:p w14:paraId="57C7A9F9">
      <w:pPr>
        <w:pageBreakBefore w:val="0"/>
        <w:widowControl/>
        <w:tabs>
          <w:tab w:val="left" w:pos="105"/>
        </w:tabs>
        <w:kinsoku/>
        <w:wordWrap/>
        <w:overflowPunct/>
        <w:topLinePunct w:val="0"/>
        <w:bidi w:val="0"/>
        <w:snapToGrid w:val="0"/>
        <w:spacing w:line="360" w:lineRule="auto"/>
        <w:ind w:left="0" w:leftChars="0" w:firstLine="480" w:firstLineChars="200"/>
        <w:jc w:val="left"/>
        <w:textAlignment w:val="auto"/>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6.1设计投标经济补偿按6.1.</w:t>
      </w:r>
      <w:r>
        <w:rPr>
          <w:rFonts w:ascii="宋体" w:hAnsi="宋体" w:cs="宋体"/>
          <w:color w:val="auto"/>
          <w:kern w:val="0"/>
          <w:sz w:val="24"/>
          <w:szCs w:val="24"/>
          <w:highlight w:val="none"/>
          <w:u w:val="single"/>
        </w:rPr>
        <w:t>2</w:t>
      </w:r>
      <w:r>
        <w:rPr>
          <w:rFonts w:hint="eastAsia" w:ascii="宋体" w:hAnsi="宋体" w:cs="宋体"/>
          <w:color w:val="auto"/>
          <w:kern w:val="0"/>
          <w:sz w:val="24"/>
          <w:szCs w:val="24"/>
          <w:highlight w:val="none"/>
          <w:u w:val="single"/>
        </w:rPr>
        <w:t>方式执行</w:t>
      </w:r>
    </w:p>
    <w:p w14:paraId="22A3788B">
      <w:pPr>
        <w:pageBreakBefore w:val="0"/>
        <w:widowControl/>
        <w:tabs>
          <w:tab w:val="left" w:pos="105"/>
        </w:tabs>
        <w:kinsoku/>
        <w:wordWrap/>
        <w:overflowPunct/>
        <w:topLinePunct w:val="0"/>
        <w:bidi w:val="0"/>
        <w:snapToGrid w:val="0"/>
        <w:spacing w:line="360" w:lineRule="auto"/>
        <w:ind w:left="0" w:leftChars="0" w:firstLine="480" w:firstLineChars="200"/>
        <w:jc w:val="left"/>
        <w:textAlignment w:val="auto"/>
        <w:rPr>
          <w:rFonts w:ascii="宋体" w:hAnsi="宋体" w:cs="宋体"/>
          <w:strike/>
          <w:color w:val="auto"/>
          <w:kern w:val="0"/>
          <w:sz w:val="24"/>
          <w:szCs w:val="24"/>
          <w:highlight w:val="none"/>
          <w:u w:val="single"/>
        </w:rPr>
      </w:pPr>
      <w:r>
        <w:rPr>
          <w:rFonts w:hint="eastAsia" w:ascii="宋体" w:hAnsi="宋体" w:cs="宋体"/>
          <w:strike/>
          <w:color w:val="auto"/>
          <w:kern w:val="0"/>
          <w:sz w:val="24"/>
          <w:szCs w:val="24"/>
          <w:highlight w:val="none"/>
          <w:u w:val="single"/>
        </w:rPr>
        <w:t>6.1.1本工程不设投标补偿，投标费用由投标人自理（包括但不限于未中标的投标单位的设计方案，初步设计的设计费用等）；</w:t>
      </w:r>
    </w:p>
    <w:p w14:paraId="52676B0F">
      <w:pPr>
        <w:pageBreakBefore w:val="0"/>
        <w:widowControl/>
        <w:tabs>
          <w:tab w:val="left" w:pos="105"/>
        </w:tabs>
        <w:kinsoku/>
        <w:wordWrap/>
        <w:overflowPunct/>
        <w:topLinePunct w:val="0"/>
        <w:bidi w:val="0"/>
        <w:snapToGrid w:val="0"/>
        <w:spacing w:line="360" w:lineRule="auto"/>
        <w:ind w:left="0" w:leftChars="0" w:firstLine="480" w:firstLineChars="200"/>
        <w:jc w:val="left"/>
        <w:textAlignment w:val="auto"/>
        <w:rPr>
          <w:rFonts w:hint="eastAsia"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6.1.2设计投标经济补偿分配办法如下：</w:t>
      </w:r>
    </w:p>
    <w:p w14:paraId="5880A743">
      <w:pPr>
        <w:pStyle w:val="47"/>
        <w:pageBreakBefore w:val="0"/>
        <w:kinsoku/>
        <w:wordWrap/>
        <w:overflowPunct/>
        <w:topLinePunct w:val="0"/>
        <w:bidi w:val="0"/>
        <w:spacing w:line="360" w:lineRule="auto"/>
        <w:ind w:left="0" w:leftChars="0" w:firstLine="54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本工程设未中标单位经济补偿。中标价=工程方案设计及初步设计费总额+未中标单位经济补偿总额（未中标单位经济补偿包含在中标价内），中标人在收到招标人的第一笔预付款后分别向未中标单位支付经济补偿（含税金等）：</w:t>
      </w:r>
    </w:p>
    <w:p w14:paraId="0DD651F4">
      <w:pPr>
        <w:pStyle w:val="47"/>
        <w:pageBreakBefore w:val="0"/>
        <w:kinsoku/>
        <w:wordWrap/>
        <w:overflowPunct/>
        <w:topLinePunct w:val="0"/>
        <w:bidi w:val="0"/>
        <w:spacing w:line="360" w:lineRule="auto"/>
        <w:ind w:left="0" w:leftChars="0" w:firstLine="54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评审入围的每名投标人</w:t>
      </w:r>
      <w:r>
        <w:rPr>
          <w:rFonts w:ascii="宋体" w:hAnsi="宋体" w:eastAsia="宋体" w:cs="宋体"/>
          <w:color w:val="auto"/>
          <w:sz w:val="24"/>
          <w:szCs w:val="24"/>
          <w:highlight w:val="none"/>
          <w:u w:val="single"/>
        </w:rPr>
        <w:t>500</w:t>
      </w:r>
      <w:r>
        <w:rPr>
          <w:rFonts w:hint="eastAsia" w:ascii="宋体" w:hAnsi="宋体" w:eastAsia="宋体" w:cs="宋体"/>
          <w:color w:val="auto"/>
          <w:sz w:val="24"/>
          <w:szCs w:val="24"/>
          <w:highlight w:val="none"/>
          <w:u w:val="single"/>
        </w:rPr>
        <w:t>元。</w:t>
      </w:r>
    </w:p>
    <w:p w14:paraId="5562197D">
      <w:pPr>
        <w:pStyle w:val="47"/>
        <w:pageBreakBefore w:val="0"/>
        <w:kinsoku/>
        <w:wordWrap/>
        <w:overflowPunct/>
        <w:topLinePunct w:val="0"/>
        <w:bidi w:val="0"/>
        <w:spacing w:line="360" w:lineRule="auto"/>
        <w:ind w:left="0" w:leftChars="0" w:firstLine="54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其余投标人费用自理。</w:t>
      </w:r>
    </w:p>
    <w:p w14:paraId="253DD8EB">
      <w:pPr>
        <w:pStyle w:val="47"/>
        <w:pageBreakBefore w:val="0"/>
        <w:kinsoku/>
        <w:wordWrap/>
        <w:overflowPunct/>
        <w:topLinePunct w:val="0"/>
        <w:bidi w:val="0"/>
        <w:spacing w:line="360" w:lineRule="auto"/>
        <w:ind w:left="0" w:leftChars="0" w:firstLine="54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注：1.如果招标失败，则当次不向未中标单位支付经济补偿。</w:t>
      </w:r>
    </w:p>
    <w:p w14:paraId="2569C21D">
      <w:pPr>
        <w:pStyle w:val="47"/>
        <w:pageBreakBefore w:val="0"/>
        <w:kinsoku/>
        <w:wordWrap/>
        <w:overflowPunct/>
        <w:topLinePunct w:val="0"/>
        <w:bidi w:val="0"/>
        <w:spacing w:line="360" w:lineRule="auto"/>
        <w:ind w:left="0" w:leftChars="0" w:firstLine="54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2.招标人和中标人有权在实施方案中参考使用获得经济补偿的所有投标方案成果的部分内容。</w:t>
      </w:r>
    </w:p>
    <w:p w14:paraId="1D19A08E">
      <w:pPr>
        <w:pStyle w:val="47"/>
        <w:pageBreakBefore w:val="0"/>
        <w:kinsoku/>
        <w:wordWrap/>
        <w:overflowPunct/>
        <w:topLinePunct w:val="0"/>
        <w:bidi w:val="0"/>
        <w:spacing w:line="360" w:lineRule="auto"/>
        <w:ind w:left="0" w:leftChars="0" w:firstLine="54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3.对未通过资格审查或出现废标情形的投标人，不给予投标经济补偿。</w:t>
      </w:r>
    </w:p>
    <w:bookmarkEnd w:id="8"/>
    <w:p w14:paraId="71F4A577">
      <w:pPr>
        <w:pStyle w:val="3"/>
        <w:pageBreakBefore w:val="0"/>
        <w:kinsoku/>
        <w:wordWrap/>
        <w:overflowPunct/>
        <w:topLinePunct w:val="0"/>
        <w:bidi w:val="0"/>
        <w:spacing w:before="0" w:after="0" w:line="360" w:lineRule="auto"/>
        <w:ind w:left="0" w:leftChars="0"/>
        <w:textAlignment w:val="auto"/>
        <w:rPr>
          <w:rFonts w:hint="eastAsia" w:ascii="宋体" w:hAnsi="宋体"/>
          <w:b/>
          <w:color w:val="auto"/>
          <w:spacing w:val="1"/>
          <w:sz w:val="32"/>
          <w:highlight w:val="none"/>
        </w:rPr>
      </w:pPr>
      <w:bookmarkStart w:id="9" w:name="_Toc25072052"/>
      <w:r>
        <w:rPr>
          <w:rFonts w:hint="eastAsia" w:ascii="宋体" w:hAnsi="宋体"/>
          <w:b/>
          <w:color w:val="auto"/>
          <w:spacing w:val="1"/>
          <w:sz w:val="32"/>
          <w:highlight w:val="none"/>
        </w:rPr>
        <w:t>7.</w:t>
      </w:r>
      <w:r>
        <w:rPr>
          <w:rFonts w:ascii="宋体" w:hAnsi="宋体"/>
          <w:b/>
          <w:color w:val="auto"/>
          <w:spacing w:val="1"/>
          <w:sz w:val="32"/>
          <w:highlight w:val="none"/>
        </w:rPr>
        <w:t>发布招标公告、招标文件获取</w:t>
      </w:r>
      <w:r>
        <w:rPr>
          <w:rFonts w:hint="eastAsia" w:ascii="宋体" w:hAnsi="宋体"/>
          <w:b/>
          <w:color w:val="auto"/>
          <w:spacing w:val="1"/>
          <w:sz w:val="32"/>
          <w:highlight w:val="none"/>
        </w:rPr>
        <w:t>：</w:t>
      </w:r>
      <w:bookmarkEnd w:id="9"/>
    </w:p>
    <w:p w14:paraId="005A5116">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kern w:val="0"/>
          <w:sz w:val="24"/>
          <w:highlight w:val="none"/>
        </w:rPr>
      </w:pPr>
      <w:r>
        <w:rPr>
          <w:rFonts w:hint="eastAsia" w:ascii="宋体" w:hAnsi="宋体"/>
          <w:color w:val="auto"/>
          <w:kern w:val="0"/>
          <w:sz w:val="24"/>
          <w:highlight w:val="none"/>
        </w:rPr>
        <w:t>7.1  发布招标公告时间（含本日）：</w:t>
      </w:r>
      <w:r>
        <w:rPr>
          <w:rFonts w:hint="eastAsia" w:ascii="宋体" w:hAnsi="宋体"/>
          <w:color w:val="auto"/>
          <w:kern w:val="0"/>
          <w:sz w:val="24"/>
          <w:highlight w:val="none"/>
          <w:u w:val="single"/>
          <w:lang w:val="en-US" w:eastAsia="zh-CN"/>
        </w:rPr>
        <w:t>2025</w:t>
      </w:r>
      <w:r>
        <w:rPr>
          <w:rFonts w:hint="eastAsia" w:ascii="宋体" w:hAnsi="宋体"/>
          <w:color w:val="auto"/>
          <w:kern w:val="0"/>
          <w:sz w:val="24"/>
          <w:highlight w:val="none"/>
          <w:u w:val="single"/>
        </w:rPr>
        <w:t>年</w:t>
      </w:r>
      <w:r>
        <w:rPr>
          <w:rFonts w:ascii="宋体" w:hAnsi="宋体"/>
          <w:color w:val="auto"/>
          <w:kern w:val="0"/>
          <w:sz w:val="24"/>
          <w:highlight w:val="none"/>
          <w:u w:val="single"/>
        </w:rPr>
        <w:t xml:space="preserve">  </w:t>
      </w:r>
      <w:r>
        <w:rPr>
          <w:rFonts w:hint="eastAsia" w:ascii="宋体" w:hAnsi="宋体"/>
          <w:color w:val="auto"/>
          <w:kern w:val="0"/>
          <w:sz w:val="24"/>
          <w:highlight w:val="none"/>
          <w:u w:val="single"/>
        </w:rPr>
        <w:t>月</w:t>
      </w:r>
      <w:r>
        <w:rPr>
          <w:rFonts w:ascii="宋体" w:hAnsi="宋体"/>
          <w:color w:val="auto"/>
          <w:kern w:val="0"/>
          <w:sz w:val="24"/>
          <w:highlight w:val="none"/>
          <w:u w:val="single"/>
        </w:rPr>
        <w:t xml:space="preserve">  </w:t>
      </w:r>
      <w:r>
        <w:rPr>
          <w:rFonts w:hint="eastAsia" w:ascii="宋体" w:hAnsi="宋体"/>
          <w:color w:val="auto"/>
          <w:kern w:val="0"/>
          <w:sz w:val="24"/>
          <w:highlight w:val="none"/>
          <w:u w:val="single"/>
        </w:rPr>
        <w:t>日00时00分至20</w:t>
      </w:r>
      <w:r>
        <w:rPr>
          <w:rFonts w:ascii="宋体" w:hAnsi="宋体"/>
          <w:color w:val="auto"/>
          <w:kern w:val="0"/>
          <w:sz w:val="24"/>
          <w:highlight w:val="none"/>
          <w:u w:val="single"/>
        </w:rPr>
        <w:t xml:space="preserve">  </w:t>
      </w:r>
      <w:r>
        <w:rPr>
          <w:rFonts w:hint="eastAsia" w:ascii="宋体" w:hAnsi="宋体"/>
          <w:color w:val="auto"/>
          <w:kern w:val="0"/>
          <w:sz w:val="24"/>
          <w:highlight w:val="none"/>
          <w:u w:val="single"/>
        </w:rPr>
        <w:t>年</w:t>
      </w:r>
      <w:r>
        <w:rPr>
          <w:rFonts w:ascii="宋体" w:hAnsi="宋体"/>
          <w:color w:val="auto"/>
          <w:kern w:val="0"/>
          <w:sz w:val="24"/>
          <w:highlight w:val="none"/>
          <w:u w:val="single"/>
        </w:rPr>
        <w:t xml:space="preserve">  </w:t>
      </w:r>
      <w:r>
        <w:rPr>
          <w:rFonts w:hint="eastAsia" w:ascii="宋体" w:hAnsi="宋体"/>
          <w:color w:val="auto"/>
          <w:kern w:val="0"/>
          <w:sz w:val="24"/>
          <w:highlight w:val="none"/>
          <w:u w:val="single"/>
        </w:rPr>
        <w:t>月</w:t>
      </w:r>
      <w:r>
        <w:rPr>
          <w:rFonts w:ascii="宋体" w:hAnsi="宋体"/>
          <w:color w:val="auto"/>
          <w:kern w:val="0"/>
          <w:sz w:val="24"/>
          <w:highlight w:val="none"/>
          <w:u w:val="single"/>
        </w:rPr>
        <w:t xml:space="preserve">  </w:t>
      </w:r>
      <w:r>
        <w:rPr>
          <w:rFonts w:hint="eastAsia" w:ascii="宋体" w:hAnsi="宋体"/>
          <w:color w:val="auto"/>
          <w:kern w:val="0"/>
          <w:sz w:val="24"/>
          <w:highlight w:val="none"/>
          <w:u w:val="single"/>
        </w:rPr>
        <w:t>日</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u w:val="single"/>
        </w:rPr>
        <w:t>时分</w:t>
      </w:r>
      <w:r>
        <w:rPr>
          <w:rFonts w:hint="eastAsia" w:ascii="宋体" w:hAnsi="宋体"/>
          <w:color w:val="auto"/>
          <w:kern w:val="0"/>
          <w:sz w:val="24"/>
          <w:highlight w:val="none"/>
        </w:rPr>
        <w:t>。（北京时间，下同）</w:t>
      </w:r>
    </w:p>
    <w:p w14:paraId="08A37270">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kern w:val="0"/>
          <w:sz w:val="24"/>
          <w:highlight w:val="none"/>
        </w:rPr>
      </w:pPr>
      <w:r>
        <w:rPr>
          <w:rFonts w:hint="eastAsia" w:ascii="宋体" w:hAnsi="宋体"/>
          <w:color w:val="auto"/>
          <w:kern w:val="0"/>
          <w:sz w:val="24"/>
          <w:highlight w:val="none"/>
        </w:rPr>
        <w:t>注：发布招标公告的时间为招标公告发出之日起至递交投标文件截止时间止。</w:t>
      </w:r>
    </w:p>
    <w:p w14:paraId="0E0AD154">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kern w:val="0"/>
          <w:sz w:val="24"/>
          <w:highlight w:val="none"/>
        </w:rPr>
      </w:pPr>
      <w:r>
        <w:rPr>
          <w:rFonts w:hint="eastAsia" w:ascii="宋体" w:hAnsi="宋体"/>
          <w:color w:val="auto"/>
          <w:kern w:val="0"/>
          <w:sz w:val="24"/>
          <w:highlight w:val="none"/>
        </w:rPr>
        <w:t>凡有意参加投标者，请于</w:t>
      </w:r>
      <w:r>
        <w:rPr>
          <w:rFonts w:hint="eastAsia" w:ascii="宋体" w:hAnsi="宋体"/>
          <w:color w:val="auto"/>
          <w:kern w:val="0"/>
          <w:sz w:val="24"/>
          <w:highlight w:val="none"/>
          <w:u w:val="single"/>
          <w:lang w:eastAsia="zh-CN"/>
        </w:rPr>
        <w:t>2025</w:t>
      </w:r>
      <w:r>
        <w:rPr>
          <w:rFonts w:hint="eastAsia" w:ascii="宋体" w:hAnsi="宋体"/>
          <w:color w:val="auto"/>
          <w:kern w:val="0"/>
          <w:sz w:val="24"/>
          <w:highlight w:val="none"/>
          <w:u w:val="single"/>
        </w:rPr>
        <w:t>年</w:t>
      </w:r>
      <w:r>
        <w:rPr>
          <w:rFonts w:ascii="宋体" w:hAnsi="宋体"/>
          <w:color w:val="auto"/>
          <w:kern w:val="0"/>
          <w:sz w:val="24"/>
          <w:highlight w:val="none"/>
          <w:u w:val="single"/>
        </w:rPr>
        <w:t xml:space="preserve">  </w:t>
      </w:r>
      <w:r>
        <w:rPr>
          <w:rFonts w:hint="eastAsia" w:ascii="宋体" w:hAnsi="宋体"/>
          <w:color w:val="auto"/>
          <w:kern w:val="0"/>
          <w:sz w:val="24"/>
          <w:highlight w:val="none"/>
          <w:u w:val="single"/>
        </w:rPr>
        <w:t>月</w:t>
      </w:r>
      <w:r>
        <w:rPr>
          <w:rFonts w:ascii="宋体" w:hAnsi="宋体"/>
          <w:color w:val="auto"/>
          <w:kern w:val="0"/>
          <w:sz w:val="24"/>
          <w:highlight w:val="none"/>
          <w:u w:val="single"/>
        </w:rPr>
        <w:t xml:space="preserve">  </w:t>
      </w:r>
      <w:r>
        <w:rPr>
          <w:rFonts w:hint="eastAsia" w:ascii="宋体" w:hAnsi="宋体"/>
          <w:color w:val="auto"/>
          <w:kern w:val="0"/>
          <w:sz w:val="24"/>
          <w:highlight w:val="none"/>
          <w:u w:val="single"/>
        </w:rPr>
        <w:t>日00时00分至</w:t>
      </w:r>
      <w:r>
        <w:rPr>
          <w:rFonts w:hint="eastAsia" w:ascii="宋体" w:hAnsi="宋体"/>
          <w:color w:val="auto"/>
          <w:kern w:val="0"/>
          <w:sz w:val="24"/>
          <w:highlight w:val="none"/>
          <w:u w:val="single"/>
          <w:lang w:eastAsia="zh-CN"/>
        </w:rPr>
        <w:t>2025</w:t>
      </w:r>
      <w:r>
        <w:rPr>
          <w:rFonts w:hint="eastAsia" w:ascii="宋体" w:hAnsi="宋体"/>
          <w:color w:val="auto"/>
          <w:kern w:val="0"/>
          <w:sz w:val="24"/>
          <w:highlight w:val="none"/>
          <w:u w:val="single"/>
        </w:rPr>
        <w:t>年</w:t>
      </w:r>
      <w:r>
        <w:rPr>
          <w:rFonts w:ascii="宋体" w:hAnsi="宋体"/>
          <w:color w:val="auto"/>
          <w:kern w:val="0"/>
          <w:sz w:val="24"/>
          <w:highlight w:val="none"/>
          <w:u w:val="single"/>
        </w:rPr>
        <w:t xml:space="preserve">  </w:t>
      </w:r>
      <w:r>
        <w:rPr>
          <w:rFonts w:hint="eastAsia" w:ascii="宋体" w:hAnsi="宋体"/>
          <w:color w:val="auto"/>
          <w:kern w:val="0"/>
          <w:sz w:val="24"/>
          <w:highlight w:val="none"/>
          <w:u w:val="single"/>
        </w:rPr>
        <w:t>月</w:t>
      </w:r>
      <w:r>
        <w:rPr>
          <w:rFonts w:ascii="宋体" w:hAnsi="宋体"/>
          <w:color w:val="auto"/>
          <w:kern w:val="0"/>
          <w:sz w:val="24"/>
          <w:highlight w:val="none"/>
          <w:u w:val="single"/>
        </w:rPr>
        <w:t xml:space="preserve">  </w:t>
      </w:r>
      <w:r>
        <w:rPr>
          <w:rFonts w:hint="eastAsia" w:ascii="宋体" w:hAnsi="宋体"/>
          <w:color w:val="auto"/>
          <w:kern w:val="0"/>
          <w:sz w:val="24"/>
          <w:highlight w:val="none"/>
          <w:u w:val="single"/>
        </w:rPr>
        <w:t>日</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u w:val="single"/>
        </w:rPr>
        <w:t>时分</w:t>
      </w:r>
      <w:r>
        <w:rPr>
          <w:rFonts w:hint="eastAsia" w:ascii="宋体" w:hAnsi="宋体"/>
          <w:color w:val="auto"/>
          <w:kern w:val="0"/>
          <w:sz w:val="24"/>
          <w:highlight w:val="none"/>
        </w:rPr>
        <w:t>。(北京时间，下同)，登录广州交易集团有限公司（广州公共资源交易中心）网站（http//www.gzggzy.cn）下载电子招标文件。</w:t>
      </w:r>
    </w:p>
    <w:p w14:paraId="43AC4AB6">
      <w:pPr>
        <w:pageBreakBefore w:val="0"/>
        <w:kinsoku/>
        <w:wordWrap/>
        <w:overflowPunct/>
        <w:topLinePunct w:val="0"/>
        <w:bidi w:val="0"/>
        <w:spacing w:line="360" w:lineRule="auto"/>
        <w:ind w:left="0" w:leftChars="0" w:firstLine="480" w:firstLineChars="200"/>
        <w:jc w:val="left"/>
        <w:textAlignment w:val="auto"/>
        <w:rPr>
          <w:rFonts w:ascii="宋体" w:hAnsi="宋体"/>
          <w:color w:val="auto"/>
          <w:kern w:val="0"/>
          <w:sz w:val="24"/>
          <w:highlight w:val="none"/>
        </w:rPr>
      </w:pPr>
      <w:r>
        <w:rPr>
          <w:rFonts w:hint="eastAsia" w:ascii="宋体" w:hAnsi="宋体"/>
          <w:color w:val="auto"/>
          <w:kern w:val="0"/>
          <w:sz w:val="24"/>
          <w:highlight w:val="none"/>
        </w:rPr>
        <w:t>7.2  本项目招标文件随招标公告一并在</w:t>
      </w:r>
      <w:r>
        <w:rPr>
          <w:rFonts w:hint="eastAsia" w:ascii="宋体" w:hAnsi="宋体" w:cs="仿宋_GB2312"/>
          <w:color w:val="auto"/>
          <w:sz w:val="24"/>
          <w:highlight w:val="none"/>
        </w:rPr>
        <w:t>广州交易集团有限公司（广州公共资源交易中心）</w:t>
      </w:r>
      <w:r>
        <w:rPr>
          <w:rFonts w:hint="eastAsia" w:ascii="宋体" w:hAnsi="宋体"/>
          <w:color w:val="auto"/>
          <w:kern w:val="0"/>
          <w:sz w:val="24"/>
          <w:highlight w:val="none"/>
        </w:rPr>
        <w:t>网站发布。招标文件一经在广州交易集团有限公司（广州公共资源交易中心）发布，视为送达给投标人，招标文件由投标人自行在</w:t>
      </w:r>
      <w:r>
        <w:rPr>
          <w:rFonts w:hint="eastAsia" w:ascii="宋体" w:hAnsi="宋体" w:cs="仿宋_GB2312"/>
          <w:color w:val="auto"/>
          <w:sz w:val="24"/>
          <w:highlight w:val="none"/>
        </w:rPr>
        <w:t>广州交易集团有限公司（广州公共资源交易中心）</w:t>
      </w:r>
      <w:r>
        <w:rPr>
          <w:rFonts w:hint="eastAsia" w:ascii="宋体" w:hAnsi="宋体"/>
          <w:color w:val="auto"/>
          <w:kern w:val="0"/>
          <w:sz w:val="24"/>
          <w:highlight w:val="none"/>
        </w:rPr>
        <w:t>网站下载。</w:t>
      </w:r>
    </w:p>
    <w:p w14:paraId="18215F86">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kern w:val="0"/>
          <w:sz w:val="24"/>
          <w:highlight w:val="none"/>
        </w:rPr>
      </w:pPr>
      <w:r>
        <w:rPr>
          <w:rFonts w:hint="eastAsia" w:ascii="宋体" w:hAnsi="宋体"/>
          <w:color w:val="auto"/>
          <w:kern w:val="0"/>
          <w:sz w:val="24"/>
          <w:highlight w:val="none"/>
        </w:rPr>
        <w:t>7.3  本项目采用资格后审方式，由评标委员会负责资格审查。</w:t>
      </w:r>
    </w:p>
    <w:p w14:paraId="218ED3AA">
      <w:pPr>
        <w:pStyle w:val="3"/>
        <w:pageBreakBefore w:val="0"/>
        <w:kinsoku/>
        <w:wordWrap/>
        <w:overflowPunct/>
        <w:topLinePunct w:val="0"/>
        <w:bidi w:val="0"/>
        <w:spacing w:before="0" w:after="0" w:line="360" w:lineRule="auto"/>
        <w:ind w:left="0" w:leftChars="0"/>
        <w:textAlignment w:val="auto"/>
        <w:rPr>
          <w:rFonts w:ascii="宋体" w:hAnsi="宋体"/>
          <w:b/>
          <w:color w:val="auto"/>
          <w:spacing w:val="1"/>
          <w:sz w:val="32"/>
          <w:highlight w:val="none"/>
        </w:rPr>
      </w:pPr>
      <w:bookmarkStart w:id="10" w:name="_Toc25072053"/>
      <w:r>
        <w:rPr>
          <w:rFonts w:hint="eastAsia" w:ascii="宋体" w:hAnsi="宋体"/>
          <w:b/>
          <w:color w:val="auto"/>
          <w:spacing w:val="1"/>
          <w:sz w:val="32"/>
          <w:highlight w:val="none"/>
        </w:rPr>
        <w:t>8.</w:t>
      </w:r>
      <w:r>
        <w:rPr>
          <w:rFonts w:ascii="宋体" w:hAnsi="宋体"/>
          <w:b/>
          <w:color w:val="auto"/>
          <w:spacing w:val="1"/>
          <w:sz w:val="32"/>
          <w:highlight w:val="none"/>
        </w:rPr>
        <w:t>递交投标文件时间、开标时间及办理投标登记</w:t>
      </w:r>
      <w:r>
        <w:rPr>
          <w:rFonts w:hint="eastAsia" w:ascii="宋体" w:hAnsi="宋体"/>
          <w:b/>
          <w:color w:val="auto"/>
          <w:spacing w:val="1"/>
          <w:sz w:val="32"/>
          <w:highlight w:val="none"/>
        </w:rPr>
        <w:t>手续：</w:t>
      </w:r>
      <w:bookmarkEnd w:id="10"/>
    </w:p>
    <w:p w14:paraId="1E298448">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pacing w:val="-2"/>
          <w:kern w:val="0"/>
          <w:sz w:val="24"/>
          <w:szCs w:val="24"/>
          <w:highlight w:val="none"/>
        </w:rPr>
      </w:pPr>
      <w:r>
        <w:rPr>
          <w:rFonts w:hint="eastAsia" w:ascii="宋体" w:hAnsi="宋体"/>
          <w:color w:val="auto"/>
          <w:kern w:val="0"/>
          <w:sz w:val="24"/>
          <w:szCs w:val="24"/>
          <w:highlight w:val="none"/>
        </w:rPr>
        <w:t xml:space="preserve">8.1  </w:t>
      </w:r>
      <w:r>
        <w:rPr>
          <w:rFonts w:hint="eastAsia" w:ascii="宋体" w:hAnsi="宋体"/>
          <w:color w:val="auto"/>
          <w:spacing w:val="-2"/>
          <w:kern w:val="0"/>
          <w:sz w:val="24"/>
          <w:szCs w:val="24"/>
          <w:highlight w:val="none"/>
        </w:rPr>
        <w:t>投标截止时间为</w:t>
      </w:r>
      <w:r>
        <w:rPr>
          <w:rFonts w:hint="eastAsia" w:ascii="宋体" w:hAnsi="宋体"/>
          <w:color w:val="auto"/>
          <w:kern w:val="0"/>
          <w:sz w:val="24"/>
          <w:szCs w:val="24"/>
          <w:highlight w:val="none"/>
          <w:u w:val="single"/>
          <w:lang w:eastAsia="zh-CN"/>
        </w:rPr>
        <w:t>2025</w:t>
      </w:r>
      <w:r>
        <w:rPr>
          <w:rFonts w:hint="eastAsia" w:ascii="宋体" w:hAnsi="宋体"/>
          <w:color w:val="auto"/>
          <w:kern w:val="0"/>
          <w:sz w:val="24"/>
          <w:szCs w:val="24"/>
          <w:highlight w:val="none"/>
          <w:u w:val="single"/>
        </w:rPr>
        <w:t>年</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月</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日</w:t>
      </w:r>
      <w:r>
        <w:rPr>
          <w:rFonts w:hint="eastAsia" w:ascii="宋体" w:hAnsi="宋体"/>
          <w:color w:val="auto"/>
          <w:kern w:val="0"/>
          <w:sz w:val="24"/>
          <w:szCs w:val="24"/>
          <w:highlight w:val="none"/>
          <w:u w:val="single"/>
          <w:lang w:val="en-US" w:eastAsia="zh-CN"/>
        </w:rPr>
        <w:t xml:space="preserve">  </w:t>
      </w:r>
      <w:r>
        <w:rPr>
          <w:rFonts w:hint="eastAsia" w:ascii="宋体" w:hAnsi="宋体"/>
          <w:color w:val="auto"/>
          <w:kern w:val="0"/>
          <w:sz w:val="24"/>
          <w:szCs w:val="24"/>
          <w:highlight w:val="none"/>
          <w:u w:val="single"/>
        </w:rPr>
        <w:t>时</w:t>
      </w:r>
      <w:r>
        <w:rPr>
          <w:rFonts w:hint="eastAsia" w:ascii="宋体" w:hAnsi="宋体"/>
          <w:color w:val="auto"/>
          <w:kern w:val="0"/>
          <w:sz w:val="24"/>
          <w:szCs w:val="24"/>
          <w:highlight w:val="none"/>
          <w:u w:val="single"/>
          <w:lang w:val="en-US" w:eastAsia="zh-CN"/>
        </w:rPr>
        <w:t xml:space="preserve">  </w:t>
      </w:r>
      <w:r>
        <w:rPr>
          <w:rFonts w:hint="eastAsia" w:ascii="宋体" w:hAnsi="宋体"/>
          <w:color w:val="auto"/>
          <w:kern w:val="0"/>
          <w:sz w:val="24"/>
          <w:szCs w:val="24"/>
          <w:highlight w:val="none"/>
          <w:u w:val="single"/>
        </w:rPr>
        <w:t>分</w:t>
      </w:r>
      <w:r>
        <w:rPr>
          <w:rFonts w:hint="eastAsia" w:ascii="宋体" w:hAnsi="宋体"/>
          <w:color w:val="auto"/>
          <w:spacing w:val="-2"/>
          <w:kern w:val="0"/>
          <w:sz w:val="24"/>
          <w:szCs w:val="24"/>
          <w:highlight w:val="none"/>
        </w:rPr>
        <w:t>，投标人应在截止时间前通过</w:t>
      </w:r>
      <w:r>
        <w:rPr>
          <w:rFonts w:hint="eastAsia" w:ascii="宋体" w:hAnsi="宋体" w:cs="仿宋_GB2312"/>
          <w:color w:val="auto"/>
          <w:sz w:val="24"/>
          <w:szCs w:val="24"/>
          <w:highlight w:val="none"/>
        </w:rPr>
        <w:t>广州交易集团有限公司（广州公共资源交易中心）</w:t>
      </w:r>
      <w:r>
        <w:rPr>
          <w:rFonts w:hint="eastAsia" w:ascii="宋体" w:hAnsi="宋体"/>
          <w:color w:val="auto"/>
          <w:spacing w:val="-2"/>
          <w:kern w:val="0"/>
          <w:sz w:val="24"/>
          <w:szCs w:val="24"/>
          <w:highlight w:val="none"/>
        </w:rPr>
        <w:t>交易平台网站递交电子投标文件。投标人完成电子投标上传后，交易平台即时向投标人发出递交回执通知。递交时间以递交回执通知载明的传输时间为准。</w:t>
      </w:r>
    </w:p>
    <w:p w14:paraId="701F0BA3">
      <w:pPr>
        <w:pageBreakBefore w:val="0"/>
        <w:kinsoku/>
        <w:wordWrap/>
        <w:overflowPunct/>
        <w:topLinePunct w:val="0"/>
        <w:bidi w:val="0"/>
        <w:spacing w:line="360" w:lineRule="auto"/>
        <w:ind w:left="0" w:leftChars="0" w:firstLine="472" w:firstLineChars="200"/>
        <w:jc w:val="left"/>
        <w:textAlignment w:val="auto"/>
        <w:rPr>
          <w:rFonts w:hint="eastAsia" w:ascii="宋体" w:hAnsi="宋体"/>
          <w:color w:val="auto"/>
          <w:spacing w:val="-2"/>
          <w:kern w:val="0"/>
          <w:sz w:val="24"/>
          <w:szCs w:val="24"/>
          <w:highlight w:val="none"/>
        </w:rPr>
      </w:pPr>
      <w:r>
        <w:rPr>
          <w:rFonts w:hint="eastAsia" w:ascii="宋体" w:hAnsi="宋体"/>
          <w:color w:val="auto"/>
          <w:spacing w:val="-2"/>
          <w:kern w:val="0"/>
          <w:sz w:val="24"/>
          <w:szCs w:val="24"/>
          <w:highlight w:val="none"/>
        </w:rPr>
        <w:t>8.2  投标人应在递交投标文件截止时间前，登录交易平台网站办理网上投标登记手续。按照交易平台关于全流程电子化项目的相关指南进行操作。</w:t>
      </w:r>
    </w:p>
    <w:p w14:paraId="071F0E5A">
      <w:pPr>
        <w:pageBreakBefore w:val="0"/>
        <w:kinsoku/>
        <w:wordWrap/>
        <w:overflowPunct/>
        <w:topLinePunct w:val="0"/>
        <w:bidi w:val="0"/>
        <w:spacing w:line="360" w:lineRule="auto"/>
        <w:ind w:left="0" w:leftChars="0" w:firstLine="472" w:firstLineChars="200"/>
        <w:jc w:val="left"/>
        <w:textAlignment w:val="auto"/>
        <w:rPr>
          <w:rFonts w:hint="eastAsia" w:ascii="宋体" w:hAnsi="宋体"/>
          <w:color w:val="auto"/>
          <w:spacing w:val="-2"/>
          <w:kern w:val="0"/>
          <w:sz w:val="24"/>
          <w:szCs w:val="24"/>
          <w:highlight w:val="none"/>
        </w:rPr>
      </w:pPr>
      <w:r>
        <w:rPr>
          <w:rFonts w:hint="eastAsia" w:ascii="宋体" w:hAnsi="宋体"/>
          <w:color w:val="auto"/>
          <w:spacing w:val="-2"/>
          <w:kern w:val="0"/>
          <w:sz w:val="24"/>
          <w:szCs w:val="24"/>
          <w:highlight w:val="none"/>
        </w:rPr>
        <w:t>8.3  提交投标文件光盘备用（及保密信封）</w:t>
      </w:r>
    </w:p>
    <w:p w14:paraId="38C2D9A8">
      <w:pPr>
        <w:pageBreakBefore w:val="0"/>
        <w:kinsoku/>
        <w:wordWrap/>
        <w:overflowPunct/>
        <w:topLinePunct w:val="0"/>
        <w:bidi w:val="0"/>
        <w:spacing w:line="360" w:lineRule="auto"/>
        <w:ind w:left="502" w:leftChars="228" w:firstLine="0" w:firstLineChars="0"/>
        <w:jc w:val="left"/>
        <w:textAlignment w:val="auto"/>
        <w:rPr>
          <w:rFonts w:hint="eastAsia" w:ascii="宋体" w:hAnsi="宋体"/>
          <w:color w:val="auto"/>
          <w:spacing w:val="-2"/>
          <w:kern w:val="0"/>
          <w:sz w:val="24"/>
          <w:szCs w:val="24"/>
          <w:highlight w:val="none"/>
          <w:u w:val="single"/>
        </w:rPr>
      </w:pPr>
      <w:r>
        <w:rPr>
          <w:rFonts w:hint="eastAsia" w:ascii="宋体" w:hAnsi="宋体"/>
          <w:color w:val="auto"/>
          <w:spacing w:val="-2"/>
          <w:kern w:val="0"/>
          <w:sz w:val="24"/>
          <w:szCs w:val="24"/>
          <w:highlight w:val="none"/>
        </w:rPr>
        <w:t>投标文件光盘（备用）（及保密信封）递交时间：</w:t>
      </w:r>
      <w:r>
        <w:rPr>
          <w:rFonts w:hint="eastAsia" w:ascii="宋体" w:hAnsi="宋体"/>
          <w:color w:val="auto"/>
          <w:spacing w:val="-2"/>
          <w:kern w:val="0"/>
          <w:sz w:val="24"/>
          <w:szCs w:val="24"/>
          <w:highlight w:val="none"/>
          <w:u w:val="single"/>
          <w:lang w:eastAsia="zh-CN"/>
        </w:rPr>
        <w:t>2025</w:t>
      </w:r>
      <w:r>
        <w:rPr>
          <w:rFonts w:ascii="宋体" w:hAnsi="宋体"/>
          <w:color w:val="auto"/>
          <w:spacing w:val="-2"/>
          <w:kern w:val="0"/>
          <w:sz w:val="24"/>
          <w:szCs w:val="24"/>
          <w:highlight w:val="none"/>
          <w:u w:val="single"/>
        </w:rPr>
        <w:t xml:space="preserve"> </w:t>
      </w:r>
      <w:r>
        <w:rPr>
          <w:rFonts w:hint="eastAsia" w:ascii="宋体" w:hAnsi="宋体"/>
          <w:color w:val="auto"/>
          <w:spacing w:val="-2"/>
          <w:kern w:val="0"/>
          <w:sz w:val="24"/>
          <w:szCs w:val="24"/>
          <w:highlight w:val="none"/>
          <w:u w:val="single"/>
        </w:rPr>
        <w:t>年</w:t>
      </w:r>
      <w:r>
        <w:rPr>
          <w:rFonts w:ascii="宋体" w:hAnsi="宋体"/>
          <w:color w:val="auto"/>
          <w:spacing w:val="-2"/>
          <w:kern w:val="0"/>
          <w:sz w:val="24"/>
          <w:szCs w:val="24"/>
          <w:highlight w:val="none"/>
          <w:u w:val="single"/>
        </w:rPr>
        <w:t xml:space="preserve">   </w:t>
      </w:r>
      <w:r>
        <w:rPr>
          <w:rFonts w:hint="eastAsia" w:ascii="宋体" w:hAnsi="宋体"/>
          <w:color w:val="auto"/>
          <w:kern w:val="0"/>
          <w:sz w:val="24"/>
          <w:szCs w:val="24"/>
          <w:highlight w:val="none"/>
          <w:u w:val="single"/>
        </w:rPr>
        <w:t>月</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 xml:space="preserve">日 </w:t>
      </w:r>
      <w:r>
        <w:rPr>
          <w:rFonts w:hint="eastAsia" w:ascii="宋体" w:hAnsi="宋体"/>
          <w:color w:val="auto"/>
          <w:kern w:val="0"/>
          <w:sz w:val="24"/>
          <w:szCs w:val="24"/>
          <w:highlight w:val="none"/>
          <w:u w:val="single"/>
          <w:lang w:val="en-US" w:eastAsia="zh-CN"/>
        </w:rPr>
        <w:t xml:space="preserve">  </w:t>
      </w:r>
      <w:r>
        <w:rPr>
          <w:rFonts w:hint="eastAsia" w:ascii="宋体" w:hAnsi="宋体"/>
          <w:color w:val="auto"/>
          <w:kern w:val="0"/>
          <w:sz w:val="24"/>
          <w:szCs w:val="24"/>
          <w:highlight w:val="none"/>
          <w:u w:val="single"/>
        </w:rPr>
        <w:t>时</w:t>
      </w:r>
      <w:r>
        <w:rPr>
          <w:rFonts w:hint="eastAsia" w:ascii="宋体" w:hAnsi="宋体"/>
          <w:color w:val="auto"/>
          <w:kern w:val="0"/>
          <w:sz w:val="24"/>
          <w:szCs w:val="24"/>
          <w:highlight w:val="none"/>
          <w:u w:val="single"/>
          <w:lang w:val="en-US" w:eastAsia="zh-CN"/>
        </w:rPr>
        <w:t xml:space="preserve">  </w:t>
      </w:r>
      <w:r>
        <w:rPr>
          <w:rFonts w:hint="eastAsia" w:ascii="宋体" w:hAnsi="宋体"/>
          <w:color w:val="auto"/>
          <w:spacing w:val="-2"/>
          <w:kern w:val="0"/>
          <w:sz w:val="24"/>
          <w:szCs w:val="24"/>
          <w:highlight w:val="none"/>
          <w:u w:val="single"/>
        </w:rPr>
        <w:t>分至</w:t>
      </w:r>
      <w:r>
        <w:rPr>
          <w:rFonts w:hint="eastAsia" w:ascii="宋体" w:hAnsi="宋体"/>
          <w:color w:val="auto"/>
          <w:spacing w:val="-2"/>
          <w:kern w:val="0"/>
          <w:sz w:val="24"/>
          <w:szCs w:val="24"/>
          <w:highlight w:val="none"/>
          <w:u w:val="single"/>
          <w:lang w:eastAsia="zh-CN"/>
        </w:rPr>
        <w:t>2025</w:t>
      </w:r>
      <w:r>
        <w:rPr>
          <w:rFonts w:ascii="宋体" w:hAnsi="宋体"/>
          <w:color w:val="auto"/>
          <w:spacing w:val="-2"/>
          <w:kern w:val="0"/>
          <w:sz w:val="24"/>
          <w:szCs w:val="24"/>
          <w:highlight w:val="none"/>
          <w:u w:val="single"/>
        </w:rPr>
        <w:t xml:space="preserve"> </w:t>
      </w:r>
      <w:r>
        <w:rPr>
          <w:rFonts w:hint="eastAsia" w:ascii="宋体" w:hAnsi="宋体"/>
          <w:color w:val="auto"/>
          <w:spacing w:val="-2"/>
          <w:kern w:val="0"/>
          <w:sz w:val="24"/>
          <w:szCs w:val="24"/>
          <w:highlight w:val="none"/>
          <w:u w:val="single"/>
        </w:rPr>
        <w:t xml:space="preserve">年 </w:t>
      </w:r>
      <w:r>
        <w:rPr>
          <w:rFonts w:ascii="宋体" w:hAnsi="宋体"/>
          <w:color w:val="auto"/>
          <w:spacing w:val="-2"/>
          <w:kern w:val="0"/>
          <w:sz w:val="24"/>
          <w:szCs w:val="24"/>
          <w:highlight w:val="none"/>
          <w:u w:val="single"/>
        </w:rPr>
        <w:t xml:space="preserve">  </w:t>
      </w:r>
      <w:r>
        <w:rPr>
          <w:rFonts w:hint="eastAsia" w:ascii="宋体" w:hAnsi="宋体"/>
          <w:color w:val="auto"/>
          <w:kern w:val="0"/>
          <w:sz w:val="24"/>
          <w:szCs w:val="24"/>
          <w:highlight w:val="none"/>
          <w:u w:val="single"/>
        </w:rPr>
        <w:t>月</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日</w:t>
      </w:r>
      <w:r>
        <w:rPr>
          <w:rFonts w:hint="eastAsia" w:ascii="宋体" w:hAnsi="宋体"/>
          <w:color w:val="auto"/>
          <w:kern w:val="0"/>
          <w:sz w:val="24"/>
          <w:szCs w:val="24"/>
          <w:highlight w:val="none"/>
          <w:u w:val="single"/>
          <w:lang w:val="en-US" w:eastAsia="zh-CN"/>
        </w:rPr>
        <w:t xml:space="preserve">  </w:t>
      </w:r>
      <w:r>
        <w:rPr>
          <w:rFonts w:hint="eastAsia" w:ascii="宋体" w:hAnsi="宋体"/>
          <w:color w:val="auto"/>
          <w:kern w:val="0"/>
          <w:sz w:val="24"/>
          <w:szCs w:val="24"/>
          <w:highlight w:val="none"/>
          <w:u w:val="single"/>
        </w:rPr>
        <w:t xml:space="preserve">时 </w:t>
      </w:r>
      <w:r>
        <w:rPr>
          <w:rFonts w:hint="eastAsia" w:ascii="宋体" w:hAnsi="宋体"/>
          <w:color w:val="auto"/>
          <w:kern w:val="0"/>
          <w:sz w:val="24"/>
          <w:szCs w:val="24"/>
          <w:highlight w:val="none"/>
          <w:u w:val="single"/>
          <w:lang w:val="en-US" w:eastAsia="zh-CN"/>
        </w:rPr>
        <w:t xml:space="preserve">  </w:t>
      </w:r>
      <w:r>
        <w:rPr>
          <w:rFonts w:hint="eastAsia" w:ascii="宋体" w:hAnsi="宋体"/>
          <w:color w:val="auto"/>
          <w:spacing w:val="-2"/>
          <w:kern w:val="0"/>
          <w:sz w:val="24"/>
          <w:szCs w:val="24"/>
          <w:highlight w:val="none"/>
          <w:u w:val="single"/>
        </w:rPr>
        <w:t>分</w:t>
      </w:r>
      <w:r>
        <w:rPr>
          <w:rFonts w:hint="eastAsia" w:ascii="宋体" w:hAnsi="宋体"/>
          <w:color w:val="auto"/>
          <w:spacing w:val="-2"/>
          <w:kern w:val="0"/>
          <w:sz w:val="24"/>
          <w:szCs w:val="24"/>
          <w:highlight w:val="none"/>
        </w:rPr>
        <w:t>；地点：</w:t>
      </w:r>
      <w:r>
        <w:rPr>
          <w:rFonts w:hint="eastAsia" w:ascii="宋体" w:hAnsi="宋体"/>
          <w:color w:val="auto"/>
          <w:spacing w:val="-2"/>
          <w:kern w:val="0"/>
          <w:sz w:val="24"/>
          <w:szCs w:val="24"/>
          <w:highlight w:val="none"/>
          <w:u w:val="single"/>
          <w:lang w:val="en-US" w:eastAsia="zh-CN"/>
        </w:rPr>
        <w:t>广州市天河区</w:t>
      </w:r>
      <w:r>
        <w:rPr>
          <w:rFonts w:hint="eastAsia" w:ascii="宋体" w:hAnsi="宋体"/>
          <w:color w:val="auto"/>
          <w:spacing w:val="-2"/>
          <w:kern w:val="0"/>
          <w:sz w:val="24"/>
          <w:szCs w:val="24"/>
          <w:highlight w:val="none"/>
          <w:u w:val="single"/>
        </w:rPr>
        <w:t>天润路333号广州公共资源交易中心</w:t>
      </w:r>
      <w:r>
        <w:rPr>
          <w:rFonts w:hint="eastAsia" w:ascii="宋体" w:hAnsi="宋体"/>
          <w:color w:val="auto"/>
          <w:spacing w:val="-2"/>
          <w:kern w:val="0"/>
          <w:sz w:val="24"/>
          <w:szCs w:val="24"/>
          <w:highlight w:val="none"/>
          <w:u w:val="single"/>
          <w:lang w:val="en-US" w:eastAsia="zh-CN"/>
        </w:rPr>
        <w:t xml:space="preserve">       </w:t>
      </w:r>
      <w:r>
        <w:rPr>
          <w:rFonts w:hint="eastAsia" w:ascii="宋体" w:hAnsi="宋体"/>
          <w:color w:val="auto"/>
          <w:spacing w:val="-2"/>
          <w:kern w:val="0"/>
          <w:sz w:val="24"/>
          <w:szCs w:val="24"/>
          <w:highlight w:val="none"/>
          <w:u w:val="single"/>
        </w:rPr>
        <w:t>开标室。</w:t>
      </w:r>
    </w:p>
    <w:p w14:paraId="6B884B00">
      <w:pPr>
        <w:pageBreakBefore w:val="0"/>
        <w:kinsoku/>
        <w:wordWrap/>
        <w:overflowPunct/>
        <w:topLinePunct w:val="0"/>
        <w:bidi w:val="0"/>
        <w:spacing w:line="360" w:lineRule="auto"/>
        <w:ind w:left="0" w:leftChars="0" w:firstLine="472" w:firstLineChars="200"/>
        <w:jc w:val="left"/>
        <w:textAlignment w:val="auto"/>
        <w:rPr>
          <w:rFonts w:hint="eastAsia" w:ascii="宋体" w:hAnsi="宋体"/>
          <w:b/>
          <w:color w:val="auto"/>
          <w:spacing w:val="-2"/>
          <w:kern w:val="0"/>
          <w:sz w:val="24"/>
          <w:szCs w:val="24"/>
          <w:highlight w:val="none"/>
          <w:u w:val="single"/>
        </w:rPr>
      </w:pPr>
      <w:r>
        <w:rPr>
          <w:rFonts w:hint="eastAsia" w:ascii="宋体" w:hAnsi="宋体"/>
          <w:b/>
          <w:color w:val="auto"/>
          <w:spacing w:val="-2"/>
          <w:kern w:val="0"/>
          <w:sz w:val="24"/>
          <w:szCs w:val="24"/>
          <w:highlight w:val="none"/>
          <w:u w:val="single"/>
        </w:rPr>
        <w:t>投标文件光盘（备用）应包含商务文件光盘、技术文件光盘各1个。递交投标文件光盘（备用）时应同时递交保密信封（备用）1份，递交时间、地点同投标文件光盘（备用）递交时间、地点。（电子光盘及保密信封需按规定封装。投标人将数据刻录到光盘之后，投标前自行检查文件是否可以读取。）</w:t>
      </w:r>
    </w:p>
    <w:p w14:paraId="3287B9F9">
      <w:pPr>
        <w:pageBreakBefore w:val="0"/>
        <w:kinsoku/>
        <w:wordWrap/>
        <w:overflowPunct/>
        <w:topLinePunct w:val="0"/>
        <w:bidi w:val="0"/>
        <w:spacing w:line="360" w:lineRule="auto"/>
        <w:ind w:left="0" w:leftChars="0" w:firstLine="472" w:firstLineChars="200"/>
        <w:jc w:val="left"/>
        <w:textAlignment w:val="auto"/>
        <w:rPr>
          <w:rFonts w:ascii="宋体" w:hAnsi="宋体"/>
          <w:color w:val="auto"/>
          <w:spacing w:val="-2"/>
          <w:kern w:val="0"/>
          <w:sz w:val="24"/>
          <w:szCs w:val="24"/>
          <w:highlight w:val="none"/>
        </w:rPr>
      </w:pPr>
      <w:r>
        <w:rPr>
          <w:rFonts w:hint="eastAsia" w:ascii="宋体" w:hAnsi="宋体"/>
          <w:color w:val="auto"/>
          <w:spacing w:val="-2"/>
          <w:kern w:val="0"/>
          <w:sz w:val="24"/>
          <w:szCs w:val="24"/>
          <w:highlight w:val="none"/>
        </w:rPr>
        <w:t>投标文件解密时间为</w:t>
      </w:r>
      <w:r>
        <w:rPr>
          <w:rFonts w:hint="eastAsia" w:ascii="宋体" w:hAnsi="宋体"/>
          <w:color w:val="auto"/>
          <w:spacing w:val="-2"/>
          <w:kern w:val="0"/>
          <w:sz w:val="24"/>
          <w:szCs w:val="24"/>
          <w:highlight w:val="none"/>
          <w:u w:val="single"/>
          <w:lang w:eastAsia="zh-CN"/>
        </w:rPr>
        <w:t>2025</w:t>
      </w:r>
      <w:r>
        <w:rPr>
          <w:rFonts w:hint="eastAsia" w:ascii="宋体" w:hAnsi="宋体"/>
          <w:color w:val="auto"/>
          <w:spacing w:val="-2"/>
          <w:kern w:val="0"/>
          <w:sz w:val="24"/>
          <w:szCs w:val="24"/>
          <w:highlight w:val="none"/>
          <w:u w:val="single"/>
        </w:rPr>
        <w:t xml:space="preserve">年 </w:t>
      </w:r>
      <w:r>
        <w:rPr>
          <w:rFonts w:ascii="宋体" w:hAnsi="宋体"/>
          <w:color w:val="auto"/>
          <w:spacing w:val="-2"/>
          <w:kern w:val="0"/>
          <w:sz w:val="24"/>
          <w:szCs w:val="24"/>
          <w:highlight w:val="none"/>
          <w:u w:val="single"/>
        </w:rPr>
        <w:t xml:space="preserve">  </w:t>
      </w:r>
      <w:r>
        <w:rPr>
          <w:rFonts w:hint="eastAsia" w:ascii="宋体" w:hAnsi="宋体"/>
          <w:color w:val="auto"/>
          <w:kern w:val="0"/>
          <w:sz w:val="24"/>
          <w:szCs w:val="24"/>
          <w:highlight w:val="none"/>
          <w:u w:val="single"/>
        </w:rPr>
        <w:t>月</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日</w:t>
      </w:r>
      <w:r>
        <w:rPr>
          <w:rFonts w:hint="eastAsia" w:ascii="宋体" w:hAnsi="宋体"/>
          <w:color w:val="auto"/>
          <w:kern w:val="0"/>
          <w:sz w:val="24"/>
          <w:szCs w:val="24"/>
          <w:highlight w:val="none"/>
          <w:u w:val="single"/>
          <w:lang w:val="en-US" w:eastAsia="zh-CN"/>
        </w:rPr>
        <w:t xml:space="preserve">  </w:t>
      </w:r>
      <w:r>
        <w:rPr>
          <w:rFonts w:hint="eastAsia" w:ascii="宋体" w:hAnsi="宋体"/>
          <w:color w:val="auto"/>
          <w:kern w:val="0"/>
          <w:sz w:val="24"/>
          <w:szCs w:val="24"/>
          <w:highlight w:val="none"/>
          <w:u w:val="single"/>
        </w:rPr>
        <w:t xml:space="preserve">时 </w:t>
      </w:r>
      <w:r>
        <w:rPr>
          <w:rFonts w:hint="eastAsia" w:ascii="宋体" w:hAnsi="宋体"/>
          <w:color w:val="auto"/>
          <w:kern w:val="0"/>
          <w:sz w:val="24"/>
          <w:szCs w:val="24"/>
          <w:highlight w:val="none"/>
          <w:u w:val="single"/>
          <w:lang w:val="en-US" w:eastAsia="zh-CN"/>
        </w:rPr>
        <w:t xml:space="preserve">  </w:t>
      </w:r>
      <w:r>
        <w:rPr>
          <w:rFonts w:hint="eastAsia" w:ascii="宋体" w:hAnsi="宋体"/>
          <w:color w:val="auto"/>
          <w:spacing w:val="-2"/>
          <w:kern w:val="0"/>
          <w:sz w:val="24"/>
          <w:szCs w:val="24"/>
          <w:highlight w:val="none"/>
          <w:u w:val="single"/>
        </w:rPr>
        <w:t>分至</w:t>
      </w:r>
      <w:r>
        <w:rPr>
          <w:rFonts w:hint="eastAsia" w:ascii="宋体" w:hAnsi="宋体"/>
          <w:color w:val="auto"/>
          <w:spacing w:val="-2"/>
          <w:kern w:val="0"/>
          <w:sz w:val="24"/>
          <w:szCs w:val="24"/>
          <w:highlight w:val="none"/>
          <w:u w:val="single"/>
          <w:lang w:eastAsia="zh-CN"/>
        </w:rPr>
        <w:t>2025</w:t>
      </w:r>
      <w:r>
        <w:rPr>
          <w:rFonts w:hint="eastAsia" w:ascii="宋体" w:hAnsi="宋体"/>
          <w:color w:val="auto"/>
          <w:spacing w:val="-2"/>
          <w:kern w:val="0"/>
          <w:sz w:val="24"/>
          <w:szCs w:val="24"/>
          <w:highlight w:val="none"/>
          <w:u w:val="single"/>
        </w:rPr>
        <w:t xml:space="preserve">年 </w:t>
      </w:r>
      <w:r>
        <w:rPr>
          <w:rFonts w:ascii="宋体" w:hAnsi="宋体"/>
          <w:color w:val="auto"/>
          <w:spacing w:val="-2"/>
          <w:kern w:val="0"/>
          <w:sz w:val="24"/>
          <w:szCs w:val="24"/>
          <w:highlight w:val="none"/>
          <w:u w:val="single"/>
        </w:rPr>
        <w:t xml:space="preserve">  </w:t>
      </w:r>
      <w:r>
        <w:rPr>
          <w:rFonts w:hint="eastAsia" w:ascii="宋体" w:hAnsi="宋体"/>
          <w:color w:val="auto"/>
          <w:kern w:val="0"/>
          <w:sz w:val="24"/>
          <w:szCs w:val="24"/>
          <w:highlight w:val="none"/>
          <w:u w:val="single"/>
        </w:rPr>
        <w:t>月</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日</w:t>
      </w:r>
      <w:r>
        <w:rPr>
          <w:rFonts w:hint="eastAsia" w:ascii="宋体" w:hAnsi="宋体"/>
          <w:color w:val="auto"/>
          <w:kern w:val="0"/>
          <w:sz w:val="24"/>
          <w:szCs w:val="24"/>
          <w:highlight w:val="none"/>
          <w:u w:val="single"/>
          <w:lang w:val="en-US" w:eastAsia="zh-CN"/>
        </w:rPr>
        <w:t xml:space="preserve">  </w:t>
      </w:r>
      <w:r>
        <w:rPr>
          <w:rFonts w:hint="eastAsia" w:ascii="宋体" w:hAnsi="宋体"/>
          <w:color w:val="auto"/>
          <w:kern w:val="0"/>
          <w:sz w:val="24"/>
          <w:szCs w:val="24"/>
          <w:highlight w:val="none"/>
          <w:u w:val="single"/>
        </w:rPr>
        <w:t xml:space="preserve">时 </w:t>
      </w:r>
      <w:r>
        <w:rPr>
          <w:rFonts w:hint="eastAsia" w:ascii="宋体" w:hAnsi="宋体"/>
          <w:color w:val="auto"/>
          <w:spacing w:val="-2"/>
          <w:kern w:val="0"/>
          <w:sz w:val="24"/>
          <w:szCs w:val="24"/>
          <w:highlight w:val="none"/>
          <w:u w:val="single"/>
        </w:rPr>
        <w:t>分</w:t>
      </w:r>
      <w:r>
        <w:rPr>
          <w:rFonts w:hint="eastAsia" w:ascii="宋体" w:hAnsi="宋体"/>
          <w:color w:val="auto"/>
          <w:spacing w:val="-2"/>
          <w:kern w:val="0"/>
          <w:sz w:val="24"/>
          <w:szCs w:val="24"/>
          <w:highlight w:val="none"/>
        </w:rPr>
        <w:t>，投标人应在截止时间前按照交易平台关于全流程电子化项目的相关指南进行操作。</w:t>
      </w:r>
    </w:p>
    <w:p w14:paraId="3167EC72">
      <w:pPr>
        <w:pageBreakBefore w:val="0"/>
        <w:kinsoku/>
        <w:wordWrap/>
        <w:overflowPunct/>
        <w:topLinePunct w:val="0"/>
        <w:bidi w:val="0"/>
        <w:spacing w:line="360" w:lineRule="auto"/>
        <w:ind w:left="0" w:leftChars="0" w:firstLine="472" w:firstLineChars="200"/>
        <w:jc w:val="left"/>
        <w:textAlignment w:val="auto"/>
        <w:rPr>
          <w:rFonts w:hint="eastAsia" w:ascii="宋体" w:hAnsi="宋体"/>
          <w:color w:val="auto"/>
          <w:spacing w:val="-2"/>
          <w:kern w:val="0"/>
          <w:sz w:val="24"/>
          <w:szCs w:val="24"/>
          <w:highlight w:val="none"/>
        </w:rPr>
      </w:pPr>
      <w:r>
        <w:rPr>
          <w:rFonts w:hint="eastAsia" w:ascii="宋体" w:hAnsi="宋体"/>
          <w:color w:val="auto"/>
          <w:spacing w:val="-2"/>
          <w:kern w:val="0"/>
          <w:sz w:val="24"/>
          <w:szCs w:val="24"/>
          <w:highlight w:val="none"/>
        </w:rPr>
        <w:t>8.4  逾期送达的投标文件，交易平台将予以拒收。</w:t>
      </w:r>
    </w:p>
    <w:p w14:paraId="2BCAAF99">
      <w:pPr>
        <w:pageBreakBefore w:val="0"/>
        <w:kinsoku/>
        <w:wordWrap/>
        <w:overflowPunct/>
        <w:topLinePunct w:val="0"/>
        <w:bidi w:val="0"/>
        <w:spacing w:line="360" w:lineRule="auto"/>
        <w:ind w:left="0" w:leftChars="0" w:firstLine="472" w:firstLineChars="200"/>
        <w:jc w:val="left"/>
        <w:textAlignment w:val="auto"/>
        <w:rPr>
          <w:rFonts w:ascii="宋体" w:hAnsi="宋体"/>
          <w:color w:val="auto"/>
          <w:spacing w:val="-2"/>
          <w:kern w:val="0"/>
          <w:sz w:val="24"/>
          <w:szCs w:val="24"/>
          <w:highlight w:val="none"/>
        </w:rPr>
      </w:pPr>
      <w:r>
        <w:rPr>
          <w:rFonts w:hint="eastAsia" w:ascii="宋体" w:hAnsi="宋体"/>
          <w:color w:val="auto"/>
          <w:spacing w:val="-2"/>
          <w:kern w:val="0"/>
          <w:sz w:val="24"/>
          <w:szCs w:val="24"/>
          <w:highlight w:val="none"/>
        </w:rPr>
        <w:t>8.5  本招标项目采用电子开标，在交易平台上公开进行。</w:t>
      </w:r>
    </w:p>
    <w:p w14:paraId="408D6EA3">
      <w:pPr>
        <w:pageBreakBefore w:val="0"/>
        <w:kinsoku/>
        <w:wordWrap/>
        <w:overflowPunct/>
        <w:topLinePunct w:val="0"/>
        <w:bidi w:val="0"/>
        <w:spacing w:line="360" w:lineRule="auto"/>
        <w:ind w:left="0" w:leftChars="0" w:firstLine="472" w:firstLineChars="200"/>
        <w:jc w:val="left"/>
        <w:textAlignment w:val="auto"/>
        <w:rPr>
          <w:rFonts w:hint="eastAsia" w:ascii="宋体" w:hAnsi="宋体"/>
          <w:color w:val="auto"/>
          <w:spacing w:val="-2"/>
          <w:kern w:val="0"/>
          <w:sz w:val="24"/>
          <w:szCs w:val="24"/>
          <w:highlight w:val="none"/>
        </w:rPr>
      </w:pPr>
      <w:r>
        <w:rPr>
          <w:rFonts w:hint="eastAsia" w:ascii="宋体" w:hAnsi="宋体"/>
          <w:color w:val="auto"/>
          <w:spacing w:val="-2"/>
          <w:kern w:val="0"/>
          <w:sz w:val="24"/>
          <w:szCs w:val="24"/>
          <w:highlight w:val="none"/>
        </w:rPr>
        <w:t>开标开始时间：</w:t>
      </w:r>
      <w:r>
        <w:rPr>
          <w:rFonts w:hint="eastAsia" w:ascii="宋体" w:hAnsi="宋体"/>
          <w:color w:val="auto"/>
          <w:spacing w:val="-2"/>
          <w:kern w:val="0"/>
          <w:sz w:val="24"/>
          <w:szCs w:val="24"/>
          <w:highlight w:val="none"/>
          <w:u w:val="single"/>
          <w:lang w:eastAsia="zh-CN"/>
        </w:rPr>
        <w:t>2025</w:t>
      </w:r>
      <w:r>
        <w:rPr>
          <w:rFonts w:hint="eastAsia" w:ascii="宋体" w:hAnsi="宋体"/>
          <w:color w:val="auto"/>
          <w:spacing w:val="-2"/>
          <w:kern w:val="0"/>
          <w:sz w:val="24"/>
          <w:szCs w:val="24"/>
          <w:highlight w:val="none"/>
          <w:u w:val="single"/>
        </w:rPr>
        <w:t>年</w:t>
      </w:r>
      <w:r>
        <w:rPr>
          <w:rFonts w:ascii="宋体" w:hAnsi="宋体"/>
          <w:color w:val="auto"/>
          <w:spacing w:val="-2"/>
          <w:kern w:val="0"/>
          <w:sz w:val="24"/>
          <w:szCs w:val="24"/>
          <w:highlight w:val="none"/>
          <w:u w:val="single"/>
        </w:rPr>
        <w:t xml:space="preserve">  </w:t>
      </w:r>
      <w:r>
        <w:rPr>
          <w:rFonts w:hint="eastAsia" w:ascii="宋体" w:hAnsi="宋体"/>
          <w:color w:val="auto"/>
          <w:kern w:val="0"/>
          <w:sz w:val="24"/>
          <w:szCs w:val="24"/>
          <w:highlight w:val="none"/>
          <w:u w:val="single"/>
        </w:rPr>
        <w:t xml:space="preserve">月 </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日</w:t>
      </w:r>
      <w:r>
        <w:rPr>
          <w:rFonts w:hint="eastAsia" w:ascii="宋体" w:hAnsi="宋体"/>
          <w:color w:val="auto"/>
          <w:kern w:val="0"/>
          <w:sz w:val="24"/>
          <w:szCs w:val="24"/>
          <w:highlight w:val="none"/>
          <w:u w:val="single"/>
          <w:lang w:val="en-US" w:eastAsia="zh-CN"/>
        </w:rPr>
        <w:t xml:space="preserve">   </w:t>
      </w:r>
      <w:r>
        <w:rPr>
          <w:rFonts w:hint="eastAsia" w:ascii="宋体" w:hAnsi="宋体"/>
          <w:color w:val="auto"/>
          <w:kern w:val="0"/>
          <w:sz w:val="24"/>
          <w:szCs w:val="24"/>
          <w:highlight w:val="none"/>
          <w:u w:val="single"/>
        </w:rPr>
        <w:t>时</w:t>
      </w:r>
      <w:r>
        <w:rPr>
          <w:rFonts w:hint="eastAsia" w:ascii="宋体" w:hAnsi="宋体"/>
          <w:color w:val="auto"/>
          <w:kern w:val="0"/>
          <w:sz w:val="24"/>
          <w:szCs w:val="24"/>
          <w:highlight w:val="none"/>
          <w:u w:val="single"/>
          <w:lang w:val="en-US" w:eastAsia="zh-CN"/>
        </w:rPr>
        <w:t xml:space="preserve">    </w:t>
      </w:r>
      <w:r>
        <w:rPr>
          <w:rFonts w:hint="eastAsia" w:ascii="宋体" w:hAnsi="宋体"/>
          <w:color w:val="auto"/>
          <w:spacing w:val="-2"/>
          <w:kern w:val="0"/>
          <w:sz w:val="24"/>
          <w:szCs w:val="24"/>
          <w:highlight w:val="none"/>
          <w:u w:val="single"/>
        </w:rPr>
        <w:t>分</w:t>
      </w:r>
      <w:r>
        <w:rPr>
          <w:rFonts w:hint="eastAsia" w:ascii="宋体" w:hAnsi="宋体"/>
          <w:color w:val="auto"/>
          <w:spacing w:val="-2"/>
          <w:kern w:val="0"/>
          <w:sz w:val="24"/>
          <w:szCs w:val="24"/>
          <w:highlight w:val="none"/>
        </w:rPr>
        <w:t>（与投标截止时间为同一时间）。邀请所有投标人准时在线参加开标。</w:t>
      </w:r>
      <w:r>
        <w:rPr>
          <w:rFonts w:ascii="宋体" w:hAnsi="宋体"/>
          <w:color w:val="auto"/>
          <w:spacing w:val="-2"/>
          <w:kern w:val="0"/>
          <w:sz w:val="24"/>
          <w:szCs w:val="24"/>
          <w:highlight w:val="none"/>
        </w:rPr>
        <w:t>投标人</w:t>
      </w:r>
      <w:r>
        <w:rPr>
          <w:rFonts w:hint="eastAsia" w:ascii="宋体" w:hAnsi="宋体"/>
          <w:color w:val="auto"/>
          <w:spacing w:val="-2"/>
          <w:kern w:val="0"/>
          <w:sz w:val="24"/>
          <w:szCs w:val="24"/>
          <w:highlight w:val="none"/>
        </w:rPr>
        <w:t>参与电子</w:t>
      </w:r>
      <w:r>
        <w:rPr>
          <w:rFonts w:ascii="宋体" w:hAnsi="宋体"/>
          <w:color w:val="auto"/>
          <w:spacing w:val="-2"/>
          <w:kern w:val="0"/>
          <w:sz w:val="24"/>
          <w:szCs w:val="24"/>
          <w:highlight w:val="none"/>
        </w:rPr>
        <w:t>开标</w:t>
      </w:r>
      <w:r>
        <w:rPr>
          <w:rFonts w:hint="eastAsia" w:ascii="宋体" w:hAnsi="宋体"/>
          <w:color w:val="auto"/>
          <w:spacing w:val="-2"/>
          <w:kern w:val="0"/>
          <w:sz w:val="24"/>
          <w:szCs w:val="24"/>
          <w:highlight w:val="none"/>
        </w:rPr>
        <w:t>的</w:t>
      </w:r>
      <w:r>
        <w:rPr>
          <w:rFonts w:ascii="宋体" w:hAnsi="宋体"/>
          <w:color w:val="auto"/>
          <w:spacing w:val="-2"/>
          <w:kern w:val="0"/>
          <w:sz w:val="24"/>
          <w:szCs w:val="24"/>
          <w:highlight w:val="none"/>
        </w:rPr>
        <w:t>具体操作详见交易平台</w:t>
      </w:r>
      <w:r>
        <w:rPr>
          <w:rFonts w:hint="eastAsia" w:ascii="宋体" w:hAnsi="宋体"/>
          <w:color w:val="auto"/>
          <w:spacing w:val="-2"/>
          <w:kern w:val="0"/>
          <w:sz w:val="24"/>
          <w:szCs w:val="24"/>
          <w:highlight w:val="none"/>
        </w:rPr>
        <w:t>发布</w:t>
      </w:r>
      <w:r>
        <w:rPr>
          <w:rFonts w:ascii="宋体" w:hAnsi="宋体"/>
          <w:color w:val="auto"/>
          <w:spacing w:val="-2"/>
          <w:kern w:val="0"/>
          <w:sz w:val="24"/>
          <w:szCs w:val="24"/>
          <w:highlight w:val="none"/>
        </w:rPr>
        <w:t>的相关操作指引</w:t>
      </w:r>
      <w:r>
        <w:rPr>
          <w:rFonts w:hint="eastAsia" w:ascii="宋体" w:hAnsi="宋体"/>
          <w:color w:val="auto"/>
          <w:spacing w:val="-2"/>
          <w:kern w:val="0"/>
          <w:sz w:val="24"/>
          <w:szCs w:val="24"/>
          <w:highlight w:val="none"/>
        </w:rPr>
        <w:t>。</w:t>
      </w:r>
    </w:p>
    <w:p w14:paraId="317E8ACC">
      <w:pPr>
        <w:pageBreakBefore w:val="0"/>
        <w:kinsoku/>
        <w:wordWrap/>
        <w:overflowPunct/>
        <w:topLinePunct w:val="0"/>
        <w:bidi w:val="0"/>
        <w:spacing w:line="360" w:lineRule="auto"/>
        <w:ind w:left="0" w:leftChars="0" w:firstLine="472" w:firstLineChars="200"/>
        <w:jc w:val="left"/>
        <w:textAlignment w:val="auto"/>
        <w:rPr>
          <w:rFonts w:hint="eastAsia" w:ascii="宋体" w:hAnsi="宋体"/>
          <w:color w:val="auto"/>
          <w:spacing w:val="-2"/>
          <w:kern w:val="0"/>
          <w:sz w:val="24"/>
          <w:szCs w:val="24"/>
          <w:highlight w:val="none"/>
          <w:u w:val="single"/>
        </w:rPr>
      </w:pPr>
      <w:r>
        <w:rPr>
          <w:rFonts w:hint="eastAsia" w:ascii="宋体" w:hAnsi="宋体"/>
          <w:color w:val="auto"/>
          <w:spacing w:val="-2"/>
          <w:kern w:val="0"/>
          <w:sz w:val="24"/>
          <w:szCs w:val="24"/>
          <w:highlight w:val="none"/>
        </w:rPr>
        <w:t xml:space="preserve">8.6  </w:t>
      </w:r>
      <w:r>
        <w:rPr>
          <w:rFonts w:hint="eastAsia" w:ascii="宋体" w:hAnsi="宋体"/>
          <w:color w:val="auto"/>
          <w:spacing w:val="-2"/>
          <w:kern w:val="0"/>
          <w:sz w:val="24"/>
          <w:szCs w:val="24"/>
          <w:highlight w:val="none"/>
          <w:u w:val="single"/>
        </w:rPr>
        <w:t>在规定的投标截止时间，投标登记的申请单位不足3名时，招标人有权：</w:t>
      </w:r>
    </w:p>
    <w:p w14:paraId="12558460">
      <w:pPr>
        <w:pageBreakBefore w:val="0"/>
        <w:kinsoku/>
        <w:wordWrap/>
        <w:overflowPunct/>
        <w:topLinePunct w:val="0"/>
        <w:bidi w:val="0"/>
        <w:spacing w:line="360" w:lineRule="auto"/>
        <w:ind w:left="0" w:leftChars="0" w:firstLine="472" w:firstLineChars="200"/>
        <w:jc w:val="left"/>
        <w:textAlignment w:val="auto"/>
        <w:rPr>
          <w:rFonts w:hint="eastAsia" w:ascii="宋体" w:hAnsi="宋体"/>
          <w:color w:val="auto"/>
          <w:spacing w:val="-2"/>
          <w:kern w:val="0"/>
          <w:sz w:val="24"/>
          <w:szCs w:val="24"/>
          <w:highlight w:val="none"/>
          <w:u w:val="single"/>
        </w:rPr>
      </w:pPr>
      <w:r>
        <w:rPr>
          <w:rFonts w:hint="eastAsia" w:ascii="宋体" w:hAnsi="宋体"/>
          <w:color w:val="auto"/>
          <w:spacing w:val="-2"/>
          <w:kern w:val="0"/>
          <w:sz w:val="24"/>
          <w:szCs w:val="24"/>
          <w:highlight w:val="none"/>
          <w:u w:val="single"/>
        </w:rPr>
        <w:t>（1）发布公告延长接受投标登记时间。在延期投标登记时间内，已投标登记申请单位的资料仍有效并可自行补充资料，未投标登记的申请单位可根据公告的约定参与投标登记。</w:t>
      </w:r>
    </w:p>
    <w:p w14:paraId="5682F44E">
      <w:pPr>
        <w:pageBreakBefore w:val="0"/>
        <w:kinsoku/>
        <w:wordWrap/>
        <w:overflowPunct/>
        <w:topLinePunct w:val="0"/>
        <w:bidi w:val="0"/>
        <w:spacing w:line="360" w:lineRule="auto"/>
        <w:ind w:left="0" w:leftChars="0" w:firstLine="472" w:firstLineChars="200"/>
        <w:jc w:val="left"/>
        <w:textAlignment w:val="auto"/>
        <w:rPr>
          <w:rFonts w:hint="eastAsia" w:ascii="宋体" w:hAnsi="宋体"/>
          <w:color w:val="auto"/>
          <w:spacing w:val="-2"/>
          <w:kern w:val="0"/>
          <w:sz w:val="24"/>
          <w:szCs w:val="24"/>
          <w:highlight w:val="none"/>
          <w:u w:val="single"/>
        </w:rPr>
      </w:pPr>
      <w:r>
        <w:rPr>
          <w:rFonts w:hint="eastAsia" w:ascii="宋体" w:hAnsi="宋体"/>
          <w:color w:val="auto"/>
          <w:spacing w:val="-2"/>
          <w:kern w:val="0"/>
          <w:sz w:val="24"/>
          <w:szCs w:val="24"/>
          <w:highlight w:val="none"/>
          <w:u w:val="single"/>
        </w:rPr>
        <w:t>（2）依法重新招标。</w:t>
      </w:r>
    </w:p>
    <w:p w14:paraId="2B9DDD51">
      <w:pPr>
        <w:pageBreakBefore w:val="0"/>
        <w:kinsoku/>
        <w:wordWrap/>
        <w:overflowPunct/>
        <w:topLinePunct w:val="0"/>
        <w:bidi w:val="0"/>
        <w:spacing w:line="360" w:lineRule="auto"/>
        <w:ind w:left="0" w:leftChars="0" w:firstLine="472" w:firstLineChars="200"/>
        <w:jc w:val="left"/>
        <w:textAlignment w:val="auto"/>
        <w:rPr>
          <w:rFonts w:hint="eastAsia"/>
          <w:color w:val="auto"/>
          <w:sz w:val="24"/>
          <w:szCs w:val="24"/>
          <w:highlight w:val="none"/>
        </w:rPr>
      </w:pPr>
      <w:r>
        <w:rPr>
          <w:rFonts w:hint="eastAsia" w:ascii="宋体" w:hAnsi="宋体"/>
          <w:color w:val="auto"/>
          <w:spacing w:val="-2"/>
          <w:kern w:val="0"/>
          <w:sz w:val="24"/>
          <w:szCs w:val="24"/>
          <w:highlight w:val="none"/>
          <w:u w:val="single"/>
        </w:rPr>
        <w:t>备注：本项目具体的招投标活动日程安排及场地安排以广州交易集团有限公司（广州公共资源交易中心）网站中“建设工程”→“项目查询（日程安排、答疑纪要）”公布的为准。</w:t>
      </w:r>
    </w:p>
    <w:p w14:paraId="10CAE83E">
      <w:pPr>
        <w:pStyle w:val="3"/>
        <w:pageBreakBefore w:val="0"/>
        <w:kinsoku/>
        <w:wordWrap/>
        <w:overflowPunct/>
        <w:topLinePunct w:val="0"/>
        <w:bidi w:val="0"/>
        <w:spacing w:before="0" w:after="0" w:line="360" w:lineRule="auto"/>
        <w:ind w:left="0" w:leftChars="0"/>
        <w:textAlignment w:val="auto"/>
        <w:rPr>
          <w:rFonts w:ascii="宋体" w:hAnsi="宋体"/>
          <w:b/>
          <w:color w:val="auto"/>
          <w:spacing w:val="1"/>
          <w:sz w:val="32"/>
          <w:highlight w:val="none"/>
        </w:rPr>
      </w:pPr>
      <w:bookmarkStart w:id="11" w:name="_Toc25072054"/>
      <w:r>
        <w:rPr>
          <w:rFonts w:hint="eastAsia" w:ascii="宋体" w:hAnsi="宋体"/>
          <w:b/>
          <w:color w:val="auto"/>
          <w:spacing w:val="1"/>
          <w:sz w:val="32"/>
          <w:highlight w:val="none"/>
        </w:rPr>
        <w:t>9.发布公告的媒介</w:t>
      </w:r>
      <w:bookmarkEnd w:id="11"/>
    </w:p>
    <w:p w14:paraId="4A57A29E">
      <w:pPr>
        <w:pageBreakBefore w:val="0"/>
        <w:kinsoku/>
        <w:wordWrap/>
        <w:overflowPunct/>
        <w:topLinePunct w:val="0"/>
        <w:autoSpaceDE w:val="0"/>
        <w:autoSpaceDN w:val="0"/>
        <w:bidi w:val="0"/>
        <w:adjustRightInd w:val="0"/>
        <w:spacing w:line="360" w:lineRule="auto"/>
        <w:ind w:left="0" w:leftChars="0" w:firstLine="480" w:firstLineChars="200"/>
        <w:textAlignment w:val="auto"/>
        <w:rPr>
          <w:rFonts w:ascii="宋体" w:hAnsi="宋体"/>
          <w:color w:val="auto"/>
          <w:kern w:val="0"/>
          <w:sz w:val="24"/>
          <w:szCs w:val="24"/>
          <w:highlight w:val="none"/>
          <w:u w:val="single"/>
        </w:rPr>
      </w:pPr>
      <w:r>
        <w:rPr>
          <w:rFonts w:hint="eastAsia" w:ascii="宋体" w:hAnsi="宋体"/>
          <w:color w:val="auto"/>
          <w:kern w:val="0"/>
          <w:position w:val="-4"/>
          <w:sz w:val="24"/>
          <w:szCs w:val="24"/>
          <w:highlight w:val="none"/>
        </w:rPr>
        <w:t>本次</w:t>
      </w:r>
      <w:r>
        <w:rPr>
          <w:rFonts w:hint="eastAsia" w:ascii="宋体" w:hAnsi="宋体"/>
          <w:color w:val="auto"/>
          <w:spacing w:val="-2"/>
          <w:kern w:val="0"/>
          <w:position w:val="-4"/>
          <w:sz w:val="24"/>
          <w:szCs w:val="24"/>
          <w:highlight w:val="none"/>
          <w:u w:val="single"/>
        </w:rPr>
        <w:t>招标公告同时在广州交易集团有限公司（广州公共资源交易中心）网站（网址：http://www.gzggzy.cn）、广东省招标投标监管网（网址：http://zbtb.gd.gov.cn）</w:t>
      </w:r>
      <w:r>
        <w:rPr>
          <w:rFonts w:hint="eastAsia" w:ascii="宋体" w:hAnsi="宋体"/>
          <w:color w:val="auto"/>
          <w:spacing w:val="-2"/>
          <w:kern w:val="0"/>
          <w:position w:val="-4"/>
          <w:sz w:val="24"/>
          <w:szCs w:val="24"/>
          <w:highlight w:val="none"/>
          <w:u w:val="single"/>
          <w:lang w:eastAsia="zh-CN"/>
        </w:rPr>
        <w:t>、</w:t>
      </w:r>
      <w:r>
        <w:rPr>
          <w:rFonts w:hint="eastAsia" w:ascii="宋体" w:hAnsi="宋体"/>
          <w:color w:val="auto"/>
          <w:spacing w:val="-2"/>
          <w:kern w:val="0"/>
          <w:position w:val="-4"/>
          <w:sz w:val="24"/>
          <w:szCs w:val="24"/>
          <w:highlight w:val="none"/>
          <w:u w:val="single"/>
        </w:rPr>
        <w:t>中国招标投标公共服务平台（网址：http://www.cebpubservice.com/）</w:t>
      </w:r>
      <w:r>
        <w:rPr>
          <w:rFonts w:hint="eastAsia" w:ascii="宋体" w:hAnsi="宋体"/>
          <w:color w:val="auto"/>
          <w:spacing w:val="-2"/>
          <w:kern w:val="0"/>
          <w:position w:val="-4"/>
          <w:sz w:val="24"/>
          <w:szCs w:val="24"/>
          <w:highlight w:val="none"/>
          <w:u w:val="single"/>
          <w:lang w:val="en-US" w:eastAsia="zh-CN"/>
        </w:rPr>
        <w:t>和广州南沙资产经营集团有限公司网站（网址：http://www.gnao.com.cn/）</w:t>
      </w:r>
      <w:r>
        <w:rPr>
          <w:rFonts w:hint="eastAsia" w:ascii="宋体" w:hAnsi="宋体"/>
          <w:color w:val="auto"/>
          <w:spacing w:val="-2"/>
          <w:kern w:val="0"/>
          <w:position w:val="-4"/>
          <w:sz w:val="24"/>
          <w:szCs w:val="24"/>
          <w:highlight w:val="none"/>
          <w:u w:val="single"/>
        </w:rPr>
        <w:t>发布，本公告的修改、补充，在广州交易集团有限公司（广州公共资源交易中心）网站发布。</w:t>
      </w:r>
    </w:p>
    <w:p w14:paraId="00370E7A">
      <w:pPr>
        <w:pStyle w:val="3"/>
        <w:pageBreakBefore w:val="0"/>
        <w:kinsoku/>
        <w:wordWrap/>
        <w:overflowPunct/>
        <w:topLinePunct w:val="0"/>
        <w:bidi w:val="0"/>
        <w:spacing w:before="0" w:after="0" w:line="360" w:lineRule="auto"/>
        <w:ind w:left="0" w:leftChars="0"/>
        <w:textAlignment w:val="auto"/>
        <w:rPr>
          <w:rFonts w:ascii="宋体" w:hAnsi="宋体"/>
          <w:b/>
          <w:color w:val="auto"/>
          <w:spacing w:val="1"/>
          <w:sz w:val="32"/>
          <w:highlight w:val="none"/>
        </w:rPr>
      </w:pPr>
      <w:bookmarkStart w:id="12" w:name="_Toc25072055"/>
      <w:r>
        <w:rPr>
          <w:rFonts w:hint="eastAsia" w:ascii="宋体" w:hAnsi="宋体"/>
          <w:b/>
          <w:color w:val="auto"/>
          <w:spacing w:val="1"/>
          <w:sz w:val="32"/>
          <w:highlight w:val="none"/>
        </w:rPr>
        <w:t>10.其它事项</w:t>
      </w:r>
      <w:bookmarkEnd w:id="12"/>
    </w:p>
    <w:p w14:paraId="1F4C22BD">
      <w:pPr>
        <w:pageBreakBefore w:val="0"/>
        <w:kinsoku/>
        <w:wordWrap/>
        <w:overflowPunct/>
        <w:topLinePunct w:val="0"/>
        <w:bidi w:val="0"/>
        <w:spacing w:line="360" w:lineRule="auto"/>
        <w:ind w:left="0" w:leftChars="0" w:firstLine="480" w:firstLineChars="200"/>
        <w:jc w:val="left"/>
        <w:textAlignment w:val="auto"/>
        <w:rPr>
          <w:rFonts w:ascii="宋体" w:hAnsi="宋体"/>
          <w:b/>
          <w:color w:val="auto"/>
          <w:sz w:val="24"/>
          <w:szCs w:val="24"/>
          <w:highlight w:val="none"/>
          <w:u w:val="single"/>
        </w:rPr>
      </w:pPr>
      <w:r>
        <w:rPr>
          <w:rFonts w:hint="eastAsia" w:ascii="宋体" w:hAnsi="宋体"/>
          <w:color w:val="auto"/>
          <w:sz w:val="24"/>
          <w:szCs w:val="24"/>
          <w:highlight w:val="none"/>
        </w:rPr>
        <w:t>10.1  投标时是否需要提交设计模型：</w:t>
      </w:r>
      <w:r>
        <w:rPr>
          <w:rFonts w:hint="eastAsia" w:ascii="宋体" w:hAnsi="宋体"/>
          <w:b/>
          <w:color w:val="auto"/>
          <w:sz w:val="24"/>
          <w:szCs w:val="24"/>
          <w:highlight w:val="none"/>
          <w:u w:val="single"/>
        </w:rPr>
        <w:t>否。</w:t>
      </w:r>
    </w:p>
    <w:p w14:paraId="3979390B">
      <w:pPr>
        <w:pageBreakBefore w:val="0"/>
        <w:kinsoku/>
        <w:wordWrap/>
        <w:overflowPunct/>
        <w:topLinePunct w:val="0"/>
        <w:bidi w:val="0"/>
        <w:spacing w:line="360" w:lineRule="auto"/>
        <w:ind w:left="0" w:leftChars="0"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rPr>
        <w:t>10.2  招标项目的电子地形图由投标人自行收集。</w:t>
      </w:r>
    </w:p>
    <w:p w14:paraId="51DA1AD3">
      <w:pPr>
        <w:pageBreakBefore w:val="0"/>
        <w:kinsoku/>
        <w:wordWrap/>
        <w:overflowPunct/>
        <w:topLinePunct w:val="0"/>
        <w:bidi w:val="0"/>
        <w:spacing w:line="360" w:lineRule="auto"/>
        <w:ind w:left="0" w:leftChars="0"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rPr>
        <w:t>10.3  项目的其他情况在</w:t>
      </w:r>
      <w:r>
        <w:rPr>
          <w:rFonts w:hint="eastAsia" w:ascii="宋体" w:hAnsi="宋体"/>
          <w:color w:val="auto"/>
          <w:sz w:val="24"/>
          <w:szCs w:val="24"/>
          <w:highlight w:val="none"/>
          <w:lang w:val="en-US" w:eastAsia="zh-CN"/>
        </w:rPr>
        <w:t>设计任务</w:t>
      </w:r>
      <w:r>
        <w:rPr>
          <w:rFonts w:hint="eastAsia" w:ascii="宋体" w:hAnsi="宋体"/>
          <w:color w:val="auto"/>
          <w:sz w:val="24"/>
          <w:szCs w:val="24"/>
          <w:highlight w:val="none"/>
        </w:rPr>
        <w:t>书中详细介绍。本公告为招标文件的组成部分，更详细的信息以招标文件为准。</w:t>
      </w:r>
    </w:p>
    <w:p w14:paraId="09565157">
      <w:pPr>
        <w:pageBreakBefore w:val="0"/>
        <w:kinsoku/>
        <w:wordWrap/>
        <w:overflowPunct/>
        <w:topLinePunct w:val="0"/>
        <w:bidi w:val="0"/>
        <w:spacing w:line="360" w:lineRule="auto"/>
        <w:ind w:left="0" w:leftChars="0"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rPr>
        <w:t>10.4  电子招投标操作流程详见广州交易集团有限公司（广州公共资源交易中心）交易平台发布的相关操作指引。</w:t>
      </w:r>
    </w:p>
    <w:p w14:paraId="06059AB5">
      <w:pPr>
        <w:pageBreakBefore w:val="0"/>
        <w:shd w:val="clear" w:color="auto" w:fill="FFFFFF"/>
        <w:kinsoku/>
        <w:wordWrap/>
        <w:overflowPunct/>
        <w:topLinePunct w:val="0"/>
        <w:bidi w:val="0"/>
        <w:adjustRightInd w:val="0"/>
        <w:spacing w:line="360" w:lineRule="auto"/>
        <w:ind w:left="0" w:leftChars="0"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10.5  潜在投标人或利害关系人对本招标公告及招标文件有异议的，应当在投标截止时间10日前向招标人书面提出。</w:t>
      </w:r>
    </w:p>
    <w:p w14:paraId="45A8D1C3">
      <w:pPr>
        <w:pageBreakBefore w:val="0"/>
        <w:kinsoku/>
        <w:wordWrap/>
        <w:overflowPunct/>
        <w:topLinePunct w:val="0"/>
        <w:bidi w:val="0"/>
        <w:snapToGrid w:val="0"/>
        <w:spacing w:line="360" w:lineRule="auto"/>
        <w:ind w:left="0" w:leftChars="0" w:firstLine="480" w:firstLineChars="200"/>
        <w:textAlignment w:val="auto"/>
        <w:rPr>
          <w:rFonts w:hint="eastAsia" w:ascii="宋体" w:hAnsi="宋体" w:eastAsia="宋体"/>
          <w:color w:val="auto"/>
          <w:sz w:val="24"/>
          <w:szCs w:val="24"/>
          <w:highlight w:val="none"/>
          <w:lang w:eastAsia="zh-CN"/>
        </w:rPr>
      </w:pPr>
      <w:r>
        <w:rPr>
          <w:rFonts w:ascii="宋体" w:hAnsi="宋体"/>
          <w:color w:val="auto"/>
          <w:sz w:val="24"/>
          <w:szCs w:val="24"/>
          <w:highlight w:val="none"/>
        </w:rPr>
        <w:t>异议受理部门：</w:t>
      </w:r>
      <w:r>
        <w:rPr>
          <w:rFonts w:hint="eastAsia" w:ascii="宋体" w:hAnsi="宋体"/>
          <w:color w:val="auto"/>
          <w:sz w:val="24"/>
          <w:szCs w:val="24"/>
          <w:highlight w:val="none"/>
          <w:lang w:val="en-US" w:eastAsia="zh-CN"/>
        </w:rPr>
        <w:t>广州南沙旅游发展有限公司运营管理部</w:t>
      </w:r>
    </w:p>
    <w:p w14:paraId="0260842C">
      <w:pPr>
        <w:pageBreakBefore w:val="0"/>
        <w:kinsoku/>
        <w:wordWrap/>
        <w:overflowPunct/>
        <w:topLinePunct w:val="0"/>
        <w:bidi w:val="0"/>
        <w:snapToGrid w:val="0"/>
        <w:spacing w:line="360" w:lineRule="auto"/>
        <w:ind w:left="0" w:leftChars="0" w:firstLine="480" w:firstLineChars="200"/>
        <w:textAlignment w:val="auto"/>
        <w:rPr>
          <w:rFonts w:hint="eastAsia" w:ascii="宋体" w:hAnsi="宋体"/>
          <w:color w:val="auto"/>
          <w:sz w:val="24"/>
          <w:szCs w:val="24"/>
          <w:highlight w:val="none"/>
          <w:lang w:val="en-US" w:eastAsia="zh-CN"/>
        </w:rPr>
      </w:pPr>
      <w:r>
        <w:rPr>
          <w:rFonts w:ascii="宋体" w:hAnsi="宋体"/>
          <w:color w:val="auto"/>
          <w:sz w:val="24"/>
          <w:szCs w:val="24"/>
          <w:highlight w:val="none"/>
        </w:rPr>
        <w:t>联系人：</w:t>
      </w:r>
      <w:r>
        <w:rPr>
          <w:rFonts w:hint="eastAsia" w:ascii="宋体" w:hAnsi="宋体"/>
          <w:color w:val="auto"/>
          <w:sz w:val="24"/>
          <w:szCs w:val="24"/>
          <w:highlight w:val="none"/>
          <w:lang w:val="en-US" w:eastAsia="zh-CN"/>
        </w:rPr>
        <w:t>郭先生</w:t>
      </w:r>
    </w:p>
    <w:p w14:paraId="2DC43A53">
      <w:pPr>
        <w:pageBreakBefore w:val="0"/>
        <w:kinsoku/>
        <w:wordWrap/>
        <w:overflowPunct/>
        <w:topLinePunct w:val="0"/>
        <w:bidi w:val="0"/>
        <w:snapToGrid w:val="0"/>
        <w:spacing w:line="360" w:lineRule="auto"/>
        <w:ind w:left="0" w:leftChars="0" w:firstLine="480" w:firstLineChars="200"/>
        <w:textAlignment w:val="auto"/>
        <w:rPr>
          <w:rFonts w:hint="eastAsia" w:ascii="宋体" w:hAnsi="宋体" w:eastAsia="宋体"/>
          <w:color w:val="auto"/>
          <w:sz w:val="24"/>
          <w:szCs w:val="24"/>
          <w:highlight w:val="none"/>
          <w:lang w:eastAsia="zh-CN"/>
        </w:rPr>
      </w:pPr>
      <w:r>
        <w:rPr>
          <w:rFonts w:ascii="宋体" w:hAnsi="宋体"/>
          <w:color w:val="auto"/>
          <w:sz w:val="24"/>
          <w:szCs w:val="24"/>
          <w:highlight w:val="none"/>
        </w:rPr>
        <w:t>电话：</w:t>
      </w:r>
      <w:r>
        <w:rPr>
          <w:rFonts w:hint="eastAsia" w:ascii="宋体" w:hAnsi="宋体"/>
          <w:color w:val="auto"/>
          <w:sz w:val="24"/>
          <w:szCs w:val="24"/>
          <w:highlight w:val="none"/>
          <w:lang w:val="en-US" w:eastAsia="zh-CN"/>
        </w:rPr>
        <w:t>020-39002069（工作日8：30-17：00）</w:t>
      </w:r>
    </w:p>
    <w:p w14:paraId="50403F09">
      <w:pPr>
        <w:pageBreakBefore w:val="0"/>
        <w:kinsoku/>
        <w:wordWrap/>
        <w:overflowPunct/>
        <w:topLinePunct w:val="0"/>
        <w:bidi w:val="0"/>
        <w:snapToGrid w:val="0"/>
        <w:spacing w:line="360" w:lineRule="auto"/>
        <w:ind w:left="0" w:leftChars="0" w:firstLine="480" w:firstLineChars="200"/>
        <w:textAlignment w:val="auto"/>
        <w:rPr>
          <w:rFonts w:hint="eastAsia" w:ascii="宋体" w:hAnsi="宋体" w:cs="宋体"/>
          <w:color w:val="auto"/>
          <w:sz w:val="24"/>
          <w:szCs w:val="24"/>
          <w:highlight w:val="none"/>
          <w:u w:val="single"/>
        </w:rPr>
      </w:pPr>
      <w:r>
        <w:rPr>
          <w:rFonts w:ascii="宋体" w:hAnsi="宋体"/>
          <w:color w:val="auto"/>
          <w:sz w:val="24"/>
          <w:szCs w:val="24"/>
          <w:highlight w:val="none"/>
        </w:rPr>
        <w:t>地址：</w:t>
      </w:r>
      <w:r>
        <w:rPr>
          <w:rFonts w:hint="eastAsia" w:ascii="宋体" w:hAnsi="宋体"/>
          <w:color w:val="auto"/>
          <w:sz w:val="24"/>
          <w:szCs w:val="24"/>
          <w:highlight w:val="none"/>
          <w:lang w:val="en-US" w:eastAsia="zh-CN"/>
        </w:rPr>
        <w:t>广州市南沙区港湾街天后路88号之一</w:t>
      </w:r>
    </w:p>
    <w:p w14:paraId="015F2A3B">
      <w:pPr>
        <w:pageBreakBefore w:val="0"/>
        <w:kinsoku/>
        <w:wordWrap/>
        <w:overflowPunct/>
        <w:topLinePunct w:val="0"/>
        <w:bidi w:val="0"/>
        <w:snapToGrid w:val="0"/>
        <w:spacing w:line="360" w:lineRule="auto"/>
        <w:ind w:left="0" w:leftChars="0" w:firstLine="480" w:firstLineChars="200"/>
        <w:textAlignment w:val="auto"/>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注：潜在投标人或利害关系人可以通过线下或线上的形式提出异议。线上提出异议的，应通过交易平台提交，招标人也应通过交易平台答复线上提出的异议。具体按照交易平台相关指南进行操作。作出答复前，应当暂停招标投标活动。</w:t>
      </w:r>
    </w:p>
    <w:p w14:paraId="6D78DDD8">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10.6  招标人不集中组织现场考察，由投标人自行考察。</w:t>
      </w:r>
    </w:p>
    <w:p w14:paraId="295D2AD4">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10.</w:t>
      </w:r>
      <w:r>
        <w:rPr>
          <w:rFonts w:ascii="宋体" w:hAnsi="宋体"/>
          <w:color w:val="auto"/>
          <w:sz w:val="24"/>
          <w:szCs w:val="24"/>
          <w:highlight w:val="none"/>
        </w:rPr>
        <w:t>7</w:t>
      </w:r>
      <w:r>
        <w:rPr>
          <w:rFonts w:hint="eastAsia" w:ascii="宋体" w:hAnsi="宋体"/>
          <w:color w:val="auto"/>
          <w:sz w:val="24"/>
          <w:szCs w:val="24"/>
          <w:highlight w:val="none"/>
        </w:rPr>
        <w:t xml:space="preserve">  </w:t>
      </w:r>
      <w:r>
        <w:rPr>
          <w:rFonts w:ascii="宋体" w:hAnsi="宋体"/>
          <w:color w:val="auto"/>
          <w:sz w:val="24"/>
          <w:szCs w:val="24"/>
          <w:highlight w:val="none"/>
        </w:rPr>
        <w:t>特别提示：</w:t>
      </w:r>
      <w:r>
        <w:rPr>
          <w:rFonts w:hint="eastAsia" w:ascii="宋体" w:hAnsi="宋体"/>
          <w:color w:val="auto"/>
          <w:sz w:val="24"/>
          <w:szCs w:val="24"/>
          <w:highlight w:val="none"/>
        </w:rPr>
        <w:t>投标人在本项目招标人的工程项目中存在下列行为的，将被拒绝一定时期内参与我单位后续工程投标。（注：拒绝投标时限由招标人视严重程度确定，最低三个月起，自招标人发出通知之日起计）：</w:t>
      </w:r>
    </w:p>
    <w:p w14:paraId="2DAB571B">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（1）将中标工程转包或者违法分包的；</w:t>
      </w:r>
    </w:p>
    <w:p w14:paraId="4B0ADB7C">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（2）在中标工程中不执行质量、安全生产相关规定的，造成质量或安全事故的；</w:t>
      </w:r>
    </w:p>
    <w:p w14:paraId="1B28F6A8">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（3）存在围标或串标情形的；</w:t>
      </w:r>
    </w:p>
    <w:p w14:paraId="2E0587C9">
      <w:pPr>
        <w:pageBreakBefore w:val="0"/>
        <w:kinsoku/>
        <w:wordWrap/>
        <w:overflowPunct/>
        <w:topLinePunct w:val="0"/>
        <w:bidi w:val="0"/>
        <w:spacing w:line="360" w:lineRule="auto"/>
        <w:ind w:left="0" w:leftChars="0"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rPr>
        <w:t>（4）存在弄虚作假骗取中标情形的；</w:t>
      </w:r>
    </w:p>
    <w:p w14:paraId="66E7BAD8">
      <w:pPr>
        <w:pageBreakBefore w:val="0"/>
        <w:kinsoku/>
        <w:wordWrap/>
        <w:overflowPunct/>
        <w:topLinePunct w:val="0"/>
        <w:autoSpaceDE w:val="0"/>
        <w:autoSpaceDN w:val="0"/>
        <w:bidi w:val="0"/>
        <w:adjustRightInd w:val="0"/>
        <w:spacing w:line="360" w:lineRule="auto"/>
        <w:ind w:left="0" w:leftChars="0" w:firstLine="480" w:firstLineChars="200"/>
        <w:jc w:val="left"/>
        <w:textAlignment w:val="auto"/>
        <w:rPr>
          <w:rFonts w:hint="eastAsia" w:ascii="宋体" w:hAnsi="宋体"/>
          <w:color w:val="auto"/>
          <w:sz w:val="24"/>
          <w:szCs w:val="24"/>
          <w:highlight w:val="none"/>
          <w:u w:val="single"/>
        </w:rPr>
      </w:pPr>
      <w:r>
        <w:rPr>
          <w:rFonts w:hint="eastAsia" w:ascii="宋体" w:hAnsi="宋体"/>
          <w:color w:val="auto"/>
          <w:sz w:val="24"/>
          <w:szCs w:val="24"/>
          <w:highlight w:val="none"/>
        </w:rPr>
        <w:t>10.</w:t>
      </w:r>
      <w:r>
        <w:rPr>
          <w:rFonts w:ascii="宋体" w:hAnsi="宋体"/>
          <w:color w:val="auto"/>
          <w:sz w:val="24"/>
          <w:szCs w:val="24"/>
          <w:highlight w:val="none"/>
        </w:rPr>
        <w:t>8</w:t>
      </w:r>
      <w:r>
        <w:rPr>
          <w:rFonts w:hint="eastAsia" w:ascii="宋体" w:hAnsi="宋体"/>
          <w:color w:val="auto"/>
          <w:sz w:val="24"/>
          <w:szCs w:val="24"/>
          <w:highlight w:val="none"/>
        </w:rPr>
        <w:t xml:space="preserve">  前期服务机构名称：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6E218BF9">
      <w:pPr>
        <w:pageBreakBefore w:val="0"/>
        <w:kinsoku/>
        <w:wordWrap/>
        <w:overflowPunct/>
        <w:topLinePunct w:val="0"/>
        <w:autoSpaceDE w:val="0"/>
        <w:autoSpaceDN w:val="0"/>
        <w:bidi w:val="0"/>
        <w:adjustRightInd w:val="0"/>
        <w:spacing w:line="360" w:lineRule="auto"/>
        <w:ind w:left="0" w:leftChars="0" w:firstLine="480" w:firstLineChars="200"/>
        <w:jc w:val="left"/>
        <w:textAlignment w:val="auto"/>
        <w:rPr>
          <w:rFonts w:ascii="宋体" w:hAnsi="宋体"/>
          <w:b/>
          <w:color w:val="auto"/>
          <w:sz w:val="24"/>
          <w:szCs w:val="24"/>
          <w:highlight w:val="none"/>
          <w:u w:val="single"/>
        </w:rPr>
      </w:pPr>
      <w:r>
        <w:rPr>
          <w:rFonts w:hint="eastAsia" w:ascii="宋体" w:hAnsi="宋体"/>
          <w:color w:val="auto"/>
          <w:sz w:val="24"/>
          <w:szCs w:val="24"/>
          <w:highlight w:val="none"/>
        </w:rPr>
        <w:t>注：如果有前期服务机构，应公开披露其名称。如果前期服务机构参加本次投标，应将本公告发布前最终完成的工作成果（含电子文件）在投标人购买（或下载）招标文件的同时提供给所有投标人参考，否则前期参与的服务机构中标无效。</w:t>
      </w:r>
    </w:p>
    <w:p w14:paraId="4F0DA771">
      <w:pPr>
        <w:pageBreakBefore w:val="0"/>
        <w:kinsoku/>
        <w:wordWrap/>
        <w:overflowPunct/>
        <w:topLinePunct w:val="0"/>
        <w:autoSpaceDE w:val="0"/>
        <w:autoSpaceDN w:val="0"/>
        <w:bidi w:val="0"/>
        <w:adjustRightInd w:val="0"/>
        <w:spacing w:line="360" w:lineRule="auto"/>
        <w:ind w:left="0" w:leftChars="0"/>
        <w:jc w:val="left"/>
        <w:textAlignment w:val="auto"/>
        <w:rPr>
          <w:rFonts w:hint="eastAsia" w:ascii="宋体" w:hAnsi="宋体"/>
          <w:color w:val="auto"/>
          <w:sz w:val="24"/>
          <w:highlight w:val="none"/>
        </w:rPr>
      </w:pPr>
      <w:bookmarkStart w:id="13" w:name="_Toc25072056"/>
      <w:r>
        <w:rPr>
          <w:rFonts w:hint="eastAsia" w:ascii="宋体" w:hAnsi="宋体"/>
          <w:b/>
          <w:bCs/>
          <w:color w:val="auto"/>
          <w:sz w:val="32"/>
          <w:szCs w:val="32"/>
          <w:highlight w:val="none"/>
        </w:rPr>
        <w:t>11.联系方式</w:t>
      </w:r>
      <w:bookmarkEnd w:id="13"/>
    </w:p>
    <w:p w14:paraId="7319E456">
      <w:pPr>
        <w:pageBreakBefore w:val="0"/>
        <w:kinsoku/>
        <w:wordWrap/>
        <w:overflowPunct/>
        <w:topLinePunct w:val="0"/>
        <w:autoSpaceDE w:val="0"/>
        <w:autoSpaceDN w:val="0"/>
        <w:bidi w:val="0"/>
        <w:adjustRightInd w:val="0"/>
        <w:spacing w:line="360" w:lineRule="auto"/>
        <w:ind w:left="0" w:leftChars="0" w:firstLine="480" w:firstLineChars="200"/>
        <w:jc w:val="left"/>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招标人名称：</w:t>
      </w:r>
      <w:r>
        <w:rPr>
          <w:rFonts w:hint="eastAsia" w:ascii="宋体" w:hAnsi="宋体"/>
          <w:color w:val="auto"/>
          <w:sz w:val="24"/>
          <w:szCs w:val="24"/>
          <w:highlight w:val="none"/>
          <w:u w:val="single"/>
          <w:lang w:eastAsia="zh-CN"/>
        </w:rPr>
        <w:t>广州南沙科技投资有限公司</w:t>
      </w:r>
    </w:p>
    <w:p w14:paraId="16DA2CE1">
      <w:pPr>
        <w:pageBreakBefore w:val="0"/>
        <w:kinsoku/>
        <w:wordWrap/>
        <w:overflowPunct/>
        <w:topLinePunct w:val="0"/>
        <w:bidi w:val="0"/>
        <w:spacing w:line="360" w:lineRule="auto"/>
        <w:ind w:left="0" w:leftChars="0" w:firstLine="480" w:firstLineChars="200"/>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邮政编码、地址：</w:t>
      </w:r>
      <w:r>
        <w:rPr>
          <w:rFonts w:hint="eastAsia" w:ascii="宋体" w:hAnsi="宋体"/>
          <w:color w:val="auto"/>
          <w:sz w:val="24"/>
          <w:szCs w:val="24"/>
          <w:highlight w:val="none"/>
          <w:lang w:val="en-US" w:eastAsia="zh-CN"/>
        </w:rPr>
        <w:t>511458、</w:t>
      </w:r>
      <w:r>
        <w:rPr>
          <w:rFonts w:ascii="Segoe UI" w:hAnsi="Segoe UI" w:eastAsia="Segoe UI" w:cs="Segoe UI"/>
          <w:i w:val="0"/>
          <w:iCs w:val="0"/>
          <w:caps w:val="0"/>
          <w:color w:val="auto"/>
          <w:spacing w:val="0"/>
          <w:sz w:val="24"/>
          <w:szCs w:val="24"/>
          <w:highlight w:val="none"/>
          <w:shd w:val="clear" w:fill="FFFFFF"/>
        </w:rPr>
        <w:t>广州市南沙区海滨路 171 号 1806 室</w:t>
      </w:r>
    </w:p>
    <w:p w14:paraId="3541EDB7">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z w:val="24"/>
          <w:szCs w:val="24"/>
          <w:highlight w:val="none"/>
          <w:u w:val="single"/>
          <w:lang w:val="en-US" w:eastAsia="zh-CN"/>
        </w:rPr>
      </w:pPr>
      <w:r>
        <w:rPr>
          <w:rFonts w:hint="eastAsia" w:ascii="宋体" w:hAnsi="宋体"/>
          <w:color w:val="auto"/>
          <w:sz w:val="24"/>
          <w:szCs w:val="24"/>
          <w:highlight w:val="none"/>
        </w:rPr>
        <w:t>联系人：</w:t>
      </w:r>
      <w:r>
        <w:rPr>
          <w:rFonts w:hint="eastAsia" w:ascii="宋体" w:hAnsi="宋体"/>
          <w:color w:val="auto"/>
          <w:sz w:val="24"/>
          <w:szCs w:val="24"/>
          <w:highlight w:val="none"/>
          <w:u w:val="single"/>
          <w:lang w:val="en-US" w:eastAsia="zh-CN"/>
        </w:rPr>
        <w:t>段工</w:t>
      </w:r>
    </w:p>
    <w:p w14:paraId="1C4651AA">
      <w:pPr>
        <w:pageBreakBefore w:val="0"/>
        <w:kinsoku/>
        <w:wordWrap/>
        <w:overflowPunct/>
        <w:topLinePunct w:val="0"/>
        <w:bidi w:val="0"/>
        <w:spacing w:line="360" w:lineRule="auto"/>
        <w:ind w:left="0" w:leftChars="0" w:firstLine="480" w:firstLineChars="200"/>
        <w:jc w:val="left"/>
        <w:textAlignment w:val="auto"/>
        <w:rPr>
          <w:rFonts w:hint="eastAsia" w:ascii="宋体" w:hAnsi="宋体" w:eastAsia="宋体"/>
          <w:color w:val="auto"/>
          <w:sz w:val="24"/>
          <w:szCs w:val="24"/>
          <w:highlight w:val="none"/>
          <w:u w:val="single"/>
          <w:lang w:eastAsia="zh-CN"/>
        </w:rPr>
      </w:pPr>
      <w:r>
        <w:rPr>
          <w:rFonts w:hint="eastAsia" w:ascii="宋体" w:hAnsi="宋体"/>
          <w:color w:val="auto"/>
          <w:sz w:val="24"/>
          <w:szCs w:val="24"/>
          <w:highlight w:val="none"/>
        </w:rPr>
        <w:t>电话（手机）号码：</w:t>
      </w:r>
      <w:r>
        <w:rPr>
          <w:rFonts w:hint="eastAsia" w:ascii="宋体" w:hAnsi="宋体"/>
          <w:color w:val="auto"/>
          <w:sz w:val="24"/>
          <w:szCs w:val="24"/>
          <w:highlight w:val="none"/>
          <w:u w:val="single"/>
          <w:lang w:val="en-US" w:eastAsia="zh-CN"/>
        </w:rPr>
        <w:t xml:space="preserve"> </w:t>
      </w:r>
    </w:p>
    <w:p w14:paraId="53BFF04F">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传真号码：</w:t>
      </w:r>
      <w:r>
        <w:rPr>
          <w:rFonts w:hint="eastAsia" w:ascii="宋体" w:hAnsi="宋体"/>
          <w:color w:val="auto"/>
          <w:sz w:val="24"/>
          <w:szCs w:val="24"/>
          <w:highlight w:val="none"/>
          <w:u w:val="single"/>
        </w:rPr>
        <w:t xml:space="preserve">  /  </w:t>
      </w:r>
    </w:p>
    <w:p w14:paraId="02AD1476">
      <w:pPr>
        <w:pageBreakBefore w:val="0"/>
        <w:kinsoku/>
        <w:wordWrap/>
        <w:overflowPunct/>
        <w:topLinePunct w:val="0"/>
        <w:bidi w:val="0"/>
        <w:spacing w:line="360" w:lineRule="auto"/>
        <w:ind w:left="0" w:leftChars="0" w:firstLine="480" w:firstLineChars="200"/>
        <w:textAlignment w:val="auto"/>
        <w:rPr>
          <w:rFonts w:hint="eastAsia" w:ascii="宋体" w:hAnsi="宋体"/>
          <w:color w:val="auto"/>
          <w:sz w:val="24"/>
          <w:szCs w:val="24"/>
          <w:highlight w:val="none"/>
          <w:u w:val="single"/>
        </w:rPr>
      </w:pPr>
      <w:r>
        <w:rPr>
          <w:rFonts w:hint="eastAsia" w:ascii="宋体" w:hAnsi="宋体"/>
          <w:color w:val="auto"/>
          <w:sz w:val="24"/>
          <w:szCs w:val="24"/>
          <w:highlight w:val="none"/>
        </w:rPr>
        <w:t>电子邮箱：</w:t>
      </w:r>
      <w:r>
        <w:rPr>
          <w:rFonts w:hint="eastAsia" w:ascii="宋体" w:hAnsi="宋体"/>
          <w:color w:val="auto"/>
          <w:sz w:val="24"/>
          <w:szCs w:val="24"/>
          <w:highlight w:val="none"/>
          <w:u w:val="single"/>
        </w:rPr>
        <w:t xml:space="preserve">  /  </w:t>
      </w:r>
    </w:p>
    <w:p w14:paraId="42F347B8">
      <w:pPr>
        <w:pStyle w:val="21"/>
        <w:pageBreakBefore w:val="0"/>
        <w:kinsoku/>
        <w:wordWrap/>
        <w:overflowPunct/>
        <w:topLinePunct w:val="0"/>
        <w:bidi w:val="0"/>
        <w:spacing w:after="0" w:line="360" w:lineRule="auto"/>
        <w:ind w:left="0" w:leftChars="0" w:firstLine="420"/>
        <w:textAlignment w:val="auto"/>
        <w:rPr>
          <w:color w:val="auto"/>
          <w:sz w:val="24"/>
          <w:szCs w:val="24"/>
          <w:highlight w:val="none"/>
        </w:rPr>
      </w:pPr>
    </w:p>
    <w:p w14:paraId="6950E932">
      <w:pPr>
        <w:pageBreakBefore w:val="0"/>
        <w:kinsoku/>
        <w:wordWrap/>
        <w:overflowPunct/>
        <w:topLinePunct w:val="0"/>
        <w:bidi w:val="0"/>
        <w:spacing w:line="360" w:lineRule="auto"/>
        <w:ind w:left="0" w:leftChars="0" w:firstLine="480" w:firstLineChars="200"/>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招标代理名称：</w:t>
      </w:r>
      <w:r>
        <w:rPr>
          <w:rFonts w:hint="eastAsia" w:ascii="宋体" w:hAnsi="宋体"/>
          <w:color w:val="auto"/>
          <w:sz w:val="24"/>
          <w:szCs w:val="24"/>
          <w:highlight w:val="none"/>
          <w:u w:val="single"/>
          <w:lang w:eastAsia="zh-CN"/>
        </w:rPr>
        <w:t>广州万亿采购科技有限公司</w:t>
      </w:r>
    </w:p>
    <w:p w14:paraId="577CC23A">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邮政编码、地址：</w:t>
      </w:r>
      <w:r>
        <w:rPr>
          <w:rFonts w:hint="eastAsia" w:ascii="宋体" w:hAnsi="宋体"/>
          <w:color w:val="auto"/>
          <w:sz w:val="24"/>
          <w:szCs w:val="24"/>
          <w:highlight w:val="none"/>
          <w:u w:val="single"/>
        </w:rPr>
        <w:t>510440、广州市白</w:t>
      </w:r>
      <w:r>
        <w:rPr>
          <w:rFonts w:hint="eastAsia" w:ascii="宋体" w:hAnsi="宋体" w:eastAsia="宋体" w:cs="宋体"/>
          <w:color w:val="auto"/>
          <w:sz w:val="24"/>
          <w:szCs w:val="24"/>
          <w:highlight w:val="none"/>
          <w:u w:val="single"/>
        </w:rPr>
        <w:t>云区嘉禾街望岗大马路3号嘉丰大厦B栋3楼313室</w:t>
      </w:r>
    </w:p>
    <w:p w14:paraId="6B391E1F">
      <w:pPr>
        <w:pageBreakBefore w:val="0"/>
        <w:kinsoku/>
        <w:wordWrap/>
        <w:overflowPunct/>
        <w:topLinePunct w:val="0"/>
        <w:bidi w:val="0"/>
        <w:spacing w:line="360" w:lineRule="auto"/>
        <w:ind w:left="0" w:leftChars="0" w:firstLine="480" w:firstLineChars="200"/>
        <w:jc w:val="left"/>
        <w:textAlignment w:val="auto"/>
        <w:rPr>
          <w:rFonts w:hint="default" w:ascii="宋体" w:hAnsi="宋体" w:eastAsia="宋体"/>
          <w:color w:val="auto"/>
          <w:sz w:val="24"/>
          <w:szCs w:val="24"/>
          <w:highlight w:val="none"/>
          <w:u w:val="single"/>
          <w:lang w:val="en-US" w:eastAsia="zh-CN"/>
        </w:rPr>
      </w:pPr>
      <w:r>
        <w:rPr>
          <w:rFonts w:hint="eastAsia" w:ascii="宋体" w:hAnsi="宋体"/>
          <w:color w:val="auto"/>
          <w:sz w:val="24"/>
          <w:szCs w:val="24"/>
          <w:highlight w:val="none"/>
        </w:rPr>
        <w:t>联系人：</w:t>
      </w:r>
      <w:r>
        <w:rPr>
          <w:rFonts w:hint="eastAsia" w:ascii="宋体" w:hAnsi="宋体"/>
          <w:color w:val="auto"/>
          <w:sz w:val="24"/>
          <w:szCs w:val="24"/>
          <w:highlight w:val="none"/>
          <w:u w:val="single"/>
          <w:lang w:val="en-US" w:eastAsia="zh-CN"/>
        </w:rPr>
        <w:t>黄工</w:t>
      </w:r>
    </w:p>
    <w:p w14:paraId="4D7B8B40">
      <w:pPr>
        <w:pageBreakBefore w:val="0"/>
        <w:kinsoku/>
        <w:wordWrap/>
        <w:overflowPunct/>
        <w:topLinePunct w:val="0"/>
        <w:bidi w:val="0"/>
        <w:spacing w:line="360" w:lineRule="auto"/>
        <w:ind w:left="0" w:leftChars="0" w:firstLine="480" w:firstLineChars="200"/>
        <w:jc w:val="left"/>
        <w:textAlignment w:val="auto"/>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电话（手机）号码：</w:t>
      </w:r>
      <w:r>
        <w:rPr>
          <w:rFonts w:hint="eastAsia" w:ascii="宋体" w:hAnsi="宋体" w:eastAsia="宋体"/>
          <w:color w:val="auto"/>
          <w:sz w:val="24"/>
          <w:szCs w:val="24"/>
          <w:highlight w:val="none"/>
          <w:lang w:val="en-US" w:eastAsia="zh-CN"/>
        </w:rPr>
        <w:t>18028500196</w:t>
      </w:r>
    </w:p>
    <w:p w14:paraId="668D6E53">
      <w:pPr>
        <w:pageBreakBefore w:val="0"/>
        <w:kinsoku/>
        <w:wordWrap/>
        <w:overflowPunct/>
        <w:topLinePunct w:val="0"/>
        <w:bidi w:val="0"/>
        <w:spacing w:line="360" w:lineRule="auto"/>
        <w:ind w:left="0" w:leftChars="0" w:firstLine="480" w:firstLineChars="200"/>
        <w:jc w:val="left"/>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传真号码：  /  </w:t>
      </w:r>
    </w:p>
    <w:p w14:paraId="35900885">
      <w:pPr>
        <w:pageBreakBefore w:val="0"/>
        <w:kinsoku/>
        <w:wordWrap/>
        <w:overflowPunct/>
        <w:topLinePunct w:val="0"/>
        <w:bidi w:val="0"/>
        <w:spacing w:line="360" w:lineRule="auto"/>
        <w:ind w:left="0" w:leftChars="0" w:firstLine="480" w:firstLineChars="200"/>
        <w:textAlignment w:val="auto"/>
        <w:rPr>
          <w:rFonts w:hint="eastAsia" w:ascii="宋体" w:hAnsi="宋体"/>
          <w:color w:val="auto"/>
          <w:sz w:val="24"/>
          <w:szCs w:val="24"/>
          <w:highlight w:val="none"/>
          <w:u w:val="single"/>
        </w:rPr>
      </w:pPr>
      <w:r>
        <w:rPr>
          <w:rFonts w:hint="eastAsia" w:ascii="宋体" w:hAnsi="宋体" w:cs="宋体"/>
          <w:color w:val="auto"/>
          <w:sz w:val="24"/>
          <w:szCs w:val="24"/>
          <w:highlight w:val="none"/>
        </w:rPr>
        <w:t>电子</w:t>
      </w:r>
      <w:r>
        <w:rPr>
          <w:rFonts w:hint="eastAsia" w:ascii="宋体" w:hAnsi="宋体"/>
          <w:color w:val="auto"/>
          <w:sz w:val="24"/>
          <w:szCs w:val="24"/>
          <w:highlight w:val="none"/>
        </w:rPr>
        <w:t>邮</w:t>
      </w:r>
      <w:r>
        <w:rPr>
          <w:rFonts w:hint="eastAsia" w:ascii="宋体" w:hAnsi="宋体" w:cs="宋体"/>
          <w:color w:val="auto"/>
          <w:sz w:val="24"/>
          <w:szCs w:val="24"/>
          <w:highlight w:val="none"/>
        </w:rPr>
        <w:t>箱</w:t>
      </w:r>
      <w:r>
        <w:rPr>
          <w:rFonts w:hint="eastAsia" w:ascii="宋体" w:hAnsi="宋体"/>
          <w:color w:val="auto"/>
          <w:sz w:val="24"/>
          <w:szCs w:val="24"/>
          <w:highlight w:val="none"/>
        </w:rPr>
        <w:t>：</w:t>
      </w:r>
      <w:r>
        <w:rPr>
          <w:rFonts w:hint="eastAsia" w:ascii="宋体" w:hAnsi="宋体"/>
          <w:color w:val="auto"/>
          <w:sz w:val="24"/>
          <w:szCs w:val="24"/>
          <w:highlight w:val="none"/>
          <w:u w:val="none"/>
        </w:rPr>
        <w:t xml:space="preserve"> </w:t>
      </w:r>
      <w:r>
        <w:rPr>
          <w:rFonts w:hint="eastAsia" w:ascii="宋体" w:hAnsi="宋体" w:eastAsia="宋体" w:cs="宋体"/>
          <w:color w:val="auto"/>
          <w:spacing w:val="-1"/>
          <w:sz w:val="24"/>
          <w:szCs w:val="24"/>
          <w:highlight w:val="none"/>
          <w:lang w:val="en-US" w:eastAsia="zh-CN"/>
        </w:rPr>
        <w:t xml:space="preserve">wycg2025@163.com </w:t>
      </w:r>
      <w:r>
        <w:rPr>
          <w:rFonts w:hint="eastAsia" w:ascii="宋体" w:hAnsi="宋体"/>
          <w:color w:val="auto"/>
          <w:sz w:val="24"/>
          <w:szCs w:val="24"/>
          <w:highlight w:val="none"/>
          <w:u w:val="none"/>
        </w:rPr>
        <w:t xml:space="preserve"> </w:t>
      </w:r>
    </w:p>
    <w:p w14:paraId="6FE1B65B">
      <w:pPr>
        <w:pStyle w:val="21"/>
        <w:pageBreakBefore w:val="0"/>
        <w:kinsoku/>
        <w:wordWrap/>
        <w:overflowPunct/>
        <w:topLinePunct w:val="0"/>
        <w:bidi w:val="0"/>
        <w:spacing w:after="0" w:line="360" w:lineRule="auto"/>
        <w:ind w:left="0" w:leftChars="0" w:firstLine="420"/>
        <w:textAlignment w:val="auto"/>
        <w:rPr>
          <w:rFonts w:hint="eastAsia"/>
          <w:color w:val="auto"/>
          <w:sz w:val="24"/>
          <w:szCs w:val="24"/>
          <w:highlight w:val="none"/>
        </w:rPr>
      </w:pPr>
    </w:p>
    <w:p w14:paraId="0CC9001F">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交易服务机构名称：</w:t>
      </w:r>
      <w:r>
        <w:rPr>
          <w:rFonts w:hint="eastAsia" w:ascii="宋体" w:hAnsi="宋体"/>
          <w:color w:val="auto"/>
          <w:sz w:val="24"/>
          <w:szCs w:val="24"/>
          <w:highlight w:val="none"/>
          <w:u w:val="single"/>
        </w:rPr>
        <w:t>广州交易集团有限公司（广州公共资源交易中心）</w:t>
      </w:r>
    </w:p>
    <w:p w14:paraId="179B13F0">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邮政编码、地址： </w:t>
      </w:r>
      <w:r>
        <w:rPr>
          <w:rFonts w:hint="default" w:ascii="宋体" w:hAnsi="宋体"/>
          <w:color w:val="auto"/>
          <w:sz w:val="24"/>
          <w:szCs w:val="24"/>
          <w:highlight w:val="none"/>
          <w:u w:val="single"/>
        </w:rPr>
        <w:t>510630</w:t>
      </w:r>
      <w:r>
        <w:rPr>
          <w:rFonts w:hint="eastAsia" w:ascii="宋体" w:hAnsi="宋体"/>
          <w:color w:val="auto"/>
          <w:sz w:val="24"/>
          <w:szCs w:val="24"/>
          <w:highlight w:val="none"/>
          <w:u w:val="single"/>
        </w:rPr>
        <w:t>、广州市天河区天润路 333 号</w:t>
      </w:r>
    </w:p>
    <w:p w14:paraId="74F1BA82">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电话（手机）号码：</w:t>
      </w:r>
      <w:r>
        <w:rPr>
          <w:rFonts w:hint="eastAsia" w:ascii="宋体" w:hAnsi="宋体"/>
          <w:color w:val="auto"/>
          <w:sz w:val="24"/>
          <w:szCs w:val="24"/>
          <w:highlight w:val="none"/>
          <w:u w:val="single"/>
        </w:rPr>
        <w:t>020-28866418</w:t>
      </w:r>
    </w:p>
    <w:p w14:paraId="07E1F41A">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z w:val="24"/>
          <w:szCs w:val="24"/>
          <w:highlight w:val="none"/>
          <w:lang w:val="en-US" w:eastAsia="zh-CN"/>
        </w:rPr>
      </w:pPr>
      <w:r>
        <w:rPr>
          <w:rFonts w:hint="eastAsia" w:ascii="宋体" w:hAnsi="宋体"/>
          <w:color w:val="auto"/>
          <w:sz w:val="24"/>
          <w:szCs w:val="24"/>
          <w:highlight w:val="none"/>
        </w:rPr>
        <w:t>传真号码：</w:t>
      </w:r>
      <w:r>
        <w:rPr>
          <w:rFonts w:hint="eastAsia" w:ascii="宋体" w:hAnsi="宋体"/>
          <w:color w:val="auto"/>
          <w:sz w:val="24"/>
          <w:szCs w:val="24"/>
          <w:highlight w:val="none"/>
          <w:lang w:val="en-US" w:eastAsia="zh-CN"/>
        </w:rPr>
        <w:t>/</w:t>
      </w:r>
    </w:p>
    <w:p w14:paraId="65C1986A">
      <w:pPr>
        <w:pageBreakBefore w:val="0"/>
        <w:kinsoku/>
        <w:wordWrap/>
        <w:overflowPunct/>
        <w:topLinePunct w:val="0"/>
        <w:bidi w:val="0"/>
        <w:spacing w:line="360" w:lineRule="auto"/>
        <w:ind w:left="0" w:leftChars="0" w:firstLine="480" w:firstLineChars="200"/>
        <w:textAlignment w:val="auto"/>
        <w:rPr>
          <w:rFonts w:hint="eastAsia" w:ascii="宋体" w:hAnsi="宋体"/>
          <w:color w:val="auto"/>
          <w:sz w:val="24"/>
          <w:szCs w:val="24"/>
          <w:highlight w:val="none"/>
          <w:u w:val="single"/>
        </w:rPr>
      </w:pPr>
      <w:r>
        <w:rPr>
          <w:rFonts w:hint="eastAsia" w:ascii="宋体" w:hAnsi="宋体"/>
          <w:color w:val="auto"/>
          <w:sz w:val="24"/>
          <w:szCs w:val="24"/>
          <w:highlight w:val="none"/>
        </w:rPr>
        <w:t>网址：</w:t>
      </w:r>
      <w:r>
        <w:rPr>
          <w:rFonts w:ascii="宋体" w:hAnsi="宋体"/>
          <w:color w:val="auto"/>
          <w:sz w:val="24"/>
          <w:szCs w:val="24"/>
          <w:highlight w:val="none"/>
          <w:u w:val="single"/>
        </w:rPr>
        <w:t>http://www.gzggzy.cn</w:t>
      </w:r>
    </w:p>
    <w:p w14:paraId="6B106970">
      <w:pPr>
        <w:pStyle w:val="21"/>
        <w:pageBreakBefore w:val="0"/>
        <w:kinsoku/>
        <w:wordWrap/>
        <w:overflowPunct/>
        <w:topLinePunct w:val="0"/>
        <w:bidi w:val="0"/>
        <w:spacing w:after="0" w:line="360" w:lineRule="auto"/>
        <w:ind w:left="0" w:leftChars="0" w:firstLine="420"/>
        <w:textAlignment w:val="auto"/>
        <w:rPr>
          <w:rFonts w:hint="eastAsia"/>
          <w:color w:val="auto"/>
          <w:sz w:val="24"/>
          <w:szCs w:val="24"/>
          <w:highlight w:val="none"/>
        </w:rPr>
      </w:pPr>
    </w:p>
    <w:p w14:paraId="3B76E6DF">
      <w:pPr>
        <w:pageBreakBefore w:val="0"/>
        <w:kinsoku/>
        <w:wordWrap/>
        <w:overflowPunct/>
        <w:topLinePunct w:val="0"/>
        <w:bidi w:val="0"/>
        <w:spacing w:line="360" w:lineRule="auto"/>
        <w:ind w:left="0" w:leftChars="0" w:firstLine="480" w:firstLineChars="200"/>
        <w:jc w:val="left"/>
        <w:textAlignment w:val="auto"/>
        <w:rPr>
          <w:rFonts w:hint="default" w:ascii="宋体" w:hAnsi="宋体"/>
          <w:color w:val="auto"/>
          <w:sz w:val="24"/>
          <w:szCs w:val="24"/>
          <w:highlight w:val="none"/>
          <w:lang w:val="en-US" w:eastAsia="zh-CN"/>
        </w:rPr>
      </w:pPr>
      <w:r>
        <w:rPr>
          <w:rFonts w:hint="eastAsia" w:ascii="宋体" w:hAnsi="宋体"/>
          <w:color w:val="auto"/>
          <w:sz w:val="24"/>
          <w:szCs w:val="24"/>
          <w:highlight w:val="none"/>
        </w:rPr>
        <w:t>招标管理机构名称：</w:t>
      </w:r>
      <w:r>
        <w:rPr>
          <w:rFonts w:hint="eastAsia" w:ascii="宋体" w:hAnsi="宋体"/>
          <w:color w:val="auto"/>
          <w:sz w:val="24"/>
          <w:szCs w:val="24"/>
          <w:highlight w:val="none"/>
          <w:u w:val="single"/>
        </w:rPr>
        <w:t>广州市南沙区住房和城乡建设局</w:t>
      </w:r>
      <w:r>
        <w:rPr>
          <w:rFonts w:hint="eastAsia" w:ascii="宋体" w:hAnsi="宋体"/>
          <w:color w:val="auto"/>
          <w:sz w:val="24"/>
          <w:szCs w:val="24"/>
          <w:highlight w:val="none"/>
          <w:u w:val="single"/>
          <w:lang w:val="en-US" w:eastAsia="zh-CN"/>
        </w:rPr>
        <w:t>(企业投资类项目)</w:t>
      </w:r>
    </w:p>
    <w:p w14:paraId="0EA1782A">
      <w:pPr>
        <w:pageBreakBefore w:val="0"/>
        <w:kinsoku/>
        <w:wordWrap/>
        <w:overflowPunct/>
        <w:topLinePunct w:val="0"/>
        <w:bidi w:val="0"/>
        <w:spacing w:line="360" w:lineRule="auto"/>
        <w:ind w:left="0" w:leftChars="0" w:firstLine="480" w:firstLineChars="200"/>
        <w:jc w:val="left"/>
        <w:textAlignment w:val="auto"/>
        <w:rPr>
          <w:rFonts w:hint="default" w:ascii="宋体" w:hAnsi="宋体"/>
          <w:color w:val="auto"/>
          <w:sz w:val="24"/>
          <w:szCs w:val="24"/>
          <w:highlight w:val="none"/>
          <w:lang w:val="en-US" w:eastAsia="zh-CN"/>
        </w:rPr>
      </w:pPr>
      <w:r>
        <w:rPr>
          <w:rFonts w:hint="eastAsia" w:ascii="宋体" w:hAnsi="宋体"/>
          <w:color w:val="auto"/>
          <w:sz w:val="24"/>
          <w:szCs w:val="24"/>
          <w:highlight w:val="none"/>
        </w:rPr>
        <w:t>邮政编码、地址：</w:t>
      </w:r>
      <w:r>
        <w:rPr>
          <w:rFonts w:hint="eastAsia" w:ascii="宋体" w:hAnsi="宋体"/>
          <w:color w:val="auto"/>
          <w:sz w:val="24"/>
          <w:szCs w:val="24"/>
          <w:highlight w:val="none"/>
          <w:u w:val="single"/>
        </w:rPr>
        <w:t>5</w:t>
      </w:r>
      <w:r>
        <w:rPr>
          <w:rFonts w:hint="eastAsia" w:ascii="宋体" w:hAnsi="宋体"/>
          <w:color w:val="auto"/>
          <w:sz w:val="24"/>
          <w:szCs w:val="24"/>
          <w:highlight w:val="none"/>
          <w:u w:val="single"/>
          <w:lang w:val="en-US" w:eastAsia="zh-CN"/>
        </w:rPr>
        <w:t>11455</w:t>
      </w:r>
      <w:r>
        <w:rPr>
          <w:rFonts w:hint="eastAsia" w:ascii="宋体" w:hAnsi="宋体"/>
          <w:color w:val="auto"/>
          <w:sz w:val="24"/>
          <w:szCs w:val="24"/>
          <w:highlight w:val="none"/>
          <w:u w:val="single"/>
        </w:rPr>
        <w:t>、广州市南沙区</w:t>
      </w:r>
      <w:r>
        <w:rPr>
          <w:rFonts w:hint="eastAsia" w:ascii="宋体" w:hAnsi="宋体"/>
          <w:color w:val="auto"/>
          <w:sz w:val="24"/>
          <w:szCs w:val="24"/>
          <w:highlight w:val="none"/>
          <w:u w:val="single"/>
          <w:lang w:val="en-US" w:eastAsia="zh-CN"/>
        </w:rPr>
        <w:t>中铁环球中心5号楼</w:t>
      </w:r>
    </w:p>
    <w:p w14:paraId="1D34F0AE">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电话号码：0</w:t>
      </w:r>
      <w:r>
        <w:rPr>
          <w:rFonts w:hint="eastAsia" w:ascii="宋体" w:hAnsi="宋体"/>
          <w:color w:val="auto"/>
          <w:sz w:val="24"/>
          <w:szCs w:val="24"/>
          <w:highlight w:val="none"/>
          <w:u w:val="single"/>
        </w:rPr>
        <w:t>20-39053237</w:t>
      </w:r>
    </w:p>
    <w:p w14:paraId="6ECB1925">
      <w:pPr>
        <w:pageBreakBefore w:val="0"/>
        <w:kinsoku/>
        <w:wordWrap/>
        <w:overflowPunct/>
        <w:topLinePunct w:val="0"/>
        <w:bidi w:val="0"/>
        <w:spacing w:line="360" w:lineRule="auto"/>
        <w:ind w:left="0" w:leftChars="0" w:firstLine="480" w:firstLineChars="200"/>
        <w:jc w:val="left"/>
        <w:textAlignment w:val="auto"/>
        <w:rPr>
          <w:rFonts w:hint="eastAsia" w:ascii="宋体" w:hAnsi="宋体"/>
          <w:color w:val="auto"/>
          <w:sz w:val="24"/>
          <w:szCs w:val="24"/>
          <w:highlight w:val="none"/>
        </w:rPr>
      </w:pPr>
      <w:r>
        <w:rPr>
          <w:rFonts w:hint="eastAsia" w:ascii="宋体" w:hAnsi="宋体"/>
          <w:color w:val="auto"/>
          <w:sz w:val="24"/>
          <w:szCs w:val="24"/>
          <w:highlight w:val="none"/>
        </w:rPr>
        <w:t>传真号码：</w:t>
      </w:r>
      <w:r>
        <w:rPr>
          <w:rFonts w:hint="eastAsia" w:ascii="宋体" w:hAnsi="宋体"/>
          <w:color w:val="auto"/>
          <w:sz w:val="24"/>
          <w:szCs w:val="24"/>
          <w:highlight w:val="none"/>
          <w:u w:val="single"/>
        </w:rPr>
        <w:t xml:space="preserve">  /  </w:t>
      </w:r>
    </w:p>
    <w:p w14:paraId="6AAD8556">
      <w:pPr>
        <w:pageBreakBefore w:val="0"/>
        <w:kinsoku/>
        <w:wordWrap/>
        <w:overflowPunct/>
        <w:topLinePunct w:val="0"/>
        <w:bidi w:val="0"/>
        <w:spacing w:line="360" w:lineRule="auto"/>
        <w:ind w:left="0" w:leftChars="0"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网址：</w:t>
      </w:r>
      <w:r>
        <w:rPr>
          <w:rFonts w:hint="eastAsia" w:ascii="宋体" w:hAnsi="宋体"/>
          <w:color w:val="auto"/>
          <w:sz w:val="24"/>
          <w:szCs w:val="24"/>
          <w:highlight w:val="none"/>
          <w:u w:val="single"/>
        </w:rPr>
        <w:t xml:space="preserve">  /  </w:t>
      </w:r>
    </w:p>
    <w:p w14:paraId="7A318668">
      <w:pPr>
        <w:jc w:val="left"/>
        <w:rPr>
          <w:rFonts w:ascii="宋体" w:hAnsi="宋体"/>
          <w:b/>
          <w:bCs/>
          <w:color w:val="auto"/>
          <w:sz w:val="32"/>
          <w:szCs w:val="32"/>
          <w:highlight w:val="none"/>
        </w:rPr>
      </w:pPr>
      <w:r>
        <w:rPr>
          <w:rFonts w:ascii="宋体" w:hAnsi="宋体"/>
          <w:b/>
          <w:color w:val="auto"/>
          <w:sz w:val="28"/>
          <w:szCs w:val="28"/>
          <w:highlight w:val="none"/>
        </w:rPr>
        <w:br w:type="page"/>
      </w:r>
      <w:r>
        <w:rPr>
          <w:rFonts w:hint="eastAsia" w:ascii="宋体" w:hAnsi="宋体"/>
          <w:b/>
          <w:color w:val="auto"/>
          <w:sz w:val="28"/>
          <w:szCs w:val="28"/>
          <w:highlight w:val="none"/>
        </w:rPr>
        <w:t xml:space="preserve">附件1：             </w:t>
      </w:r>
      <w:r>
        <w:rPr>
          <w:rFonts w:ascii="宋体" w:hAnsi="宋体"/>
          <w:b/>
          <w:color w:val="auto"/>
          <w:sz w:val="28"/>
          <w:szCs w:val="28"/>
          <w:highlight w:val="none"/>
        </w:rPr>
        <w:t xml:space="preserve">     </w:t>
      </w:r>
      <w:r>
        <w:rPr>
          <w:rFonts w:hint="eastAsia" w:ascii="宋体" w:hAnsi="宋体"/>
          <w:b/>
          <w:bCs/>
          <w:color w:val="auto"/>
          <w:sz w:val="32"/>
          <w:szCs w:val="32"/>
          <w:highlight w:val="none"/>
        </w:rPr>
        <w:t>投标人声明</w:t>
      </w:r>
    </w:p>
    <w:p w14:paraId="7FE2655C">
      <w:pPr>
        <w:pStyle w:val="47"/>
        <w:keepNext w:val="0"/>
        <w:keepLines w:val="0"/>
        <w:pageBreakBefore w:val="0"/>
        <w:widowControl w:val="0"/>
        <w:wordWrap/>
        <w:topLinePunct w:val="0"/>
        <w:autoSpaceDE/>
        <w:autoSpaceDN/>
        <w:bidi w:val="0"/>
        <w:adjustRightInd/>
        <w:snapToGrid/>
        <w:ind w:firstLine="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广州市南沙区住房和城乡建设局</w:t>
      </w:r>
      <w:r>
        <w:rPr>
          <w:rFonts w:hint="eastAsia" w:ascii="宋体" w:hAnsi="宋体" w:eastAsia="宋体"/>
          <w:color w:val="auto"/>
          <w:sz w:val="21"/>
          <w:szCs w:val="21"/>
          <w:highlight w:val="none"/>
          <w:lang w:val="en-US" w:eastAsia="zh-CN"/>
        </w:rPr>
        <w:t>(企业投资类项目)</w:t>
      </w:r>
      <w:r>
        <w:rPr>
          <w:rFonts w:hint="eastAsia" w:ascii="宋体" w:hAnsi="宋体" w:eastAsia="宋体"/>
          <w:color w:val="auto"/>
          <w:sz w:val="21"/>
          <w:szCs w:val="21"/>
          <w:highlight w:val="none"/>
          <w:lang w:eastAsia="zh-CN"/>
        </w:rPr>
        <w:t>、广州南沙科技投资有限公司：</w:t>
      </w:r>
    </w:p>
    <w:p w14:paraId="1AB8B96B">
      <w:pPr>
        <w:pStyle w:val="47"/>
        <w:keepNext w:val="0"/>
        <w:keepLines w:val="0"/>
        <w:pageBreakBefore w:val="0"/>
        <w:widowControl w:val="0"/>
        <w:wordWrap/>
        <w:topLinePunct w:val="0"/>
        <w:autoSpaceDE/>
        <w:autoSpaceDN/>
        <w:bidi w:val="0"/>
        <w:adjustRightInd/>
        <w:snapToGrid/>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本公司就参加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投标工作，作出郑重声明：</w:t>
      </w:r>
    </w:p>
    <w:p w14:paraId="506E677C">
      <w:pPr>
        <w:pStyle w:val="47"/>
        <w:keepNext w:val="0"/>
        <w:keepLines w:val="0"/>
        <w:pageBreakBefore w:val="0"/>
        <w:widowControl w:val="0"/>
        <w:wordWrap/>
        <w:topLinePunct w:val="0"/>
        <w:autoSpaceDE/>
        <w:autoSpaceDN/>
        <w:bidi w:val="0"/>
        <w:adjustRightInd/>
        <w:snapToGrid/>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一、本公司保证投标文件及其后提供的一切材料都是真实的。如我司成为本项目中标候选人，我司同意并授权招标人将我司投标文件商务部分文件的人员、业绩、奖项等资料进行公开。</w:t>
      </w:r>
    </w:p>
    <w:p w14:paraId="661D2FB6">
      <w:pPr>
        <w:pStyle w:val="47"/>
        <w:keepNext w:val="0"/>
        <w:keepLines w:val="0"/>
        <w:pageBreakBefore w:val="0"/>
        <w:widowControl w:val="0"/>
        <w:wordWrap/>
        <w:topLinePunct w:val="0"/>
        <w:autoSpaceDE/>
        <w:autoSpaceDN/>
        <w:bidi w:val="0"/>
        <w:adjustRightInd/>
        <w:snapToGrid/>
        <w:ind w:firstLine="420" w:firstLineChars="200"/>
        <w:textAlignment w:val="auto"/>
        <w:rPr>
          <w:rFonts w:hint="eastAsia" w:ascii="楷体" w:hAnsi="楷体" w:eastAsia="楷体" w:cs="宋体"/>
          <w:b/>
          <w:color w:val="auto"/>
          <w:sz w:val="22"/>
          <w:highlight w:val="none"/>
        </w:rPr>
      </w:pPr>
      <w:r>
        <w:rPr>
          <w:rFonts w:hint="eastAsia" w:ascii="宋体" w:hAnsi="宋体" w:eastAsia="宋体"/>
          <w:color w:val="auto"/>
          <w:sz w:val="21"/>
          <w:szCs w:val="21"/>
          <w:highlight w:val="none"/>
        </w:rPr>
        <w:t>二、</w:t>
      </w:r>
      <w:r>
        <w:rPr>
          <w:rFonts w:hint="eastAsia" w:ascii="楷体" w:hAnsi="楷体" w:eastAsia="楷体" w:cs="宋体"/>
          <w:b/>
          <w:bCs/>
          <w:color w:val="auto"/>
          <w:sz w:val="22"/>
          <w:szCs w:val="22"/>
          <w:highlight w:val="none"/>
        </w:rPr>
        <w:t>本公司承诺遵循公平、公正、公开、诚实信用原则，在本项目投标中诚信投标，</w:t>
      </w:r>
      <w:r>
        <w:rPr>
          <w:rFonts w:hint="eastAsia" w:ascii="楷体" w:hAnsi="楷体" w:eastAsia="楷体" w:cs="宋体"/>
          <w:color w:val="auto"/>
          <w:sz w:val="22"/>
          <w:szCs w:val="22"/>
          <w:highlight w:val="none"/>
        </w:rPr>
        <w:t>在本项目投标中不与其他单位围标、串标，不出让投标资格，不向招标人或评标委员会成员行贿，</w:t>
      </w:r>
      <w:r>
        <w:rPr>
          <w:rFonts w:hint="eastAsia" w:ascii="楷体" w:hAnsi="楷体" w:eastAsia="楷体" w:cs="宋体"/>
          <w:b/>
          <w:bCs/>
          <w:color w:val="auto"/>
          <w:sz w:val="22"/>
          <w:szCs w:val="22"/>
          <w:highlight w:val="none"/>
        </w:rPr>
        <w:t>不</w:t>
      </w:r>
      <w:r>
        <w:rPr>
          <w:rFonts w:hint="eastAsia" w:ascii="楷体" w:hAnsi="楷体" w:eastAsia="楷体" w:cs="宋体"/>
          <w:b/>
          <w:bCs/>
          <w:color w:val="auto"/>
          <w:sz w:val="22"/>
          <w:highlight w:val="none"/>
        </w:rPr>
        <w:t>存在少放、不放业绩、奖项等客观评审资料，减少自身竞争力的情形，若存在以上情形</w:t>
      </w:r>
      <w:r>
        <w:rPr>
          <w:rFonts w:hint="eastAsia" w:ascii="楷体" w:hAnsi="楷体" w:eastAsia="楷体" w:cs="宋体"/>
          <w:b/>
          <w:color w:val="auto"/>
          <w:sz w:val="22"/>
          <w:highlight w:val="none"/>
        </w:rPr>
        <w:t>的，将自愿接受被招标人列入拒绝投标名单，不能参与招标人后续招标项目的投标。</w:t>
      </w:r>
    </w:p>
    <w:p w14:paraId="70FB862C">
      <w:pPr>
        <w:pStyle w:val="47"/>
        <w:keepNext w:val="0"/>
        <w:keepLines w:val="0"/>
        <w:pageBreakBefore w:val="0"/>
        <w:widowControl w:val="0"/>
        <w:wordWrap/>
        <w:topLinePunct w:val="0"/>
        <w:autoSpaceDE/>
        <w:autoSpaceDN/>
        <w:bidi w:val="0"/>
        <w:adjustRightInd/>
        <w:snapToGrid/>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三、本公司不存在招标文件第二章投标人须知第</w:t>
      </w:r>
      <w:r>
        <w:rPr>
          <w:rFonts w:ascii="宋体" w:hAnsi="宋体" w:eastAsia="宋体"/>
          <w:color w:val="auto"/>
          <w:sz w:val="21"/>
          <w:szCs w:val="21"/>
          <w:highlight w:val="none"/>
        </w:rPr>
        <w:t>1.4.3</w:t>
      </w:r>
      <w:r>
        <w:rPr>
          <w:rFonts w:hint="eastAsia" w:ascii="宋体" w:hAnsi="宋体" w:eastAsia="宋体"/>
          <w:color w:val="auto"/>
          <w:sz w:val="21"/>
          <w:szCs w:val="21"/>
          <w:highlight w:val="none"/>
        </w:rPr>
        <w:t>项所规定的任何一种情形。没有处于被本地建设行政主管部门取消投标资格的处罚期内。与招标人过去</w:t>
      </w:r>
      <w:r>
        <w:rPr>
          <w:rFonts w:ascii="宋体" w:hAnsi="宋体" w:eastAsia="宋体"/>
          <w:color w:val="auto"/>
          <w:sz w:val="21"/>
          <w:szCs w:val="21"/>
          <w:highlight w:val="none"/>
        </w:rPr>
        <w:t>3</w:t>
      </w:r>
      <w:r>
        <w:rPr>
          <w:rFonts w:hint="eastAsia" w:ascii="宋体" w:hAnsi="宋体" w:eastAsia="宋体"/>
          <w:color w:val="auto"/>
          <w:sz w:val="21"/>
          <w:szCs w:val="21"/>
          <w:highlight w:val="none"/>
        </w:rPr>
        <w:t>年内无合同履约纠纷。</w:t>
      </w:r>
    </w:p>
    <w:p w14:paraId="5F89A39D">
      <w:pPr>
        <w:pStyle w:val="47"/>
        <w:keepNext w:val="0"/>
        <w:keepLines w:val="0"/>
        <w:pageBreakBefore w:val="0"/>
        <w:widowControl w:val="0"/>
        <w:wordWrap/>
        <w:topLinePunct w:val="0"/>
        <w:autoSpaceDE/>
        <w:autoSpaceDN/>
        <w:bidi w:val="0"/>
        <w:adjustRightInd/>
        <w:snapToGrid/>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四、本公司及其有隶属关系的机构，没有参加本项目招标文件的编写工作；本公司与本次招标的招标代理机构没有隶属关系或其他利害关系；</w:t>
      </w:r>
    </w:p>
    <w:p w14:paraId="7441D6F9">
      <w:pPr>
        <w:pStyle w:val="47"/>
        <w:keepNext w:val="0"/>
        <w:keepLines w:val="0"/>
        <w:pageBreakBefore w:val="0"/>
        <w:widowControl w:val="0"/>
        <w:wordWrap/>
        <w:topLinePunct w:val="0"/>
        <w:autoSpaceDE/>
        <w:autoSpaceDN/>
        <w:bidi w:val="0"/>
        <w:adjustRightInd/>
        <w:snapToGrid/>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本公司承诺，中标后严格执行安全生产相关管理规定。我单位已充分了解本项目的投资规模、建设内容、建设标准及相关风险，如中标，我单位保证按照招标文件规定的投资控制要求、质量要求、工期要求完成设计项目。</w:t>
      </w:r>
    </w:p>
    <w:p w14:paraId="30C2FF96">
      <w:pPr>
        <w:pStyle w:val="47"/>
        <w:keepNext w:val="0"/>
        <w:keepLines w:val="0"/>
        <w:pageBreakBefore w:val="0"/>
        <w:widowControl w:val="0"/>
        <w:wordWrap/>
        <w:topLinePunct w:val="0"/>
        <w:autoSpaceDE/>
        <w:autoSpaceDN/>
        <w:bidi w:val="0"/>
        <w:adjustRightInd/>
        <w:snapToGrid/>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六、与本公司单位负责人为同一人或者与本公司存在控股、管理关系的其他单位包括：</w:t>
      </w:r>
      <w:r>
        <w:rPr>
          <w:rFonts w:ascii="宋体" w:hAnsi="宋体" w:eastAsia="宋体"/>
          <w:b/>
          <w:color w:val="auto"/>
          <w:sz w:val="21"/>
          <w:szCs w:val="21"/>
          <w:highlight w:val="none"/>
          <w:u w:val="single"/>
        </w:rPr>
        <w:t xml:space="preserve">     </w:t>
      </w:r>
      <w:r>
        <w:rPr>
          <w:rFonts w:hint="eastAsia" w:ascii="宋体" w:hAnsi="宋体" w:eastAsia="宋体"/>
          <w:b/>
          <w:color w:val="auto"/>
          <w:sz w:val="21"/>
          <w:szCs w:val="21"/>
          <w:highlight w:val="none"/>
        </w:rPr>
        <w:t>。（注：本条由投标人如实填写，如有，应列出全部满足招标公告资质要求的相关单位的名称；如无，则填写</w:t>
      </w:r>
      <w:r>
        <w:rPr>
          <w:rFonts w:ascii="宋体" w:hAnsi="宋体" w:eastAsia="宋体"/>
          <w:b/>
          <w:color w:val="auto"/>
          <w:sz w:val="21"/>
          <w:szCs w:val="21"/>
          <w:highlight w:val="none"/>
        </w:rPr>
        <w:t>“</w:t>
      </w:r>
      <w:r>
        <w:rPr>
          <w:rFonts w:hint="eastAsia" w:ascii="宋体" w:hAnsi="宋体" w:eastAsia="宋体"/>
          <w:b/>
          <w:color w:val="auto"/>
          <w:sz w:val="21"/>
          <w:szCs w:val="21"/>
          <w:highlight w:val="none"/>
        </w:rPr>
        <w:t>无</w:t>
      </w:r>
      <w:r>
        <w:rPr>
          <w:rFonts w:ascii="宋体" w:hAnsi="宋体" w:eastAsia="宋体"/>
          <w:b/>
          <w:color w:val="auto"/>
          <w:sz w:val="21"/>
          <w:szCs w:val="21"/>
          <w:highlight w:val="none"/>
        </w:rPr>
        <w:t>”</w:t>
      </w:r>
      <w:r>
        <w:rPr>
          <w:rFonts w:hint="eastAsia" w:ascii="宋体" w:hAnsi="宋体" w:eastAsia="宋体"/>
          <w:b/>
          <w:color w:val="auto"/>
          <w:sz w:val="21"/>
          <w:szCs w:val="21"/>
          <w:highlight w:val="none"/>
        </w:rPr>
        <w:t>。）</w:t>
      </w:r>
    </w:p>
    <w:p w14:paraId="4C13E159">
      <w:pPr>
        <w:pStyle w:val="47"/>
        <w:keepNext w:val="0"/>
        <w:keepLines w:val="0"/>
        <w:pageBreakBefore w:val="0"/>
        <w:widowControl w:val="0"/>
        <w:wordWrap/>
        <w:topLinePunct w:val="0"/>
        <w:autoSpaceDE/>
        <w:autoSpaceDN/>
        <w:bidi w:val="0"/>
        <w:adjustRightInd/>
        <w:snapToGrid/>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七、本公司已经对投标时拟投入本项目的管理团队和专业技术人员进行了自查，保证拟投入的所有人员都是本单位正式人员，都在本单位缴纳社保，不存在持证人注册单位与实际工作单位不符、买卖租借（专业）资格（注册）证书等</w:t>
      </w:r>
      <w:r>
        <w:rPr>
          <w:rFonts w:ascii="宋体" w:hAnsi="宋体" w:eastAsia="宋体"/>
          <w:color w:val="auto"/>
          <w:sz w:val="21"/>
          <w:szCs w:val="21"/>
          <w:highlight w:val="none"/>
        </w:rPr>
        <w:t>“</w:t>
      </w:r>
      <w:r>
        <w:rPr>
          <w:rFonts w:hint="eastAsia" w:ascii="宋体" w:hAnsi="宋体" w:eastAsia="宋体"/>
          <w:color w:val="auto"/>
          <w:sz w:val="21"/>
          <w:szCs w:val="21"/>
          <w:highlight w:val="none"/>
        </w:rPr>
        <w:t>挂证</w:t>
      </w:r>
      <w:r>
        <w:rPr>
          <w:rFonts w:ascii="宋体" w:hAnsi="宋体" w:eastAsia="宋体"/>
          <w:color w:val="auto"/>
          <w:sz w:val="21"/>
          <w:szCs w:val="21"/>
          <w:highlight w:val="none"/>
        </w:rPr>
        <w:t>”</w:t>
      </w:r>
      <w:r>
        <w:rPr>
          <w:rFonts w:hint="eastAsia" w:ascii="宋体" w:hAnsi="宋体" w:eastAsia="宋体"/>
          <w:color w:val="auto"/>
          <w:sz w:val="21"/>
          <w:szCs w:val="21"/>
          <w:highlight w:val="none"/>
        </w:rPr>
        <w:t>违法违规行为。</w:t>
      </w:r>
    </w:p>
    <w:p w14:paraId="1CAC7B33">
      <w:pPr>
        <w:pStyle w:val="47"/>
        <w:keepNext w:val="0"/>
        <w:keepLines w:val="0"/>
        <w:pageBreakBefore w:val="0"/>
        <w:widowControl w:val="0"/>
        <w:wordWrap/>
        <w:topLinePunct w:val="0"/>
        <w:autoSpaceDE/>
        <w:autoSpaceDN/>
        <w:bidi w:val="0"/>
        <w:adjustRightInd/>
        <w:snapToGrid/>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八、本公司违反上述保证，或本声明陈述与事实不符，经查实，本公司愿意接受公开通报，记录不良行为，承担由此带来的法律后果。其中，本声明陈述与事实不符的，属于弄虚作假骗取中标，将依法接受监管部门的处罚。</w:t>
      </w:r>
    </w:p>
    <w:p w14:paraId="27E33772">
      <w:pPr>
        <w:pStyle w:val="47"/>
        <w:keepNext w:val="0"/>
        <w:keepLines w:val="0"/>
        <w:pageBreakBefore w:val="0"/>
        <w:widowControl w:val="0"/>
        <w:wordWrap/>
        <w:topLinePunct w:val="0"/>
        <w:autoSpaceDE/>
        <w:autoSpaceDN/>
        <w:bidi w:val="0"/>
        <w:adjustRightInd/>
        <w:snapToGrid/>
        <w:ind w:firstLine="422" w:firstLineChars="200"/>
        <w:textAlignment w:val="auto"/>
        <w:rPr>
          <w:rFonts w:hint="eastAsia" w:ascii="宋体" w:hAnsi="宋体" w:eastAsia="宋体"/>
          <w:b/>
          <w:bCs/>
          <w:color w:val="auto"/>
          <w:sz w:val="21"/>
          <w:szCs w:val="21"/>
          <w:highlight w:val="none"/>
        </w:rPr>
      </w:pPr>
    </w:p>
    <w:p w14:paraId="5A7BE039">
      <w:pPr>
        <w:pStyle w:val="47"/>
        <w:keepNext w:val="0"/>
        <w:keepLines w:val="0"/>
        <w:pageBreakBefore w:val="0"/>
        <w:widowControl w:val="0"/>
        <w:wordWrap/>
        <w:topLinePunct w:val="0"/>
        <w:autoSpaceDE/>
        <w:autoSpaceDN/>
        <w:bidi w:val="0"/>
        <w:adjustRightInd/>
        <w:snapToGrid/>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特此声明。</w:t>
      </w:r>
    </w:p>
    <w:p w14:paraId="5979D65E">
      <w:pPr>
        <w:pStyle w:val="8"/>
        <w:keepNext w:val="0"/>
        <w:keepLines w:val="0"/>
        <w:pageBreakBefore w:val="0"/>
        <w:widowControl w:val="0"/>
        <w:kinsoku w:val="0"/>
        <w:wordWrap/>
        <w:overflowPunct w:val="0"/>
        <w:topLinePunct w:val="0"/>
        <w:autoSpaceDE/>
        <w:autoSpaceDN/>
        <w:bidi w:val="0"/>
        <w:adjustRightInd/>
        <w:snapToGrid/>
        <w:spacing w:after="0" w:line="360" w:lineRule="auto"/>
        <w:ind w:firstLine="2530" w:firstLineChars="1200"/>
        <w:jc w:val="right"/>
        <w:textAlignment w:val="auto"/>
        <w:rPr>
          <w:b/>
          <w:color w:val="auto"/>
          <w:sz w:val="21"/>
          <w:szCs w:val="21"/>
          <w:highlight w:val="none"/>
        </w:rPr>
      </w:pPr>
      <w:r>
        <w:rPr>
          <w:rFonts w:hint="eastAsia"/>
          <w:b/>
          <w:color w:val="auto"/>
          <w:sz w:val="21"/>
          <w:szCs w:val="21"/>
          <w:highlight w:val="none"/>
        </w:rPr>
        <w:t>投标</w:t>
      </w:r>
      <w:r>
        <w:rPr>
          <w:rFonts w:hint="eastAsia"/>
          <w:b/>
          <w:color w:val="auto"/>
          <w:spacing w:val="-2"/>
          <w:sz w:val="21"/>
          <w:szCs w:val="21"/>
          <w:highlight w:val="none"/>
        </w:rPr>
        <w:t>人：</w:t>
      </w:r>
      <w:r>
        <w:rPr>
          <w:rFonts w:hint="eastAsia"/>
          <w:b/>
          <w:color w:val="auto"/>
          <w:spacing w:val="-2"/>
          <w:sz w:val="21"/>
          <w:szCs w:val="21"/>
          <w:highlight w:val="none"/>
          <w:u w:val="single"/>
        </w:rPr>
        <w:t xml:space="preserve">   </w:t>
      </w:r>
      <w:r>
        <w:rPr>
          <w:b/>
          <w:color w:val="auto"/>
          <w:spacing w:val="-2"/>
          <w:sz w:val="21"/>
          <w:szCs w:val="21"/>
          <w:highlight w:val="none"/>
          <w:u w:val="single"/>
        </w:rPr>
        <w:t xml:space="preserve">  </w:t>
      </w:r>
      <w:r>
        <w:rPr>
          <w:rFonts w:hint="eastAsia"/>
          <w:b/>
          <w:color w:val="auto"/>
          <w:spacing w:val="-2"/>
          <w:sz w:val="21"/>
          <w:szCs w:val="21"/>
          <w:highlight w:val="none"/>
          <w:u w:val="single"/>
        </w:rPr>
        <w:t xml:space="preserve"> </w:t>
      </w:r>
      <w:r>
        <w:rPr>
          <w:b/>
          <w:color w:val="auto"/>
          <w:spacing w:val="-2"/>
          <w:sz w:val="21"/>
          <w:szCs w:val="21"/>
          <w:highlight w:val="none"/>
          <w:u w:val="single"/>
        </w:rPr>
        <w:t xml:space="preserve">    </w:t>
      </w:r>
      <w:r>
        <w:rPr>
          <w:rFonts w:hint="eastAsia"/>
          <w:b/>
          <w:color w:val="auto"/>
          <w:spacing w:val="-2"/>
          <w:sz w:val="21"/>
          <w:szCs w:val="21"/>
          <w:highlight w:val="none"/>
          <w:u w:val="single"/>
        </w:rPr>
        <w:t xml:space="preserve">  </w:t>
      </w:r>
      <w:r>
        <w:rPr>
          <w:rFonts w:hint="eastAsia"/>
          <w:b/>
          <w:color w:val="auto"/>
          <w:spacing w:val="-1"/>
          <w:sz w:val="21"/>
          <w:szCs w:val="21"/>
          <w:highlight w:val="none"/>
        </w:rPr>
        <w:t>（盖单位章）</w:t>
      </w:r>
    </w:p>
    <w:p w14:paraId="081CB803">
      <w:pPr>
        <w:keepNext w:val="0"/>
        <w:keepLines w:val="0"/>
        <w:pageBreakBefore w:val="0"/>
        <w:widowControl w:val="0"/>
        <w:wordWrap/>
        <w:topLinePunct w:val="0"/>
        <w:autoSpaceDE/>
        <w:autoSpaceDN/>
        <w:bidi w:val="0"/>
        <w:adjustRightInd/>
        <w:snapToGrid/>
        <w:spacing w:line="360" w:lineRule="auto"/>
        <w:ind w:firstLine="2521" w:firstLineChars="1200"/>
        <w:jc w:val="right"/>
        <w:textAlignment w:val="auto"/>
        <w:rPr>
          <w:rFonts w:ascii="宋体" w:hAnsi="宋体"/>
          <w:b/>
          <w:bCs/>
          <w:color w:val="auto"/>
          <w:sz w:val="21"/>
          <w:szCs w:val="21"/>
          <w:highlight w:val="none"/>
        </w:rPr>
      </w:pPr>
      <w:r>
        <w:rPr>
          <w:rFonts w:hint="eastAsia" w:ascii="宋体" w:hAnsi="宋体"/>
          <w:b/>
          <w:bCs/>
          <w:color w:val="auto"/>
          <w:sz w:val="21"/>
          <w:szCs w:val="21"/>
          <w:highlight w:val="none"/>
        </w:rPr>
        <w:t>法定代表人或其委托代理人：</w:t>
      </w:r>
      <w:r>
        <w:rPr>
          <w:rFonts w:hint="eastAsia" w:ascii="宋体" w:hAnsi="宋体"/>
          <w:b/>
          <w:bCs/>
          <w:color w:val="auto"/>
          <w:sz w:val="21"/>
          <w:szCs w:val="21"/>
          <w:highlight w:val="none"/>
          <w:u w:val="single"/>
        </w:rPr>
        <w:t xml:space="preserve">    </w:t>
      </w:r>
      <w:r>
        <w:rPr>
          <w:rFonts w:ascii="宋体" w:hAnsi="宋体"/>
          <w:b/>
          <w:bCs/>
          <w:color w:val="auto"/>
          <w:sz w:val="21"/>
          <w:szCs w:val="21"/>
          <w:highlight w:val="none"/>
          <w:u w:val="single"/>
        </w:rPr>
        <w:t xml:space="preserve">    </w:t>
      </w:r>
      <w:r>
        <w:rPr>
          <w:rFonts w:hint="eastAsia" w:ascii="宋体" w:hAnsi="宋体"/>
          <w:b/>
          <w:bCs/>
          <w:color w:val="auto"/>
          <w:sz w:val="21"/>
          <w:szCs w:val="21"/>
          <w:highlight w:val="none"/>
          <w:u w:val="single"/>
        </w:rPr>
        <w:t xml:space="preserve"> </w:t>
      </w:r>
      <w:r>
        <w:rPr>
          <w:rFonts w:hint="eastAsia" w:ascii="宋体" w:hAnsi="宋体"/>
          <w:b/>
          <w:bCs/>
          <w:color w:val="auto"/>
          <w:sz w:val="21"/>
          <w:szCs w:val="21"/>
          <w:highlight w:val="none"/>
        </w:rPr>
        <w:t>（签字或盖章）</w:t>
      </w:r>
    </w:p>
    <w:p w14:paraId="56CE2DF5">
      <w:pPr>
        <w:pStyle w:val="47"/>
        <w:keepNext w:val="0"/>
        <w:keepLines w:val="0"/>
        <w:pageBreakBefore w:val="0"/>
        <w:widowControl w:val="0"/>
        <w:wordWrap/>
        <w:topLinePunct w:val="0"/>
        <w:autoSpaceDE/>
        <w:autoSpaceDN/>
        <w:bidi w:val="0"/>
        <w:adjustRightInd/>
        <w:snapToGrid/>
        <w:ind w:firstLine="3162" w:firstLineChars="1500"/>
        <w:jc w:val="right"/>
        <w:textAlignment w:val="auto"/>
        <w:rPr>
          <w:rFonts w:hint="eastAsia" w:ascii="宋体" w:hAnsi="宋体" w:eastAsia="宋体"/>
          <w:color w:val="auto"/>
          <w:sz w:val="21"/>
          <w:szCs w:val="21"/>
          <w:highlight w:val="none"/>
        </w:rPr>
      </w:pPr>
      <w:r>
        <w:rPr>
          <w:rFonts w:hint="eastAsia" w:ascii="宋体" w:hAnsi="宋体" w:eastAsia="宋体"/>
          <w:b/>
          <w:color w:val="auto"/>
          <w:sz w:val="21"/>
          <w:szCs w:val="21"/>
          <w:highlight w:val="none"/>
          <w:u w:val="single"/>
        </w:rPr>
        <w:t xml:space="preserve"> </w:t>
      </w:r>
      <w:r>
        <w:rPr>
          <w:rFonts w:ascii="宋体" w:hAnsi="宋体" w:eastAsia="宋体"/>
          <w:b/>
          <w:color w:val="auto"/>
          <w:sz w:val="21"/>
          <w:szCs w:val="21"/>
          <w:highlight w:val="none"/>
          <w:u w:val="single"/>
        </w:rPr>
        <w:t xml:space="preserve">     </w:t>
      </w:r>
      <w:r>
        <w:rPr>
          <w:rFonts w:hint="eastAsia" w:ascii="宋体" w:hAnsi="宋体" w:eastAsia="宋体"/>
          <w:b/>
          <w:color w:val="auto"/>
          <w:sz w:val="21"/>
          <w:szCs w:val="21"/>
          <w:highlight w:val="none"/>
        </w:rPr>
        <w:t>年</w:t>
      </w:r>
      <w:r>
        <w:rPr>
          <w:rFonts w:ascii="宋体" w:hAnsi="宋体" w:eastAsia="宋体"/>
          <w:b/>
          <w:color w:val="auto"/>
          <w:sz w:val="21"/>
          <w:szCs w:val="21"/>
          <w:highlight w:val="none"/>
          <w:u w:val="single"/>
        </w:rPr>
        <w:tab/>
      </w:r>
      <w:r>
        <w:rPr>
          <w:rFonts w:ascii="宋体" w:hAnsi="宋体" w:eastAsia="宋体"/>
          <w:b/>
          <w:color w:val="auto"/>
          <w:sz w:val="21"/>
          <w:szCs w:val="21"/>
          <w:highlight w:val="none"/>
          <w:u w:val="single"/>
        </w:rPr>
        <w:t xml:space="preserve">   </w:t>
      </w:r>
      <w:r>
        <w:rPr>
          <w:rFonts w:hint="eastAsia" w:ascii="宋体" w:hAnsi="宋体" w:eastAsia="宋体"/>
          <w:b/>
          <w:color w:val="auto"/>
          <w:sz w:val="21"/>
          <w:szCs w:val="21"/>
          <w:highlight w:val="none"/>
        </w:rPr>
        <w:t>月</w:t>
      </w:r>
      <w:r>
        <w:rPr>
          <w:rFonts w:ascii="宋体" w:hAnsi="宋体" w:eastAsia="宋体"/>
          <w:b/>
          <w:color w:val="auto"/>
          <w:sz w:val="21"/>
          <w:szCs w:val="21"/>
          <w:highlight w:val="none"/>
          <w:u w:val="single"/>
        </w:rPr>
        <w:tab/>
      </w:r>
      <w:r>
        <w:rPr>
          <w:rFonts w:ascii="宋体" w:hAnsi="宋体" w:eastAsia="宋体"/>
          <w:b/>
          <w:color w:val="auto"/>
          <w:sz w:val="21"/>
          <w:szCs w:val="21"/>
          <w:highlight w:val="none"/>
          <w:u w:val="single"/>
        </w:rPr>
        <w:t xml:space="preserve"> </w:t>
      </w:r>
      <w:r>
        <w:rPr>
          <w:rFonts w:hint="eastAsia" w:ascii="宋体" w:hAnsi="宋体" w:eastAsia="宋体"/>
          <w:b/>
          <w:color w:val="auto"/>
          <w:sz w:val="21"/>
          <w:szCs w:val="21"/>
          <w:highlight w:val="none"/>
        </w:rPr>
        <w:t>日</w:t>
      </w:r>
    </w:p>
    <w:p w14:paraId="208FEE55">
      <w:pPr>
        <w:pStyle w:val="2"/>
        <w:spacing w:after="240"/>
        <w:jc w:val="center"/>
        <w:rPr>
          <w:rFonts w:ascii="宋体" w:hAnsi="宋体" w:eastAsia="宋体"/>
          <w:color w:val="auto"/>
          <w:highlight w:val="none"/>
          <w:lang w:eastAsia="zh-CN"/>
        </w:rPr>
      </w:pPr>
      <w:r>
        <w:rPr>
          <w:rFonts w:ascii="宋体" w:hAnsi="宋体" w:eastAsia="宋体"/>
          <w:color w:val="auto"/>
          <w:sz w:val="24"/>
          <w:szCs w:val="24"/>
          <w:highlight w:val="none"/>
          <w:lang w:eastAsia="zh-CN"/>
        </w:rPr>
        <w:br w:type="page"/>
      </w:r>
      <w:r>
        <w:rPr>
          <w:rFonts w:ascii="宋体" w:hAnsi="宋体" w:eastAsia="宋体"/>
          <w:color w:val="auto"/>
          <w:highlight w:val="none"/>
          <w:lang w:eastAsia="zh-CN"/>
        </w:rPr>
        <w:t>第二章</w:t>
      </w:r>
      <w:r>
        <w:rPr>
          <w:rFonts w:hint="eastAsia" w:ascii="宋体" w:hAnsi="宋体" w:eastAsia="宋体"/>
          <w:color w:val="auto"/>
          <w:highlight w:val="none"/>
          <w:lang w:eastAsia="zh-CN"/>
        </w:rPr>
        <w:t xml:space="preserve">  </w:t>
      </w:r>
      <w:r>
        <w:rPr>
          <w:rFonts w:ascii="宋体" w:hAnsi="宋体" w:eastAsia="宋体"/>
          <w:color w:val="auto"/>
          <w:highlight w:val="none"/>
          <w:lang w:eastAsia="zh-CN"/>
        </w:rPr>
        <w:t>投标人须知</w:t>
      </w:r>
    </w:p>
    <w:p w14:paraId="64A63B4E">
      <w:pPr>
        <w:pStyle w:val="3"/>
        <w:spacing w:line="300" w:lineRule="auto"/>
        <w:ind w:left="0"/>
        <w:jc w:val="center"/>
        <w:rPr>
          <w:rFonts w:ascii="宋体" w:hAnsi="宋体" w:eastAsia="宋体" w:cs="Microsoft JhengHei"/>
          <w:b w:val="0"/>
          <w:bCs w:val="0"/>
          <w:color w:val="auto"/>
          <w:sz w:val="20"/>
          <w:szCs w:val="20"/>
          <w:highlight w:val="none"/>
          <w:lang w:eastAsia="zh-CN"/>
        </w:rPr>
      </w:pPr>
      <w:bookmarkStart w:id="14" w:name="_Toc25137981"/>
      <w:bookmarkStart w:id="15" w:name="_Toc25152731"/>
      <w:r>
        <w:rPr>
          <w:rFonts w:ascii="宋体" w:hAnsi="宋体" w:eastAsia="宋体"/>
          <w:color w:val="auto"/>
          <w:highlight w:val="none"/>
          <w:lang w:eastAsia="zh-CN"/>
        </w:rPr>
        <w:t>投标人须知前附表</w:t>
      </w:r>
      <w:bookmarkEnd w:id="14"/>
      <w:bookmarkEnd w:id="15"/>
    </w:p>
    <w:p w14:paraId="46BDDF27">
      <w:pPr>
        <w:spacing w:line="300" w:lineRule="auto"/>
        <w:rPr>
          <w:rFonts w:ascii="宋体" w:hAnsi="宋体" w:eastAsia="宋体" w:cs="Microsoft JhengHei"/>
          <w:b/>
          <w:bCs/>
          <w:color w:val="auto"/>
          <w:sz w:val="12"/>
          <w:szCs w:val="12"/>
          <w:highlight w:val="none"/>
          <w:lang w:eastAsia="zh-CN"/>
        </w:rPr>
      </w:pPr>
    </w:p>
    <w:tbl>
      <w:tblPr>
        <w:tblStyle w:val="22"/>
        <w:tblW w:w="10348" w:type="dxa"/>
        <w:jc w:val="center"/>
        <w:tblLayout w:type="fixed"/>
        <w:tblCellMar>
          <w:top w:w="0" w:type="dxa"/>
          <w:left w:w="0" w:type="dxa"/>
          <w:bottom w:w="0" w:type="dxa"/>
          <w:right w:w="0" w:type="dxa"/>
        </w:tblCellMar>
      </w:tblPr>
      <w:tblGrid>
        <w:gridCol w:w="995"/>
        <w:gridCol w:w="2142"/>
        <w:gridCol w:w="7211"/>
      </w:tblGrid>
      <w:tr w14:paraId="549E29E0">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6A566CF5">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条款号</w:t>
            </w:r>
          </w:p>
        </w:tc>
        <w:tc>
          <w:tcPr>
            <w:tcW w:w="2142" w:type="dxa"/>
            <w:tcBorders>
              <w:top w:val="single" w:color="000000" w:sz="4" w:space="0"/>
              <w:left w:val="single" w:color="000000" w:sz="4" w:space="0"/>
              <w:bottom w:val="single" w:color="000000" w:sz="4" w:space="0"/>
              <w:right w:val="single" w:color="000000" w:sz="4" w:space="0"/>
            </w:tcBorders>
            <w:vAlign w:val="center"/>
          </w:tcPr>
          <w:p w14:paraId="48BE699D">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条款名称</w:t>
            </w:r>
          </w:p>
        </w:tc>
        <w:tc>
          <w:tcPr>
            <w:tcW w:w="7211" w:type="dxa"/>
            <w:tcBorders>
              <w:top w:val="single" w:color="000000" w:sz="4" w:space="0"/>
              <w:left w:val="single" w:color="000000" w:sz="4" w:space="0"/>
              <w:bottom w:val="single" w:color="000000" w:sz="4" w:space="0"/>
              <w:right w:val="single" w:color="000000" w:sz="4" w:space="0"/>
            </w:tcBorders>
            <w:vAlign w:val="center"/>
          </w:tcPr>
          <w:p w14:paraId="66933B02">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编列内容</w:t>
            </w:r>
          </w:p>
        </w:tc>
      </w:tr>
      <w:tr w14:paraId="73A4E951">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57F30F2F">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1.1.2</w:t>
            </w:r>
          </w:p>
        </w:tc>
        <w:tc>
          <w:tcPr>
            <w:tcW w:w="2142" w:type="dxa"/>
            <w:tcBorders>
              <w:top w:val="single" w:color="000000" w:sz="4" w:space="0"/>
              <w:left w:val="single" w:color="000000" w:sz="4" w:space="0"/>
              <w:bottom w:val="single" w:color="000000" w:sz="4" w:space="0"/>
              <w:right w:val="single" w:color="000000" w:sz="4" w:space="0"/>
            </w:tcBorders>
            <w:vAlign w:val="center"/>
          </w:tcPr>
          <w:p w14:paraId="366618AB">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w:t>
            </w:r>
          </w:p>
        </w:tc>
        <w:tc>
          <w:tcPr>
            <w:tcW w:w="7211" w:type="dxa"/>
            <w:tcBorders>
              <w:top w:val="single" w:color="000000" w:sz="4" w:space="0"/>
              <w:left w:val="single" w:color="000000" w:sz="4" w:space="0"/>
              <w:bottom w:val="single" w:color="000000" w:sz="4" w:space="0"/>
              <w:right w:val="single" w:color="000000" w:sz="4" w:space="0"/>
            </w:tcBorders>
            <w:vAlign w:val="center"/>
          </w:tcPr>
          <w:p w14:paraId="75A0EC25">
            <w:pPr>
              <w:autoSpaceDE w:val="0"/>
              <w:autoSpaceDN w:val="0"/>
              <w:adjustRightInd w:val="0"/>
              <w:spacing w:line="300" w:lineRule="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名称：广州南沙科技投资有限公司</w:t>
            </w:r>
          </w:p>
          <w:p w14:paraId="4F2FA961">
            <w:pPr>
              <w:pageBreakBefore w:val="0"/>
              <w:kinsoku/>
              <w:wordWrap/>
              <w:overflowPunct/>
              <w:topLinePunct w:val="0"/>
              <w:bidi w:val="0"/>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地址：广州市南沙区海滨路 171 号 1806 室 </w:t>
            </w:r>
          </w:p>
          <w:p w14:paraId="1CB203FC">
            <w:pPr>
              <w:pStyle w:val="43"/>
              <w:spacing w:line="300" w:lineRule="auto"/>
              <w:jc w:val="both"/>
              <w:rPr>
                <w:rFonts w:hint="default"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联系人： 段工</w:t>
            </w:r>
          </w:p>
          <w:p w14:paraId="6E5578DF">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bidi="ar-SA"/>
              </w:rPr>
              <w:t xml:space="preserve">电话： </w:t>
            </w:r>
          </w:p>
        </w:tc>
      </w:tr>
      <w:tr w14:paraId="5A48823B">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58551FC4">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1.1.3</w:t>
            </w:r>
          </w:p>
        </w:tc>
        <w:tc>
          <w:tcPr>
            <w:tcW w:w="2142" w:type="dxa"/>
            <w:tcBorders>
              <w:top w:val="single" w:color="000000" w:sz="4" w:space="0"/>
              <w:left w:val="single" w:color="000000" w:sz="4" w:space="0"/>
              <w:bottom w:val="single" w:color="000000" w:sz="4" w:space="0"/>
              <w:right w:val="single" w:color="000000" w:sz="4" w:space="0"/>
            </w:tcBorders>
            <w:vAlign w:val="center"/>
          </w:tcPr>
          <w:p w14:paraId="50E452B6">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招标代理机构</w:t>
            </w:r>
          </w:p>
        </w:tc>
        <w:tc>
          <w:tcPr>
            <w:tcW w:w="7211" w:type="dxa"/>
            <w:tcBorders>
              <w:top w:val="single" w:color="000000" w:sz="4" w:space="0"/>
              <w:left w:val="single" w:color="000000" w:sz="4" w:space="0"/>
              <w:bottom w:val="single" w:color="000000" w:sz="4" w:space="0"/>
              <w:right w:val="single" w:color="000000" w:sz="4" w:space="0"/>
            </w:tcBorders>
            <w:vAlign w:val="center"/>
          </w:tcPr>
          <w:p w14:paraId="15655395">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名称：广州万亿采购科技有限公司</w:t>
            </w:r>
          </w:p>
          <w:p w14:paraId="042D7A4D">
            <w:pPr>
              <w:pStyle w:val="43"/>
              <w:spacing w:line="300" w:lineRule="auto"/>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地址：广州市白云区嘉禾街望岗大马路3号嘉丰大厦B栋3楼313室</w:t>
            </w:r>
            <w:r>
              <w:rPr>
                <w:rFonts w:hint="eastAsia" w:ascii="宋体" w:hAnsi="宋体" w:eastAsia="宋体" w:cs="宋体"/>
                <w:color w:val="auto"/>
                <w:sz w:val="21"/>
                <w:szCs w:val="21"/>
                <w:highlight w:val="none"/>
                <w:lang w:val="en-US" w:eastAsia="zh-CN"/>
              </w:rPr>
              <w:t xml:space="preserve"> </w:t>
            </w:r>
          </w:p>
          <w:p w14:paraId="5320520F">
            <w:pPr>
              <w:pStyle w:val="43"/>
              <w:spacing w:line="300" w:lineRule="auto"/>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联系人：</w:t>
            </w:r>
            <w:r>
              <w:rPr>
                <w:rFonts w:hint="eastAsia" w:ascii="宋体" w:hAnsi="宋体" w:eastAsia="宋体" w:cs="宋体"/>
                <w:color w:val="auto"/>
                <w:sz w:val="21"/>
                <w:szCs w:val="21"/>
                <w:highlight w:val="none"/>
                <w:lang w:val="en-US" w:eastAsia="zh-CN"/>
              </w:rPr>
              <w:t xml:space="preserve"> 黄工</w:t>
            </w:r>
          </w:p>
          <w:p w14:paraId="05BD5F47">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电话：</w:t>
            </w:r>
            <w:r>
              <w:rPr>
                <w:rFonts w:hint="eastAsia" w:ascii="宋体" w:hAnsi="宋体" w:eastAsia="宋体" w:cs="宋体"/>
                <w:color w:val="auto"/>
                <w:sz w:val="21"/>
                <w:szCs w:val="21"/>
                <w:highlight w:val="none"/>
                <w:lang w:val="en-US" w:eastAsia="zh-CN"/>
              </w:rPr>
              <w:t xml:space="preserve"> 18028500196</w:t>
            </w:r>
          </w:p>
        </w:tc>
      </w:tr>
      <w:tr w14:paraId="6FEC2EF7">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17BC0707">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1.1.4</w:t>
            </w:r>
          </w:p>
        </w:tc>
        <w:tc>
          <w:tcPr>
            <w:tcW w:w="2142" w:type="dxa"/>
            <w:tcBorders>
              <w:top w:val="single" w:color="000000" w:sz="4" w:space="0"/>
              <w:left w:val="single" w:color="000000" w:sz="4" w:space="0"/>
              <w:bottom w:val="single" w:color="000000" w:sz="4" w:space="0"/>
              <w:right w:val="single" w:color="000000" w:sz="4" w:space="0"/>
            </w:tcBorders>
            <w:vAlign w:val="center"/>
          </w:tcPr>
          <w:p w14:paraId="1F72CC62">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招标项目名称</w:t>
            </w:r>
          </w:p>
        </w:tc>
        <w:tc>
          <w:tcPr>
            <w:tcW w:w="7211" w:type="dxa"/>
            <w:tcBorders>
              <w:top w:val="single" w:color="000000" w:sz="4" w:space="0"/>
              <w:left w:val="single" w:color="000000" w:sz="4" w:space="0"/>
              <w:bottom w:val="single" w:color="000000" w:sz="4" w:space="0"/>
              <w:right w:val="single" w:color="000000" w:sz="4" w:space="0"/>
            </w:tcBorders>
            <w:vAlign w:val="center"/>
          </w:tcPr>
          <w:p w14:paraId="674B371B">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前锋水乡首开区提升改造建设方案设计项目</w:t>
            </w:r>
          </w:p>
        </w:tc>
      </w:tr>
      <w:tr w14:paraId="0CD38F1C">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36A93780">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1.1.5</w:t>
            </w:r>
          </w:p>
        </w:tc>
        <w:tc>
          <w:tcPr>
            <w:tcW w:w="2142" w:type="dxa"/>
            <w:tcBorders>
              <w:top w:val="single" w:color="000000" w:sz="4" w:space="0"/>
              <w:left w:val="single" w:color="000000" w:sz="4" w:space="0"/>
              <w:bottom w:val="single" w:color="000000" w:sz="4" w:space="0"/>
              <w:right w:val="single" w:color="000000" w:sz="4" w:space="0"/>
            </w:tcBorders>
            <w:vAlign w:val="center"/>
          </w:tcPr>
          <w:p w14:paraId="0114D604">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项目建设地点</w:t>
            </w:r>
          </w:p>
        </w:tc>
        <w:tc>
          <w:tcPr>
            <w:tcW w:w="7211" w:type="dxa"/>
            <w:tcBorders>
              <w:top w:val="single" w:color="000000" w:sz="4" w:space="0"/>
              <w:left w:val="single" w:color="000000" w:sz="4" w:space="0"/>
              <w:bottom w:val="single" w:color="000000" w:sz="4" w:space="0"/>
              <w:right w:val="single" w:color="000000" w:sz="4" w:space="0"/>
            </w:tcBorders>
            <w:vAlign w:val="center"/>
          </w:tcPr>
          <w:p w14:paraId="3A423E3A">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详见招标公告</w:t>
            </w:r>
          </w:p>
        </w:tc>
      </w:tr>
      <w:tr w14:paraId="2899B3B9">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1A846530">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1.1.6</w:t>
            </w:r>
          </w:p>
        </w:tc>
        <w:tc>
          <w:tcPr>
            <w:tcW w:w="2142" w:type="dxa"/>
            <w:tcBorders>
              <w:top w:val="single" w:color="000000" w:sz="4" w:space="0"/>
              <w:left w:val="single" w:color="000000" w:sz="4" w:space="0"/>
              <w:bottom w:val="single" w:color="000000" w:sz="4" w:space="0"/>
              <w:right w:val="single" w:color="000000" w:sz="4" w:space="0"/>
            </w:tcBorders>
            <w:vAlign w:val="center"/>
          </w:tcPr>
          <w:p w14:paraId="022DE30C">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项目建设规模</w:t>
            </w:r>
          </w:p>
        </w:tc>
        <w:tc>
          <w:tcPr>
            <w:tcW w:w="7211" w:type="dxa"/>
            <w:tcBorders>
              <w:top w:val="single" w:color="000000" w:sz="4" w:space="0"/>
              <w:left w:val="single" w:color="000000" w:sz="4" w:space="0"/>
              <w:bottom w:val="single" w:color="000000" w:sz="4" w:space="0"/>
              <w:right w:val="single" w:color="000000" w:sz="4" w:space="0"/>
            </w:tcBorders>
            <w:vAlign w:val="center"/>
          </w:tcPr>
          <w:p w14:paraId="6D6966B1">
            <w:pPr>
              <w:spacing w:line="300" w:lineRule="auto"/>
              <w:jc w:val="both"/>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详见招标公告</w:t>
            </w:r>
          </w:p>
        </w:tc>
      </w:tr>
      <w:tr w14:paraId="17C431D7">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4D3CDE5F">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1.1.7</w:t>
            </w:r>
          </w:p>
        </w:tc>
        <w:tc>
          <w:tcPr>
            <w:tcW w:w="2142" w:type="dxa"/>
            <w:tcBorders>
              <w:top w:val="single" w:color="000000" w:sz="4" w:space="0"/>
              <w:left w:val="single" w:color="000000" w:sz="4" w:space="0"/>
              <w:bottom w:val="single" w:color="000000" w:sz="4" w:space="0"/>
              <w:right w:val="single" w:color="000000" w:sz="4" w:space="0"/>
            </w:tcBorders>
            <w:vAlign w:val="center"/>
          </w:tcPr>
          <w:p w14:paraId="15562B5B">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项目投资估算</w:t>
            </w:r>
          </w:p>
        </w:tc>
        <w:tc>
          <w:tcPr>
            <w:tcW w:w="7211" w:type="dxa"/>
            <w:tcBorders>
              <w:top w:val="single" w:color="000000" w:sz="4" w:space="0"/>
              <w:left w:val="single" w:color="000000" w:sz="4" w:space="0"/>
              <w:bottom w:val="single" w:color="000000" w:sz="4" w:space="0"/>
              <w:right w:val="single" w:color="000000" w:sz="4" w:space="0"/>
            </w:tcBorders>
            <w:vAlign w:val="center"/>
          </w:tcPr>
          <w:p w14:paraId="1FD16F88">
            <w:pPr>
              <w:spacing w:line="300" w:lineRule="auto"/>
              <w:jc w:val="both"/>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详见招标公告</w:t>
            </w:r>
          </w:p>
        </w:tc>
      </w:tr>
      <w:tr w14:paraId="44B7187A">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76F7A304">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1.2.1</w:t>
            </w:r>
          </w:p>
        </w:tc>
        <w:tc>
          <w:tcPr>
            <w:tcW w:w="2142" w:type="dxa"/>
            <w:tcBorders>
              <w:top w:val="single" w:color="000000" w:sz="4" w:space="0"/>
              <w:left w:val="single" w:color="000000" w:sz="4" w:space="0"/>
              <w:bottom w:val="single" w:color="000000" w:sz="4" w:space="0"/>
              <w:right w:val="single" w:color="000000" w:sz="4" w:space="0"/>
            </w:tcBorders>
            <w:vAlign w:val="center"/>
          </w:tcPr>
          <w:p w14:paraId="18E0F98D">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资金来源及比例</w:t>
            </w:r>
          </w:p>
        </w:tc>
        <w:tc>
          <w:tcPr>
            <w:tcW w:w="7211" w:type="dxa"/>
            <w:tcBorders>
              <w:top w:val="single" w:color="000000" w:sz="4" w:space="0"/>
              <w:left w:val="single" w:color="000000" w:sz="4" w:space="0"/>
              <w:bottom w:val="single" w:color="000000" w:sz="4" w:space="0"/>
              <w:right w:val="single" w:color="000000" w:sz="4" w:space="0"/>
            </w:tcBorders>
            <w:vAlign w:val="center"/>
          </w:tcPr>
          <w:p w14:paraId="11CED9CE">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企业自筹资金，100%</w:t>
            </w:r>
          </w:p>
        </w:tc>
      </w:tr>
      <w:tr w14:paraId="7422F5B0">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71797EA7">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1.2.2</w:t>
            </w:r>
          </w:p>
        </w:tc>
        <w:tc>
          <w:tcPr>
            <w:tcW w:w="2142" w:type="dxa"/>
            <w:tcBorders>
              <w:top w:val="single" w:color="000000" w:sz="4" w:space="0"/>
              <w:left w:val="single" w:color="000000" w:sz="4" w:space="0"/>
              <w:bottom w:val="single" w:color="000000" w:sz="4" w:space="0"/>
              <w:right w:val="single" w:color="000000" w:sz="4" w:space="0"/>
            </w:tcBorders>
            <w:vAlign w:val="center"/>
          </w:tcPr>
          <w:p w14:paraId="06E19130">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资金落实情况</w:t>
            </w:r>
          </w:p>
        </w:tc>
        <w:tc>
          <w:tcPr>
            <w:tcW w:w="7211" w:type="dxa"/>
            <w:tcBorders>
              <w:top w:val="single" w:color="000000" w:sz="4" w:space="0"/>
              <w:left w:val="single" w:color="000000" w:sz="4" w:space="0"/>
              <w:bottom w:val="single" w:color="000000" w:sz="4" w:space="0"/>
              <w:right w:val="single" w:color="000000" w:sz="4" w:space="0"/>
            </w:tcBorders>
            <w:vAlign w:val="center"/>
          </w:tcPr>
          <w:p w14:paraId="7A83A7AC">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已落实</w:t>
            </w:r>
          </w:p>
        </w:tc>
      </w:tr>
      <w:tr w14:paraId="284DF721">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01603EEF">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1.3.1</w:t>
            </w:r>
          </w:p>
        </w:tc>
        <w:tc>
          <w:tcPr>
            <w:tcW w:w="2142" w:type="dxa"/>
            <w:tcBorders>
              <w:top w:val="single" w:color="000000" w:sz="4" w:space="0"/>
              <w:left w:val="single" w:color="000000" w:sz="4" w:space="0"/>
              <w:bottom w:val="single" w:color="000000" w:sz="4" w:space="0"/>
              <w:right w:val="single" w:color="000000" w:sz="4" w:space="0"/>
            </w:tcBorders>
            <w:vAlign w:val="center"/>
          </w:tcPr>
          <w:p w14:paraId="5358F589">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招标范围</w:t>
            </w:r>
          </w:p>
        </w:tc>
        <w:tc>
          <w:tcPr>
            <w:tcW w:w="7211" w:type="dxa"/>
            <w:tcBorders>
              <w:top w:val="single" w:color="000000" w:sz="4" w:space="0"/>
              <w:left w:val="single" w:color="000000" w:sz="4" w:space="0"/>
              <w:bottom w:val="single" w:color="000000" w:sz="4" w:space="0"/>
              <w:right w:val="single" w:color="000000" w:sz="4" w:space="0"/>
            </w:tcBorders>
            <w:vAlign w:val="center"/>
          </w:tcPr>
          <w:p w14:paraId="7306B4AE">
            <w:pPr>
              <w:spacing w:line="300" w:lineRule="auto"/>
              <w:jc w:val="both"/>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详见招标公告</w:t>
            </w:r>
          </w:p>
        </w:tc>
      </w:tr>
      <w:tr w14:paraId="2F8C4F6C">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4FF38D23">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1.3.2</w:t>
            </w:r>
          </w:p>
        </w:tc>
        <w:tc>
          <w:tcPr>
            <w:tcW w:w="2142" w:type="dxa"/>
            <w:tcBorders>
              <w:top w:val="single" w:color="000000" w:sz="4" w:space="0"/>
              <w:left w:val="single" w:color="000000" w:sz="4" w:space="0"/>
              <w:bottom w:val="single" w:color="000000" w:sz="4" w:space="0"/>
              <w:right w:val="single" w:color="000000" w:sz="4" w:space="0"/>
            </w:tcBorders>
            <w:vAlign w:val="center"/>
          </w:tcPr>
          <w:p w14:paraId="6BE549E3">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设计服务期限</w:t>
            </w:r>
          </w:p>
        </w:tc>
        <w:tc>
          <w:tcPr>
            <w:tcW w:w="7211" w:type="dxa"/>
            <w:tcBorders>
              <w:top w:val="single" w:color="000000" w:sz="4" w:space="0"/>
              <w:left w:val="single" w:color="000000" w:sz="4" w:space="0"/>
              <w:bottom w:val="single" w:color="000000" w:sz="4" w:space="0"/>
              <w:right w:val="single" w:color="000000" w:sz="4" w:space="0"/>
            </w:tcBorders>
            <w:vAlign w:val="center"/>
          </w:tcPr>
          <w:p w14:paraId="6E2708EA">
            <w:pPr>
              <w:spacing w:line="300" w:lineRule="auto"/>
              <w:jc w:val="both"/>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详见招标公告</w:t>
            </w:r>
          </w:p>
        </w:tc>
      </w:tr>
      <w:tr w14:paraId="0E5C0D55">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612A35DA">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1.3.3</w:t>
            </w:r>
          </w:p>
        </w:tc>
        <w:tc>
          <w:tcPr>
            <w:tcW w:w="2142" w:type="dxa"/>
            <w:tcBorders>
              <w:top w:val="single" w:color="000000" w:sz="4" w:space="0"/>
              <w:left w:val="single" w:color="000000" w:sz="4" w:space="0"/>
              <w:bottom w:val="single" w:color="000000" w:sz="4" w:space="0"/>
              <w:right w:val="single" w:color="000000" w:sz="4" w:space="0"/>
            </w:tcBorders>
            <w:vAlign w:val="center"/>
          </w:tcPr>
          <w:p w14:paraId="4757EB95">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质量标准</w:t>
            </w:r>
          </w:p>
        </w:tc>
        <w:tc>
          <w:tcPr>
            <w:tcW w:w="7211" w:type="dxa"/>
            <w:tcBorders>
              <w:top w:val="single" w:color="000000" w:sz="4" w:space="0"/>
              <w:left w:val="single" w:color="000000" w:sz="4" w:space="0"/>
              <w:bottom w:val="single" w:color="000000" w:sz="4" w:space="0"/>
              <w:right w:val="single" w:color="000000" w:sz="4" w:space="0"/>
            </w:tcBorders>
            <w:vAlign w:val="center"/>
          </w:tcPr>
          <w:p w14:paraId="7AA45539">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国家及地方有关工程设计管理法规和规章，达到行业相关规范技术标准等要求。</w:t>
            </w:r>
          </w:p>
        </w:tc>
      </w:tr>
      <w:tr w14:paraId="53887514">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479C2D80">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1.4.1</w:t>
            </w:r>
          </w:p>
        </w:tc>
        <w:tc>
          <w:tcPr>
            <w:tcW w:w="2142" w:type="dxa"/>
            <w:tcBorders>
              <w:top w:val="single" w:color="000000" w:sz="4" w:space="0"/>
              <w:left w:val="single" w:color="000000" w:sz="4" w:space="0"/>
              <w:bottom w:val="single" w:color="000000" w:sz="4" w:space="0"/>
              <w:right w:val="single" w:color="000000" w:sz="4" w:space="0"/>
            </w:tcBorders>
            <w:vAlign w:val="center"/>
          </w:tcPr>
          <w:p w14:paraId="6840333B">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投标人资质条件、能力、信誉</w:t>
            </w:r>
          </w:p>
        </w:tc>
        <w:tc>
          <w:tcPr>
            <w:tcW w:w="7211" w:type="dxa"/>
            <w:tcBorders>
              <w:top w:val="single" w:color="000000" w:sz="4" w:space="0"/>
              <w:left w:val="single" w:color="000000" w:sz="4" w:space="0"/>
              <w:bottom w:val="single" w:color="000000" w:sz="4" w:space="0"/>
              <w:right w:val="single" w:color="000000" w:sz="4" w:space="0"/>
            </w:tcBorders>
            <w:vAlign w:val="center"/>
          </w:tcPr>
          <w:p w14:paraId="53849ED7">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1.资质要求：详见招标公告第5.2条要求</w:t>
            </w:r>
          </w:p>
          <w:p w14:paraId="04C1D212">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2.财务要求：/</w:t>
            </w:r>
          </w:p>
          <w:p w14:paraId="6AF0F74E">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3.业绩要求：/</w:t>
            </w:r>
          </w:p>
          <w:p w14:paraId="78C314B2">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4.信誉要求：详见招标公告第5.7条要求</w:t>
            </w:r>
          </w:p>
          <w:p w14:paraId="3520AAF0">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5.项目负责人的资格要求：详见招标公告第5.5条要求</w:t>
            </w:r>
          </w:p>
          <w:p w14:paraId="5459BF7A">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6.其他主要人员要求：/</w:t>
            </w:r>
          </w:p>
          <w:p w14:paraId="6F831E87">
            <w:pPr>
              <w:pStyle w:val="43"/>
              <w:spacing w:line="300" w:lineRule="auto"/>
              <w:jc w:val="both"/>
              <w:rPr>
                <w:rFonts w:ascii="宋体" w:hAnsi="宋体" w:eastAsia="宋体" w:cs="宋体"/>
                <w:b/>
                <w:color w:val="auto"/>
                <w:sz w:val="21"/>
                <w:szCs w:val="21"/>
                <w:highlight w:val="none"/>
                <w:lang w:eastAsia="zh-CN"/>
              </w:rPr>
            </w:pPr>
            <w:r>
              <w:rPr>
                <w:rFonts w:hint="eastAsia" w:ascii="宋体" w:hAnsi="宋体" w:eastAsia="宋体" w:cs="宋体"/>
                <w:color w:val="auto"/>
                <w:sz w:val="21"/>
                <w:szCs w:val="21"/>
                <w:highlight w:val="none"/>
                <w:lang w:eastAsia="zh-CN"/>
              </w:rPr>
              <w:t>7.其他要求：详见招标公告第5条投标人资格要求</w:t>
            </w:r>
          </w:p>
        </w:tc>
      </w:tr>
      <w:tr w14:paraId="5CA88DFB">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4BD6CD5E">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1.4.2</w:t>
            </w:r>
          </w:p>
        </w:tc>
        <w:tc>
          <w:tcPr>
            <w:tcW w:w="2142" w:type="dxa"/>
            <w:tcBorders>
              <w:top w:val="single" w:color="000000" w:sz="4" w:space="0"/>
              <w:left w:val="single" w:color="000000" w:sz="4" w:space="0"/>
              <w:bottom w:val="single" w:color="000000" w:sz="4" w:space="0"/>
              <w:right w:val="single" w:color="000000" w:sz="4" w:space="0"/>
            </w:tcBorders>
            <w:vAlign w:val="center"/>
          </w:tcPr>
          <w:p w14:paraId="2A4756A2">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是否接受联合体投标</w:t>
            </w:r>
          </w:p>
        </w:tc>
        <w:tc>
          <w:tcPr>
            <w:tcW w:w="7211" w:type="dxa"/>
            <w:tcBorders>
              <w:top w:val="single" w:color="000000" w:sz="4" w:space="0"/>
              <w:left w:val="single" w:color="000000" w:sz="4" w:space="0"/>
              <w:bottom w:val="single" w:color="000000" w:sz="4" w:space="0"/>
              <w:right w:val="single" w:color="000000" w:sz="4" w:space="0"/>
            </w:tcBorders>
            <w:vAlign w:val="center"/>
          </w:tcPr>
          <w:p w14:paraId="59CE79B4">
            <w:pPr>
              <w:spacing w:line="300" w:lineRule="auto"/>
              <w:rPr>
                <w:rFonts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■不接受</w:t>
            </w:r>
          </w:p>
        </w:tc>
      </w:tr>
      <w:tr w14:paraId="3A90A5C4">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485A7182">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1.4.3</w:t>
            </w:r>
          </w:p>
        </w:tc>
        <w:tc>
          <w:tcPr>
            <w:tcW w:w="2142" w:type="dxa"/>
            <w:tcBorders>
              <w:top w:val="single" w:color="000000" w:sz="4" w:space="0"/>
              <w:left w:val="single" w:color="000000" w:sz="4" w:space="0"/>
              <w:bottom w:val="single" w:color="000000" w:sz="4" w:space="0"/>
              <w:right w:val="single" w:color="000000" w:sz="4" w:space="0"/>
            </w:tcBorders>
            <w:vAlign w:val="center"/>
          </w:tcPr>
          <w:p w14:paraId="4DBEAE92">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投标人不得存在的其他情形</w:t>
            </w:r>
          </w:p>
        </w:tc>
        <w:tc>
          <w:tcPr>
            <w:tcW w:w="7211" w:type="dxa"/>
            <w:tcBorders>
              <w:top w:val="single" w:color="000000" w:sz="4" w:space="0"/>
              <w:left w:val="single" w:color="000000" w:sz="4" w:space="0"/>
              <w:bottom w:val="single" w:color="000000" w:sz="4" w:space="0"/>
              <w:right w:val="single" w:color="000000" w:sz="4" w:space="0"/>
            </w:tcBorders>
            <w:vAlign w:val="center"/>
          </w:tcPr>
          <w:p w14:paraId="7FC76533">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u w:val="single"/>
                <w:lang w:eastAsia="zh-CN"/>
              </w:rPr>
              <w:t>为招标人不具有独立法人资格的附属机构（单位）</w:t>
            </w:r>
            <w:r>
              <w:rPr>
                <w:rFonts w:hint="eastAsia" w:ascii="宋体" w:hAnsi="宋体" w:eastAsia="宋体" w:cs="宋体"/>
                <w:color w:val="auto"/>
                <w:sz w:val="21"/>
                <w:szCs w:val="21"/>
                <w:highlight w:val="none"/>
                <w:lang w:eastAsia="zh-CN"/>
              </w:rPr>
              <w:t>；</w:t>
            </w:r>
          </w:p>
          <w:p w14:paraId="4DEB41EC">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u w:val="single"/>
                <w:lang w:eastAsia="zh-CN"/>
              </w:rPr>
              <w:t>与招标人存在利害关系且可能影响招标公正性</w:t>
            </w:r>
            <w:r>
              <w:rPr>
                <w:rFonts w:hint="eastAsia" w:ascii="宋体" w:hAnsi="宋体" w:eastAsia="宋体" w:cs="宋体"/>
                <w:color w:val="auto"/>
                <w:sz w:val="21"/>
                <w:szCs w:val="21"/>
                <w:highlight w:val="none"/>
                <w:lang w:eastAsia="zh-CN"/>
              </w:rPr>
              <w:t>；</w:t>
            </w:r>
          </w:p>
          <w:p w14:paraId="1DA3E69F">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u w:val="single"/>
                <w:lang w:eastAsia="zh-CN"/>
              </w:rPr>
              <w:t>与本招标项目的其他投标人为同一个单位负责人</w:t>
            </w:r>
            <w:r>
              <w:rPr>
                <w:rFonts w:hint="eastAsia" w:ascii="宋体" w:hAnsi="宋体" w:eastAsia="宋体" w:cs="宋体"/>
                <w:color w:val="auto"/>
                <w:sz w:val="21"/>
                <w:szCs w:val="21"/>
                <w:highlight w:val="none"/>
                <w:lang w:eastAsia="zh-CN"/>
              </w:rPr>
              <w:t>；</w:t>
            </w:r>
          </w:p>
          <w:p w14:paraId="01FEBF9E">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u w:val="single"/>
                <w:lang w:eastAsia="zh-CN"/>
              </w:rPr>
              <w:t>与本招标项目的其他投标人存在控股、管理</w:t>
            </w:r>
            <w:r>
              <w:rPr>
                <w:rFonts w:hint="eastAsia" w:ascii="宋体" w:hAnsi="宋体" w:eastAsia="宋体" w:cs="宋体"/>
                <w:color w:val="auto"/>
                <w:sz w:val="21"/>
                <w:szCs w:val="21"/>
                <w:highlight w:val="none"/>
                <w:u w:val="single"/>
                <w:lang w:val="en-US" w:eastAsia="zh-CN"/>
              </w:rPr>
              <w:t>或其他影响招标公平性、公正性的</w:t>
            </w:r>
            <w:r>
              <w:rPr>
                <w:rFonts w:hint="eastAsia" w:ascii="宋体" w:hAnsi="宋体" w:eastAsia="宋体" w:cs="宋体"/>
                <w:color w:val="auto"/>
                <w:sz w:val="21"/>
                <w:szCs w:val="21"/>
                <w:highlight w:val="none"/>
                <w:u w:val="single"/>
                <w:lang w:eastAsia="zh-CN"/>
              </w:rPr>
              <w:t>关系</w:t>
            </w:r>
            <w:r>
              <w:rPr>
                <w:rFonts w:hint="eastAsia" w:ascii="宋体" w:hAnsi="宋体" w:eastAsia="宋体" w:cs="宋体"/>
                <w:color w:val="auto"/>
                <w:sz w:val="21"/>
                <w:szCs w:val="21"/>
                <w:highlight w:val="none"/>
                <w:lang w:eastAsia="zh-CN"/>
              </w:rPr>
              <w:t>；</w:t>
            </w:r>
          </w:p>
          <w:p w14:paraId="01AD6CC3">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u w:val="single"/>
                <w:lang w:eastAsia="zh-CN"/>
              </w:rPr>
              <w:t>为本招标项目的代建人</w:t>
            </w:r>
            <w:r>
              <w:rPr>
                <w:rFonts w:hint="eastAsia" w:ascii="宋体" w:hAnsi="宋体" w:eastAsia="宋体" w:cs="宋体"/>
                <w:color w:val="auto"/>
                <w:sz w:val="21"/>
                <w:szCs w:val="21"/>
                <w:highlight w:val="none"/>
                <w:lang w:eastAsia="zh-CN"/>
              </w:rPr>
              <w:t>；</w:t>
            </w:r>
          </w:p>
          <w:p w14:paraId="75158219">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u w:val="single"/>
                <w:lang w:eastAsia="zh-CN"/>
              </w:rPr>
              <w:t>为本招标项目的招标代理机构</w:t>
            </w:r>
            <w:r>
              <w:rPr>
                <w:rFonts w:hint="eastAsia" w:ascii="宋体" w:hAnsi="宋体" w:eastAsia="宋体" w:cs="宋体"/>
                <w:color w:val="auto"/>
                <w:sz w:val="21"/>
                <w:szCs w:val="21"/>
                <w:highlight w:val="none"/>
                <w:lang w:eastAsia="zh-CN"/>
              </w:rPr>
              <w:t>；</w:t>
            </w:r>
          </w:p>
          <w:p w14:paraId="35CD5CD4">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u w:val="single"/>
                <w:lang w:eastAsia="zh-CN"/>
              </w:rPr>
              <w:t>与本招标项目的代建人或招标代理机构同为一个法定代表人</w:t>
            </w:r>
            <w:r>
              <w:rPr>
                <w:rFonts w:hint="eastAsia" w:ascii="宋体" w:hAnsi="宋体" w:eastAsia="宋体" w:cs="宋体"/>
                <w:color w:val="auto"/>
                <w:sz w:val="21"/>
                <w:szCs w:val="21"/>
                <w:highlight w:val="none"/>
                <w:lang w:eastAsia="zh-CN"/>
              </w:rPr>
              <w:t>；</w:t>
            </w:r>
          </w:p>
          <w:p w14:paraId="498406D3">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u w:val="single"/>
                <w:lang w:eastAsia="zh-CN"/>
              </w:rPr>
              <w:t>与本招标项目的代建人或招标代理机构存在控股或参股关系</w:t>
            </w:r>
            <w:r>
              <w:rPr>
                <w:rFonts w:hint="eastAsia" w:ascii="宋体" w:hAnsi="宋体" w:eastAsia="宋体" w:cs="宋体"/>
                <w:color w:val="auto"/>
                <w:sz w:val="21"/>
                <w:szCs w:val="21"/>
                <w:highlight w:val="none"/>
                <w:lang w:eastAsia="zh-CN"/>
              </w:rPr>
              <w:t>；</w:t>
            </w:r>
          </w:p>
          <w:p w14:paraId="2EC03CBF">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u w:val="single"/>
                <w:lang w:eastAsia="zh-CN"/>
              </w:rPr>
              <w:t>被依法暂停或者取消投标资格；（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4B07F816">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（10）</w:t>
            </w:r>
            <w:r>
              <w:rPr>
                <w:rFonts w:hint="eastAsia" w:ascii="宋体" w:hAnsi="宋体" w:eastAsia="宋体" w:cs="宋体"/>
                <w:color w:val="auto"/>
                <w:sz w:val="21"/>
                <w:szCs w:val="21"/>
                <w:highlight w:val="none"/>
                <w:u w:val="single"/>
                <w:lang w:eastAsia="zh-CN"/>
              </w:rPr>
              <w:t>被责令停产停业、暂扣或者吊销许可证、暂扣或者吊销执照（本项事实应当以根据《中华人民共和国行政处罚法》依法作出并已经生效的行政处罚决定为认定依据。）</w:t>
            </w:r>
            <w:r>
              <w:rPr>
                <w:rFonts w:hint="eastAsia" w:ascii="宋体" w:hAnsi="宋体" w:eastAsia="宋体" w:cs="宋体"/>
                <w:color w:val="auto"/>
                <w:sz w:val="21"/>
                <w:szCs w:val="21"/>
                <w:highlight w:val="none"/>
                <w:lang w:eastAsia="zh-CN"/>
              </w:rPr>
              <w:t>；</w:t>
            </w:r>
          </w:p>
          <w:p w14:paraId="2B73D646">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（11）</w:t>
            </w:r>
            <w:r>
              <w:rPr>
                <w:rFonts w:hint="eastAsia" w:ascii="宋体" w:hAnsi="宋体" w:eastAsia="宋体" w:cs="宋体"/>
                <w:color w:val="auto"/>
                <w:sz w:val="21"/>
                <w:szCs w:val="21"/>
                <w:highlight w:val="none"/>
                <w:u w:val="single"/>
                <w:lang w:eastAsia="zh-CN"/>
              </w:rPr>
              <w:t>进入清算程序，或被宣告破产，或其他丧失履约能力的情形</w:t>
            </w:r>
            <w:r>
              <w:rPr>
                <w:rFonts w:hint="eastAsia" w:ascii="宋体" w:hAnsi="宋体" w:eastAsia="宋体" w:cs="宋体"/>
                <w:color w:val="auto"/>
                <w:sz w:val="21"/>
                <w:szCs w:val="21"/>
                <w:highlight w:val="none"/>
                <w:lang w:eastAsia="zh-CN"/>
              </w:rPr>
              <w:t>；</w:t>
            </w:r>
          </w:p>
          <w:p w14:paraId="21B229F9">
            <w:pPr>
              <w:spacing w:line="300" w:lineRule="auto"/>
              <w:jc w:val="both"/>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lang w:eastAsia="zh-CN"/>
              </w:rPr>
              <w:t>（12）</w:t>
            </w:r>
            <w:r>
              <w:rPr>
                <w:rFonts w:hint="eastAsia" w:ascii="宋体" w:hAnsi="宋体" w:eastAsia="宋体" w:cs="宋体"/>
                <w:color w:val="auto"/>
                <w:sz w:val="21"/>
                <w:szCs w:val="21"/>
                <w:highlight w:val="none"/>
                <w:u w:val="single"/>
                <w:lang w:eastAsia="zh-CN"/>
              </w:rPr>
              <w:t>在最近三年内发生重大设计质量问题（“重大设计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127176F6">
            <w:pPr>
              <w:spacing w:line="300" w:lineRule="auto"/>
              <w:jc w:val="both"/>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（13）被工商行政管理机关在全国企业信用信息公示系统中列入严重违法失信企业名单；</w:t>
            </w:r>
          </w:p>
          <w:p w14:paraId="5CF2F1FB">
            <w:pPr>
              <w:spacing w:line="300" w:lineRule="auto"/>
              <w:jc w:val="both"/>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（14）被最高人民法院在“信用中国”网站（www.creditchina.gov.cn）或各级信用信息共享平台中列入失信被执行人名单；</w:t>
            </w:r>
          </w:p>
          <w:p w14:paraId="2F7856FE">
            <w:pPr>
              <w:spacing w:line="300" w:lineRule="auto"/>
              <w:jc w:val="both"/>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（15）在近三年内投标人或其法定代表人、拟委派的项目负责人有行贿犯罪行为的；</w:t>
            </w:r>
          </w:p>
          <w:p w14:paraId="2B7C349D">
            <w:pPr>
              <w:spacing w:line="300" w:lineRule="auto"/>
              <w:jc w:val="both"/>
              <w:rPr>
                <w:rFonts w:ascii="宋体" w:hAnsi="宋体" w:eastAsia="宋体" w:cs="宋体"/>
                <w:color w:val="auto"/>
                <w:highlight w:val="none"/>
                <w:lang w:eastAsia="zh-CN"/>
              </w:rPr>
            </w:pPr>
            <w:r>
              <w:rPr>
                <w:rFonts w:hint="eastAsia" w:ascii="宋体" w:hAnsi="宋体" w:eastAsia="宋体" w:cs="宋体"/>
                <w:color w:val="auto"/>
                <w:sz w:val="21"/>
                <w:szCs w:val="21"/>
                <w:highlight w:val="none"/>
                <w:u w:val="single"/>
                <w:lang w:eastAsia="zh-CN"/>
              </w:rPr>
              <w:t>（16）法律法规或投标人须知前附表规定的其他情形。</w:t>
            </w:r>
          </w:p>
        </w:tc>
      </w:tr>
      <w:tr w14:paraId="28BAB838">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752855BC">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1.9.1</w:t>
            </w:r>
          </w:p>
        </w:tc>
        <w:tc>
          <w:tcPr>
            <w:tcW w:w="2142" w:type="dxa"/>
            <w:tcBorders>
              <w:top w:val="single" w:color="000000" w:sz="4" w:space="0"/>
              <w:left w:val="single" w:color="000000" w:sz="4" w:space="0"/>
              <w:bottom w:val="single" w:color="000000" w:sz="4" w:space="0"/>
              <w:right w:val="single" w:color="000000" w:sz="4" w:space="0"/>
            </w:tcBorders>
            <w:vAlign w:val="center"/>
          </w:tcPr>
          <w:p w14:paraId="43B7DD4B">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踏勘现场</w:t>
            </w:r>
          </w:p>
        </w:tc>
        <w:tc>
          <w:tcPr>
            <w:tcW w:w="7211" w:type="dxa"/>
            <w:tcBorders>
              <w:top w:val="single" w:color="000000" w:sz="4" w:space="0"/>
              <w:left w:val="single" w:color="000000" w:sz="4" w:space="0"/>
              <w:bottom w:val="single" w:color="000000" w:sz="4" w:space="0"/>
              <w:right w:val="single" w:color="000000" w:sz="4" w:space="0"/>
            </w:tcBorders>
            <w:vAlign w:val="center"/>
          </w:tcPr>
          <w:p w14:paraId="23425F7C">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■不组织</w:t>
            </w:r>
          </w:p>
          <w:p w14:paraId="2181EF04">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补充说明如下：</w:t>
            </w:r>
          </w:p>
          <w:p w14:paraId="7A6CD6FF">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投标人自行对工程现场和周围环境进行现场考察，投标人应充分重视和仔细地进行这种考察，以获取那些须投标人自己负责的有关编制投标和签署合同所需的所有资料。一旦中标，这种考察即被认为其结果已在中标文件中得到充分反映。考察现场的费用由投标人自己承担。投标人若认为必要时，也可以独自增加现场考察活动。</w:t>
            </w:r>
          </w:p>
          <w:p w14:paraId="467E0B92">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投标人及其代表进入考察的现场。投标人及其代表必须承担那些进入现场后，由于他们的行为所造成的人身伤害（不管是否致命）、财产损失或损坏，以及其他任何原因造成的损失、损坏或费用。招标人在投标人及其代表考察过程中不负任何责任。</w:t>
            </w:r>
          </w:p>
          <w:p w14:paraId="492AECA2">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（3）由招标人提供的资料和数据，只是为了使投标人能够利用招标人现有的资料。招标人对投标人由此而作出的推论、解释和结论概不负责。</w:t>
            </w:r>
          </w:p>
          <w:p w14:paraId="55F32BFC">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（4）不论投标结果如何，投标人应承担其投标文件编制与递交所涉及的一切费用，</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lang w:eastAsia="zh-CN"/>
              </w:rPr>
              <w:t>人对上述费用不负任何责任。</w:t>
            </w:r>
          </w:p>
          <w:p w14:paraId="19A10540">
            <w:pPr>
              <w:pStyle w:val="43"/>
              <w:spacing w:line="300" w:lineRule="auto"/>
              <w:jc w:val="both"/>
              <w:rPr>
                <w:rFonts w:ascii="宋体" w:hAnsi="宋体" w:eastAsia="宋体" w:cs="宋体"/>
                <w:color w:val="auto"/>
                <w:sz w:val="21"/>
                <w:szCs w:val="21"/>
                <w:highlight w:val="none"/>
                <w:lang w:eastAsia="zh-CN"/>
              </w:rPr>
            </w:pPr>
          </w:p>
        </w:tc>
      </w:tr>
      <w:tr w14:paraId="376C2A52">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5D637E17">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1.10.1</w:t>
            </w:r>
          </w:p>
        </w:tc>
        <w:tc>
          <w:tcPr>
            <w:tcW w:w="2142" w:type="dxa"/>
            <w:tcBorders>
              <w:top w:val="single" w:color="000000" w:sz="4" w:space="0"/>
              <w:left w:val="single" w:color="000000" w:sz="4" w:space="0"/>
              <w:bottom w:val="single" w:color="000000" w:sz="4" w:space="0"/>
              <w:right w:val="single" w:color="000000" w:sz="4" w:space="0"/>
            </w:tcBorders>
            <w:vAlign w:val="center"/>
          </w:tcPr>
          <w:p w14:paraId="2D0AF3BC">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投标预备会</w:t>
            </w:r>
          </w:p>
        </w:tc>
        <w:tc>
          <w:tcPr>
            <w:tcW w:w="7211" w:type="dxa"/>
            <w:tcBorders>
              <w:top w:val="single" w:color="000000" w:sz="4" w:space="0"/>
              <w:left w:val="single" w:color="000000" w:sz="4" w:space="0"/>
              <w:bottom w:val="single" w:color="000000" w:sz="4" w:space="0"/>
              <w:right w:val="single" w:color="000000" w:sz="4" w:space="0"/>
            </w:tcBorders>
            <w:vAlign w:val="center"/>
          </w:tcPr>
          <w:p w14:paraId="0A330766">
            <w:pPr>
              <w:pStyle w:val="43"/>
              <w:spacing w:line="300" w:lineRule="auto"/>
              <w:jc w:val="both"/>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■不召开</w:t>
            </w:r>
          </w:p>
        </w:tc>
      </w:tr>
      <w:tr w14:paraId="58D6A449">
        <w:tblPrEx>
          <w:tblCellMar>
            <w:top w:w="0" w:type="dxa"/>
            <w:left w:w="0" w:type="dxa"/>
            <w:bottom w:w="0" w:type="dxa"/>
            <w:right w:w="0" w:type="dxa"/>
          </w:tblCellMar>
        </w:tblPrEx>
        <w:trPr>
          <w:trHeight w:val="454" w:hRule="atLeast"/>
          <w:jc w:val="center"/>
        </w:trPr>
        <w:tc>
          <w:tcPr>
            <w:tcW w:w="995" w:type="dxa"/>
            <w:vMerge w:val="restart"/>
            <w:tcBorders>
              <w:top w:val="single" w:color="000000" w:sz="4" w:space="0"/>
              <w:left w:val="single" w:color="000000" w:sz="4" w:space="0"/>
              <w:right w:val="single" w:color="000000" w:sz="4" w:space="0"/>
            </w:tcBorders>
            <w:vAlign w:val="center"/>
          </w:tcPr>
          <w:p w14:paraId="1BFE9C0B">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1.10.2</w:t>
            </w:r>
          </w:p>
        </w:tc>
        <w:tc>
          <w:tcPr>
            <w:tcW w:w="2142" w:type="dxa"/>
            <w:vMerge w:val="restart"/>
            <w:tcBorders>
              <w:top w:val="single" w:color="000000" w:sz="4" w:space="0"/>
              <w:left w:val="single" w:color="000000" w:sz="4" w:space="0"/>
              <w:right w:val="single" w:color="000000" w:sz="4" w:space="0"/>
            </w:tcBorders>
            <w:vAlign w:val="center"/>
          </w:tcPr>
          <w:p w14:paraId="503210F4">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投标人在投标预备会前提出问题</w:t>
            </w:r>
          </w:p>
        </w:tc>
        <w:tc>
          <w:tcPr>
            <w:tcW w:w="7211" w:type="dxa"/>
            <w:tcBorders>
              <w:top w:val="single" w:color="000000" w:sz="4" w:space="0"/>
              <w:left w:val="single" w:color="000000" w:sz="4" w:space="0"/>
              <w:bottom w:val="single" w:color="000000" w:sz="4" w:space="0"/>
              <w:right w:val="single" w:color="000000" w:sz="4" w:space="0"/>
            </w:tcBorders>
            <w:vAlign w:val="center"/>
          </w:tcPr>
          <w:p w14:paraId="799D0A98">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lang w:eastAsia="zh-CN"/>
              </w:rPr>
              <w:t>/。</w:t>
            </w:r>
          </w:p>
        </w:tc>
      </w:tr>
      <w:tr w14:paraId="258F489E">
        <w:tblPrEx>
          <w:tblCellMar>
            <w:top w:w="0" w:type="dxa"/>
            <w:left w:w="0" w:type="dxa"/>
            <w:bottom w:w="0" w:type="dxa"/>
            <w:right w:w="0" w:type="dxa"/>
          </w:tblCellMar>
        </w:tblPrEx>
        <w:trPr>
          <w:trHeight w:val="454" w:hRule="atLeast"/>
          <w:jc w:val="center"/>
        </w:trPr>
        <w:tc>
          <w:tcPr>
            <w:tcW w:w="995" w:type="dxa"/>
            <w:vMerge w:val="continue"/>
            <w:tcBorders>
              <w:left w:val="single" w:color="000000" w:sz="4" w:space="0"/>
              <w:bottom w:val="single" w:color="000000" w:sz="4" w:space="0"/>
              <w:right w:val="single" w:color="000000" w:sz="4" w:space="0"/>
            </w:tcBorders>
            <w:vAlign w:val="center"/>
          </w:tcPr>
          <w:p w14:paraId="79EE6EF2">
            <w:pPr>
              <w:spacing w:line="300" w:lineRule="auto"/>
              <w:jc w:val="center"/>
              <w:rPr>
                <w:rFonts w:ascii="宋体" w:hAnsi="宋体" w:eastAsia="宋体" w:cs="宋体"/>
                <w:color w:val="auto"/>
                <w:sz w:val="21"/>
                <w:szCs w:val="21"/>
                <w:highlight w:val="none"/>
              </w:rPr>
            </w:pPr>
          </w:p>
        </w:tc>
        <w:tc>
          <w:tcPr>
            <w:tcW w:w="2142" w:type="dxa"/>
            <w:vMerge w:val="continue"/>
            <w:tcBorders>
              <w:left w:val="single" w:color="000000" w:sz="4" w:space="0"/>
              <w:bottom w:val="single" w:color="000000" w:sz="4" w:space="0"/>
              <w:right w:val="single" w:color="000000" w:sz="4" w:space="0"/>
            </w:tcBorders>
            <w:vAlign w:val="center"/>
          </w:tcPr>
          <w:p w14:paraId="33C67033">
            <w:pPr>
              <w:spacing w:line="300" w:lineRule="auto"/>
              <w:jc w:val="center"/>
              <w:rPr>
                <w:rFonts w:ascii="宋体" w:hAnsi="宋体" w:eastAsia="宋体" w:cs="宋体"/>
                <w:color w:val="auto"/>
                <w:sz w:val="21"/>
                <w:szCs w:val="21"/>
                <w:highlight w:val="none"/>
              </w:rPr>
            </w:pPr>
          </w:p>
        </w:tc>
        <w:tc>
          <w:tcPr>
            <w:tcW w:w="7211" w:type="dxa"/>
            <w:tcBorders>
              <w:top w:val="single" w:color="000000" w:sz="4" w:space="0"/>
              <w:left w:val="single" w:color="000000" w:sz="4" w:space="0"/>
              <w:bottom w:val="single" w:color="000000" w:sz="4" w:space="0"/>
              <w:right w:val="single" w:color="000000" w:sz="4" w:space="0"/>
            </w:tcBorders>
            <w:vAlign w:val="center"/>
          </w:tcPr>
          <w:p w14:paraId="0F57C499">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形式：</w:t>
            </w:r>
            <w:r>
              <w:rPr>
                <w:rFonts w:hint="eastAsia" w:ascii="宋体" w:hAnsi="宋体" w:eastAsia="宋体" w:cs="宋体"/>
                <w:color w:val="auto"/>
                <w:sz w:val="21"/>
                <w:szCs w:val="21"/>
                <w:highlight w:val="none"/>
                <w:lang w:eastAsia="zh-CN"/>
              </w:rPr>
              <w:t>/。</w:t>
            </w:r>
          </w:p>
        </w:tc>
      </w:tr>
      <w:tr w14:paraId="2B393164">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4B00363C">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1.10.3</w:t>
            </w:r>
          </w:p>
        </w:tc>
        <w:tc>
          <w:tcPr>
            <w:tcW w:w="2142" w:type="dxa"/>
            <w:tcBorders>
              <w:top w:val="single" w:color="000000" w:sz="4" w:space="0"/>
              <w:left w:val="single" w:color="000000" w:sz="4" w:space="0"/>
              <w:bottom w:val="single" w:color="000000" w:sz="4" w:space="0"/>
              <w:right w:val="single" w:color="000000" w:sz="4" w:space="0"/>
            </w:tcBorders>
            <w:vAlign w:val="center"/>
          </w:tcPr>
          <w:p w14:paraId="1DD60AC1">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招标文件澄清发出的形式</w:t>
            </w:r>
          </w:p>
        </w:tc>
        <w:tc>
          <w:tcPr>
            <w:tcW w:w="7211" w:type="dxa"/>
            <w:tcBorders>
              <w:top w:val="single" w:color="000000" w:sz="4" w:space="0"/>
              <w:left w:val="single" w:color="000000" w:sz="4" w:space="0"/>
              <w:bottom w:val="single" w:color="000000" w:sz="4" w:space="0"/>
              <w:right w:val="single" w:color="000000" w:sz="4" w:space="0"/>
            </w:tcBorders>
            <w:vAlign w:val="center"/>
          </w:tcPr>
          <w:p w14:paraId="57664EF0">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r>
      <w:tr w14:paraId="3EC27B3D">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0E979BA2">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1.11.1</w:t>
            </w:r>
          </w:p>
        </w:tc>
        <w:tc>
          <w:tcPr>
            <w:tcW w:w="2142" w:type="dxa"/>
            <w:tcBorders>
              <w:top w:val="single" w:color="000000" w:sz="4" w:space="0"/>
              <w:left w:val="single" w:color="000000" w:sz="4" w:space="0"/>
              <w:bottom w:val="single" w:color="000000" w:sz="4" w:space="0"/>
              <w:right w:val="single" w:color="000000" w:sz="4" w:space="0"/>
            </w:tcBorders>
            <w:vAlign w:val="center"/>
          </w:tcPr>
          <w:p w14:paraId="27C20471">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分包</w:t>
            </w:r>
          </w:p>
        </w:tc>
        <w:tc>
          <w:tcPr>
            <w:tcW w:w="7211" w:type="dxa"/>
            <w:tcBorders>
              <w:top w:val="single" w:color="000000" w:sz="4" w:space="0"/>
              <w:left w:val="single" w:color="000000" w:sz="4" w:space="0"/>
              <w:bottom w:val="single" w:color="000000" w:sz="4" w:space="0"/>
              <w:right w:val="single" w:color="000000" w:sz="4" w:space="0"/>
            </w:tcBorders>
            <w:vAlign w:val="center"/>
          </w:tcPr>
          <w:p w14:paraId="1989A722">
            <w:pPr>
              <w:autoSpaceDE w:val="0"/>
              <w:autoSpaceDN w:val="0"/>
              <w:adjustRightInd w:val="0"/>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□不允许</w:t>
            </w:r>
          </w:p>
          <w:p w14:paraId="3FAD3042">
            <w:pPr>
              <w:autoSpaceDE w:val="0"/>
              <w:autoSpaceDN w:val="0"/>
              <w:adjustRightInd w:val="0"/>
              <w:spacing w:line="300" w:lineRule="auto"/>
              <w:rPr>
                <w:rFonts w:ascii="宋体" w:hAnsi="宋体" w:eastAsia="宋体" w:cs="宋体"/>
                <w:color w:val="auto"/>
                <w:spacing w:val="-2"/>
                <w:sz w:val="21"/>
                <w:szCs w:val="21"/>
                <w:highlight w:val="none"/>
                <w:u w:val="single"/>
                <w:lang w:eastAsia="zh-CN"/>
              </w:rPr>
            </w:pPr>
            <w:r>
              <w:rPr>
                <w:rFonts w:hint="eastAsia" w:ascii="宋体" w:hAnsi="宋体" w:eastAsia="宋体" w:cs="宋体"/>
                <w:color w:val="auto"/>
                <w:sz w:val="21"/>
                <w:szCs w:val="21"/>
                <w:highlight w:val="none"/>
                <w:lang w:eastAsia="zh-CN"/>
              </w:rPr>
              <w:t>■允许，</w:t>
            </w:r>
            <w:r>
              <w:rPr>
                <w:rFonts w:hint="eastAsia" w:ascii="宋体" w:hAnsi="宋体" w:eastAsia="宋体" w:cs="宋体"/>
                <w:color w:val="auto"/>
                <w:spacing w:val="-2"/>
                <w:sz w:val="21"/>
                <w:szCs w:val="21"/>
                <w:highlight w:val="none"/>
                <w:lang w:eastAsia="zh-CN"/>
              </w:rPr>
              <w:t>分</w:t>
            </w:r>
            <w:r>
              <w:rPr>
                <w:rFonts w:hint="eastAsia" w:ascii="宋体" w:hAnsi="宋体" w:eastAsia="宋体" w:cs="宋体"/>
                <w:color w:val="auto"/>
                <w:sz w:val="21"/>
                <w:szCs w:val="21"/>
                <w:highlight w:val="none"/>
                <w:lang w:eastAsia="zh-CN"/>
              </w:rPr>
              <w:t>包</w:t>
            </w:r>
            <w:r>
              <w:rPr>
                <w:rFonts w:hint="eastAsia" w:ascii="宋体" w:hAnsi="宋体" w:eastAsia="宋体" w:cs="宋体"/>
                <w:color w:val="auto"/>
                <w:spacing w:val="-2"/>
                <w:sz w:val="21"/>
                <w:szCs w:val="21"/>
                <w:highlight w:val="none"/>
                <w:lang w:eastAsia="zh-CN"/>
              </w:rPr>
              <w:t>内</w:t>
            </w:r>
            <w:r>
              <w:rPr>
                <w:rFonts w:hint="eastAsia" w:ascii="宋体" w:hAnsi="宋体" w:eastAsia="宋体" w:cs="宋体"/>
                <w:color w:val="auto"/>
                <w:sz w:val="21"/>
                <w:szCs w:val="21"/>
                <w:highlight w:val="none"/>
                <w:lang w:eastAsia="zh-CN"/>
              </w:rPr>
              <w:t>容</w:t>
            </w:r>
            <w:r>
              <w:rPr>
                <w:rFonts w:hint="eastAsia" w:ascii="宋体" w:hAnsi="宋体" w:eastAsia="宋体" w:cs="宋体"/>
                <w:color w:val="auto"/>
                <w:spacing w:val="-2"/>
                <w:sz w:val="21"/>
                <w:szCs w:val="21"/>
                <w:highlight w:val="none"/>
                <w:lang w:eastAsia="zh-CN"/>
              </w:rPr>
              <w:t>要</w:t>
            </w:r>
            <w:r>
              <w:rPr>
                <w:rFonts w:hint="eastAsia" w:ascii="宋体" w:hAnsi="宋体" w:eastAsia="宋体" w:cs="宋体"/>
                <w:color w:val="auto"/>
                <w:sz w:val="21"/>
                <w:szCs w:val="21"/>
                <w:highlight w:val="none"/>
                <w:lang w:eastAsia="zh-CN"/>
              </w:rPr>
              <w:t>求：</w:t>
            </w:r>
            <w:r>
              <w:rPr>
                <w:rFonts w:hint="eastAsia" w:ascii="宋体" w:hAnsi="宋体" w:eastAsia="宋体" w:cs="宋体"/>
                <w:color w:val="auto"/>
                <w:spacing w:val="-2"/>
                <w:sz w:val="21"/>
                <w:szCs w:val="21"/>
                <w:highlight w:val="none"/>
                <w:u w:val="single"/>
                <w:lang w:eastAsia="zh-CN"/>
              </w:rPr>
              <w:t>如中标人不具备相关专业设计资质，应当自行完成本项目主体的设计业务，并在保证整个建筑工程项目完整性的前提下，经</w:t>
            </w:r>
            <w:r>
              <w:rPr>
                <w:rFonts w:hint="eastAsia" w:ascii="宋体" w:hAnsi="宋体" w:eastAsia="宋体" w:cs="宋体"/>
                <w:color w:val="auto"/>
                <w:spacing w:val="-2"/>
                <w:sz w:val="21"/>
                <w:szCs w:val="21"/>
                <w:highlight w:val="none"/>
                <w:u w:val="single"/>
                <w:lang w:val="en-US" w:eastAsia="zh-CN"/>
              </w:rPr>
              <w:t>招标人</w:t>
            </w:r>
            <w:r>
              <w:rPr>
                <w:rFonts w:hint="eastAsia" w:ascii="宋体" w:hAnsi="宋体" w:eastAsia="宋体" w:cs="宋体"/>
                <w:color w:val="auto"/>
                <w:spacing w:val="-2"/>
                <w:sz w:val="21"/>
                <w:szCs w:val="21"/>
                <w:highlight w:val="none"/>
                <w:u w:val="single"/>
                <w:lang w:eastAsia="zh-CN"/>
              </w:rPr>
              <w:t>同意，将其他部分</w:t>
            </w:r>
            <w:r>
              <w:rPr>
                <w:rFonts w:hint="eastAsia" w:ascii="宋体" w:hAnsi="宋体" w:eastAsia="宋体" w:cs="宋体"/>
                <w:color w:val="auto"/>
                <w:spacing w:val="-2"/>
                <w:sz w:val="21"/>
                <w:szCs w:val="21"/>
                <w:highlight w:val="none"/>
                <w:u w:val="single"/>
                <w:lang w:val="en-US" w:eastAsia="zh-CN"/>
              </w:rPr>
              <w:t>非主体部分</w:t>
            </w:r>
            <w:r>
              <w:rPr>
                <w:rFonts w:hint="eastAsia" w:ascii="宋体" w:hAnsi="宋体" w:eastAsia="宋体" w:cs="宋体"/>
                <w:color w:val="auto"/>
                <w:spacing w:val="-2"/>
                <w:sz w:val="21"/>
                <w:szCs w:val="21"/>
                <w:highlight w:val="none"/>
                <w:u w:val="single"/>
                <w:lang w:eastAsia="zh-CN"/>
              </w:rPr>
              <w:t>专业设计业务依法分包给具备相应资质条件的分包单位。</w:t>
            </w:r>
          </w:p>
          <w:p w14:paraId="78FBB918">
            <w:pPr>
              <w:autoSpaceDE w:val="0"/>
              <w:autoSpaceDN w:val="0"/>
              <w:adjustRightInd w:val="0"/>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分包</w:t>
            </w:r>
            <w:r>
              <w:rPr>
                <w:rFonts w:hint="eastAsia" w:ascii="宋体" w:hAnsi="宋体" w:eastAsia="宋体" w:cs="宋体"/>
                <w:color w:val="auto"/>
                <w:spacing w:val="-2"/>
                <w:sz w:val="21"/>
                <w:szCs w:val="21"/>
                <w:highlight w:val="none"/>
                <w:lang w:eastAsia="zh-CN"/>
              </w:rPr>
              <w:t>金</w:t>
            </w:r>
            <w:r>
              <w:rPr>
                <w:rFonts w:hint="eastAsia" w:ascii="宋体" w:hAnsi="宋体" w:eastAsia="宋体" w:cs="宋体"/>
                <w:color w:val="auto"/>
                <w:sz w:val="21"/>
                <w:szCs w:val="21"/>
                <w:highlight w:val="none"/>
                <w:lang w:eastAsia="zh-CN"/>
              </w:rPr>
              <w:t>额</w:t>
            </w:r>
            <w:r>
              <w:rPr>
                <w:rFonts w:hint="eastAsia" w:ascii="宋体" w:hAnsi="宋体" w:eastAsia="宋体" w:cs="宋体"/>
                <w:color w:val="auto"/>
                <w:spacing w:val="-2"/>
                <w:sz w:val="21"/>
                <w:szCs w:val="21"/>
                <w:highlight w:val="none"/>
                <w:lang w:eastAsia="zh-CN"/>
              </w:rPr>
              <w:t>要</w:t>
            </w:r>
            <w:r>
              <w:rPr>
                <w:rFonts w:hint="eastAsia" w:ascii="宋体" w:hAnsi="宋体" w:eastAsia="宋体" w:cs="宋体"/>
                <w:color w:val="auto"/>
                <w:sz w:val="21"/>
                <w:szCs w:val="21"/>
                <w:highlight w:val="none"/>
                <w:lang w:eastAsia="zh-CN"/>
              </w:rPr>
              <w:t>求：/</w:t>
            </w:r>
          </w:p>
          <w:p w14:paraId="7406F114">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对分</w:t>
            </w:r>
            <w:r>
              <w:rPr>
                <w:rFonts w:hint="eastAsia" w:ascii="宋体" w:hAnsi="宋体" w:eastAsia="宋体" w:cs="宋体"/>
                <w:color w:val="auto"/>
                <w:spacing w:val="-2"/>
                <w:sz w:val="21"/>
                <w:szCs w:val="21"/>
                <w:highlight w:val="none"/>
                <w:lang w:eastAsia="zh-CN"/>
              </w:rPr>
              <w:t>包</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pacing w:val="-2"/>
                <w:sz w:val="21"/>
                <w:szCs w:val="21"/>
                <w:highlight w:val="none"/>
                <w:lang w:eastAsia="zh-CN"/>
              </w:rPr>
              <w:t>的</w:t>
            </w:r>
            <w:r>
              <w:rPr>
                <w:rFonts w:hint="eastAsia" w:ascii="宋体" w:hAnsi="宋体" w:eastAsia="宋体" w:cs="宋体"/>
                <w:color w:val="auto"/>
                <w:sz w:val="21"/>
                <w:szCs w:val="21"/>
                <w:highlight w:val="none"/>
                <w:lang w:eastAsia="zh-CN"/>
              </w:rPr>
              <w:t>资</w:t>
            </w:r>
            <w:r>
              <w:rPr>
                <w:rFonts w:hint="eastAsia" w:ascii="宋体" w:hAnsi="宋体" w:eastAsia="宋体" w:cs="宋体"/>
                <w:color w:val="auto"/>
                <w:spacing w:val="-2"/>
                <w:sz w:val="21"/>
                <w:szCs w:val="21"/>
                <w:highlight w:val="none"/>
                <w:lang w:eastAsia="zh-CN"/>
              </w:rPr>
              <w:t>质</w:t>
            </w:r>
            <w:r>
              <w:rPr>
                <w:rFonts w:hint="eastAsia" w:ascii="宋体" w:hAnsi="宋体" w:eastAsia="宋体" w:cs="宋体"/>
                <w:color w:val="auto"/>
                <w:sz w:val="21"/>
                <w:szCs w:val="21"/>
                <w:highlight w:val="none"/>
                <w:lang w:eastAsia="zh-CN"/>
              </w:rPr>
              <w:t>要</w:t>
            </w:r>
            <w:r>
              <w:rPr>
                <w:rFonts w:hint="eastAsia" w:ascii="宋体" w:hAnsi="宋体" w:eastAsia="宋体" w:cs="宋体"/>
                <w:color w:val="auto"/>
                <w:spacing w:val="-2"/>
                <w:sz w:val="21"/>
                <w:szCs w:val="21"/>
                <w:highlight w:val="none"/>
                <w:lang w:eastAsia="zh-CN"/>
              </w:rPr>
              <w:t>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eastAsia="zh-CN"/>
              </w:rPr>
              <w:t>按国家规定</w:t>
            </w:r>
            <w:r>
              <w:rPr>
                <w:rFonts w:hint="eastAsia" w:ascii="宋体" w:hAnsi="宋体" w:eastAsia="宋体" w:cs="宋体"/>
                <w:color w:val="auto"/>
                <w:sz w:val="21"/>
                <w:szCs w:val="21"/>
                <w:highlight w:val="none"/>
                <w:lang w:eastAsia="zh-CN"/>
              </w:rPr>
              <w:t>。</w:t>
            </w:r>
          </w:p>
        </w:tc>
      </w:tr>
      <w:tr w14:paraId="5501C566">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0D0ABAE2">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1.12.1</w:t>
            </w:r>
          </w:p>
        </w:tc>
        <w:tc>
          <w:tcPr>
            <w:tcW w:w="2142" w:type="dxa"/>
            <w:tcBorders>
              <w:top w:val="single" w:color="000000" w:sz="4" w:space="0"/>
              <w:left w:val="single" w:color="000000" w:sz="4" w:space="0"/>
              <w:bottom w:val="single" w:color="000000" w:sz="4" w:space="0"/>
              <w:right w:val="single" w:color="000000" w:sz="4" w:space="0"/>
            </w:tcBorders>
            <w:vAlign w:val="center"/>
          </w:tcPr>
          <w:p w14:paraId="355CAD47">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实质性要求和条件</w:t>
            </w:r>
          </w:p>
        </w:tc>
        <w:tc>
          <w:tcPr>
            <w:tcW w:w="7211" w:type="dxa"/>
            <w:tcBorders>
              <w:top w:val="single" w:color="000000" w:sz="4" w:space="0"/>
              <w:left w:val="single" w:color="000000" w:sz="4" w:space="0"/>
              <w:bottom w:val="single" w:color="000000" w:sz="4" w:space="0"/>
              <w:right w:val="single" w:color="000000" w:sz="4" w:space="0"/>
            </w:tcBorders>
            <w:vAlign w:val="center"/>
          </w:tcPr>
          <w:p w14:paraId="49406498">
            <w:pPr>
              <w:spacing w:line="300" w:lineRule="auto"/>
              <w:jc w:val="both"/>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p>
        </w:tc>
      </w:tr>
      <w:tr w14:paraId="44F580B7">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4D1E4303">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1.12.3</w:t>
            </w:r>
          </w:p>
        </w:tc>
        <w:tc>
          <w:tcPr>
            <w:tcW w:w="2142" w:type="dxa"/>
            <w:tcBorders>
              <w:top w:val="single" w:color="000000" w:sz="4" w:space="0"/>
              <w:left w:val="single" w:color="000000" w:sz="4" w:space="0"/>
              <w:bottom w:val="single" w:color="000000" w:sz="4" w:space="0"/>
              <w:right w:val="single" w:color="000000" w:sz="4" w:space="0"/>
            </w:tcBorders>
            <w:vAlign w:val="center"/>
          </w:tcPr>
          <w:p w14:paraId="59C9A3E0">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偏差</w:t>
            </w:r>
          </w:p>
        </w:tc>
        <w:tc>
          <w:tcPr>
            <w:tcW w:w="7211" w:type="dxa"/>
            <w:tcBorders>
              <w:top w:val="single" w:color="000000" w:sz="4" w:space="0"/>
              <w:left w:val="single" w:color="000000" w:sz="4" w:space="0"/>
              <w:bottom w:val="single" w:color="000000" w:sz="4" w:space="0"/>
              <w:right w:val="single" w:color="000000" w:sz="4" w:space="0"/>
            </w:tcBorders>
            <w:vAlign w:val="center"/>
          </w:tcPr>
          <w:p w14:paraId="23840873">
            <w:pPr>
              <w:autoSpaceDE w:val="0"/>
              <w:autoSpaceDN w:val="0"/>
              <w:adjustRightInd w:val="0"/>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■不允许</w:t>
            </w:r>
          </w:p>
          <w:p w14:paraId="6E3444DC">
            <w:pPr>
              <w:autoSpaceDE w:val="0"/>
              <w:autoSpaceDN w:val="0"/>
              <w:adjustRightInd w:val="0"/>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□允许，偏差范围：</w:t>
            </w:r>
          </w:p>
          <w:p w14:paraId="3F66C807">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偏差幅度：</w:t>
            </w:r>
          </w:p>
        </w:tc>
      </w:tr>
      <w:tr w14:paraId="5BEBC72F">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47049EAD">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2142" w:type="dxa"/>
            <w:tcBorders>
              <w:top w:val="single" w:color="000000" w:sz="4" w:space="0"/>
              <w:left w:val="single" w:color="000000" w:sz="4" w:space="0"/>
              <w:bottom w:val="single" w:color="000000" w:sz="4" w:space="0"/>
              <w:right w:val="single" w:color="000000" w:sz="4" w:space="0"/>
            </w:tcBorders>
            <w:vAlign w:val="center"/>
          </w:tcPr>
          <w:p w14:paraId="2C91EB8E">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构成招标文件的其他资料</w:t>
            </w:r>
          </w:p>
        </w:tc>
        <w:tc>
          <w:tcPr>
            <w:tcW w:w="7211" w:type="dxa"/>
            <w:tcBorders>
              <w:top w:val="single" w:color="000000" w:sz="4" w:space="0"/>
              <w:left w:val="single" w:color="000000" w:sz="4" w:space="0"/>
              <w:bottom w:val="single" w:color="000000" w:sz="4" w:space="0"/>
              <w:right w:val="single" w:color="000000" w:sz="4" w:space="0"/>
            </w:tcBorders>
            <w:vAlign w:val="center"/>
          </w:tcPr>
          <w:p w14:paraId="2D3EA60A">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r>
      <w:tr w14:paraId="508489FB">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right w:val="single" w:color="000000" w:sz="4" w:space="0"/>
            </w:tcBorders>
            <w:vAlign w:val="center"/>
          </w:tcPr>
          <w:p w14:paraId="7DBB86AF">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p>
        </w:tc>
        <w:tc>
          <w:tcPr>
            <w:tcW w:w="2142" w:type="dxa"/>
            <w:tcBorders>
              <w:top w:val="single" w:color="000000" w:sz="4" w:space="0"/>
              <w:left w:val="single" w:color="000000" w:sz="4" w:space="0"/>
              <w:right w:val="single" w:color="000000" w:sz="4" w:space="0"/>
            </w:tcBorders>
            <w:vAlign w:val="center"/>
          </w:tcPr>
          <w:p w14:paraId="5F6C1D58">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投标人要求澄清招标文件</w:t>
            </w:r>
          </w:p>
        </w:tc>
        <w:tc>
          <w:tcPr>
            <w:tcW w:w="7211" w:type="dxa"/>
            <w:tcBorders>
              <w:top w:val="single" w:color="000000" w:sz="4" w:space="0"/>
              <w:left w:val="single" w:color="000000" w:sz="4" w:space="0"/>
              <w:right w:val="single" w:color="000000" w:sz="4" w:space="0"/>
            </w:tcBorders>
            <w:vAlign w:val="center"/>
          </w:tcPr>
          <w:p w14:paraId="2472539E">
            <w:pPr>
              <w:spacing w:line="300" w:lineRule="auto"/>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时间：在提交投标文件截止时间18天前提出。</w:t>
            </w:r>
          </w:p>
          <w:p w14:paraId="781E2583">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single"/>
                <w:lang w:eastAsia="zh-CN"/>
              </w:rPr>
              <w:t>形式：投标人的疑问通过广州交易集团有限公司（广州公共资源交易中心）数字交易平台提交。按照广州交易集团有限公司（广州公共资源交易中心）数字交易平台关于全流程电子化项目的相关指南进行操作，详见：《房屋建筑和市政基础设施工程全流程电子化项目专章》。提问一律不得署名。</w:t>
            </w:r>
          </w:p>
        </w:tc>
      </w:tr>
      <w:tr w14:paraId="6E120F5F">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6259AF9B">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p>
        </w:tc>
        <w:tc>
          <w:tcPr>
            <w:tcW w:w="2142" w:type="dxa"/>
            <w:tcBorders>
              <w:top w:val="single" w:color="000000" w:sz="4" w:space="0"/>
              <w:left w:val="single" w:color="000000" w:sz="4" w:space="0"/>
              <w:bottom w:val="single" w:color="000000" w:sz="4" w:space="0"/>
              <w:right w:val="single" w:color="000000" w:sz="4" w:space="0"/>
            </w:tcBorders>
            <w:vAlign w:val="center"/>
          </w:tcPr>
          <w:p w14:paraId="1227EFB3">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招标文件澄清发出的形式</w:t>
            </w:r>
          </w:p>
        </w:tc>
        <w:tc>
          <w:tcPr>
            <w:tcW w:w="7211" w:type="dxa"/>
            <w:tcBorders>
              <w:top w:val="single" w:color="000000" w:sz="4" w:space="0"/>
              <w:left w:val="single" w:color="000000" w:sz="4" w:space="0"/>
              <w:bottom w:val="single" w:color="000000" w:sz="4" w:space="0"/>
              <w:right w:val="single" w:color="000000" w:sz="4" w:space="0"/>
            </w:tcBorders>
            <w:vAlign w:val="center"/>
          </w:tcPr>
          <w:p w14:paraId="623A85B2">
            <w:pPr>
              <w:spacing w:line="300" w:lineRule="auto"/>
              <w:jc w:val="both"/>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lang w:eastAsia="zh-CN"/>
              </w:rPr>
              <w:t>招标人应在递交投标文件截止时间15日前将招标文件澄清文件在广州交易集团有限公司（广州公共资源交易中心）网站“招标答疑”专区发布。不足15日的，招标人应当顺延投标文件的截止时间。</w:t>
            </w:r>
          </w:p>
        </w:tc>
      </w:tr>
      <w:tr w14:paraId="05040E87">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right w:val="single" w:color="000000" w:sz="4" w:space="0"/>
            </w:tcBorders>
            <w:vAlign w:val="center"/>
          </w:tcPr>
          <w:p w14:paraId="45DD2E44">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2.2.3</w:t>
            </w:r>
          </w:p>
        </w:tc>
        <w:tc>
          <w:tcPr>
            <w:tcW w:w="2142" w:type="dxa"/>
            <w:tcBorders>
              <w:top w:val="single" w:color="000000" w:sz="4" w:space="0"/>
              <w:left w:val="single" w:color="000000" w:sz="4" w:space="0"/>
              <w:bottom w:val="single" w:color="auto" w:sz="4" w:space="0"/>
              <w:right w:val="single" w:color="000000" w:sz="4" w:space="0"/>
            </w:tcBorders>
            <w:vAlign w:val="center"/>
          </w:tcPr>
          <w:p w14:paraId="7D9E512B">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投标人确认收到招标文件澄清</w:t>
            </w:r>
          </w:p>
        </w:tc>
        <w:tc>
          <w:tcPr>
            <w:tcW w:w="7211" w:type="dxa"/>
            <w:tcBorders>
              <w:top w:val="single" w:color="000000" w:sz="4" w:space="0"/>
              <w:left w:val="single" w:color="000000" w:sz="4" w:space="0"/>
              <w:bottom w:val="single" w:color="auto" w:sz="4" w:space="0"/>
              <w:right w:val="single" w:color="000000" w:sz="4" w:space="0"/>
            </w:tcBorders>
            <w:vAlign w:val="center"/>
          </w:tcPr>
          <w:p w14:paraId="3E2C7A9A">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single"/>
                <w:lang w:eastAsia="zh-CN"/>
              </w:rPr>
              <w:t>招标文件的澄清或修改在广州交易集团有限公司（广州公共资源交易中心）网站答疑专区网上公开发布，发出即视作收到，以广州交易集团有限公司（广州公共资源交易中心）数字交易平台网站发布时间作为送达时间。无需投标人确认。投标人应自行关注，招标人不再一一通知。招标文件的澄清或修改内容作为招标文件的组成部分，具有约束作用。</w:t>
            </w:r>
          </w:p>
        </w:tc>
      </w:tr>
      <w:tr w14:paraId="2C5BFAC8">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auto" w:sz="4" w:space="0"/>
            </w:tcBorders>
            <w:vAlign w:val="center"/>
          </w:tcPr>
          <w:p w14:paraId="59D1F0D0">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2.3.1</w:t>
            </w:r>
          </w:p>
        </w:tc>
        <w:tc>
          <w:tcPr>
            <w:tcW w:w="2142" w:type="dxa"/>
            <w:tcBorders>
              <w:top w:val="single" w:color="auto" w:sz="4" w:space="0"/>
              <w:left w:val="single" w:color="auto" w:sz="4" w:space="0"/>
              <w:bottom w:val="single" w:color="auto" w:sz="4" w:space="0"/>
              <w:right w:val="single" w:color="auto" w:sz="4" w:space="0"/>
            </w:tcBorders>
            <w:vAlign w:val="center"/>
          </w:tcPr>
          <w:p w14:paraId="448ED1DD">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招标文件修改发出的形式</w:t>
            </w:r>
          </w:p>
        </w:tc>
        <w:tc>
          <w:tcPr>
            <w:tcW w:w="7211" w:type="dxa"/>
            <w:tcBorders>
              <w:top w:val="single" w:color="auto" w:sz="4" w:space="0"/>
              <w:left w:val="single" w:color="auto" w:sz="4" w:space="0"/>
              <w:bottom w:val="single" w:color="auto" w:sz="4" w:space="0"/>
              <w:right w:val="single" w:color="auto" w:sz="4" w:space="0"/>
            </w:tcBorders>
            <w:vAlign w:val="center"/>
          </w:tcPr>
          <w:p w14:paraId="2905DB39">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以补充公告或项目答疑澄清的方式在广州交易集团有限公司（广州公共资源交易中心）网站发布。</w:t>
            </w:r>
          </w:p>
        </w:tc>
      </w:tr>
      <w:tr w14:paraId="44580BF7">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auto" w:sz="4" w:space="0"/>
            </w:tcBorders>
            <w:vAlign w:val="center"/>
          </w:tcPr>
          <w:p w14:paraId="6C13859F">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2.3.2</w:t>
            </w:r>
          </w:p>
        </w:tc>
        <w:tc>
          <w:tcPr>
            <w:tcW w:w="2142" w:type="dxa"/>
            <w:tcBorders>
              <w:top w:val="single" w:color="auto" w:sz="4" w:space="0"/>
              <w:left w:val="single" w:color="auto" w:sz="4" w:space="0"/>
              <w:bottom w:val="single" w:color="auto" w:sz="4" w:space="0"/>
              <w:right w:val="single" w:color="auto" w:sz="4" w:space="0"/>
            </w:tcBorders>
            <w:vAlign w:val="center"/>
          </w:tcPr>
          <w:p w14:paraId="275225C8">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投标人确认收到招标文件修改</w:t>
            </w:r>
          </w:p>
        </w:tc>
        <w:tc>
          <w:tcPr>
            <w:tcW w:w="7211" w:type="dxa"/>
            <w:tcBorders>
              <w:top w:val="single" w:color="auto" w:sz="4" w:space="0"/>
              <w:left w:val="single" w:color="auto" w:sz="4" w:space="0"/>
              <w:bottom w:val="single" w:color="auto" w:sz="4" w:space="0"/>
              <w:right w:val="single" w:color="auto" w:sz="4" w:space="0"/>
            </w:tcBorders>
            <w:vAlign w:val="center"/>
          </w:tcPr>
          <w:p w14:paraId="058116E2">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招标文件的澄清或修改在广州交易集团有限公司（广州公共资源交易中心）网站答疑专区网上公开发布，发出即视作收到，以广州交易集团有限公司（广州公共资源交易中心）数字交易平台网站发布时间作为送达时间。无需投标人确认。投标人应自行关注，招标人不再一一通知。招标文件的澄清或修改内容作为招标文件的组成部分，具有约束作用。</w:t>
            </w:r>
          </w:p>
        </w:tc>
      </w:tr>
      <w:tr w14:paraId="07640B12">
        <w:tblPrEx>
          <w:tblCellMar>
            <w:top w:w="0" w:type="dxa"/>
            <w:left w:w="0" w:type="dxa"/>
            <w:bottom w:w="0" w:type="dxa"/>
            <w:right w:w="0" w:type="dxa"/>
          </w:tblCellMar>
        </w:tblPrEx>
        <w:trPr>
          <w:trHeight w:val="454" w:hRule="atLeast"/>
          <w:jc w:val="center"/>
        </w:trPr>
        <w:tc>
          <w:tcPr>
            <w:tcW w:w="995" w:type="dxa"/>
            <w:tcBorders>
              <w:left w:val="single" w:color="000000" w:sz="4" w:space="0"/>
              <w:bottom w:val="single" w:color="000000" w:sz="4" w:space="0"/>
              <w:right w:val="single" w:color="000000" w:sz="4" w:space="0"/>
            </w:tcBorders>
            <w:vAlign w:val="center"/>
          </w:tcPr>
          <w:p w14:paraId="7FA53232">
            <w:pPr>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3.1.1</w:t>
            </w:r>
          </w:p>
        </w:tc>
        <w:tc>
          <w:tcPr>
            <w:tcW w:w="2142" w:type="dxa"/>
            <w:tcBorders>
              <w:left w:val="single" w:color="000000" w:sz="4" w:space="0"/>
              <w:bottom w:val="single" w:color="000000" w:sz="4" w:space="0"/>
              <w:right w:val="single" w:color="000000" w:sz="4" w:space="0"/>
            </w:tcBorders>
            <w:vAlign w:val="center"/>
          </w:tcPr>
          <w:p w14:paraId="5C4D15A3">
            <w:pPr>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构成投标文件的其他资料</w:t>
            </w:r>
          </w:p>
        </w:tc>
        <w:tc>
          <w:tcPr>
            <w:tcW w:w="7211" w:type="dxa"/>
            <w:tcBorders>
              <w:top w:val="single" w:color="000000" w:sz="4" w:space="0"/>
              <w:left w:val="single" w:color="000000" w:sz="4" w:space="0"/>
              <w:bottom w:val="single" w:color="000000" w:sz="4" w:space="0"/>
              <w:right w:val="single" w:color="000000" w:sz="4" w:space="0"/>
            </w:tcBorders>
            <w:vAlign w:val="center"/>
          </w:tcPr>
          <w:p w14:paraId="312568AB">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（1）按本招标文件规定需提交的其它所有资料；</w:t>
            </w:r>
          </w:p>
          <w:p w14:paraId="6DFDBF7A">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（2）投标人认为需要提交的其他资料。</w:t>
            </w:r>
          </w:p>
          <w:p w14:paraId="389D6254">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注：①投标人提交的投标文件必须按照招标文件所提供的投标文件格式的要求如实填写（表格可以按同样格式扩展、缩小，内容项目不能变化）。</w:t>
            </w:r>
          </w:p>
          <w:p w14:paraId="54AF04A6">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②投标文件应做到清晰、完整，文本、图纸文件大小应满足交易平台的要求。除非另有规定，否则投标文件的计量单位宜采用国际标准计量单位，尺寸齐全、准确，所有文字说明和文字标注以中文为准，报价均为人民币，时间均为北京时间。</w:t>
            </w:r>
          </w:p>
          <w:p w14:paraId="4C1D70B9">
            <w:pPr>
              <w:spacing w:line="300" w:lineRule="auto"/>
              <w:rPr>
                <w:rFonts w:ascii="宋体" w:hAnsi="宋体" w:eastAsia="宋体" w:cs="宋体"/>
                <w:b/>
                <w:color w:val="auto"/>
                <w:sz w:val="21"/>
                <w:szCs w:val="21"/>
                <w:highlight w:val="none"/>
                <w:lang w:eastAsia="zh-CN"/>
              </w:rPr>
            </w:pPr>
            <w:r>
              <w:rPr>
                <w:rFonts w:hint="eastAsia" w:ascii="宋体" w:hAnsi="宋体" w:eastAsia="宋体" w:cs="宋体"/>
                <w:color w:val="auto"/>
                <w:sz w:val="21"/>
                <w:szCs w:val="21"/>
                <w:highlight w:val="none"/>
                <w:lang w:eastAsia="zh-CN"/>
              </w:rPr>
              <w:t>③每个投标人报送一个投标方案，投标文件应达到招标文件规定的深度，满足评审需要。不响应招标文件要求的投标文件可能被拒绝，责任由投标人自负。</w:t>
            </w:r>
          </w:p>
        </w:tc>
      </w:tr>
      <w:tr w14:paraId="3CB380D8">
        <w:tblPrEx>
          <w:tblCellMar>
            <w:top w:w="0" w:type="dxa"/>
            <w:left w:w="0" w:type="dxa"/>
            <w:bottom w:w="0" w:type="dxa"/>
            <w:right w:w="0" w:type="dxa"/>
          </w:tblCellMar>
        </w:tblPrEx>
        <w:trPr>
          <w:trHeight w:val="454" w:hRule="atLeast"/>
          <w:jc w:val="center"/>
        </w:trPr>
        <w:tc>
          <w:tcPr>
            <w:tcW w:w="995" w:type="dxa"/>
            <w:tcBorders>
              <w:left w:val="single" w:color="000000" w:sz="4" w:space="0"/>
              <w:bottom w:val="single" w:color="000000" w:sz="4" w:space="0"/>
              <w:right w:val="single" w:color="000000" w:sz="4" w:space="0"/>
            </w:tcBorders>
            <w:vAlign w:val="center"/>
          </w:tcPr>
          <w:p w14:paraId="326AFC2E">
            <w:pPr>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3.1.5</w:t>
            </w:r>
          </w:p>
          <w:p w14:paraId="1DB8016D">
            <w:pPr>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（新增）</w:t>
            </w:r>
          </w:p>
        </w:tc>
        <w:tc>
          <w:tcPr>
            <w:tcW w:w="2142" w:type="dxa"/>
            <w:tcBorders>
              <w:left w:val="single" w:color="000000" w:sz="4" w:space="0"/>
              <w:bottom w:val="single" w:color="000000" w:sz="4" w:space="0"/>
              <w:right w:val="single" w:color="000000" w:sz="4" w:space="0"/>
            </w:tcBorders>
            <w:vAlign w:val="center"/>
          </w:tcPr>
          <w:p w14:paraId="3706F56D">
            <w:pPr>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保密要求</w:t>
            </w:r>
          </w:p>
        </w:tc>
        <w:tc>
          <w:tcPr>
            <w:tcW w:w="7211" w:type="dxa"/>
            <w:tcBorders>
              <w:top w:val="single" w:color="000000" w:sz="4" w:space="0"/>
              <w:left w:val="single" w:color="000000" w:sz="4" w:space="0"/>
              <w:bottom w:val="single" w:color="000000" w:sz="4" w:space="0"/>
              <w:right w:val="single" w:color="000000" w:sz="4" w:space="0"/>
            </w:tcBorders>
            <w:vAlign w:val="center"/>
          </w:tcPr>
          <w:p w14:paraId="167D4AF1">
            <w:pPr>
              <w:spacing w:line="300" w:lineRule="auto"/>
              <w:rPr>
                <w:rFonts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投标人不得在技术文件</w:t>
            </w:r>
            <w:r>
              <w:rPr>
                <w:rFonts w:hint="eastAsia" w:ascii="宋体" w:hAnsi="宋体" w:eastAsia="宋体" w:cs="宋体"/>
                <w:b/>
                <w:color w:val="auto"/>
                <w:spacing w:val="-2"/>
                <w:sz w:val="21"/>
                <w:szCs w:val="21"/>
                <w:highlight w:val="none"/>
                <w:lang w:eastAsia="zh-CN"/>
              </w:rPr>
              <w:t>（含设计方案部分）</w:t>
            </w:r>
            <w:r>
              <w:rPr>
                <w:rFonts w:hint="eastAsia" w:ascii="宋体" w:hAnsi="宋体" w:eastAsia="宋体" w:cs="宋体"/>
                <w:b/>
                <w:color w:val="auto"/>
                <w:sz w:val="21"/>
                <w:szCs w:val="21"/>
                <w:highlight w:val="none"/>
                <w:lang w:eastAsia="zh-CN"/>
              </w:rPr>
              <w:t>上标注或做任何可以辨认投标人及专业技术人员身份的名称、印章、商标、图形等记认符号。</w:t>
            </w:r>
          </w:p>
        </w:tc>
      </w:tr>
      <w:tr w14:paraId="0D82BE60">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5B3071F7">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3.2.1</w:t>
            </w:r>
          </w:p>
        </w:tc>
        <w:tc>
          <w:tcPr>
            <w:tcW w:w="2142" w:type="dxa"/>
            <w:tcBorders>
              <w:top w:val="single" w:color="000000" w:sz="4" w:space="0"/>
              <w:left w:val="single" w:color="000000" w:sz="4" w:space="0"/>
              <w:bottom w:val="single" w:color="000000" w:sz="4" w:space="0"/>
              <w:right w:val="single" w:color="000000" w:sz="4" w:space="0"/>
            </w:tcBorders>
            <w:vAlign w:val="center"/>
          </w:tcPr>
          <w:p w14:paraId="3DE7FB2A">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增值税税金的计算方法</w:t>
            </w:r>
          </w:p>
        </w:tc>
        <w:tc>
          <w:tcPr>
            <w:tcW w:w="7211" w:type="dxa"/>
            <w:tcBorders>
              <w:top w:val="single" w:color="000000" w:sz="4" w:space="0"/>
              <w:left w:val="single" w:color="000000" w:sz="4" w:space="0"/>
              <w:bottom w:val="single" w:color="000000" w:sz="4" w:space="0"/>
              <w:right w:val="single" w:color="000000" w:sz="4" w:space="0"/>
            </w:tcBorders>
            <w:vAlign w:val="center"/>
          </w:tcPr>
          <w:p w14:paraId="382A29B0">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r>
      <w:tr w14:paraId="3A27EAF6">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214EBC97">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3.2.3</w:t>
            </w:r>
          </w:p>
        </w:tc>
        <w:tc>
          <w:tcPr>
            <w:tcW w:w="2142" w:type="dxa"/>
            <w:tcBorders>
              <w:top w:val="single" w:color="000000" w:sz="4" w:space="0"/>
              <w:left w:val="single" w:color="000000" w:sz="4" w:space="0"/>
              <w:bottom w:val="single" w:color="000000" w:sz="4" w:space="0"/>
              <w:right w:val="single" w:color="000000" w:sz="4" w:space="0"/>
            </w:tcBorders>
            <w:vAlign w:val="center"/>
          </w:tcPr>
          <w:p w14:paraId="091C71F8">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报价方式</w:t>
            </w:r>
          </w:p>
        </w:tc>
        <w:tc>
          <w:tcPr>
            <w:tcW w:w="7211" w:type="dxa"/>
            <w:tcBorders>
              <w:top w:val="single" w:color="000000" w:sz="4" w:space="0"/>
              <w:left w:val="single" w:color="000000" w:sz="4" w:space="0"/>
              <w:bottom w:val="single" w:color="000000" w:sz="4" w:space="0"/>
              <w:right w:val="single" w:color="000000" w:sz="4" w:space="0"/>
            </w:tcBorders>
            <w:vAlign w:val="center"/>
          </w:tcPr>
          <w:p w14:paraId="362F669B">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按招标文件第六章投标文件格式进行报价</w:t>
            </w:r>
            <w:r>
              <w:rPr>
                <w:rFonts w:hint="eastAsia" w:ascii="宋体" w:hAnsi="宋体" w:eastAsia="宋体" w:cs="宋体"/>
                <w:color w:val="auto"/>
                <w:sz w:val="21"/>
                <w:szCs w:val="21"/>
                <w:highlight w:val="none"/>
                <w:u w:val="single"/>
                <w:lang w:eastAsia="zh-CN"/>
              </w:rPr>
              <w:t>，并按招标文件有关要求进行盖章上传。</w:t>
            </w:r>
            <w:r>
              <w:rPr>
                <w:rFonts w:hint="eastAsia" w:ascii="宋体" w:hAnsi="宋体" w:eastAsia="宋体" w:cs="宋体"/>
                <w:color w:val="auto"/>
                <w:sz w:val="21"/>
                <w:szCs w:val="21"/>
                <w:highlight w:val="none"/>
                <w:lang w:eastAsia="zh-CN"/>
              </w:rPr>
              <w:t>投标人根据自身企业实力自行报价。设计费报价为投标人完成本标段工程所有工作及履行合同的成本、利润、税金及风险等。</w:t>
            </w:r>
          </w:p>
        </w:tc>
      </w:tr>
      <w:tr w14:paraId="5244FD14">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7892EA71">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3.2.4</w:t>
            </w:r>
          </w:p>
        </w:tc>
        <w:tc>
          <w:tcPr>
            <w:tcW w:w="2142" w:type="dxa"/>
            <w:tcBorders>
              <w:top w:val="single" w:color="000000" w:sz="4" w:space="0"/>
              <w:left w:val="single" w:color="000000" w:sz="4" w:space="0"/>
              <w:bottom w:val="single" w:color="000000" w:sz="4" w:space="0"/>
              <w:right w:val="single" w:color="000000" w:sz="4" w:space="0"/>
            </w:tcBorders>
            <w:vAlign w:val="center"/>
          </w:tcPr>
          <w:p w14:paraId="0959A639">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最高投标限价</w:t>
            </w:r>
          </w:p>
        </w:tc>
        <w:tc>
          <w:tcPr>
            <w:tcW w:w="7211" w:type="dxa"/>
            <w:tcBorders>
              <w:top w:val="single" w:color="000000" w:sz="4" w:space="0"/>
              <w:left w:val="single" w:color="000000" w:sz="4" w:space="0"/>
              <w:bottom w:val="single" w:color="000000" w:sz="4" w:space="0"/>
              <w:right w:val="single" w:color="000000" w:sz="4" w:space="0"/>
            </w:tcBorders>
            <w:vAlign w:val="center"/>
          </w:tcPr>
          <w:p w14:paraId="2DB415C0">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□无</w:t>
            </w:r>
          </w:p>
          <w:p w14:paraId="694B238B">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■有，</w:t>
            </w:r>
            <w:r>
              <w:rPr>
                <w:rFonts w:hint="eastAsia" w:ascii="宋体" w:hAnsi="宋体" w:eastAsia="宋体" w:cs="宋体"/>
                <w:color w:val="auto"/>
                <w:sz w:val="21"/>
                <w:szCs w:val="21"/>
                <w:highlight w:val="none"/>
                <w:u w:val="single"/>
                <w:lang w:eastAsia="zh-CN"/>
              </w:rPr>
              <w:t>最高投标限价总价为</w:t>
            </w:r>
            <w:r>
              <w:rPr>
                <w:rFonts w:hint="eastAsia" w:ascii="宋体" w:hAnsi="宋体" w:eastAsia="宋体" w:cs="宋体"/>
                <w:b/>
                <w:bCs/>
                <w:color w:val="auto"/>
                <w:sz w:val="21"/>
                <w:szCs w:val="21"/>
                <w:highlight w:val="none"/>
                <w:u w:val="single"/>
                <w:lang w:val="en-US" w:eastAsia="zh-CN"/>
              </w:rPr>
              <w:t>128.00</w:t>
            </w:r>
            <w:r>
              <w:rPr>
                <w:rFonts w:hint="eastAsia" w:ascii="宋体" w:hAnsi="宋体" w:eastAsia="宋体" w:cs="宋体"/>
                <w:b/>
                <w:bCs/>
                <w:color w:val="auto"/>
                <w:sz w:val="21"/>
                <w:szCs w:val="21"/>
                <w:highlight w:val="none"/>
                <w:u w:val="single"/>
                <w:lang w:eastAsia="zh-CN"/>
              </w:rPr>
              <w:t>万元</w:t>
            </w:r>
            <w:r>
              <w:rPr>
                <w:rFonts w:hint="eastAsia" w:ascii="宋体" w:hAnsi="宋体" w:eastAsia="宋体" w:cs="宋体"/>
                <w:color w:val="auto"/>
                <w:sz w:val="21"/>
                <w:szCs w:val="21"/>
                <w:highlight w:val="none"/>
                <w:u w:val="single"/>
                <w:lang w:eastAsia="zh-CN"/>
              </w:rPr>
              <w:t>，投标报价不得高于最高投标限价总价，否则由评标委员作废标处理。</w:t>
            </w:r>
          </w:p>
        </w:tc>
      </w:tr>
      <w:tr w14:paraId="105E758C">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577A6A3E">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3.2.5</w:t>
            </w:r>
          </w:p>
        </w:tc>
        <w:tc>
          <w:tcPr>
            <w:tcW w:w="2142" w:type="dxa"/>
            <w:tcBorders>
              <w:top w:val="single" w:color="000000" w:sz="4" w:space="0"/>
              <w:left w:val="single" w:color="000000" w:sz="4" w:space="0"/>
              <w:bottom w:val="single" w:color="000000" w:sz="4" w:space="0"/>
              <w:right w:val="single" w:color="000000" w:sz="4" w:space="0"/>
            </w:tcBorders>
            <w:vAlign w:val="center"/>
          </w:tcPr>
          <w:p w14:paraId="38F220F4">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投标报价的其他要求</w:t>
            </w:r>
          </w:p>
        </w:tc>
        <w:tc>
          <w:tcPr>
            <w:tcW w:w="7211" w:type="dxa"/>
            <w:tcBorders>
              <w:top w:val="single" w:color="000000" w:sz="4" w:space="0"/>
              <w:left w:val="single" w:color="000000" w:sz="4" w:space="0"/>
              <w:bottom w:val="single" w:color="000000" w:sz="4" w:space="0"/>
              <w:right w:val="single" w:color="000000" w:sz="4" w:space="0"/>
            </w:tcBorders>
            <w:vAlign w:val="center"/>
          </w:tcPr>
          <w:p w14:paraId="1940614F">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single"/>
                <w:lang w:eastAsia="zh-CN"/>
              </w:rPr>
              <w:t>投标人必须详细审阅招标文件,充分考虑职责和义务,全面地理解招标文件对投标报价的要求,并按招标人提出的条件及内容进行报价。</w:t>
            </w:r>
          </w:p>
        </w:tc>
      </w:tr>
      <w:tr w14:paraId="65A88182">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582FC024">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3.3.1</w:t>
            </w:r>
          </w:p>
        </w:tc>
        <w:tc>
          <w:tcPr>
            <w:tcW w:w="2142" w:type="dxa"/>
            <w:tcBorders>
              <w:top w:val="single" w:color="000000" w:sz="4" w:space="0"/>
              <w:left w:val="single" w:color="000000" w:sz="4" w:space="0"/>
              <w:bottom w:val="single" w:color="000000" w:sz="4" w:space="0"/>
              <w:right w:val="single" w:color="000000" w:sz="4" w:space="0"/>
            </w:tcBorders>
            <w:vAlign w:val="center"/>
          </w:tcPr>
          <w:p w14:paraId="1B0C868D">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投标有效期</w:t>
            </w:r>
          </w:p>
        </w:tc>
        <w:tc>
          <w:tcPr>
            <w:tcW w:w="7211" w:type="dxa"/>
            <w:tcBorders>
              <w:top w:val="single" w:color="000000" w:sz="4" w:space="0"/>
              <w:left w:val="single" w:color="000000" w:sz="4" w:space="0"/>
              <w:bottom w:val="single" w:color="000000" w:sz="4" w:space="0"/>
              <w:right w:val="single" w:color="000000" w:sz="4" w:space="0"/>
            </w:tcBorders>
            <w:vAlign w:val="center"/>
          </w:tcPr>
          <w:p w14:paraId="7C8D3006">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90日历天（从提交投标截止之日起计算。如出现异议或投诉，则投标有效期自动延长至异议或投诉处理结束）</w:t>
            </w:r>
          </w:p>
        </w:tc>
      </w:tr>
      <w:tr w14:paraId="5808E2F7">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0CB75472">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3.4.1</w:t>
            </w:r>
          </w:p>
        </w:tc>
        <w:tc>
          <w:tcPr>
            <w:tcW w:w="2142" w:type="dxa"/>
            <w:tcBorders>
              <w:top w:val="single" w:color="000000" w:sz="4" w:space="0"/>
              <w:left w:val="single" w:color="000000" w:sz="4" w:space="0"/>
              <w:bottom w:val="single" w:color="000000" w:sz="4" w:space="0"/>
              <w:right w:val="single" w:color="000000" w:sz="4" w:space="0"/>
            </w:tcBorders>
            <w:vAlign w:val="center"/>
          </w:tcPr>
          <w:p w14:paraId="14D2CACD">
            <w:pPr>
              <w:pStyle w:val="43"/>
              <w:spacing w:line="30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投标保证金</w:t>
            </w:r>
          </w:p>
        </w:tc>
        <w:tc>
          <w:tcPr>
            <w:tcW w:w="7211" w:type="dxa"/>
            <w:tcBorders>
              <w:top w:val="single" w:color="000000" w:sz="4" w:space="0"/>
              <w:left w:val="single" w:color="000000" w:sz="4" w:space="0"/>
              <w:bottom w:val="single" w:color="000000" w:sz="4" w:space="0"/>
              <w:right w:val="single" w:color="000000" w:sz="4" w:space="0"/>
            </w:tcBorders>
            <w:vAlign w:val="center"/>
          </w:tcPr>
          <w:p w14:paraId="35265783">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是否要求投标人递交投标保证金：</w:t>
            </w:r>
          </w:p>
          <w:p w14:paraId="35C7240A">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Cs w:val="21"/>
                <w:highlight w:val="none"/>
                <w:lang w:eastAsia="zh-CN"/>
              </w:rPr>
              <w:t>■不要求。</w:t>
            </w:r>
          </w:p>
          <w:p w14:paraId="0B95CE09">
            <w:pPr>
              <w:spacing w:line="300" w:lineRule="auto"/>
              <w:rPr>
                <w:rFonts w:ascii="宋体" w:hAnsi="宋体" w:eastAsia="宋体" w:cs="宋体"/>
                <w:strike/>
                <w:color w:val="auto"/>
                <w:szCs w:val="21"/>
                <w:highlight w:val="none"/>
                <w:u w:val="single"/>
                <w:lang w:eastAsia="zh-CN"/>
              </w:rPr>
            </w:pPr>
            <w:r>
              <w:rPr>
                <w:rFonts w:hint="eastAsia" w:ascii="宋体" w:hAnsi="宋体" w:eastAsia="宋体" w:cs="宋体"/>
                <w:strike/>
                <w:color w:val="auto"/>
                <w:szCs w:val="21"/>
                <w:highlight w:val="none"/>
                <w:lang w:eastAsia="zh-CN"/>
              </w:rPr>
              <w:t>□要求：</w:t>
            </w:r>
          </w:p>
          <w:p w14:paraId="7A0EEA8E">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1、投标经济补偿按招标公告规定支付。</w:t>
            </w:r>
          </w:p>
          <w:p w14:paraId="7D89EBD8">
            <w:pPr>
              <w:pStyle w:val="43"/>
              <w:spacing w:line="300" w:lineRule="auto"/>
              <w:rPr>
                <w:rFonts w:ascii="宋体" w:hAnsi="宋体" w:eastAsia="宋体" w:cs="宋体"/>
                <w:strike/>
                <w:color w:val="auto"/>
                <w:sz w:val="21"/>
                <w:szCs w:val="21"/>
                <w:highlight w:val="none"/>
                <w:lang w:eastAsia="zh-CN"/>
              </w:rPr>
            </w:pPr>
            <w:r>
              <w:rPr>
                <w:rFonts w:hint="eastAsia" w:ascii="宋体" w:hAnsi="宋体" w:eastAsia="宋体" w:cs="宋体"/>
                <w:strike/>
                <w:color w:val="auto"/>
                <w:sz w:val="21"/>
                <w:szCs w:val="21"/>
                <w:highlight w:val="none"/>
                <w:lang w:eastAsia="zh-CN"/>
              </w:rPr>
              <w:t>2、投标人需要提交投标保证金，投标保证金的形式：</w:t>
            </w:r>
          </w:p>
          <w:p w14:paraId="07195F69">
            <w:pPr>
              <w:pStyle w:val="43"/>
              <w:spacing w:line="300" w:lineRule="auto"/>
              <w:rPr>
                <w:rFonts w:ascii="宋体" w:hAnsi="宋体" w:eastAsia="宋体" w:cs="宋体"/>
                <w:strike/>
                <w:color w:val="auto"/>
                <w:sz w:val="21"/>
                <w:szCs w:val="21"/>
                <w:highlight w:val="none"/>
                <w:lang w:eastAsia="zh-CN"/>
              </w:rPr>
            </w:pPr>
            <w:r>
              <w:rPr>
                <w:rFonts w:hint="eastAsia" w:ascii="宋体" w:hAnsi="宋体" w:eastAsia="宋体" w:cs="宋体"/>
                <w:strike/>
                <w:color w:val="auto"/>
                <w:sz w:val="21"/>
                <w:szCs w:val="21"/>
                <w:highlight w:val="none"/>
                <w:lang w:eastAsia="zh-CN"/>
              </w:rPr>
              <w:t>投标保证金的金额：</w:t>
            </w:r>
            <w:r>
              <w:rPr>
                <w:rFonts w:hint="eastAsia" w:ascii="宋体" w:hAnsi="宋体" w:eastAsia="宋体" w:cs="宋体"/>
                <w:b/>
                <w:strike/>
                <w:color w:val="auto"/>
                <w:sz w:val="21"/>
                <w:szCs w:val="21"/>
                <w:highlight w:val="none"/>
                <w:lang w:eastAsia="zh-CN"/>
              </w:rPr>
              <w:t>/万元</w:t>
            </w:r>
            <w:r>
              <w:rPr>
                <w:rFonts w:hint="eastAsia" w:ascii="宋体" w:hAnsi="宋体" w:eastAsia="宋体" w:cs="宋体"/>
                <w:strike/>
                <w:color w:val="auto"/>
                <w:sz w:val="21"/>
                <w:szCs w:val="21"/>
                <w:highlight w:val="none"/>
                <w:lang w:eastAsia="zh-CN"/>
              </w:rPr>
              <w:t xml:space="preserve"> </w:t>
            </w:r>
          </w:p>
          <w:p w14:paraId="7408331C">
            <w:pPr>
              <w:pStyle w:val="43"/>
              <w:spacing w:line="300" w:lineRule="auto"/>
              <w:rPr>
                <w:rFonts w:ascii="宋体" w:hAnsi="宋体" w:eastAsia="宋体" w:cs="宋体"/>
                <w:strike/>
                <w:color w:val="auto"/>
                <w:sz w:val="21"/>
                <w:szCs w:val="21"/>
                <w:highlight w:val="none"/>
                <w:lang w:eastAsia="zh-CN"/>
              </w:rPr>
            </w:pPr>
            <w:r>
              <w:rPr>
                <w:rFonts w:hint="eastAsia" w:ascii="宋体" w:hAnsi="宋体" w:eastAsia="宋体" w:cs="宋体"/>
                <w:strike/>
                <w:color w:val="auto"/>
                <w:sz w:val="21"/>
                <w:szCs w:val="21"/>
                <w:highlight w:val="none"/>
                <w:lang w:eastAsia="zh-CN"/>
              </w:rPr>
              <w:t>投标保证金可采用现金、支票、投标保函、投标保证保险、专业工程担保公司担保的形式，须在递交投标文件截止时间前完成缴纳。</w:t>
            </w:r>
          </w:p>
          <w:p w14:paraId="4A020C56">
            <w:pPr>
              <w:pStyle w:val="43"/>
              <w:spacing w:line="300" w:lineRule="auto"/>
              <w:rPr>
                <w:rFonts w:ascii="宋体" w:hAnsi="宋体" w:eastAsia="宋体" w:cs="宋体"/>
                <w:strike/>
                <w:color w:val="auto"/>
                <w:sz w:val="21"/>
                <w:szCs w:val="21"/>
                <w:highlight w:val="none"/>
                <w:lang w:eastAsia="zh-CN"/>
              </w:rPr>
            </w:pPr>
            <w:r>
              <w:rPr>
                <w:rFonts w:hint="eastAsia" w:ascii="宋体" w:hAnsi="宋体" w:eastAsia="宋体" w:cs="宋体"/>
                <w:strike/>
                <w:color w:val="auto"/>
                <w:sz w:val="21"/>
                <w:szCs w:val="21"/>
                <w:highlight w:val="none"/>
                <w:lang w:eastAsia="zh-CN"/>
              </w:rPr>
              <w:t>（1）如采用现金、支票或汇票形式提交的，投标保证金从投标人基本账户递交，由代收。具体操作要求详见广州交易集团有限公司（广州公共资源交易中心）有关指引，递交事宜请自行咨询交易中心；请各投标人在投标文件递交截止时间前按上述金额递交至广州交易集团有限公司（广州公共资源交易中心），到账情况以开标时广州交易集团有限公司（广州公共资源交易中心）数据库查询的信息为准。</w:t>
            </w:r>
          </w:p>
          <w:p w14:paraId="47750D78">
            <w:pPr>
              <w:pStyle w:val="43"/>
              <w:spacing w:line="300" w:lineRule="auto"/>
              <w:rPr>
                <w:rFonts w:ascii="宋体" w:hAnsi="宋体" w:eastAsia="宋体" w:cs="宋体"/>
                <w:color w:val="auto"/>
                <w:szCs w:val="21"/>
                <w:highlight w:val="none"/>
                <w:lang w:eastAsia="zh-CN"/>
              </w:rPr>
            </w:pPr>
            <w:r>
              <w:rPr>
                <w:rFonts w:hint="eastAsia" w:ascii="宋体" w:hAnsi="宋体" w:eastAsia="宋体" w:cs="宋体"/>
                <w:strike/>
                <w:color w:val="auto"/>
                <w:sz w:val="21"/>
                <w:szCs w:val="21"/>
                <w:highlight w:val="none"/>
                <w:lang w:eastAsia="zh-CN"/>
              </w:rPr>
              <w:t>（2）如采用保函或保险等形式提交的，银行保函需开具给招标人（必须是公司基本账户开户银行出具的银行保函）。保证保险需开具给招标人（受益人也必须是招标人），开具保证保险的保险费必须由投标人基本账户银行转账汇入保险公司指定的账户。在投标截止时间前单独密封递交至开标室，或可由在中标候选人在中标候选人公示前提交并在网上公示，但投标人应在投标文件中提交投标保函或投标保证保险等的扫描件并加盖投标人印章。若以交易系统支持的电子保函或电子投标保证保险递交的，到账情况以开标时广州交易集团有限公司（广州公共资源交易中心）数据库查询信息为准。</w:t>
            </w:r>
          </w:p>
        </w:tc>
      </w:tr>
      <w:tr w14:paraId="271CB5D9">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727C4CF4">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3.4.4</w:t>
            </w:r>
          </w:p>
        </w:tc>
        <w:tc>
          <w:tcPr>
            <w:tcW w:w="2142" w:type="dxa"/>
            <w:tcBorders>
              <w:top w:val="single" w:color="000000" w:sz="4" w:space="0"/>
              <w:left w:val="single" w:color="000000" w:sz="4" w:space="0"/>
              <w:bottom w:val="single" w:color="000000" w:sz="4" w:space="0"/>
              <w:right w:val="single" w:color="000000" w:sz="4" w:space="0"/>
            </w:tcBorders>
            <w:vAlign w:val="center"/>
          </w:tcPr>
          <w:p w14:paraId="2391E438">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其他可以不予退还投标保证金的情形</w:t>
            </w:r>
          </w:p>
        </w:tc>
        <w:tc>
          <w:tcPr>
            <w:tcW w:w="7211" w:type="dxa"/>
            <w:tcBorders>
              <w:top w:val="single" w:color="000000" w:sz="4" w:space="0"/>
              <w:left w:val="single" w:color="000000" w:sz="4" w:space="0"/>
              <w:bottom w:val="single" w:color="000000" w:sz="4" w:space="0"/>
              <w:right w:val="single" w:color="000000" w:sz="4" w:space="0"/>
            </w:tcBorders>
            <w:vAlign w:val="center"/>
          </w:tcPr>
          <w:p w14:paraId="5E2911B9">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p>
        </w:tc>
      </w:tr>
      <w:tr w14:paraId="0CBE1EA2">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61B3816C">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2142" w:type="dxa"/>
            <w:tcBorders>
              <w:top w:val="single" w:color="000000" w:sz="4" w:space="0"/>
              <w:left w:val="single" w:color="000000" w:sz="4" w:space="0"/>
              <w:bottom w:val="single" w:color="000000" w:sz="4" w:space="0"/>
              <w:right w:val="single" w:color="000000" w:sz="4" w:space="0"/>
            </w:tcBorders>
            <w:vAlign w:val="center"/>
          </w:tcPr>
          <w:p w14:paraId="39E9AEB6">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资格审查资料的特殊要求</w:t>
            </w:r>
          </w:p>
        </w:tc>
        <w:tc>
          <w:tcPr>
            <w:tcW w:w="7211" w:type="dxa"/>
            <w:tcBorders>
              <w:top w:val="single" w:color="000000" w:sz="4" w:space="0"/>
              <w:left w:val="single" w:color="000000" w:sz="4" w:space="0"/>
              <w:bottom w:val="single" w:color="000000" w:sz="4" w:space="0"/>
              <w:right w:val="single" w:color="000000" w:sz="4" w:space="0"/>
            </w:tcBorders>
            <w:vAlign w:val="center"/>
          </w:tcPr>
          <w:p w14:paraId="7292C80B">
            <w:pPr>
              <w:topLinePunct/>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■无</w:t>
            </w:r>
          </w:p>
          <w:p w14:paraId="376EA76D">
            <w:pPr>
              <w:topLinePunct/>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□有，具体要求：</w:t>
            </w:r>
          </w:p>
          <w:p w14:paraId="7A862246">
            <w:pPr>
              <w:topLinePunct/>
              <w:spacing w:line="300" w:lineRule="auto"/>
              <w:rPr>
                <w:rFonts w:ascii="宋体" w:hAnsi="宋体" w:eastAsia="宋体" w:cs="宋体"/>
                <w:color w:val="auto"/>
                <w:sz w:val="21"/>
                <w:szCs w:val="21"/>
                <w:highlight w:val="none"/>
                <w:u w:val="single"/>
                <w:lang w:eastAsia="zh-CN"/>
              </w:rPr>
            </w:pPr>
            <w:r>
              <w:rPr>
                <w:rFonts w:hint="eastAsia" w:ascii="宋体" w:hAnsi="宋体" w:eastAsia="宋体" w:cs="宋体"/>
                <w:strike/>
                <w:color w:val="auto"/>
                <w:sz w:val="21"/>
                <w:szCs w:val="21"/>
                <w:highlight w:val="none"/>
                <w:u w:val="single"/>
                <w:lang w:eastAsia="zh-CN"/>
              </w:rPr>
              <w:t>1、本招标项目不要求提供“投标人基本情况表”、“近年财务状况表”、“近年发生的诉讼及仲裁情况”、“近年完成的类似设计项目情况表”、“正在设计和新承接的项目情况表”、“拟委派的主要人员汇总表”，以上内容不作为资格审查内容；如本招标项目要求提供以上资料，则不作为资格审查内容，仅作为评标资料（如有）。</w:t>
            </w:r>
          </w:p>
        </w:tc>
      </w:tr>
      <w:tr w14:paraId="04F38683">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6C275B70">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3.5.2</w:t>
            </w:r>
          </w:p>
        </w:tc>
        <w:tc>
          <w:tcPr>
            <w:tcW w:w="2142" w:type="dxa"/>
            <w:tcBorders>
              <w:top w:val="single" w:color="000000" w:sz="4" w:space="0"/>
              <w:left w:val="single" w:color="000000" w:sz="4" w:space="0"/>
              <w:bottom w:val="single" w:color="000000" w:sz="4" w:space="0"/>
              <w:right w:val="single" w:color="000000" w:sz="4" w:space="0"/>
            </w:tcBorders>
            <w:vAlign w:val="center"/>
          </w:tcPr>
          <w:p w14:paraId="2C004317">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近年财务状况的年份要求</w:t>
            </w:r>
          </w:p>
        </w:tc>
        <w:tc>
          <w:tcPr>
            <w:tcW w:w="7211" w:type="dxa"/>
            <w:tcBorders>
              <w:top w:val="single" w:color="000000" w:sz="4" w:space="0"/>
              <w:left w:val="single" w:color="000000" w:sz="4" w:space="0"/>
              <w:bottom w:val="single" w:color="000000" w:sz="4" w:space="0"/>
              <w:right w:val="single" w:color="000000" w:sz="4" w:space="0"/>
            </w:tcBorders>
            <w:vAlign w:val="center"/>
          </w:tcPr>
          <w:p w14:paraId="05E02501">
            <w:pPr>
              <w:spacing w:line="30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14:paraId="223B94CE">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6405FA41">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3.5.3</w:t>
            </w:r>
          </w:p>
        </w:tc>
        <w:tc>
          <w:tcPr>
            <w:tcW w:w="2142" w:type="dxa"/>
            <w:tcBorders>
              <w:top w:val="single" w:color="000000" w:sz="4" w:space="0"/>
              <w:left w:val="single" w:color="000000" w:sz="4" w:space="0"/>
              <w:bottom w:val="single" w:color="000000" w:sz="4" w:space="0"/>
              <w:right w:val="single" w:color="000000" w:sz="4" w:space="0"/>
            </w:tcBorders>
            <w:vAlign w:val="center"/>
          </w:tcPr>
          <w:p w14:paraId="5F9777E5">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近年完成的类似项目情况的时间要求</w:t>
            </w:r>
          </w:p>
        </w:tc>
        <w:tc>
          <w:tcPr>
            <w:tcW w:w="7211" w:type="dxa"/>
            <w:tcBorders>
              <w:top w:val="single" w:color="000000" w:sz="4" w:space="0"/>
              <w:left w:val="single" w:color="000000" w:sz="4" w:space="0"/>
              <w:bottom w:val="single" w:color="000000" w:sz="4" w:space="0"/>
              <w:right w:val="single" w:color="000000" w:sz="4" w:space="0"/>
            </w:tcBorders>
            <w:vAlign w:val="center"/>
          </w:tcPr>
          <w:p w14:paraId="60D41A3B">
            <w:pPr>
              <w:spacing w:line="30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14:paraId="5A782440">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74F502C5">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3.5.5</w:t>
            </w:r>
          </w:p>
        </w:tc>
        <w:tc>
          <w:tcPr>
            <w:tcW w:w="2142" w:type="dxa"/>
            <w:tcBorders>
              <w:top w:val="single" w:color="000000" w:sz="4" w:space="0"/>
              <w:left w:val="single" w:color="000000" w:sz="4" w:space="0"/>
              <w:bottom w:val="single" w:color="000000" w:sz="4" w:space="0"/>
              <w:right w:val="single" w:color="000000" w:sz="4" w:space="0"/>
            </w:tcBorders>
            <w:vAlign w:val="center"/>
          </w:tcPr>
          <w:p w14:paraId="7139F323">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近年发生的诉讼及仲裁情况的时间要求</w:t>
            </w:r>
          </w:p>
        </w:tc>
        <w:tc>
          <w:tcPr>
            <w:tcW w:w="7211" w:type="dxa"/>
            <w:tcBorders>
              <w:top w:val="single" w:color="000000" w:sz="4" w:space="0"/>
              <w:left w:val="single" w:color="000000" w:sz="4" w:space="0"/>
              <w:bottom w:val="single" w:color="000000" w:sz="4" w:space="0"/>
              <w:right w:val="single" w:color="000000" w:sz="4" w:space="0"/>
            </w:tcBorders>
            <w:vAlign w:val="center"/>
          </w:tcPr>
          <w:p w14:paraId="535D83F8">
            <w:pPr>
              <w:spacing w:line="30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14:paraId="17FFAAF0">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4FBBA26D">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3.6.1</w:t>
            </w:r>
          </w:p>
        </w:tc>
        <w:tc>
          <w:tcPr>
            <w:tcW w:w="2142" w:type="dxa"/>
            <w:tcBorders>
              <w:top w:val="single" w:color="000000" w:sz="4" w:space="0"/>
              <w:left w:val="single" w:color="000000" w:sz="4" w:space="0"/>
              <w:bottom w:val="single" w:color="000000" w:sz="4" w:space="0"/>
              <w:right w:val="single" w:color="000000" w:sz="4" w:space="0"/>
            </w:tcBorders>
            <w:vAlign w:val="center"/>
          </w:tcPr>
          <w:p w14:paraId="3932FE92">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是否允许递交备选投标方案</w:t>
            </w:r>
          </w:p>
        </w:tc>
        <w:tc>
          <w:tcPr>
            <w:tcW w:w="7211" w:type="dxa"/>
            <w:tcBorders>
              <w:top w:val="single" w:color="000000" w:sz="4" w:space="0"/>
              <w:left w:val="single" w:color="000000" w:sz="4" w:space="0"/>
              <w:bottom w:val="single" w:color="000000" w:sz="4" w:space="0"/>
              <w:right w:val="single" w:color="000000" w:sz="4" w:space="0"/>
            </w:tcBorders>
            <w:vAlign w:val="center"/>
          </w:tcPr>
          <w:p w14:paraId="7C41F4FE">
            <w:pPr>
              <w:pStyle w:val="43"/>
              <w:spacing w:line="300" w:lineRule="auto"/>
              <w:jc w:val="both"/>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p w14:paraId="6C506108">
            <w:pPr>
              <w:pStyle w:val="43"/>
              <w:spacing w:line="300" w:lineRule="auto"/>
              <w:jc w:val="both"/>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□允许</w:t>
            </w:r>
          </w:p>
        </w:tc>
      </w:tr>
      <w:tr w14:paraId="4E1A6758">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66F10155">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3.7.3（A）</w:t>
            </w:r>
          </w:p>
        </w:tc>
        <w:tc>
          <w:tcPr>
            <w:tcW w:w="2142" w:type="dxa"/>
            <w:tcBorders>
              <w:top w:val="single" w:color="000000" w:sz="4" w:space="0"/>
              <w:left w:val="single" w:color="000000" w:sz="4" w:space="0"/>
              <w:bottom w:val="single" w:color="000000" w:sz="4" w:space="0"/>
              <w:right w:val="single" w:color="000000" w:sz="4" w:space="0"/>
            </w:tcBorders>
            <w:vAlign w:val="center"/>
          </w:tcPr>
          <w:p w14:paraId="4C0E3F86">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7211" w:type="dxa"/>
            <w:tcBorders>
              <w:top w:val="single" w:color="000000" w:sz="4" w:space="0"/>
              <w:left w:val="single" w:color="000000" w:sz="4" w:space="0"/>
              <w:bottom w:val="single" w:color="000000" w:sz="4" w:space="0"/>
              <w:right w:val="single" w:color="000000" w:sz="4" w:space="0"/>
            </w:tcBorders>
            <w:vAlign w:val="center"/>
          </w:tcPr>
          <w:p w14:paraId="544A2353">
            <w:pPr>
              <w:pStyle w:val="43"/>
              <w:spacing w:line="300" w:lineRule="auto"/>
              <w:jc w:val="both"/>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删除。</w:t>
            </w:r>
          </w:p>
        </w:tc>
      </w:tr>
      <w:tr w14:paraId="6CED62AA">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79392DCD">
            <w:pPr>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3.7.3（B）</w:t>
            </w:r>
          </w:p>
        </w:tc>
        <w:tc>
          <w:tcPr>
            <w:tcW w:w="2142" w:type="dxa"/>
            <w:tcBorders>
              <w:top w:val="single" w:color="000000" w:sz="4" w:space="0"/>
              <w:left w:val="single" w:color="000000" w:sz="4" w:space="0"/>
              <w:bottom w:val="single" w:color="000000" w:sz="4" w:space="0"/>
              <w:right w:val="single" w:color="000000" w:sz="4" w:space="0"/>
            </w:tcBorders>
            <w:vAlign w:val="center"/>
          </w:tcPr>
          <w:p w14:paraId="7E949B44">
            <w:pPr>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投标文件所附证书证件要求</w:t>
            </w:r>
          </w:p>
        </w:tc>
        <w:tc>
          <w:tcPr>
            <w:tcW w:w="7211" w:type="dxa"/>
            <w:tcBorders>
              <w:top w:val="single" w:color="000000" w:sz="4" w:space="0"/>
              <w:left w:val="single" w:color="000000" w:sz="4" w:space="0"/>
              <w:bottom w:val="single" w:color="000000" w:sz="4" w:space="0"/>
              <w:right w:val="single" w:color="000000" w:sz="4" w:space="0"/>
            </w:tcBorders>
            <w:vAlign w:val="center"/>
          </w:tcPr>
          <w:p w14:paraId="5636C221">
            <w:pPr>
              <w:pStyle w:val="7"/>
              <w:topLinePunct/>
              <w:spacing w:line="300" w:lineRule="auto"/>
              <w:rPr>
                <w:rFonts w:hAnsi="宋体" w:cs="宋体"/>
                <w:color w:val="auto"/>
                <w:kern w:val="2"/>
                <w:sz w:val="21"/>
                <w:szCs w:val="21"/>
                <w:highlight w:val="none"/>
                <w:lang w:eastAsia="zh-CN"/>
              </w:rPr>
            </w:pPr>
            <w:r>
              <w:rPr>
                <w:rFonts w:hint="eastAsia" w:hAnsi="宋体" w:cs="宋体"/>
                <w:color w:val="auto"/>
                <w:kern w:val="2"/>
                <w:sz w:val="21"/>
                <w:szCs w:val="21"/>
                <w:highlight w:val="none"/>
                <w:lang w:eastAsia="zh-CN"/>
              </w:rPr>
              <w:t>证书证件需为清晰彩色扫描件，并采用单位数字证书，按照招标文件要求在相应位置加盖电子印章。</w:t>
            </w:r>
          </w:p>
        </w:tc>
      </w:tr>
      <w:tr w14:paraId="12551957">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6152AB43">
            <w:pPr>
              <w:snapToGrid w:val="0"/>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3.7.3（B）</w:t>
            </w:r>
          </w:p>
        </w:tc>
        <w:tc>
          <w:tcPr>
            <w:tcW w:w="2142" w:type="dxa"/>
            <w:tcBorders>
              <w:top w:val="single" w:color="000000" w:sz="4" w:space="0"/>
              <w:left w:val="single" w:color="000000" w:sz="4" w:space="0"/>
              <w:bottom w:val="single" w:color="000000" w:sz="4" w:space="0"/>
              <w:right w:val="single" w:color="000000" w:sz="4" w:space="0"/>
            </w:tcBorders>
            <w:vAlign w:val="center"/>
          </w:tcPr>
          <w:p w14:paraId="755AAA02">
            <w:pPr>
              <w:snapToGrid w:val="0"/>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投标文件签字或盖章要求</w:t>
            </w:r>
          </w:p>
        </w:tc>
        <w:tc>
          <w:tcPr>
            <w:tcW w:w="7211" w:type="dxa"/>
            <w:tcBorders>
              <w:top w:val="single" w:color="000000" w:sz="4" w:space="0"/>
              <w:left w:val="single" w:color="000000" w:sz="4" w:space="0"/>
              <w:bottom w:val="single" w:color="000000" w:sz="4" w:space="0"/>
              <w:right w:val="single" w:color="000000" w:sz="4" w:space="0"/>
            </w:tcBorders>
            <w:vAlign w:val="center"/>
          </w:tcPr>
          <w:p w14:paraId="79CD5931">
            <w:pPr>
              <w:pStyle w:val="7"/>
              <w:topLinePunct/>
              <w:snapToGrid w:val="0"/>
              <w:spacing w:line="300" w:lineRule="auto"/>
              <w:rPr>
                <w:rFonts w:hAnsi="宋体" w:cs="宋体"/>
                <w:b/>
                <w:color w:val="auto"/>
                <w:kern w:val="2"/>
                <w:sz w:val="21"/>
                <w:szCs w:val="21"/>
                <w:highlight w:val="none"/>
                <w:u w:val="single"/>
                <w:lang w:eastAsia="zh-CN"/>
              </w:rPr>
            </w:pPr>
            <w:r>
              <w:rPr>
                <w:rFonts w:hint="eastAsia" w:hAnsi="宋体" w:cs="宋体"/>
                <w:color w:val="auto"/>
                <w:kern w:val="2"/>
                <w:sz w:val="21"/>
                <w:szCs w:val="21"/>
                <w:highlight w:val="none"/>
                <w:u w:val="single"/>
                <w:lang w:eastAsia="zh-CN"/>
              </w:rPr>
              <w:t>投标文件中需法定代表人、代理人签字或盖章的，应加盖个人电子印章或在线下完成后扫描上传。投标人应采用单位数字证书，投标文件按招标文件要求在相应位置加盖电子印章。相关操作详见《房屋建筑和市政基础设施工程全流程电子化项目专章》。</w:t>
            </w:r>
          </w:p>
        </w:tc>
      </w:tr>
      <w:tr w14:paraId="5C5DA145">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1E5E14BD">
            <w:pPr>
              <w:snapToGrid w:val="0"/>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3.7.4</w:t>
            </w:r>
          </w:p>
          <w:p w14:paraId="12ACFCBD">
            <w:pPr>
              <w:snapToGrid w:val="0"/>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（增加）</w:t>
            </w:r>
          </w:p>
        </w:tc>
        <w:tc>
          <w:tcPr>
            <w:tcW w:w="2142" w:type="dxa"/>
            <w:tcBorders>
              <w:top w:val="single" w:color="000000" w:sz="4" w:space="0"/>
              <w:left w:val="single" w:color="000000" w:sz="4" w:space="0"/>
              <w:bottom w:val="single" w:color="000000" w:sz="4" w:space="0"/>
              <w:right w:val="single" w:color="000000" w:sz="4" w:space="0"/>
            </w:tcBorders>
            <w:vAlign w:val="center"/>
          </w:tcPr>
          <w:p w14:paraId="63EFD5A7">
            <w:pPr>
              <w:snapToGrid w:val="0"/>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暗标的具体要求</w:t>
            </w:r>
          </w:p>
        </w:tc>
        <w:tc>
          <w:tcPr>
            <w:tcW w:w="7211" w:type="dxa"/>
            <w:tcBorders>
              <w:top w:val="single" w:color="000000" w:sz="4" w:space="0"/>
              <w:left w:val="single" w:color="000000" w:sz="4" w:space="0"/>
              <w:bottom w:val="single" w:color="000000" w:sz="4" w:space="0"/>
              <w:right w:val="single" w:color="000000" w:sz="4" w:space="0"/>
            </w:tcBorders>
            <w:vAlign w:val="center"/>
          </w:tcPr>
          <w:p w14:paraId="69FF3A26">
            <w:pPr>
              <w:pStyle w:val="7"/>
              <w:topLinePunct/>
              <w:snapToGrid w:val="0"/>
              <w:spacing w:line="300" w:lineRule="auto"/>
              <w:rPr>
                <w:rFonts w:hAnsi="宋体" w:cs="宋体"/>
                <w:color w:val="auto"/>
                <w:kern w:val="2"/>
                <w:sz w:val="21"/>
                <w:szCs w:val="21"/>
                <w:highlight w:val="none"/>
                <w:u w:val="single"/>
                <w:lang w:eastAsia="zh-CN"/>
              </w:rPr>
            </w:pPr>
            <w:r>
              <w:rPr>
                <w:rFonts w:hint="eastAsia" w:hAnsi="宋体" w:cs="宋体"/>
                <w:color w:val="auto"/>
                <w:kern w:val="2"/>
                <w:sz w:val="21"/>
                <w:szCs w:val="21"/>
                <w:highlight w:val="none"/>
                <w:lang w:eastAsia="zh-CN"/>
              </w:rPr>
              <w:t>技术标中不能辨认出投标人或其专业技术人员的身份。不在设计方案上标注或做任何可以辨认投标人及专业技术人员身份的名称、印章、商标、图形等记认符号。</w:t>
            </w:r>
          </w:p>
        </w:tc>
      </w:tr>
      <w:tr w14:paraId="42E3316B">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5DE7AFFB">
            <w:pPr>
              <w:snapToGrid w:val="0"/>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4.1.1（A）</w:t>
            </w:r>
          </w:p>
        </w:tc>
        <w:tc>
          <w:tcPr>
            <w:tcW w:w="2142" w:type="dxa"/>
            <w:tcBorders>
              <w:top w:val="single" w:color="000000" w:sz="4" w:space="0"/>
              <w:left w:val="single" w:color="000000" w:sz="4" w:space="0"/>
              <w:bottom w:val="single" w:color="000000" w:sz="4" w:space="0"/>
              <w:right w:val="single" w:color="000000" w:sz="4" w:space="0"/>
            </w:tcBorders>
            <w:vAlign w:val="center"/>
          </w:tcPr>
          <w:p w14:paraId="7014D08D">
            <w:pPr>
              <w:snapToGrid w:val="0"/>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7211" w:type="dxa"/>
            <w:tcBorders>
              <w:top w:val="single" w:color="000000" w:sz="4" w:space="0"/>
              <w:left w:val="single" w:color="000000" w:sz="4" w:space="0"/>
              <w:bottom w:val="single" w:color="000000" w:sz="4" w:space="0"/>
              <w:right w:val="single" w:color="000000" w:sz="4" w:space="0"/>
            </w:tcBorders>
            <w:vAlign w:val="center"/>
          </w:tcPr>
          <w:p w14:paraId="6484CDEA">
            <w:pPr>
              <w:pStyle w:val="7"/>
              <w:topLinePunct/>
              <w:snapToGrid w:val="0"/>
              <w:spacing w:line="300" w:lineRule="auto"/>
              <w:rPr>
                <w:rFonts w:hAnsi="宋体" w:cs="宋体"/>
                <w:color w:val="auto"/>
                <w:kern w:val="2"/>
                <w:sz w:val="21"/>
                <w:szCs w:val="21"/>
                <w:highlight w:val="none"/>
                <w:u w:val="single"/>
                <w:lang w:eastAsia="zh-CN"/>
              </w:rPr>
            </w:pPr>
            <w:r>
              <w:rPr>
                <w:rFonts w:hint="eastAsia" w:hAnsi="宋体" w:cs="宋体"/>
                <w:color w:val="auto"/>
                <w:kern w:val="2"/>
                <w:sz w:val="21"/>
                <w:szCs w:val="21"/>
                <w:highlight w:val="none"/>
                <w:u w:val="single"/>
                <w:lang w:eastAsia="zh-CN"/>
              </w:rPr>
              <w:t>删除。</w:t>
            </w:r>
          </w:p>
        </w:tc>
      </w:tr>
      <w:tr w14:paraId="6AF4441C">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054A6B7C">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4.1.1（B）</w:t>
            </w:r>
          </w:p>
        </w:tc>
        <w:tc>
          <w:tcPr>
            <w:tcW w:w="2142" w:type="dxa"/>
            <w:tcBorders>
              <w:top w:val="single" w:color="000000" w:sz="4" w:space="0"/>
              <w:left w:val="single" w:color="000000" w:sz="4" w:space="0"/>
              <w:bottom w:val="single" w:color="000000" w:sz="4" w:space="0"/>
              <w:right w:val="single" w:color="000000" w:sz="4" w:space="0"/>
            </w:tcBorders>
            <w:vAlign w:val="center"/>
          </w:tcPr>
          <w:p w14:paraId="68E4554C">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投标文件加密要求</w:t>
            </w:r>
          </w:p>
        </w:tc>
        <w:tc>
          <w:tcPr>
            <w:tcW w:w="7211" w:type="dxa"/>
            <w:tcBorders>
              <w:top w:val="single" w:color="000000" w:sz="4" w:space="0"/>
              <w:left w:val="single" w:color="000000" w:sz="4" w:space="0"/>
              <w:bottom w:val="single" w:color="000000" w:sz="4" w:space="0"/>
              <w:right w:val="single" w:color="000000" w:sz="4" w:space="0"/>
            </w:tcBorders>
            <w:vAlign w:val="center"/>
          </w:tcPr>
          <w:p w14:paraId="2EBF254E">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网上递交的电子投标文件须进行加密。未按要求加密的投标文件，交易平台将予以拒收。具体操作详见《房屋建筑和市政基础设施工程全流程电子化项目专章》。</w:t>
            </w:r>
          </w:p>
        </w:tc>
      </w:tr>
      <w:tr w14:paraId="72C3948E">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08D9D3BD">
            <w:pPr>
              <w:pStyle w:val="43"/>
              <w:spacing w:line="300" w:lineRule="auto"/>
              <w:jc w:val="center"/>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4.1.2</w:t>
            </w:r>
          </w:p>
        </w:tc>
        <w:tc>
          <w:tcPr>
            <w:tcW w:w="2142" w:type="dxa"/>
            <w:tcBorders>
              <w:top w:val="single" w:color="000000" w:sz="4" w:space="0"/>
              <w:left w:val="single" w:color="000000" w:sz="4" w:space="0"/>
              <w:bottom w:val="single" w:color="000000" w:sz="4" w:space="0"/>
              <w:right w:val="single" w:color="000000" w:sz="4" w:space="0"/>
            </w:tcBorders>
            <w:vAlign w:val="center"/>
          </w:tcPr>
          <w:p w14:paraId="4CAE9E2B">
            <w:pPr>
              <w:pStyle w:val="43"/>
              <w:spacing w:line="300" w:lineRule="auto"/>
              <w:jc w:val="center"/>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封套上应载明的信息</w:t>
            </w:r>
          </w:p>
        </w:tc>
        <w:tc>
          <w:tcPr>
            <w:tcW w:w="7211" w:type="dxa"/>
            <w:tcBorders>
              <w:top w:val="single" w:color="000000" w:sz="4" w:space="0"/>
              <w:left w:val="single" w:color="000000" w:sz="4" w:space="0"/>
              <w:bottom w:val="single" w:color="000000" w:sz="4" w:space="0"/>
              <w:right w:val="single" w:color="000000" w:sz="4" w:space="0"/>
            </w:tcBorders>
            <w:vAlign w:val="center"/>
          </w:tcPr>
          <w:p w14:paraId="7D16ED0C">
            <w:pPr>
              <w:pStyle w:val="43"/>
              <w:spacing w:line="300" w:lineRule="auto"/>
              <w:jc w:val="both"/>
              <w:rPr>
                <w:rFonts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对递交的备用投标文件电子光盘及保密信封要求封装。</w:t>
            </w:r>
          </w:p>
          <w:p w14:paraId="02F3164D">
            <w:pPr>
              <w:pStyle w:val="43"/>
              <w:spacing w:line="300" w:lineRule="auto"/>
              <w:jc w:val="both"/>
              <w:rPr>
                <w:rFonts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（1）商务文件封套上应载明：</w:t>
            </w:r>
          </w:p>
          <w:p w14:paraId="52C8F25E">
            <w:pPr>
              <w:pStyle w:val="43"/>
              <w:spacing w:line="300" w:lineRule="auto"/>
              <w:jc w:val="both"/>
              <w:rPr>
                <w:rFonts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招标人名称：</w:t>
            </w:r>
            <w:r>
              <w:rPr>
                <w:rFonts w:hint="eastAsia" w:ascii="宋体" w:hAnsi="宋体" w:eastAsia="宋体" w:cs="宋体"/>
                <w:b/>
                <w:color w:val="auto"/>
                <w:sz w:val="21"/>
                <w:szCs w:val="21"/>
                <w:highlight w:val="none"/>
                <w:u w:val="single"/>
                <w:lang w:eastAsia="zh-CN"/>
              </w:rPr>
              <w:t xml:space="preserve">                   </w:t>
            </w:r>
          </w:p>
          <w:p w14:paraId="5BD4361A">
            <w:pPr>
              <w:pStyle w:val="43"/>
              <w:tabs>
                <w:tab w:val="left" w:pos="1157"/>
              </w:tabs>
              <w:spacing w:line="300" w:lineRule="auto"/>
              <w:jc w:val="both"/>
              <w:rPr>
                <w:rFonts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u w:val="single"/>
                <w:lang w:eastAsia="zh-CN"/>
              </w:rPr>
              <w:t xml:space="preserve">     （项目名称）        </w:t>
            </w:r>
            <w:r>
              <w:rPr>
                <w:rFonts w:hint="eastAsia" w:ascii="宋体" w:hAnsi="宋体" w:eastAsia="宋体" w:cs="宋体"/>
                <w:b/>
                <w:color w:val="auto"/>
                <w:sz w:val="21"/>
                <w:szCs w:val="21"/>
                <w:highlight w:val="none"/>
                <w:lang w:eastAsia="zh-CN"/>
              </w:rPr>
              <w:t>商务文件</w:t>
            </w:r>
          </w:p>
          <w:p w14:paraId="6D0CADFC">
            <w:pPr>
              <w:pStyle w:val="43"/>
              <w:tabs>
                <w:tab w:val="left" w:pos="1157"/>
              </w:tabs>
              <w:spacing w:line="300" w:lineRule="auto"/>
              <w:jc w:val="both"/>
              <w:rPr>
                <w:rFonts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投标人名称：</w:t>
            </w:r>
          </w:p>
          <w:p w14:paraId="090EA5F3">
            <w:pPr>
              <w:pStyle w:val="43"/>
              <w:spacing w:line="300" w:lineRule="auto"/>
              <w:jc w:val="both"/>
              <w:rPr>
                <w:rFonts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（2）技术文件封套上应载明：</w:t>
            </w:r>
          </w:p>
          <w:p w14:paraId="09461B4F">
            <w:pPr>
              <w:pStyle w:val="43"/>
              <w:spacing w:line="300" w:lineRule="auto"/>
              <w:jc w:val="both"/>
              <w:rPr>
                <w:rFonts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招标人名称：</w:t>
            </w:r>
            <w:r>
              <w:rPr>
                <w:rFonts w:hint="eastAsia" w:ascii="宋体" w:hAnsi="宋体" w:eastAsia="宋体" w:cs="宋体"/>
                <w:b/>
                <w:color w:val="auto"/>
                <w:sz w:val="21"/>
                <w:szCs w:val="21"/>
                <w:highlight w:val="none"/>
                <w:u w:val="single"/>
                <w:lang w:eastAsia="zh-CN"/>
              </w:rPr>
              <w:t xml:space="preserve">                   </w:t>
            </w:r>
          </w:p>
          <w:p w14:paraId="51194513">
            <w:pPr>
              <w:pStyle w:val="43"/>
              <w:tabs>
                <w:tab w:val="left" w:pos="734"/>
                <w:tab w:val="left" w:pos="1365"/>
                <w:tab w:val="left" w:pos="1994"/>
                <w:tab w:val="left" w:pos="2623"/>
              </w:tabs>
              <w:spacing w:line="300" w:lineRule="auto"/>
              <w:jc w:val="both"/>
              <w:rPr>
                <w:rFonts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u w:val="single"/>
                <w:lang w:eastAsia="zh-CN"/>
              </w:rPr>
              <w:t xml:space="preserve">     （项目名称）        </w:t>
            </w:r>
            <w:r>
              <w:rPr>
                <w:rFonts w:hint="eastAsia" w:ascii="宋体" w:hAnsi="宋体" w:eastAsia="宋体" w:cs="宋体"/>
                <w:b/>
                <w:color w:val="auto"/>
                <w:sz w:val="21"/>
                <w:szCs w:val="21"/>
                <w:highlight w:val="none"/>
                <w:lang w:eastAsia="zh-CN"/>
              </w:rPr>
              <w:t>技术文件</w:t>
            </w:r>
          </w:p>
          <w:p w14:paraId="6EA9A525">
            <w:pPr>
              <w:pStyle w:val="43"/>
              <w:spacing w:line="300" w:lineRule="auto"/>
              <w:jc w:val="both"/>
              <w:rPr>
                <w:rFonts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（3）保密信封封套上应载明：</w:t>
            </w:r>
          </w:p>
          <w:p w14:paraId="7E513744">
            <w:pPr>
              <w:pStyle w:val="43"/>
              <w:spacing w:line="300" w:lineRule="auto"/>
              <w:jc w:val="both"/>
              <w:rPr>
                <w:rFonts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招标人名称：</w:t>
            </w:r>
            <w:r>
              <w:rPr>
                <w:rFonts w:hint="eastAsia" w:ascii="宋体" w:hAnsi="宋体" w:eastAsia="宋体" w:cs="宋体"/>
                <w:b/>
                <w:color w:val="auto"/>
                <w:sz w:val="21"/>
                <w:szCs w:val="21"/>
                <w:highlight w:val="none"/>
                <w:u w:val="single"/>
                <w:lang w:eastAsia="zh-CN"/>
              </w:rPr>
              <w:t xml:space="preserve">                   </w:t>
            </w:r>
          </w:p>
          <w:p w14:paraId="221969C4">
            <w:pPr>
              <w:pStyle w:val="43"/>
              <w:tabs>
                <w:tab w:val="left" w:pos="734"/>
                <w:tab w:val="left" w:pos="1365"/>
                <w:tab w:val="left" w:pos="1994"/>
                <w:tab w:val="left" w:pos="2623"/>
              </w:tabs>
              <w:spacing w:line="300" w:lineRule="auto"/>
              <w:jc w:val="both"/>
              <w:rPr>
                <w:rFonts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u w:val="single"/>
                <w:lang w:eastAsia="zh-CN"/>
              </w:rPr>
              <w:t xml:space="preserve">     （项目名称）        </w:t>
            </w:r>
            <w:r>
              <w:rPr>
                <w:rFonts w:hint="eastAsia" w:ascii="宋体" w:hAnsi="宋体" w:eastAsia="宋体" w:cs="宋体"/>
                <w:b/>
                <w:color w:val="auto"/>
                <w:sz w:val="21"/>
                <w:szCs w:val="21"/>
                <w:highlight w:val="none"/>
                <w:lang w:eastAsia="zh-CN"/>
              </w:rPr>
              <w:t>保密信封</w:t>
            </w:r>
          </w:p>
          <w:p w14:paraId="65D227FD">
            <w:pPr>
              <w:pStyle w:val="43"/>
              <w:tabs>
                <w:tab w:val="left" w:pos="734"/>
                <w:tab w:val="left" w:pos="1365"/>
                <w:tab w:val="left" w:pos="1994"/>
                <w:tab w:val="left" w:pos="2623"/>
              </w:tabs>
              <w:spacing w:line="300" w:lineRule="auto"/>
              <w:jc w:val="both"/>
              <w:rPr>
                <w:rFonts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注：如提交技术方案文件备用光盘及保密信封的，封面及封口不需要盖章。</w:t>
            </w:r>
          </w:p>
        </w:tc>
      </w:tr>
      <w:tr w14:paraId="3BD3686F">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6B261EF5">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4.2.1</w:t>
            </w:r>
          </w:p>
        </w:tc>
        <w:tc>
          <w:tcPr>
            <w:tcW w:w="2142" w:type="dxa"/>
            <w:tcBorders>
              <w:top w:val="single" w:color="000000" w:sz="4" w:space="0"/>
              <w:left w:val="single" w:color="000000" w:sz="4" w:space="0"/>
              <w:bottom w:val="single" w:color="000000" w:sz="4" w:space="0"/>
              <w:right w:val="single" w:color="000000" w:sz="4" w:space="0"/>
            </w:tcBorders>
            <w:vAlign w:val="center"/>
          </w:tcPr>
          <w:p w14:paraId="1D4DB481">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投标截止时间</w:t>
            </w:r>
          </w:p>
        </w:tc>
        <w:tc>
          <w:tcPr>
            <w:tcW w:w="7211" w:type="dxa"/>
            <w:tcBorders>
              <w:top w:val="single" w:color="000000" w:sz="4" w:space="0"/>
              <w:left w:val="single" w:color="000000" w:sz="4" w:space="0"/>
              <w:bottom w:val="single" w:color="000000" w:sz="4" w:space="0"/>
              <w:right w:val="single" w:color="000000" w:sz="4" w:space="0"/>
            </w:tcBorders>
            <w:vAlign w:val="center"/>
          </w:tcPr>
          <w:p w14:paraId="74576EB0">
            <w:pPr>
              <w:pStyle w:val="43"/>
              <w:spacing w:line="300" w:lineRule="auto"/>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20   年   月    日  时  分</w:t>
            </w:r>
          </w:p>
          <w:p w14:paraId="1FBDA0FB">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详见广州交易集团有限公司（广州公共资源交易中心）网站信息。具体时间可以到广州交易集团有限公司（广州公共资源交易中心）交易平台“建设工程→项目查询（日程安排、答疑纪要）”输入本项目编号或项目名称进行查询。）</w:t>
            </w:r>
          </w:p>
        </w:tc>
      </w:tr>
      <w:tr w14:paraId="3E362921">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091F0767">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4.2.2（A）</w:t>
            </w:r>
          </w:p>
        </w:tc>
        <w:tc>
          <w:tcPr>
            <w:tcW w:w="2142" w:type="dxa"/>
            <w:tcBorders>
              <w:top w:val="single" w:color="000000" w:sz="4" w:space="0"/>
              <w:left w:val="single" w:color="000000" w:sz="4" w:space="0"/>
              <w:bottom w:val="single" w:color="000000" w:sz="4" w:space="0"/>
              <w:right w:val="single" w:color="000000" w:sz="4" w:space="0"/>
            </w:tcBorders>
            <w:vAlign w:val="center"/>
          </w:tcPr>
          <w:p w14:paraId="69608EE7">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递交投标文件地点</w:t>
            </w:r>
          </w:p>
        </w:tc>
        <w:tc>
          <w:tcPr>
            <w:tcW w:w="7211" w:type="dxa"/>
            <w:tcBorders>
              <w:top w:val="single" w:color="000000" w:sz="4" w:space="0"/>
              <w:left w:val="single" w:color="000000" w:sz="4" w:space="0"/>
              <w:bottom w:val="single" w:color="000000" w:sz="4" w:space="0"/>
              <w:right w:val="single" w:color="000000" w:sz="4" w:space="0"/>
            </w:tcBorders>
            <w:vAlign w:val="center"/>
          </w:tcPr>
          <w:p w14:paraId="3F68AE3D">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删除</w:t>
            </w:r>
          </w:p>
        </w:tc>
      </w:tr>
      <w:tr w14:paraId="297A516D">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623893E6">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4.2.2（</w:t>
            </w:r>
            <w:r>
              <w:rPr>
                <w:rFonts w:hint="eastAsia" w:ascii="宋体" w:hAnsi="宋体" w:eastAsia="宋体" w:cs="宋体"/>
                <w:color w:val="auto"/>
                <w:sz w:val="21"/>
                <w:szCs w:val="21"/>
                <w:highlight w:val="none"/>
                <w:lang w:eastAsia="zh-CN"/>
              </w:rPr>
              <w:t>B</w:t>
            </w:r>
            <w:r>
              <w:rPr>
                <w:rFonts w:hint="eastAsia" w:ascii="宋体" w:hAnsi="宋体" w:eastAsia="宋体" w:cs="宋体"/>
                <w:color w:val="auto"/>
                <w:sz w:val="21"/>
                <w:szCs w:val="21"/>
                <w:highlight w:val="none"/>
              </w:rPr>
              <w:t>）</w:t>
            </w:r>
          </w:p>
        </w:tc>
        <w:tc>
          <w:tcPr>
            <w:tcW w:w="2142" w:type="dxa"/>
            <w:tcBorders>
              <w:top w:val="single" w:color="000000" w:sz="4" w:space="0"/>
              <w:left w:val="single" w:color="000000" w:sz="4" w:space="0"/>
              <w:bottom w:val="single" w:color="000000" w:sz="4" w:space="0"/>
              <w:right w:val="single" w:color="000000" w:sz="4" w:space="0"/>
            </w:tcBorders>
            <w:vAlign w:val="center"/>
          </w:tcPr>
          <w:p w14:paraId="37D696CD">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递交投标文件</w:t>
            </w:r>
          </w:p>
        </w:tc>
        <w:tc>
          <w:tcPr>
            <w:tcW w:w="7211" w:type="dxa"/>
            <w:tcBorders>
              <w:top w:val="single" w:color="000000" w:sz="4" w:space="0"/>
              <w:left w:val="single" w:color="000000" w:sz="4" w:space="0"/>
              <w:bottom w:val="single" w:color="000000" w:sz="4" w:space="0"/>
              <w:right w:val="single" w:color="000000" w:sz="4" w:space="0"/>
            </w:tcBorders>
            <w:vAlign w:val="center"/>
          </w:tcPr>
          <w:p w14:paraId="2413E01B">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1、投标人登录广州交易集团有限公司（广州公共资源交易中心）交易平台递交电子投标文件。</w:t>
            </w:r>
          </w:p>
          <w:p w14:paraId="08B93109">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2、投标人完成电子投标文件上传后，交易平台即时向投标人发出递交回执通知。递交时间以递交回执通知载明的传输完成时间为准。</w:t>
            </w:r>
          </w:p>
          <w:p w14:paraId="5C2C7555">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3、如按招标公告要求需要提交投标文件光盘（备用），备用光盘不得加密。如使用投标文件光盘（备用）时无法读取或导入的，则视为未提交投标文件。</w:t>
            </w:r>
          </w:p>
          <w:p w14:paraId="1D74C1F0">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4、逾期送达的投标文件，交易平台将予以拒收。</w:t>
            </w:r>
          </w:p>
        </w:tc>
      </w:tr>
      <w:tr w14:paraId="5FFE6079">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312BC3A9">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4.2.3</w:t>
            </w:r>
          </w:p>
        </w:tc>
        <w:tc>
          <w:tcPr>
            <w:tcW w:w="2142" w:type="dxa"/>
            <w:tcBorders>
              <w:top w:val="single" w:color="000000" w:sz="4" w:space="0"/>
              <w:left w:val="single" w:color="000000" w:sz="4" w:space="0"/>
              <w:bottom w:val="single" w:color="000000" w:sz="4" w:space="0"/>
              <w:right w:val="single" w:color="000000" w:sz="4" w:space="0"/>
            </w:tcBorders>
            <w:vAlign w:val="center"/>
          </w:tcPr>
          <w:p w14:paraId="5C9E5719">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投标文件是否退还</w:t>
            </w:r>
          </w:p>
        </w:tc>
        <w:tc>
          <w:tcPr>
            <w:tcW w:w="7211" w:type="dxa"/>
            <w:tcBorders>
              <w:top w:val="single" w:color="000000" w:sz="4" w:space="0"/>
              <w:left w:val="single" w:color="000000" w:sz="4" w:space="0"/>
              <w:bottom w:val="single" w:color="000000" w:sz="4" w:space="0"/>
              <w:right w:val="single" w:color="000000" w:sz="4" w:space="0"/>
            </w:tcBorders>
            <w:vAlign w:val="center"/>
          </w:tcPr>
          <w:p w14:paraId="064723E4">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■否</w:t>
            </w:r>
          </w:p>
          <w:p w14:paraId="3AEDE6B3">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□是，退还时间：</w:t>
            </w:r>
          </w:p>
        </w:tc>
      </w:tr>
      <w:tr w14:paraId="7FBA2C01">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7741B47A">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4.2.4（A）</w:t>
            </w:r>
          </w:p>
        </w:tc>
        <w:tc>
          <w:tcPr>
            <w:tcW w:w="2142" w:type="dxa"/>
            <w:tcBorders>
              <w:top w:val="single" w:color="000000" w:sz="4" w:space="0"/>
              <w:left w:val="single" w:color="000000" w:sz="4" w:space="0"/>
              <w:bottom w:val="single" w:color="000000" w:sz="4" w:space="0"/>
              <w:right w:val="single" w:color="000000" w:sz="4" w:space="0"/>
            </w:tcBorders>
            <w:vAlign w:val="center"/>
          </w:tcPr>
          <w:p w14:paraId="07153135">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7211" w:type="dxa"/>
            <w:tcBorders>
              <w:top w:val="single" w:color="000000" w:sz="4" w:space="0"/>
              <w:left w:val="single" w:color="000000" w:sz="4" w:space="0"/>
              <w:bottom w:val="single" w:color="000000" w:sz="4" w:space="0"/>
              <w:right w:val="single" w:color="000000" w:sz="4" w:space="0"/>
            </w:tcBorders>
            <w:vAlign w:val="center"/>
          </w:tcPr>
          <w:p w14:paraId="61198F7D">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删除。</w:t>
            </w:r>
          </w:p>
        </w:tc>
      </w:tr>
      <w:tr w14:paraId="18C93B38">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262108B8">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4.2.5（A）</w:t>
            </w:r>
          </w:p>
        </w:tc>
        <w:tc>
          <w:tcPr>
            <w:tcW w:w="2142" w:type="dxa"/>
            <w:tcBorders>
              <w:top w:val="single" w:color="000000" w:sz="4" w:space="0"/>
              <w:left w:val="single" w:color="000000" w:sz="4" w:space="0"/>
              <w:bottom w:val="single" w:color="000000" w:sz="4" w:space="0"/>
              <w:right w:val="single" w:color="000000" w:sz="4" w:space="0"/>
            </w:tcBorders>
            <w:vAlign w:val="center"/>
          </w:tcPr>
          <w:p w14:paraId="7F0BB4DB">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7211" w:type="dxa"/>
            <w:tcBorders>
              <w:top w:val="single" w:color="000000" w:sz="4" w:space="0"/>
              <w:left w:val="single" w:color="000000" w:sz="4" w:space="0"/>
              <w:bottom w:val="single" w:color="000000" w:sz="4" w:space="0"/>
              <w:right w:val="single" w:color="000000" w:sz="4" w:space="0"/>
            </w:tcBorders>
            <w:vAlign w:val="center"/>
          </w:tcPr>
          <w:p w14:paraId="552F0EC3">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删除。</w:t>
            </w:r>
          </w:p>
        </w:tc>
      </w:tr>
      <w:tr w14:paraId="3A967562">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721C2FA4">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4.2.6（</w:t>
            </w:r>
            <w:r>
              <w:rPr>
                <w:rFonts w:hint="eastAsia" w:ascii="宋体" w:hAnsi="宋体" w:eastAsia="宋体" w:cs="宋体"/>
                <w:color w:val="auto"/>
                <w:sz w:val="21"/>
                <w:szCs w:val="21"/>
                <w:highlight w:val="none"/>
                <w:lang w:eastAsia="zh-CN"/>
              </w:rPr>
              <w:t>增加</w:t>
            </w:r>
            <w:r>
              <w:rPr>
                <w:rFonts w:hint="eastAsia" w:ascii="宋体" w:hAnsi="宋体" w:eastAsia="宋体" w:cs="宋体"/>
                <w:color w:val="auto"/>
                <w:sz w:val="21"/>
                <w:szCs w:val="21"/>
                <w:highlight w:val="none"/>
              </w:rPr>
              <w:t>）</w:t>
            </w:r>
          </w:p>
        </w:tc>
        <w:tc>
          <w:tcPr>
            <w:tcW w:w="2142" w:type="dxa"/>
            <w:tcBorders>
              <w:top w:val="single" w:color="000000" w:sz="4" w:space="0"/>
              <w:left w:val="single" w:color="000000" w:sz="4" w:space="0"/>
              <w:bottom w:val="single" w:color="000000" w:sz="4" w:space="0"/>
              <w:right w:val="single" w:color="000000" w:sz="4" w:space="0"/>
            </w:tcBorders>
            <w:vAlign w:val="center"/>
          </w:tcPr>
          <w:p w14:paraId="79C28799">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投标时间</w:t>
            </w:r>
          </w:p>
        </w:tc>
        <w:tc>
          <w:tcPr>
            <w:tcW w:w="7211" w:type="dxa"/>
            <w:tcBorders>
              <w:top w:val="single" w:color="000000" w:sz="4" w:space="0"/>
              <w:left w:val="single" w:color="000000" w:sz="4" w:space="0"/>
              <w:bottom w:val="single" w:color="000000" w:sz="4" w:space="0"/>
              <w:right w:val="single" w:color="000000" w:sz="4" w:space="0"/>
            </w:tcBorders>
            <w:vAlign w:val="center"/>
          </w:tcPr>
          <w:p w14:paraId="45AAC5F8">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1.投标截止时间自本工程招标公告发布之日起计。</w:t>
            </w:r>
          </w:p>
          <w:p w14:paraId="6E743B4E">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2.具体投标截止时间以招标人（招标代理机构）的最新通知为准，请各投标人留意交易平台网站发布的本工程相关信息。</w:t>
            </w:r>
          </w:p>
          <w:p w14:paraId="256B7E27">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3.到投标截止时间止，招标人收到的投标文件少于3家的，招标人将重新组织招标。</w:t>
            </w:r>
          </w:p>
        </w:tc>
      </w:tr>
      <w:tr w14:paraId="618BA9CB">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284880D0">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4.3</w:t>
            </w:r>
          </w:p>
        </w:tc>
        <w:tc>
          <w:tcPr>
            <w:tcW w:w="2142" w:type="dxa"/>
            <w:tcBorders>
              <w:top w:val="single" w:color="000000" w:sz="4" w:space="0"/>
              <w:left w:val="single" w:color="000000" w:sz="4" w:space="0"/>
              <w:bottom w:val="single" w:color="000000" w:sz="4" w:space="0"/>
              <w:right w:val="single" w:color="000000" w:sz="4" w:space="0"/>
            </w:tcBorders>
            <w:vAlign w:val="center"/>
          </w:tcPr>
          <w:p w14:paraId="6423A2A0">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投标文件的修改与撤回</w:t>
            </w:r>
          </w:p>
        </w:tc>
        <w:tc>
          <w:tcPr>
            <w:tcW w:w="7211" w:type="dxa"/>
            <w:tcBorders>
              <w:top w:val="single" w:color="000000" w:sz="4" w:space="0"/>
              <w:left w:val="single" w:color="000000" w:sz="4" w:space="0"/>
              <w:bottom w:val="single" w:color="000000" w:sz="4" w:space="0"/>
              <w:right w:val="single" w:color="000000" w:sz="4" w:space="0"/>
            </w:tcBorders>
            <w:vAlign w:val="center"/>
          </w:tcPr>
          <w:p w14:paraId="6CE9D3C1">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1.在规定的投标截止时间前，投标人可以修改或撤回已递交的投标文件。</w:t>
            </w:r>
          </w:p>
          <w:p w14:paraId="580F1010">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2.投标人修改或撤回已递交的投标文件，需在交易平台发出撤回通知，并按要求加盖电子印章。电子招标投标交易平台收到通知后，即时向投标人发布确认回执通知。</w:t>
            </w:r>
          </w:p>
          <w:p w14:paraId="1E2B91DC">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3.修改后再次递交的，按4.2.2（B）的规定执行。</w:t>
            </w:r>
          </w:p>
          <w:p w14:paraId="6ABE1878">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4.在投标截止时间后，投标人不得补充、修改或更换投标文件。</w:t>
            </w:r>
          </w:p>
        </w:tc>
      </w:tr>
      <w:tr w14:paraId="74A4276B">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17BD4750">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5.1（A）</w:t>
            </w:r>
          </w:p>
        </w:tc>
        <w:tc>
          <w:tcPr>
            <w:tcW w:w="2142" w:type="dxa"/>
            <w:tcBorders>
              <w:top w:val="single" w:color="000000" w:sz="4" w:space="0"/>
              <w:left w:val="single" w:color="000000" w:sz="4" w:space="0"/>
              <w:bottom w:val="single" w:color="000000" w:sz="4" w:space="0"/>
              <w:right w:val="single" w:color="000000" w:sz="4" w:space="0"/>
            </w:tcBorders>
            <w:vAlign w:val="center"/>
          </w:tcPr>
          <w:p w14:paraId="7D54DC1F">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开标时间和地点</w:t>
            </w:r>
          </w:p>
        </w:tc>
        <w:tc>
          <w:tcPr>
            <w:tcW w:w="7211" w:type="dxa"/>
            <w:tcBorders>
              <w:top w:val="single" w:color="000000" w:sz="4" w:space="0"/>
              <w:left w:val="single" w:color="000000" w:sz="4" w:space="0"/>
              <w:bottom w:val="single" w:color="000000" w:sz="4" w:space="0"/>
              <w:right w:val="single" w:color="000000" w:sz="4" w:space="0"/>
            </w:tcBorders>
            <w:vAlign w:val="center"/>
          </w:tcPr>
          <w:p w14:paraId="4D83B95A">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删除。</w:t>
            </w:r>
          </w:p>
        </w:tc>
      </w:tr>
      <w:tr w14:paraId="4A840220">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63550C84">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5.1（B）</w:t>
            </w:r>
          </w:p>
        </w:tc>
        <w:tc>
          <w:tcPr>
            <w:tcW w:w="2142" w:type="dxa"/>
            <w:tcBorders>
              <w:top w:val="single" w:color="000000" w:sz="4" w:space="0"/>
              <w:left w:val="single" w:color="000000" w:sz="4" w:space="0"/>
              <w:bottom w:val="single" w:color="000000" w:sz="4" w:space="0"/>
              <w:right w:val="single" w:color="000000" w:sz="4" w:space="0"/>
            </w:tcBorders>
            <w:vAlign w:val="center"/>
          </w:tcPr>
          <w:p w14:paraId="28022852">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开标时间和地点</w:t>
            </w:r>
          </w:p>
        </w:tc>
        <w:tc>
          <w:tcPr>
            <w:tcW w:w="7211" w:type="dxa"/>
            <w:tcBorders>
              <w:top w:val="single" w:color="000000" w:sz="4" w:space="0"/>
              <w:left w:val="single" w:color="000000" w:sz="4" w:space="0"/>
              <w:bottom w:val="single" w:color="000000" w:sz="4" w:space="0"/>
              <w:right w:val="single" w:color="000000" w:sz="4" w:space="0"/>
            </w:tcBorders>
            <w:vAlign w:val="center"/>
          </w:tcPr>
          <w:p w14:paraId="73D1388F">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开标时间：同投标截止时间</w:t>
            </w:r>
          </w:p>
          <w:p w14:paraId="7CF92F12">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开标地点：具体时间和地点可以到广州交易集团有限公司（广州公共资源交易中心）交易平台“建设工程→项目查询（日程安排、答疑纪要）”输入本项目编号或项目名称进行查询。</w:t>
            </w:r>
          </w:p>
        </w:tc>
      </w:tr>
      <w:tr w14:paraId="5CD31180">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1D3CC5D8">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lang w:eastAsia="zh-CN"/>
              </w:rPr>
              <w:t>B</w:t>
            </w:r>
            <w:r>
              <w:rPr>
                <w:rFonts w:hint="eastAsia" w:ascii="宋体" w:hAnsi="宋体" w:eastAsia="宋体" w:cs="宋体"/>
                <w:color w:val="auto"/>
                <w:sz w:val="21"/>
                <w:szCs w:val="21"/>
                <w:highlight w:val="none"/>
              </w:rPr>
              <w:t>）</w:t>
            </w:r>
          </w:p>
        </w:tc>
        <w:tc>
          <w:tcPr>
            <w:tcW w:w="2142" w:type="dxa"/>
            <w:tcBorders>
              <w:top w:val="single" w:color="000000" w:sz="4" w:space="0"/>
              <w:left w:val="single" w:color="000000" w:sz="4" w:space="0"/>
              <w:bottom w:val="single" w:color="000000" w:sz="4" w:space="0"/>
              <w:right w:val="single" w:color="000000" w:sz="4" w:space="0"/>
            </w:tcBorders>
            <w:vAlign w:val="center"/>
          </w:tcPr>
          <w:p w14:paraId="5F9648B4">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开标程序</w:t>
            </w:r>
          </w:p>
        </w:tc>
        <w:tc>
          <w:tcPr>
            <w:tcW w:w="7211" w:type="dxa"/>
            <w:tcBorders>
              <w:top w:val="single" w:color="000000" w:sz="4" w:space="0"/>
              <w:left w:val="single" w:color="000000" w:sz="4" w:space="0"/>
              <w:bottom w:val="single" w:color="000000" w:sz="4" w:space="0"/>
              <w:right w:val="single" w:color="000000" w:sz="4" w:space="0"/>
            </w:tcBorders>
            <w:vAlign w:val="center"/>
          </w:tcPr>
          <w:p w14:paraId="66414C46">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1.在投标截止时间后</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小时内，投标人通过递交投标文件的交易平台对已递交的电子投标文件进行解密。投标人完成解密后，再由招标人进行解密。解密完成后，公布招标项目名称、投标人名称等相关信息。未在规定时间内解密的投标文件不参与开标、评标。</w:t>
            </w:r>
          </w:p>
          <w:p w14:paraId="5BD222AE">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2.截标后，开标开始时间因故推迟的，相关评标信息仍以原定的开标开始时间的信息为准。</w:t>
            </w:r>
          </w:p>
          <w:p w14:paraId="152129B1">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3.备用光盘的读取按10.7的规定执行。</w:t>
            </w:r>
          </w:p>
          <w:p w14:paraId="055F4402">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4396ECD7">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开标方式采用电子开标和现场开标两种模式，投标人可选择在开标室参与开标或准时在线参加开标，也可不参加开标。参加在线开标的投标人登录交易平台实时查看开标、唱标情况。交易平台生成开标记录并向社会公众公布。</w:t>
            </w:r>
          </w:p>
          <w:p w14:paraId="0064B3D1">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6.参加现场开标的投标人对开标结果有异议的，应当在开标现场提出，招标人应当当场作出答复，并制作记录。</w:t>
            </w:r>
          </w:p>
          <w:p w14:paraId="7256397A">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7.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14:paraId="27CF9E4D">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8.投标人未参加开标或在规定的时间内未提出异议的，视为对开标无异议。</w:t>
            </w:r>
          </w:p>
          <w:p w14:paraId="43ACBDEF">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9.开标时，两个（含两个）以上的投标人加密打包投标文件电脑机器特征码一致的，不参与下一程序，并由评标委员会否决其投标。</w:t>
            </w:r>
          </w:p>
          <w:p w14:paraId="7693846D">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10.技术文件开标时不得开启，在评标时由交易平台随机编号后开启，交由评标委员会进行评审。编号所对应的投标人在投票结束前不得告知评标委员会、交易平台工作人员、招标人或招标代理机构。</w:t>
            </w:r>
          </w:p>
        </w:tc>
      </w:tr>
      <w:tr w14:paraId="727EF5F2">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254C4E35">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6.1.1</w:t>
            </w:r>
          </w:p>
        </w:tc>
        <w:tc>
          <w:tcPr>
            <w:tcW w:w="2142" w:type="dxa"/>
            <w:tcBorders>
              <w:top w:val="single" w:color="000000" w:sz="4" w:space="0"/>
              <w:left w:val="single" w:color="000000" w:sz="4" w:space="0"/>
              <w:bottom w:val="single" w:color="000000" w:sz="4" w:space="0"/>
              <w:right w:val="single" w:color="000000" w:sz="4" w:space="0"/>
            </w:tcBorders>
            <w:vAlign w:val="center"/>
          </w:tcPr>
          <w:p w14:paraId="40B3ABF5">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评标委员会的组建</w:t>
            </w:r>
          </w:p>
        </w:tc>
        <w:tc>
          <w:tcPr>
            <w:tcW w:w="7211" w:type="dxa"/>
            <w:tcBorders>
              <w:top w:val="single" w:color="000000" w:sz="4" w:space="0"/>
              <w:left w:val="single" w:color="000000" w:sz="4" w:space="0"/>
              <w:bottom w:val="single" w:color="000000" w:sz="4" w:space="0"/>
              <w:right w:val="single" w:color="000000" w:sz="4" w:space="0"/>
            </w:tcBorders>
            <w:vAlign w:val="center"/>
          </w:tcPr>
          <w:p w14:paraId="78A70A9A">
            <w:pPr>
              <w:pStyle w:val="43"/>
              <w:tabs>
                <w:tab w:val="left" w:pos="2309"/>
                <w:tab w:val="left" w:pos="2729"/>
                <w:tab w:val="left" w:pos="3826"/>
              </w:tabs>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评标委员会构成：</w:t>
            </w:r>
            <w:r>
              <w:rPr>
                <w:rFonts w:hint="eastAsia" w:ascii="宋体" w:hAnsi="宋体" w:eastAsia="宋体" w:cs="宋体"/>
                <w:color w:val="auto"/>
                <w:sz w:val="21"/>
                <w:szCs w:val="21"/>
                <w:highlight w:val="none"/>
                <w:lang w:eastAsia="zh-CN"/>
              </w:rPr>
              <w:t>评标委员会由招标人依法组建。</w:t>
            </w:r>
          </w:p>
        </w:tc>
      </w:tr>
      <w:tr w14:paraId="6534F77B">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1412B811">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6.3.2</w:t>
            </w:r>
          </w:p>
        </w:tc>
        <w:tc>
          <w:tcPr>
            <w:tcW w:w="2142" w:type="dxa"/>
            <w:tcBorders>
              <w:top w:val="single" w:color="000000" w:sz="4" w:space="0"/>
              <w:left w:val="single" w:color="000000" w:sz="4" w:space="0"/>
              <w:bottom w:val="single" w:color="000000" w:sz="4" w:space="0"/>
              <w:right w:val="single" w:color="000000" w:sz="4" w:space="0"/>
            </w:tcBorders>
            <w:vAlign w:val="center"/>
          </w:tcPr>
          <w:p w14:paraId="69102EBF">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评标委员会推荐中标候选人的人数</w:t>
            </w:r>
          </w:p>
        </w:tc>
        <w:tc>
          <w:tcPr>
            <w:tcW w:w="7211" w:type="dxa"/>
            <w:tcBorders>
              <w:top w:val="single" w:color="000000" w:sz="4" w:space="0"/>
              <w:left w:val="single" w:color="000000" w:sz="4" w:space="0"/>
              <w:bottom w:val="single" w:color="000000" w:sz="4" w:space="0"/>
              <w:right w:val="single" w:color="000000" w:sz="4" w:space="0"/>
            </w:tcBorders>
            <w:vAlign w:val="center"/>
          </w:tcPr>
          <w:p w14:paraId="4ED11588">
            <w:pPr>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推荐3名中标候选人。</w:t>
            </w:r>
          </w:p>
        </w:tc>
      </w:tr>
      <w:tr w14:paraId="5D5157BE">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27075E06">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7.1</w:t>
            </w:r>
          </w:p>
        </w:tc>
        <w:tc>
          <w:tcPr>
            <w:tcW w:w="2142" w:type="dxa"/>
            <w:tcBorders>
              <w:top w:val="single" w:color="000000" w:sz="4" w:space="0"/>
              <w:left w:val="single" w:color="000000" w:sz="4" w:space="0"/>
              <w:bottom w:val="single" w:color="000000" w:sz="4" w:space="0"/>
              <w:right w:val="single" w:color="000000" w:sz="4" w:space="0"/>
            </w:tcBorders>
            <w:vAlign w:val="center"/>
          </w:tcPr>
          <w:p w14:paraId="4EF5A36D">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中标候选人公示媒介及期限</w:t>
            </w:r>
          </w:p>
        </w:tc>
        <w:tc>
          <w:tcPr>
            <w:tcW w:w="7211" w:type="dxa"/>
            <w:tcBorders>
              <w:top w:val="single" w:color="000000" w:sz="4" w:space="0"/>
              <w:left w:val="single" w:color="000000" w:sz="4" w:space="0"/>
              <w:bottom w:val="single" w:color="000000" w:sz="4" w:space="0"/>
              <w:right w:val="single" w:color="000000" w:sz="4" w:space="0"/>
            </w:tcBorders>
            <w:vAlign w:val="center"/>
          </w:tcPr>
          <w:p w14:paraId="4B9CD5B5">
            <w:pPr>
              <w:pStyle w:val="43"/>
              <w:tabs>
                <w:tab w:val="left" w:pos="2100"/>
              </w:tabs>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公示媒介：中国招标投标公共服务平台、广东省招标投标监管网、广州交易集团有限公司（广州公共资源交易中心）网、</w:t>
            </w:r>
            <w:r>
              <w:rPr>
                <w:rFonts w:hint="eastAsia" w:ascii="宋体" w:hAnsi="宋体" w:eastAsia="宋体" w:cs="宋体"/>
                <w:color w:val="auto"/>
                <w:sz w:val="21"/>
                <w:szCs w:val="21"/>
                <w:highlight w:val="none"/>
                <w:lang w:val="en-US" w:eastAsia="zh-CN"/>
              </w:rPr>
              <w:t>广州南沙资产经营集团有限公司网</w:t>
            </w:r>
          </w:p>
          <w:p w14:paraId="12F59755">
            <w:pPr>
              <w:pStyle w:val="43"/>
              <w:tabs>
                <w:tab w:val="left" w:pos="2100"/>
              </w:tabs>
              <w:spacing w:line="300" w:lineRule="auto"/>
              <w:jc w:val="both"/>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公示期限：</w:t>
            </w:r>
            <w:r>
              <w:rPr>
                <w:rFonts w:hint="eastAsia" w:ascii="宋体" w:hAnsi="宋体" w:eastAsia="宋体" w:cs="宋体"/>
                <w:color w:val="auto"/>
                <w:spacing w:val="-2"/>
                <w:sz w:val="21"/>
                <w:szCs w:val="21"/>
                <w:highlight w:val="none"/>
                <w:u w:val="single" w:color="000000"/>
                <w:lang w:eastAsia="zh-CN"/>
              </w:rPr>
              <w:t>3</w:t>
            </w:r>
            <w:r>
              <w:rPr>
                <w:rFonts w:hint="eastAsia" w:ascii="宋体" w:hAnsi="宋体" w:eastAsia="宋体" w:cs="宋体"/>
                <w:color w:val="auto"/>
                <w:sz w:val="21"/>
                <w:szCs w:val="21"/>
                <w:highlight w:val="none"/>
              </w:rPr>
              <w:t>日</w:t>
            </w:r>
          </w:p>
        </w:tc>
      </w:tr>
      <w:tr w14:paraId="452B49C4">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2F3A199A">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7.4</w:t>
            </w:r>
          </w:p>
        </w:tc>
        <w:tc>
          <w:tcPr>
            <w:tcW w:w="2142" w:type="dxa"/>
            <w:tcBorders>
              <w:top w:val="single" w:color="000000" w:sz="4" w:space="0"/>
              <w:left w:val="single" w:color="000000" w:sz="4" w:space="0"/>
              <w:bottom w:val="single" w:color="000000" w:sz="4" w:space="0"/>
              <w:right w:val="single" w:color="000000" w:sz="4" w:space="0"/>
            </w:tcBorders>
            <w:vAlign w:val="center"/>
          </w:tcPr>
          <w:p w14:paraId="733C30B7">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是否授权评标委员会确定中标人</w:t>
            </w:r>
          </w:p>
        </w:tc>
        <w:tc>
          <w:tcPr>
            <w:tcW w:w="7211" w:type="dxa"/>
            <w:tcBorders>
              <w:top w:val="single" w:color="000000" w:sz="4" w:space="0"/>
              <w:left w:val="single" w:color="000000" w:sz="4" w:space="0"/>
              <w:bottom w:val="single" w:color="000000" w:sz="4" w:space="0"/>
              <w:right w:val="single" w:color="000000" w:sz="4" w:space="0"/>
            </w:tcBorders>
            <w:vAlign w:val="center"/>
          </w:tcPr>
          <w:p w14:paraId="6FB6FF3B">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□是</w:t>
            </w:r>
          </w:p>
          <w:p w14:paraId="497E0200">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■否：（1）招标人的招标领导小组根据评标报告，最终审定中标人。</w:t>
            </w:r>
          </w:p>
          <w:p w14:paraId="19A37A6E">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（2）依法必须进行公开招标的项目，招标人应当确定排名第一的中标候选人为中标人。</w:t>
            </w:r>
          </w:p>
          <w:p w14:paraId="0A05B15C">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tc>
      </w:tr>
      <w:tr w14:paraId="28525AEE">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3D95E483">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7.6</w:t>
            </w:r>
          </w:p>
        </w:tc>
        <w:tc>
          <w:tcPr>
            <w:tcW w:w="2142" w:type="dxa"/>
            <w:tcBorders>
              <w:top w:val="single" w:color="000000" w:sz="4" w:space="0"/>
              <w:left w:val="single" w:color="000000" w:sz="4" w:space="0"/>
              <w:bottom w:val="single" w:color="000000" w:sz="4" w:space="0"/>
              <w:right w:val="single" w:color="000000" w:sz="4" w:space="0"/>
            </w:tcBorders>
            <w:vAlign w:val="center"/>
          </w:tcPr>
          <w:p w14:paraId="26E98929">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技术成果经济补偿</w:t>
            </w:r>
          </w:p>
        </w:tc>
        <w:tc>
          <w:tcPr>
            <w:tcW w:w="7211" w:type="dxa"/>
            <w:tcBorders>
              <w:top w:val="single" w:color="000000" w:sz="4" w:space="0"/>
              <w:left w:val="single" w:color="000000" w:sz="4" w:space="0"/>
              <w:bottom w:val="single" w:color="000000" w:sz="4" w:space="0"/>
              <w:right w:val="single" w:color="000000" w:sz="4" w:space="0"/>
            </w:tcBorders>
            <w:vAlign w:val="center"/>
          </w:tcPr>
          <w:p w14:paraId="041AD0FF">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□不补偿</w:t>
            </w:r>
          </w:p>
          <w:p w14:paraId="52888BD0">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■补偿，补偿标准：见招标公告</w:t>
            </w:r>
          </w:p>
        </w:tc>
      </w:tr>
      <w:tr w14:paraId="74D04A52">
        <w:tblPrEx>
          <w:tblCellMar>
            <w:top w:w="0" w:type="dxa"/>
            <w:left w:w="0" w:type="dxa"/>
            <w:bottom w:w="0" w:type="dxa"/>
            <w:right w:w="0" w:type="dxa"/>
          </w:tblCellMar>
        </w:tblPrEx>
        <w:trPr>
          <w:trHeight w:val="90"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7CAF3B75">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7.7.1</w:t>
            </w:r>
          </w:p>
        </w:tc>
        <w:tc>
          <w:tcPr>
            <w:tcW w:w="2142" w:type="dxa"/>
            <w:tcBorders>
              <w:top w:val="single" w:color="000000" w:sz="4" w:space="0"/>
              <w:left w:val="single" w:color="000000" w:sz="4" w:space="0"/>
              <w:bottom w:val="single" w:color="000000" w:sz="4" w:space="0"/>
              <w:right w:val="single" w:color="000000" w:sz="4" w:space="0"/>
            </w:tcBorders>
            <w:vAlign w:val="center"/>
          </w:tcPr>
          <w:p w14:paraId="4810C2DC">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7211" w:type="dxa"/>
            <w:tcBorders>
              <w:top w:val="single" w:color="000000" w:sz="4" w:space="0"/>
              <w:left w:val="single" w:color="000000" w:sz="4" w:space="0"/>
              <w:bottom w:val="single" w:color="000000" w:sz="4" w:space="0"/>
              <w:right w:val="single" w:color="000000" w:sz="4" w:space="0"/>
            </w:tcBorders>
            <w:vAlign w:val="center"/>
          </w:tcPr>
          <w:p w14:paraId="0E22A438">
            <w:pPr>
              <w:pStyle w:val="43"/>
              <w:kinsoku w:val="0"/>
              <w:overflowPunct w:val="0"/>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是否要求中标人提交履约保证金：</w:t>
            </w:r>
          </w:p>
          <w:p w14:paraId="5A10FD9E">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■否</w:t>
            </w:r>
          </w:p>
          <w:p w14:paraId="25CA33EF">
            <w:pPr>
              <w:pStyle w:val="43"/>
              <w:kinsoku w:val="0"/>
              <w:overflowPunct w:val="0"/>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□要求，在收到中标通知书后的25日内，中标人须提交金额为中标价10%的银行履约保函。</w:t>
            </w:r>
          </w:p>
        </w:tc>
      </w:tr>
      <w:tr w14:paraId="51A89DFD">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18A87908">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2142" w:type="dxa"/>
            <w:tcBorders>
              <w:top w:val="single" w:color="000000" w:sz="4" w:space="0"/>
              <w:left w:val="single" w:color="000000" w:sz="4" w:space="0"/>
              <w:bottom w:val="single" w:color="000000" w:sz="4" w:space="0"/>
              <w:right w:val="single" w:color="000000" w:sz="4" w:space="0"/>
            </w:tcBorders>
            <w:vAlign w:val="center"/>
          </w:tcPr>
          <w:p w14:paraId="1FE53C4E">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是否采用电子招标投标</w:t>
            </w:r>
          </w:p>
        </w:tc>
        <w:tc>
          <w:tcPr>
            <w:tcW w:w="7211" w:type="dxa"/>
            <w:tcBorders>
              <w:top w:val="single" w:color="000000" w:sz="4" w:space="0"/>
              <w:left w:val="single" w:color="000000" w:sz="4" w:space="0"/>
              <w:bottom w:val="single" w:color="000000" w:sz="4" w:space="0"/>
              <w:right w:val="single" w:color="000000" w:sz="4" w:space="0"/>
            </w:tcBorders>
            <w:vAlign w:val="center"/>
          </w:tcPr>
          <w:p w14:paraId="6311A6CE">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□否</w:t>
            </w:r>
          </w:p>
          <w:p w14:paraId="4237FEE2">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■是，具体要求：</w:t>
            </w:r>
          </w:p>
          <w:p w14:paraId="711992CC">
            <w:pPr>
              <w:spacing w:line="300" w:lineRule="auto"/>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1.具体操作详见附件《房屋建筑和市政基础设施工程全流程电子化项目专章》。</w:t>
            </w:r>
          </w:p>
          <w:p w14:paraId="3180B151">
            <w:pPr>
              <w:spacing w:line="300" w:lineRule="auto"/>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2.提交投标文件光盘备用</w:t>
            </w:r>
          </w:p>
          <w:p w14:paraId="00D96F44">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single"/>
                <w:lang w:eastAsia="zh-CN"/>
              </w:rPr>
              <w:t>投标人可制作非加密的</w:t>
            </w:r>
            <w:r>
              <w:rPr>
                <w:rFonts w:hint="eastAsia" w:ascii="宋体" w:hAnsi="宋体" w:eastAsia="宋体" w:cs="宋体"/>
                <w:color w:val="auto"/>
                <w:spacing w:val="-2"/>
                <w:sz w:val="21"/>
                <w:szCs w:val="21"/>
                <w:highlight w:val="none"/>
                <w:u w:val="single"/>
                <w:lang w:eastAsia="zh-CN"/>
              </w:rPr>
              <w:t>商务文件光盘、技术文件光盘各1个</w:t>
            </w:r>
            <w:r>
              <w:rPr>
                <w:rFonts w:hint="eastAsia" w:ascii="宋体" w:hAnsi="宋体" w:eastAsia="宋体" w:cs="宋体"/>
                <w:color w:val="auto"/>
                <w:sz w:val="21"/>
                <w:szCs w:val="21"/>
                <w:highlight w:val="none"/>
                <w:u w:val="single"/>
                <w:lang w:eastAsia="zh-CN"/>
              </w:rPr>
              <w:t>及制作保密信封（1个），在招标公告规定的时间、地点提交备用。刻录好的投标文件光盘及保密信封密封在密封袋中。密封袋上应写明项目名称和招标人名称。递交的投标文件光盘（备用）不得加密。备用光盘无法读取或导入的，则视为未提交投标文件光盘（备用）。如果投标人没有按规定通过交易平台网上递交电子投标文件的，不再读取提交的光盘及开启保密信封。投标人也可不提交投标文件光盘（备用）及保密信封（备用）。</w:t>
            </w:r>
          </w:p>
          <w:p w14:paraId="2E59F7E9">
            <w:pPr>
              <w:spacing w:line="300" w:lineRule="auto"/>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3.补救方案</w:t>
            </w:r>
          </w:p>
          <w:p w14:paraId="726A8C09">
            <w:pPr>
              <w:spacing w:line="300" w:lineRule="auto"/>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（1）投标文件解密失败的补救方案：</w:t>
            </w:r>
          </w:p>
          <w:p w14:paraId="6CBA1C85">
            <w:pPr>
              <w:spacing w:line="300" w:lineRule="auto"/>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在规定时间内，因投标人之外原因（指网络瘫痪、服务器损坏、交易系统故障短期无法恢复等因素）导致的电子投标文件解密失败，在开标现场读取光盘内容，继续开标程序。评标委员会对其投标文件的评审以光盘内容为准。因投标人原因解密失败且未递交电子光盘或递交的电子光盘不能读取的，视为撤回投标文件。</w:t>
            </w:r>
          </w:p>
          <w:p w14:paraId="6C670E58">
            <w:pPr>
              <w:spacing w:line="300" w:lineRule="auto"/>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（2）评标时突发情况的补救方案</w:t>
            </w:r>
          </w:p>
          <w:p w14:paraId="53F5CBBB">
            <w:pPr>
              <w:spacing w:line="300" w:lineRule="auto"/>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若遇不可抗力发生（如：网络瘫痪、服务器损坏、交易系统故障短期无法恢复等因素），由评标委员会开启递交的全部投标文件光盘，并按光盘内容进行评审。</w:t>
            </w:r>
          </w:p>
          <w:p w14:paraId="2500C006">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single"/>
                <w:lang w:eastAsia="zh-CN"/>
              </w:rPr>
              <w:t>（3）除发生上述情况外，开标评标均以投标人通过交易平台网上递交的电子投标文件为准。</w:t>
            </w:r>
          </w:p>
        </w:tc>
      </w:tr>
      <w:tr w14:paraId="4A9E6FF4">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0DB1451C">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2142" w:type="dxa"/>
            <w:tcBorders>
              <w:top w:val="single" w:color="000000" w:sz="4" w:space="0"/>
              <w:left w:val="single" w:color="000000" w:sz="4" w:space="0"/>
              <w:bottom w:val="single" w:color="000000" w:sz="4" w:space="0"/>
              <w:right w:val="single" w:color="000000" w:sz="4" w:space="0"/>
            </w:tcBorders>
            <w:vAlign w:val="center"/>
          </w:tcPr>
          <w:p w14:paraId="3FE94408">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需要补充的其他内容</w:t>
            </w:r>
          </w:p>
        </w:tc>
        <w:tc>
          <w:tcPr>
            <w:tcW w:w="7211" w:type="dxa"/>
            <w:tcBorders>
              <w:top w:val="single" w:color="000000" w:sz="4" w:space="0"/>
              <w:left w:val="single" w:color="000000" w:sz="4" w:space="0"/>
              <w:bottom w:val="single" w:color="000000" w:sz="4" w:space="0"/>
              <w:right w:val="single" w:color="000000" w:sz="4" w:space="0"/>
            </w:tcBorders>
            <w:vAlign w:val="center"/>
          </w:tcPr>
          <w:p w14:paraId="4C75FE8D">
            <w:pPr>
              <w:spacing w:line="300" w:lineRule="auto"/>
              <w:jc w:val="both"/>
              <w:rPr>
                <w:rFonts w:ascii="宋体" w:hAnsi="宋体" w:eastAsia="宋体" w:cs="宋体"/>
                <w:color w:val="auto"/>
                <w:sz w:val="21"/>
                <w:szCs w:val="21"/>
                <w:highlight w:val="none"/>
                <w:lang w:eastAsia="zh-CN"/>
              </w:rPr>
            </w:pPr>
          </w:p>
        </w:tc>
      </w:tr>
      <w:tr w14:paraId="75BD8201">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7C782A1E">
            <w:pPr>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10.1</w:t>
            </w:r>
          </w:p>
        </w:tc>
        <w:tc>
          <w:tcPr>
            <w:tcW w:w="2142" w:type="dxa"/>
            <w:tcBorders>
              <w:top w:val="single" w:color="000000" w:sz="4" w:space="0"/>
              <w:left w:val="single" w:color="000000" w:sz="4" w:space="0"/>
              <w:bottom w:val="single" w:color="000000" w:sz="4" w:space="0"/>
              <w:right w:val="single" w:color="000000" w:sz="4" w:space="0"/>
            </w:tcBorders>
            <w:vAlign w:val="center"/>
          </w:tcPr>
          <w:p w14:paraId="674AD34D">
            <w:pPr>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特别提示</w:t>
            </w:r>
          </w:p>
        </w:tc>
        <w:tc>
          <w:tcPr>
            <w:tcW w:w="7211" w:type="dxa"/>
            <w:tcBorders>
              <w:top w:val="single" w:color="000000" w:sz="4" w:space="0"/>
              <w:left w:val="single" w:color="000000" w:sz="4" w:space="0"/>
              <w:bottom w:val="single" w:color="000000" w:sz="4" w:space="0"/>
              <w:right w:val="single" w:color="000000" w:sz="4" w:space="0"/>
            </w:tcBorders>
            <w:vAlign w:val="center"/>
          </w:tcPr>
          <w:p w14:paraId="6256FEF0">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single"/>
                <w:lang w:eastAsia="zh-CN"/>
              </w:rPr>
              <w:t>投标人在本项目招标人的工程项目中存在下列行为的，将被拒绝1年内参与我单位后续工程投标。（注：拒绝投标时限由招标人视严重程度确定，最低三个月起，自招标人发出通知之日起计）：</w:t>
            </w:r>
          </w:p>
          <w:p w14:paraId="58CBCB58">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（1）将中标工程转包或者违法分包的；</w:t>
            </w:r>
          </w:p>
          <w:p w14:paraId="7246419D">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（2）在中标工程中不执行质量、安全生产相关规定的，造成质量或安全事故的；</w:t>
            </w:r>
          </w:p>
          <w:p w14:paraId="4335B22B">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（3）存在围标、串标</w:t>
            </w:r>
            <w:r>
              <w:rPr>
                <w:rFonts w:hint="eastAsia" w:ascii="宋体" w:hAnsi="宋体" w:eastAsia="宋体" w:cs="宋体"/>
                <w:color w:val="auto"/>
                <w:sz w:val="21"/>
                <w:szCs w:val="21"/>
                <w:highlight w:val="none"/>
                <w:lang w:val="en-US" w:eastAsia="zh-CN"/>
              </w:rPr>
              <w:t>或存在任何影响招标公平性、公正性关系</w:t>
            </w:r>
            <w:r>
              <w:rPr>
                <w:rFonts w:hint="eastAsia" w:ascii="宋体" w:hAnsi="宋体" w:eastAsia="宋体" w:cs="宋体"/>
                <w:color w:val="auto"/>
                <w:sz w:val="21"/>
                <w:szCs w:val="21"/>
                <w:highlight w:val="none"/>
                <w:lang w:eastAsia="zh-CN"/>
              </w:rPr>
              <w:t>情形的；</w:t>
            </w:r>
          </w:p>
          <w:p w14:paraId="16754BAD">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（4）存在弄虚作假骗取中标、行贿情形的；</w:t>
            </w:r>
          </w:p>
        </w:tc>
      </w:tr>
      <w:tr w14:paraId="5307E0B5">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6394D360">
            <w:pPr>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10.2</w:t>
            </w:r>
          </w:p>
        </w:tc>
        <w:tc>
          <w:tcPr>
            <w:tcW w:w="2142" w:type="dxa"/>
            <w:tcBorders>
              <w:top w:val="single" w:color="000000" w:sz="4" w:space="0"/>
              <w:left w:val="single" w:color="000000" w:sz="4" w:space="0"/>
              <w:bottom w:val="single" w:color="000000" w:sz="4" w:space="0"/>
              <w:right w:val="single" w:color="000000" w:sz="4" w:space="0"/>
            </w:tcBorders>
            <w:vAlign w:val="center"/>
          </w:tcPr>
          <w:p w14:paraId="5ECC5EDC">
            <w:pPr>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送达</w:t>
            </w:r>
          </w:p>
        </w:tc>
        <w:tc>
          <w:tcPr>
            <w:tcW w:w="7211" w:type="dxa"/>
            <w:tcBorders>
              <w:top w:val="single" w:color="000000" w:sz="4" w:space="0"/>
              <w:left w:val="single" w:color="000000" w:sz="4" w:space="0"/>
              <w:bottom w:val="single" w:color="000000" w:sz="4" w:space="0"/>
              <w:right w:val="single" w:color="000000" w:sz="4" w:space="0"/>
            </w:tcBorders>
            <w:vAlign w:val="center"/>
          </w:tcPr>
          <w:p w14:paraId="5F594629">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《投诉处理决定书》和《行政处理决定书》在广州市住房和城乡建设局网站上公布的，视为送达其他与决定书有关的当事人。</w:t>
            </w:r>
          </w:p>
        </w:tc>
      </w:tr>
      <w:tr w14:paraId="5086AC63">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796CEAEC">
            <w:pPr>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10.3</w:t>
            </w:r>
          </w:p>
        </w:tc>
        <w:tc>
          <w:tcPr>
            <w:tcW w:w="2142" w:type="dxa"/>
            <w:tcBorders>
              <w:top w:val="single" w:color="000000" w:sz="4" w:space="0"/>
              <w:left w:val="single" w:color="000000" w:sz="4" w:space="0"/>
              <w:bottom w:val="single" w:color="000000" w:sz="4" w:space="0"/>
              <w:right w:val="single" w:color="000000" w:sz="4" w:space="0"/>
            </w:tcBorders>
            <w:vAlign w:val="center"/>
          </w:tcPr>
          <w:p w14:paraId="3730125D">
            <w:pPr>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招标失败的情形</w:t>
            </w:r>
          </w:p>
        </w:tc>
        <w:tc>
          <w:tcPr>
            <w:tcW w:w="7211" w:type="dxa"/>
            <w:tcBorders>
              <w:top w:val="single" w:color="000000" w:sz="4" w:space="0"/>
              <w:left w:val="single" w:color="000000" w:sz="4" w:space="0"/>
              <w:bottom w:val="single" w:color="000000" w:sz="4" w:space="0"/>
              <w:right w:val="single" w:color="000000" w:sz="4" w:space="0"/>
            </w:tcBorders>
            <w:vAlign w:val="center"/>
          </w:tcPr>
          <w:p w14:paraId="23AD9319">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本项目采用资格后审方式，满足资格审查合格条件或通过初步评审的投标申请人不足3名时为招标失败。招标人分析招标失败原因，修正招标方案，报有关管理部门核准后，重新组织招标。</w:t>
            </w:r>
          </w:p>
        </w:tc>
      </w:tr>
      <w:tr w14:paraId="4ACF05EB">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341B120D">
            <w:pPr>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10.4</w:t>
            </w:r>
          </w:p>
        </w:tc>
        <w:tc>
          <w:tcPr>
            <w:tcW w:w="2142" w:type="dxa"/>
            <w:tcBorders>
              <w:top w:val="single" w:color="000000" w:sz="4" w:space="0"/>
              <w:left w:val="single" w:color="000000" w:sz="4" w:space="0"/>
              <w:bottom w:val="single" w:color="000000" w:sz="4" w:space="0"/>
              <w:right w:val="single" w:color="000000" w:sz="4" w:space="0"/>
            </w:tcBorders>
            <w:vAlign w:val="center"/>
          </w:tcPr>
          <w:p w14:paraId="31A8AFCC">
            <w:pPr>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招标人拒绝接收其投标文件情况</w:t>
            </w:r>
          </w:p>
        </w:tc>
        <w:tc>
          <w:tcPr>
            <w:tcW w:w="7211" w:type="dxa"/>
            <w:tcBorders>
              <w:top w:val="single" w:color="000000" w:sz="4" w:space="0"/>
              <w:left w:val="single" w:color="000000" w:sz="4" w:space="0"/>
              <w:bottom w:val="single" w:color="000000" w:sz="4" w:space="0"/>
              <w:right w:val="single" w:color="000000" w:sz="4" w:space="0"/>
            </w:tcBorders>
            <w:vAlign w:val="center"/>
          </w:tcPr>
          <w:p w14:paraId="1A39D72B">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在投标截止期后逾期上传递交电子投标文件的；</w:t>
            </w:r>
          </w:p>
        </w:tc>
      </w:tr>
      <w:tr w14:paraId="6D1CEA73">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211BBABE">
            <w:pPr>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10.5</w:t>
            </w:r>
          </w:p>
        </w:tc>
        <w:tc>
          <w:tcPr>
            <w:tcW w:w="2142" w:type="dxa"/>
            <w:tcBorders>
              <w:top w:val="single" w:color="000000" w:sz="4" w:space="0"/>
              <w:left w:val="single" w:color="000000" w:sz="4" w:space="0"/>
              <w:bottom w:val="single" w:color="000000" w:sz="4" w:space="0"/>
              <w:right w:val="single" w:color="000000" w:sz="4" w:space="0"/>
            </w:tcBorders>
            <w:vAlign w:val="center"/>
          </w:tcPr>
          <w:p w14:paraId="602CEDD6">
            <w:pPr>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投标文件公开</w:t>
            </w:r>
          </w:p>
        </w:tc>
        <w:tc>
          <w:tcPr>
            <w:tcW w:w="7211" w:type="dxa"/>
            <w:tcBorders>
              <w:top w:val="single" w:color="000000" w:sz="4" w:space="0"/>
              <w:left w:val="single" w:color="000000" w:sz="4" w:space="0"/>
              <w:bottom w:val="single" w:color="000000" w:sz="4" w:space="0"/>
              <w:right w:val="single" w:color="000000" w:sz="4" w:space="0"/>
            </w:tcBorders>
            <w:vAlign w:val="center"/>
          </w:tcPr>
          <w:p w14:paraId="2677710D">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u w:val="single"/>
                <w:lang w:eastAsia="zh-CN"/>
              </w:rPr>
              <w:t>在产生中标候选人后，招标人将中标候选人的投标文件商务部分的电子版（报价清单、方案等涉及商业秘密的内容除外）在广州交易集团有限公司（广州公共资源交易中心）网站等法定媒介公开。</w:t>
            </w:r>
          </w:p>
        </w:tc>
      </w:tr>
      <w:tr w14:paraId="39B04B27">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1DEC6BA8">
            <w:pPr>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10.6</w:t>
            </w:r>
          </w:p>
        </w:tc>
        <w:tc>
          <w:tcPr>
            <w:tcW w:w="2142" w:type="dxa"/>
            <w:tcBorders>
              <w:top w:val="single" w:color="000000" w:sz="4" w:space="0"/>
              <w:left w:val="single" w:color="000000" w:sz="4" w:space="0"/>
              <w:bottom w:val="single" w:color="000000" w:sz="4" w:space="0"/>
              <w:right w:val="single" w:color="000000" w:sz="4" w:space="0"/>
            </w:tcBorders>
            <w:vAlign w:val="center"/>
          </w:tcPr>
          <w:p w14:paraId="025BEC12">
            <w:pPr>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7211" w:type="dxa"/>
            <w:tcBorders>
              <w:top w:val="single" w:color="000000" w:sz="4" w:space="0"/>
              <w:left w:val="single" w:color="000000" w:sz="4" w:space="0"/>
              <w:bottom w:val="single" w:color="000000" w:sz="4" w:space="0"/>
              <w:right w:val="single" w:color="000000" w:sz="4" w:space="0"/>
            </w:tcBorders>
            <w:vAlign w:val="center"/>
          </w:tcPr>
          <w:p w14:paraId="4E365FA1">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1.招标公告、招标文件、答疑纪要等招标资料全部发布在广州交易集团有限公司（广州公共资源交易中心）网站，由投标人自行下载查阅。</w:t>
            </w:r>
          </w:p>
          <w:p w14:paraId="10402E47">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2.投标截止时间、开标时间和地点：发布在广州交易集团有限公司（广州公共资源交易中心）网站（具体在网站主页“服务指南”中“交易活动安排”栏目上以“项目名称”或“项目编号”进行查询）。</w:t>
            </w:r>
          </w:p>
          <w:p w14:paraId="4F983ECC">
            <w:pPr>
              <w:autoSpaceDE w:val="0"/>
              <w:autoSpaceDN w:val="0"/>
              <w:adjustRightInd w:val="0"/>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3.中标后，中标单位须提交与网上上传电子投标文件完全一致的纸质投标文件（1正3副，加盖公章）给招标单位。</w:t>
            </w:r>
          </w:p>
          <w:p w14:paraId="05614524">
            <w:pPr>
              <w:autoSpaceDE w:val="0"/>
              <w:autoSpaceDN w:val="0"/>
              <w:adjustRightInd w:val="0"/>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4.本工程采用全电子化资格后审方式，具体要求详见《</w:t>
            </w:r>
            <w:r>
              <w:rPr>
                <w:rFonts w:hint="eastAsia" w:ascii="宋体" w:hAnsi="宋体" w:eastAsia="宋体" w:cs="宋体"/>
                <w:color w:val="auto"/>
                <w:sz w:val="21"/>
                <w:szCs w:val="21"/>
                <w:highlight w:val="none"/>
                <w:u w:val="single"/>
                <w:lang w:eastAsia="zh-CN"/>
              </w:rPr>
              <w:t>房屋建筑和市政基础设施工程全流程电子化项目专章</w:t>
            </w:r>
            <w:r>
              <w:rPr>
                <w:rFonts w:hint="eastAsia" w:ascii="宋体" w:hAnsi="宋体" w:eastAsia="宋体" w:cs="宋体"/>
                <w:color w:val="auto"/>
                <w:sz w:val="21"/>
                <w:szCs w:val="21"/>
                <w:highlight w:val="none"/>
                <w:lang w:eastAsia="zh-CN"/>
              </w:rPr>
              <w:t>》。</w:t>
            </w:r>
          </w:p>
        </w:tc>
      </w:tr>
      <w:tr w14:paraId="2BDF4F2D">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06D9439F">
            <w:pPr>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10.7</w:t>
            </w:r>
          </w:p>
        </w:tc>
        <w:tc>
          <w:tcPr>
            <w:tcW w:w="2142" w:type="dxa"/>
            <w:tcBorders>
              <w:top w:val="single" w:color="000000" w:sz="4" w:space="0"/>
              <w:left w:val="single" w:color="000000" w:sz="4" w:space="0"/>
              <w:bottom w:val="single" w:color="000000" w:sz="4" w:space="0"/>
              <w:right w:val="single" w:color="000000" w:sz="4" w:space="0"/>
            </w:tcBorders>
            <w:vAlign w:val="center"/>
          </w:tcPr>
          <w:p w14:paraId="5A7496E0">
            <w:pPr>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电子招标投标解密失败及突发状况的补救</w:t>
            </w:r>
          </w:p>
        </w:tc>
        <w:tc>
          <w:tcPr>
            <w:tcW w:w="7211" w:type="dxa"/>
            <w:tcBorders>
              <w:top w:val="single" w:color="000000" w:sz="4" w:space="0"/>
              <w:left w:val="single" w:color="000000" w:sz="4" w:space="0"/>
              <w:bottom w:val="single" w:color="000000" w:sz="4" w:space="0"/>
              <w:right w:val="single" w:color="000000" w:sz="4" w:space="0"/>
            </w:tcBorders>
            <w:vAlign w:val="center"/>
          </w:tcPr>
          <w:p w14:paraId="60700FA7">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1.提交投标文件光盘备用：</w:t>
            </w:r>
            <w:r>
              <w:rPr>
                <w:rFonts w:hint="eastAsia" w:ascii="宋体" w:hAnsi="宋体" w:eastAsia="宋体" w:cs="宋体"/>
                <w:color w:val="auto"/>
                <w:sz w:val="21"/>
                <w:szCs w:val="21"/>
                <w:highlight w:val="none"/>
                <w:u w:val="single"/>
                <w:lang w:eastAsia="zh-CN"/>
              </w:rPr>
              <w:t>投标人可制作非加密的</w:t>
            </w:r>
            <w:r>
              <w:rPr>
                <w:rFonts w:hint="eastAsia" w:ascii="宋体" w:hAnsi="宋体" w:eastAsia="宋体" w:cs="宋体"/>
                <w:color w:val="auto"/>
                <w:spacing w:val="-2"/>
                <w:sz w:val="21"/>
                <w:szCs w:val="21"/>
                <w:highlight w:val="none"/>
                <w:u w:val="single"/>
                <w:lang w:eastAsia="zh-CN"/>
              </w:rPr>
              <w:t>商务文件光盘、技术文件光盘各1个</w:t>
            </w:r>
            <w:r>
              <w:rPr>
                <w:rFonts w:hint="eastAsia" w:ascii="宋体" w:hAnsi="宋体" w:eastAsia="宋体" w:cs="宋体"/>
                <w:color w:val="auto"/>
                <w:sz w:val="21"/>
                <w:szCs w:val="21"/>
                <w:highlight w:val="none"/>
                <w:u w:val="single"/>
                <w:lang w:eastAsia="zh-CN"/>
              </w:rPr>
              <w:t>及制作保密信封（1个），在招标公告规定的时间、地点提交备用。刻录好的投标文件光盘及保密信封密封在密封袋中。密封袋上应写明项目名称和招标人名称。递交的投标文件光盘（备用）不得加密。备用光盘无法读取或导入的，则视为未提交投标文件光盘（备用）。如果投标人没有按规定通过交易平台网上递交电子投标文件的，不再读取提交的光盘及开启保密信封。投标人也可不提交投标文件光盘（备用）及保密信封（备用）。</w:t>
            </w:r>
          </w:p>
          <w:p w14:paraId="703E1619">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2.补救方案</w:t>
            </w:r>
          </w:p>
          <w:p w14:paraId="05EA5BAC">
            <w:pPr>
              <w:spacing w:line="300" w:lineRule="auto"/>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（1）投标文件解密失败的补救方案：</w:t>
            </w:r>
          </w:p>
          <w:p w14:paraId="4BFA76A1">
            <w:pPr>
              <w:spacing w:line="300" w:lineRule="auto"/>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在规定时间内，因投标人之外原因（指网络瘫痪、服务器损坏、交易系统故障短期无法恢复等因素）导致的电子投标文件解密失败，在开标现场读取光盘内容，继续开标程序。评标委员会对其投标文件的评审以光盘内容为准。因投标人原因解密失败且未递交电子光盘或递交的电子光盘不能读取的，视为撤回投标文件。</w:t>
            </w:r>
          </w:p>
          <w:p w14:paraId="3782A405">
            <w:pPr>
              <w:spacing w:line="300" w:lineRule="auto"/>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（2）评标时突发情况的补救方案若遇不可抗力发生（如：网络瘫痪、服务器损坏、交易系统故障短期无法恢复等因素），由评标委员会开启递交的全部投标文件光盘，并按光盘内容进行评审。</w:t>
            </w:r>
          </w:p>
          <w:p w14:paraId="5A569FB3">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single"/>
                <w:lang w:eastAsia="zh-CN"/>
              </w:rPr>
              <w:t>（3）除发生上述情况外，开标评标均以投标人通过交易平台网上递交的电子投标文件为准</w:t>
            </w:r>
            <w:r>
              <w:rPr>
                <w:rFonts w:hint="eastAsia" w:ascii="宋体" w:hAnsi="宋体" w:eastAsia="宋体" w:cs="宋体"/>
                <w:color w:val="auto"/>
                <w:sz w:val="21"/>
                <w:szCs w:val="21"/>
                <w:highlight w:val="none"/>
                <w:lang w:eastAsia="zh-CN"/>
              </w:rPr>
              <w:t>。</w:t>
            </w:r>
          </w:p>
        </w:tc>
      </w:tr>
      <w:tr w14:paraId="1FE23D38">
        <w:tblPrEx>
          <w:tblCellMar>
            <w:top w:w="0" w:type="dxa"/>
            <w:left w:w="0" w:type="dxa"/>
            <w:bottom w:w="0" w:type="dxa"/>
            <w:right w:w="0" w:type="dxa"/>
          </w:tblCellMar>
        </w:tblPrEx>
        <w:trPr>
          <w:trHeight w:val="454" w:hRule="atLeast"/>
          <w:jc w:val="center"/>
        </w:trPr>
        <w:tc>
          <w:tcPr>
            <w:tcW w:w="995" w:type="dxa"/>
            <w:tcBorders>
              <w:top w:val="single" w:color="000000" w:sz="4" w:space="0"/>
              <w:left w:val="single" w:color="000000" w:sz="4" w:space="0"/>
              <w:bottom w:val="single" w:color="000000" w:sz="4" w:space="0"/>
              <w:right w:val="single" w:color="000000" w:sz="4" w:space="0"/>
            </w:tcBorders>
            <w:vAlign w:val="center"/>
          </w:tcPr>
          <w:p w14:paraId="108DCC1F">
            <w:pPr>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10.8</w:t>
            </w:r>
          </w:p>
        </w:tc>
        <w:tc>
          <w:tcPr>
            <w:tcW w:w="2142" w:type="dxa"/>
            <w:tcBorders>
              <w:top w:val="single" w:color="000000" w:sz="4" w:space="0"/>
              <w:left w:val="single" w:color="000000" w:sz="4" w:space="0"/>
              <w:bottom w:val="single" w:color="000000" w:sz="4" w:space="0"/>
              <w:right w:val="single" w:color="000000" w:sz="4" w:space="0"/>
            </w:tcBorders>
            <w:vAlign w:val="center"/>
          </w:tcPr>
          <w:p w14:paraId="788BF106">
            <w:pPr>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否决投标</w:t>
            </w:r>
          </w:p>
        </w:tc>
        <w:tc>
          <w:tcPr>
            <w:tcW w:w="7211" w:type="dxa"/>
            <w:tcBorders>
              <w:top w:val="single" w:color="000000" w:sz="4" w:space="0"/>
              <w:left w:val="single" w:color="000000" w:sz="4" w:space="0"/>
              <w:bottom w:val="single" w:color="000000" w:sz="4" w:space="0"/>
              <w:right w:val="single" w:color="000000" w:sz="4" w:space="0"/>
            </w:tcBorders>
            <w:vAlign w:val="center"/>
          </w:tcPr>
          <w:p w14:paraId="66FEBE7C">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10.8.1投标人有下列情况之一的，评标委员会应当否决其投标：</w:t>
            </w:r>
          </w:p>
          <w:p w14:paraId="0B00185B">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（1）投标人与招标人、评标委员会成员或者其他投标人串通投标；</w:t>
            </w:r>
          </w:p>
          <w:p w14:paraId="2EA75107">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（2）投标人之间存在《广东省实施&lt;中华人民共和国招标投标法&gt;》第十六条所禁止的情形的；</w:t>
            </w:r>
          </w:p>
          <w:p w14:paraId="2EC0E15B">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10.8.2有下列情况之一的，评标委员会应当否决其投标：</w:t>
            </w:r>
          </w:p>
          <w:p w14:paraId="5200F175">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（1）《投标书》未加盖投标人公章，也未经法定代表人或者其授权代表签字；</w:t>
            </w:r>
          </w:p>
          <w:p w14:paraId="53082C3F">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（2）《投标书》包含有招标人不能接受的偏差，并且投标人拒绝书面撤回偏差；</w:t>
            </w:r>
          </w:p>
          <w:p w14:paraId="7C2DB89B">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（3）《投标人声明》未按规定格式填写或未加盖投标人公章；</w:t>
            </w:r>
          </w:p>
          <w:p w14:paraId="3858DFA6">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10.8.3投标文件有下列情况之一的，评标委员会应当否决其投标：</w:t>
            </w:r>
          </w:p>
          <w:p w14:paraId="2C5BFEC6">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（1）投标人与其他投标人加密打包投标文件电脑机器特征码一致的；</w:t>
            </w:r>
          </w:p>
          <w:p w14:paraId="1E0B88C6">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（2）投标人在设计方案内标注名称、印章、商标、图形等记认符号，使人辨认出投标人或其专业技术人员的身份；</w:t>
            </w:r>
          </w:p>
          <w:p w14:paraId="7C977866">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（3）投标人之间存在《广东省实施&lt;中华人民共和国招标投标法&gt;》第十六条所禁止的情形的；</w:t>
            </w:r>
          </w:p>
          <w:p w14:paraId="7FB3F1FD">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（4）投标报价高于最高投标限价总价的；</w:t>
            </w:r>
          </w:p>
          <w:p w14:paraId="12E84C99">
            <w:pPr>
              <w:spacing w:line="300" w:lineRule="auto"/>
              <w:rPr>
                <w:rFonts w:ascii="宋体" w:hAnsi="宋体" w:eastAsia="宋体" w:cs="宋体"/>
                <w:strike/>
                <w:color w:val="auto"/>
                <w:sz w:val="21"/>
                <w:szCs w:val="21"/>
                <w:highlight w:val="none"/>
                <w:lang w:eastAsia="zh-CN"/>
              </w:rPr>
            </w:pPr>
            <w:r>
              <w:rPr>
                <w:rFonts w:hint="eastAsia" w:ascii="宋体" w:hAnsi="宋体" w:eastAsia="宋体" w:cs="宋体"/>
                <w:strike/>
                <w:color w:val="auto"/>
                <w:sz w:val="21"/>
                <w:szCs w:val="21"/>
                <w:highlight w:val="none"/>
                <w:lang w:eastAsia="zh-CN"/>
              </w:rPr>
              <w:t>（5）投标人未递交投标保证金的。</w:t>
            </w:r>
          </w:p>
          <w:p w14:paraId="793F3887">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10.8.4投标人有下列情况之一的，视为串通投标：</w:t>
            </w:r>
          </w:p>
          <w:p w14:paraId="2C895FF5">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（1）递交投标文件前，投标人私下向招标人或其雇员出示或告知投标文件内容；</w:t>
            </w:r>
          </w:p>
          <w:p w14:paraId="2E8FC73A">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（2）评标表决结束前，投标人私下向评标委员会成员出示或告知投标文件内容；</w:t>
            </w:r>
          </w:p>
          <w:p w14:paraId="7BF2DEC6">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（3）评标结果揭晓前，投标人与招标人就投标价格、投标方案等实质性内容进行谈判。</w:t>
            </w:r>
          </w:p>
          <w:p w14:paraId="355B5807">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10.8.5发生下列情形之一的，招标人应当重新组织招标：</w:t>
            </w:r>
          </w:p>
          <w:p w14:paraId="411BB2FE">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（1）递交投标文件或通过资格审查的投标人不足三人；</w:t>
            </w:r>
          </w:p>
          <w:p w14:paraId="2C4CE192">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（2）所有投标被否决，或者经评议有效投标的投标人少于三人；</w:t>
            </w:r>
          </w:p>
          <w:p w14:paraId="37551F76">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（3）经项目审批部门会同行业主管部门裁定招标投标结果无效；</w:t>
            </w:r>
          </w:p>
          <w:p w14:paraId="17407623">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10.8.6否决投标的决定由评标委员会作出，其他投标人无权干涉。</w:t>
            </w:r>
          </w:p>
          <w:p w14:paraId="3EB6E7A4">
            <w:pPr>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10.8.7投标文件如果隐瞒不符合评审标准的事实，一切法律责任由投标人承担。</w:t>
            </w:r>
          </w:p>
        </w:tc>
      </w:tr>
    </w:tbl>
    <w:p w14:paraId="1A827BDE">
      <w:pPr>
        <w:pStyle w:val="7"/>
        <w:spacing w:line="300" w:lineRule="auto"/>
        <w:rPr>
          <w:color w:val="auto"/>
          <w:highlight w:val="none"/>
          <w:lang w:eastAsia="zh-CN"/>
        </w:rPr>
      </w:pPr>
    </w:p>
    <w:p w14:paraId="4E084406">
      <w:pPr>
        <w:pStyle w:val="3"/>
        <w:spacing w:line="360" w:lineRule="auto"/>
        <w:ind w:left="0"/>
        <w:rPr>
          <w:rFonts w:ascii="宋体" w:hAnsi="宋体" w:eastAsia="宋体"/>
          <w:b w:val="0"/>
          <w:bCs w:val="0"/>
          <w:color w:val="auto"/>
          <w:highlight w:val="none"/>
          <w:lang w:eastAsia="zh-CN"/>
        </w:rPr>
      </w:pPr>
      <w:bookmarkStart w:id="16" w:name="_Toc25137982"/>
      <w:bookmarkStart w:id="17" w:name="_Toc25152732"/>
      <w:r>
        <w:rPr>
          <w:rFonts w:ascii="宋体" w:hAnsi="宋体" w:eastAsia="宋体"/>
          <w:color w:val="auto"/>
          <w:highlight w:val="none"/>
          <w:lang w:eastAsia="zh-CN"/>
        </w:rPr>
        <w:br w:type="page"/>
      </w:r>
      <w:r>
        <w:rPr>
          <w:rFonts w:ascii="宋体" w:hAnsi="宋体" w:eastAsia="宋体"/>
          <w:color w:val="auto"/>
          <w:highlight w:val="none"/>
          <w:lang w:eastAsia="zh-CN"/>
        </w:rPr>
        <w:t>1. 总则</w:t>
      </w:r>
      <w:bookmarkEnd w:id="16"/>
      <w:bookmarkEnd w:id="17"/>
    </w:p>
    <w:p w14:paraId="68EF1638">
      <w:pPr>
        <w:pStyle w:val="4"/>
        <w:spacing w:line="360" w:lineRule="auto"/>
        <w:ind w:left="0"/>
        <w:rPr>
          <w:b/>
          <w:bCs/>
          <w:color w:val="auto"/>
          <w:highlight w:val="none"/>
          <w:lang w:eastAsia="zh-CN"/>
        </w:rPr>
      </w:pPr>
      <w:r>
        <w:rPr>
          <w:b/>
          <w:bCs/>
          <w:color w:val="auto"/>
          <w:highlight w:val="none"/>
          <w:lang w:eastAsia="zh-CN"/>
        </w:rPr>
        <w:t>1.1招标项目概况</w:t>
      </w:r>
    </w:p>
    <w:p w14:paraId="2BD942A5">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1.1.1</w:t>
      </w:r>
      <w:r>
        <w:rPr>
          <w:color w:val="auto"/>
          <w:spacing w:val="-8"/>
          <w:sz w:val="24"/>
          <w:szCs w:val="24"/>
          <w:highlight w:val="none"/>
          <w:lang w:eastAsia="zh-CN"/>
        </w:rPr>
        <w:t>根据《中华人民共和国招标投标法》、《中华人民共和国招标投标法实施条例》等有关</w:t>
      </w:r>
      <w:r>
        <w:rPr>
          <w:color w:val="auto"/>
          <w:sz w:val="24"/>
          <w:szCs w:val="24"/>
          <w:highlight w:val="none"/>
          <w:lang w:eastAsia="zh-CN"/>
        </w:rPr>
        <w:t>法律、法规和规章的规定，本招标项目已具备招标条件，现对</w:t>
      </w:r>
      <w:r>
        <w:rPr>
          <w:rFonts w:hint="eastAsia"/>
          <w:color w:val="auto"/>
          <w:sz w:val="24"/>
          <w:szCs w:val="24"/>
          <w:highlight w:val="none"/>
          <w:u w:val="single"/>
          <w:lang w:eastAsia="zh-CN"/>
        </w:rPr>
        <w:t>方案设计</w:t>
      </w:r>
      <w:r>
        <w:rPr>
          <w:color w:val="auto"/>
          <w:sz w:val="24"/>
          <w:szCs w:val="24"/>
          <w:highlight w:val="none"/>
          <w:lang w:eastAsia="zh-CN"/>
        </w:rPr>
        <w:t>进行招标。</w:t>
      </w:r>
    </w:p>
    <w:p w14:paraId="30C1939A">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1.1.2招标人：见投标人须知前附表。</w:t>
      </w:r>
    </w:p>
    <w:p w14:paraId="0D18C80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1.1.3招标代理机构：见投标人须知前附表。</w:t>
      </w:r>
    </w:p>
    <w:p w14:paraId="1DA35264">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1.1.4招标项目名称：见投标人须知前附表。</w:t>
      </w:r>
    </w:p>
    <w:p w14:paraId="4EE39933">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1.1.5项目建设地点：见投标人须知前附表。</w:t>
      </w:r>
    </w:p>
    <w:p w14:paraId="169B68B0">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1.1.6项目建设规模：见投标人须知前附表。</w:t>
      </w:r>
    </w:p>
    <w:p w14:paraId="7BD5A58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1.1.7项目投资估算：见投标人须知前附表。</w:t>
      </w:r>
    </w:p>
    <w:p w14:paraId="7CEA06D6">
      <w:pPr>
        <w:pStyle w:val="4"/>
        <w:spacing w:line="360" w:lineRule="auto"/>
        <w:ind w:left="0"/>
        <w:rPr>
          <w:b/>
          <w:bCs/>
          <w:color w:val="auto"/>
          <w:highlight w:val="none"/>
          <w:lang w:eastAsia="zh-CN"/>
        </w:rPr>
      </w:pPr>
      <w:r>
        <w:rPr>
          <w:b/>
          <w:bCs/>
          <w:color w:val="auto"/>
          <w:highlight w:val="none"/>
          <w:lang w:eastAsia="zh-CN"/>
        </w:rPr>
        <w:t>1.2招标项目的资金来源和落实情况</w:t>
      </w:r>
    </w:p>
    <w:p w14:paraId="7D6E1A3F">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1.2.1资金来源及比例：见投标人须知前附表。</w:t>
      </w:r>
    </w:p>
    <w:p w14:paraId="2500AA7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1.2.2资金落实情况：见投标人须知前附表。</w:t>
      </w:r>
    </w:p>
    <w:p w14:paraId="174F6A42">
      <w:pPr>
        <w:pStyle w:val="4"/>
        <w:spacing w:line="360" w:lineRule="auto"/>
        <w:ind w:left="0"/>
        <w:rPr>
          <w:b/>
          <w:bCs/>
          <w:color w:val="auto"/>
          <w:highlight w:val="none"/>
          <w:lang w:eastAsia="zh-CN"/>
        </w:rPr>
      </w:pPr>
      <w:r>
        <w:rPr>
          <w:b/>
          <w:bCs/>
          <w:color w:val="auto"/>
          <w:highlight w:val="none"/>
          <w:lang w:eastAsia="zh-CN"/>
        </w:rPr>
        <w:t>1.3招标范围、</w:t>
      </w:r>
      <w:r>
        <w:rPr>
          <w:b/>
          <w:bCs/>
          <w:color w:val="auto"/>
          <w:highlight w:val="none"/>
          <w:u w:val="single"/>
          <w:lang w:eastAsia="zh-CN"/>
        </w:rPr>
        <w:t>设计</w:t>
      </w:r>
      <w:r>
        <w:rPr>
          <w:b/>
          <w:bCs/>
          <w:color w:val="auto"/>
          <w:highlight w:val="none"/>
          <w:lang w:eastAsia="zh-CN"/>
        </w:rPr>
        <w:t>服务期限和质量标准</w:t>
      </w:r>
    </w:p>
    <w:p w14:paraId="43A2E5C0">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1.3.1招标范围：见投标人须知前附表。</w:t>
      </w:r>
    </w:p>
    <w:p w14:paraId="42ECDB31">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1.3.2</w:t>
      </w:r>
      <w:r>
        <w:rPr>
          <w:color w:val="auto"/>
          <w:sz w:val="24"/>
          <w:szCs w:val="24"/>
          <w:highlight w:val="none"/>
          <w:u w:val="single"/>
          <w:lang w:eastAsia="zh-CN"/>
        </w:rPr>
        <w:t>设计</w:t>
      </w:r>
      <w:r>
        <w:rPr>
          <w:color w:val="auto"/>
          <w:sz w:val="24"/>
          <w:szCs w:val="24"/>
          <w:highlight w:val="none"/>
          <w:lang w:eastAsia="zh-CN"/>
        </w:rPr>
        <w:t>服务期限：见投标人须知前附表。</w:t>
      </w:r>
    </w:p>
    <w:p w14:paraId="48AACFFF">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1.3.3质量标准：见投标人须知前附表。</w:t>
      </w:r>
    </w:p>
    <w:p w14:paraId="7EF811F8">
      <w:pPr>
        <w:pStyle w:val="4"/>
        <w:spacing w:line="360" w:lineRule="auto"/>
        <w:ind w:left="0"/>
        <w:rPr>
          <w:b/>
          <w:bCs/>
          <w:color w:val="auto"/>
          <w:highlight w:val="none"/>
          <w:lang w:eastAsia="zh-CN"/>
        </w:rPr>
      </w:pPr>
      <w:r>
        <w:rPr>
          <w:b/>
          <w:bCs/>
          <w:color w:val="auto"/>
          <w:highlight w:val="none"/>
          <w:lang w:eastAsia="zh-CN"/>
        </w:rPr>
        <w:t>1.4投标人资格要求</w:t>
      </w:r>
    </w:p>
    <w:p w14:paraId="6EA951C2">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1.4.1投标人应具备承担本招标项目资质条件、能力和信誉：</w:t>
      </w:r>
    </w:p>
    <w:p w14:paraId="70C5B272">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（1）资质要求：见投标人须知前附表；</w:t>
      </w:r>
    </w:p>
    <w:p w14:paraId="79861F19">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（2）财务要求：见投标人须知前附表；</w:t>
      </w:r>
    </w:p>
    <w:p w14:paraId="16E72944">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（3）业绩要求：见投标人须知前附表；</w:t>
      </w:r>
    </w:p>
    <w:p w14:paraId="243CBEA6">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（4）信誉要求：见投标人须知前附表；</w:t>
      </w:r>
    </w:p>
    <w:p w14:paraId="408C2099">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（5）项目负责人的资格要求：</w:t>
      </w:r>
      <w:r>
        <w:rPr>
          <w:strike/>
          <w:color w:val="auto"/>
          <w:sz w:val="24"/>
          <w:szCs w:val="24"/>
          <w:highlight w:val="none"/>
          <w:lang w:eastAsia="zh-CN"/>
        </w:rPr>
        <w:t>应当具备工程设计类注册执业资格（如有），</w:t>
      </w:r>
      <w:r>
        <w:rPr>
          <w:color w:val="auto"/>
          <w:sz w:val="24"/>
          <w:szCs w:val="24"/>
          <w:highlight w:val="none"/>
          <w:lang w:eastAsia="zh-CN"/>
        </w:rPr>
        <w:t>具体要求见投标人须知前附表；</w:t>
      </w:r>
    </w:p>
    <w:p w14:paraId="2127A3EE">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（6）其他主要人员要求：见投标人须知前附表。</w:t>
      </w:r>
    </w:p>
    <w:p w14:paraId="384DDC4B">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（7）</w:t>
      </w:r>
      <w:r>
        <w:rPr>
          <w:color w:val="auto"/>
          <w:sz w:val="24"/>
          <w:szCs w:val="24"/>
          <w:highlight w:val="none"/>
          <w:lang w:eastAsia="zh-CN"/>
        </w:rPr>
        <w:t>其他要求：见投标人须知前附表。</w:t>
      </w:r>
    </w:p>
    <w:p w14:paraId="65534194">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需要提交的相关证明材料见本章第3.5款的规定。</w:t>
      </w:r>
    </w:p>
    <w:p w14:paraId="69E5D99F">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1.4.2 投标人须知前附表规定接受联合体投标的，联合体除应符合本章第1.4.1项和投标人须知前附表的要求外，还应遵守以下规定：</w:t>
      </w:r>
    </w:p>
    <w:p w14:paraId="16704518">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（1）联合体各方应按招标文件提供的格式签订联合体协议书，明确联合体牵头人和各方权利义务，并承诺就中标项目向招标人承担连带责任；</w:t>
      </w:r>
    </w:p>
    <w:p w14:paraId="5FF1ACB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（2）由同一专业的单位组成的联合体，按照资质等级较低的单位确定资质等级；</w:t>
      </w:r>
    </w:p>
    <w:p w14:paraId="4EA815D9">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（3）联合体各方不得再以自己名义单独或参加其他联合体在本招标项目中投标，否则各相关投标均无效。</w:t>
      </w:r>
    </w:p>
    <w:p w14:paraId="5A0A150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1.4.3投标人不得存在下列情形之一：</w:t>
      </w:r>
    </w:p>
    <w:p w14:paraId="28C6FA24">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（1）为招标人不具有独立法人资格的附属机构（单位）；</w:t>
      </w:r>
    </w:p>
    <w:p w14:paraId="22AAB959">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（2）与招标人存在利害关系且可能影响招标公正性；</w:t>
      </w:r>
    </w:p>
    <w:p w14:paraId="7955E1EE">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（3）与本招标项目的其他投标人为同一个单位负责人；</w:t>
      </w:r>
    </w:p>
    <w:p w14:paraId="01ACCEEA">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（4）与本招标项目的其他投标人存在控股、管理关系；</w:t>
      </w:r>
    </w:p>
    <w:p w14:paraId="03128B8C">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（5）为本招标项目的代建人；</w:t>
      </w:r>
    </w:p>
    <w:p w14:paraId="62DF1217">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（6）为本招标项目的招标代理机构；</w:t>
      </w:r>
    </w:p>
    <w:p w14:paraId="0DB4A907">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（7）与本招标项目的代建人或招标代理机构同为一个法定代表人；</w:t>
      </w:r>
    </w:p>
    <w:p w14:paraId="2582B6F4">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（8）与本招标项目的代建人或招标代理机构存在控股或参股</w:t>
      </w:r>
      <w:r>
        <w:rPr>
          <w:rFonts w:hint="eastAsia"/>
          <w:color w:val="auto"/>
          <w:sz w:val="24"/>
          <w:szCs w:val="24"/>
          <w:highlight w:val="none"/>
          <w:lang w:val="en-US" w:eastAsia="zh-CN"/>
        </w:rPr>
        <w:t>或其他影响招标公平性、公正性的</w:t>
      </w:r>
      <w:r>
        <w:rPr>
          <w:rFonts w:hint="eastAsia"/>
          <w:color w:val="auto"/>
          <w:sz w:val="24"/>
          <w:szCs w:val="24"/>
          <w:highlight w:val="none"/>
          <w:lang w:eastAsia="zh-CN"/>
        </w:rPr>
        <w:t>关系；</w:t>
      </w:r>
    </w:p>
    <w:p w14:paraId="3F4E1D75">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9）被依法暂停或者取消投标资格；（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571CE762">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（10）被责令停产停业、暂扣或者吊销许可证、暂扣或者吊销执照（本项事实应当以根据《中华人民共和国行政处罚法》依法作出并已经生效的行政处罚决定为认定依据。）；</w:t>
      </w:r>
    </w:p>
    <w:p w14:paraId="7BAD238E">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（11）进入清算程序，或被宣告破产，或其他丧失履约能力的情形；</w:t>
      </w:r>
    </w:p>
    <w:p w14:paraId="273850A1">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12）在最近三年内发生重大设计质量问题（“重大设计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354C3168">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w:t>
      </w:r>
      <w:r>
        <w:rPr>
          <w:rFonts w:hint="eastAsia"/>
          <w:color w:val="auto"/>
          <w:sz w:val="24"/>
          <w:szCs w:val="24"/>
          <w:highlight w:val="none"/>
          <w:lang w:eastAsia="zh-CN"/>
        </w:rPr>
        <w:t>13</w:t>
      </w:r>
      <w:r>
        <w:rPr>
          <w:color w:val="auto"/>
          <w:sz w:val="24"/>
          <w:szCs w:val="24"/>
          <w:highlight w:val="none"/>
          <w:lang w:eastAsia="zh-CN"/>
        </w:rPr>
        <w:t>）被工商行政管理机关在全国企业信用信息公示系统中列入严重违法失信企业名单；</w:t>
      </w:r>
    </w:p>
    <w:p w14:paraId="654306B0">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w:t>
      </w:r>
      <w:r>
        <w:rPr>
          <w:rFonts w:hint="eastAsia"/>
          <w:color w:val="auto"/>
          <w:sz w:val="24"/>
          <w:szCs w:val="24"/>
          <w:highlight w:val="none"/>
          <w:lang w:eastAsia="zh-CN"/>
        </w:rPr>
        <w:t>14</w:t>
      </w:r>
      <w:r>
        <w:rPr>
          <w:color w:val="auto"/>
          <w:sz w:val="24"/>
          <w:szCs w:val="24"/>
          <w:highlight w:val="none"/>
          <w:lang w:eastAsia="zh-CN"/>
        </w:rPr>
        <w:t>）被最高人民法院在</w:t>
      </w:r>
      <w:r>
        <w:rPr>
          <w:rFonts w:hint="eastAsia"/>
          <w:color w:val="auto"/>
          <w:sz w:val="24"/>
          <w:szCs w:val="24"/>
          <w:highlight w:val="none"/>
          <w:lang w:eastAsia="zh-CN"/>
        </w:rPr>
        <w:t>“信用中国”网站（</w:t>
      </w:r>
      <w:r>
        <w:rPr>
          <w:color w:val="auto"/>
          <w:sz w:val="24"/>
          <w:szCs w:val="24"/>
          <w:highlight w:val="none"/>
          <w:lang w:eastAsia="zh-CN"/>
        </w:rPr>
        <w:t>www.creditchina.gov.cn</w:t>
      </w:r>
      <w:r>
        <w:rPr>
          <w:rFonts w:hint="eastAsia"/>
          <w:color w:val="auto"/>
          <w:sz w:val="24"/>
          <w:szCs w:val="24"/>
          <w:highlight w:val="none"/>
          <w:lang w:eastAsia="zh-CN"/>
        </w:rPr>
        <w:t>）</w:t>
      </w:r>
      <w:r>
        <w:rPr>
          <w:color w:val="auto"/>
          <w:sz w:val="24"/>
          <w:szCs w:val="24"/>
          <w:highlight w:val="none"/>
          <w:lang w:eastAsia="zh-CN"/>
        </w:rPr>
        <w:t>或各级信用信息共享平台中列入失信被执行人名单；</w:t>
      </w:r>
    </w:p>
    <w:p w14:paraId="32152680">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（15）在近三年内投标人或其法定代表人、拟委任的项目负责人有行贿犯罪行为的；</w:t>
      </w:r>
    </w:p>
    <w:p w14:paraId="7F8A094D">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（16）法律法规或投标人须知前附表规定的其他情形。</w:t>
      </w:r>
    </w:p>
    <w:p w14:paraId="318A8043">
      <w:pPr>
        <w:pStyle w:val="4"/>
        <w:spacing w:line="360" w:lineRule="auto"/>
        <w:ind w:left="0"/>
        <w:rPr>
          <w:b/>
          <w:bCs/>
          <w:color w:val="auto"/>
          <w:highlight w:val="none"/>
          <w:lang w:eastAsia="zh-CN"/>
        </w:rPr>
      </w:pPr>
      <w:r>
        <w:rPr>
          <w:b/>
          <w:bCs/>
          <w:color w:val="auto"/>
          <w:highlight w:val="none"/>
          <w:lang w:eastAsia="zh-CN"/>
        </w:rPr>
        <w:t>1.5费用承担</w:t>
      </w:r>
    </w:p>
    <w:p w14:paraId="507D37F3">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投标人准备和参加投标活动发生的费用自理。</w:t>
      </w:r>
    </w:p>
    <w:p w14:paraId="51E11537">
      <w:pPr>
        <w:pStyle w:val="4"/>
        <w:spacing w:line="360" w:lineRule="auto"/>
        <w:ind w:left="0"/>
        <w:rPr>
          <w:b/>
          <w:bCs/>
          <w:color w:val="auto"/>
          <w:highlight w:val="none"/>
          <w:lang w:eastAsia="zh-CN"/>
        </w:rPr>
      </w:pPr>
      <w:r>
        <w:rPr>
          <w:b/>
          <w:bCs/>
          <w:color w:val="auto"/>
          <w:highlight w:val="none"/>
          <w:lang w:eastAsia="zh-CN"/>
        </w:rPr>
        <w:t>1.6保密</w:t>
      </w:r>
    </w:p>
    <w:p w14:paraId="30699754">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参与招标投标活动的各方应对招标文件和投标文件中的商业和技术等秘密保密，否则应承担相应的法律责任。</w:t>
      </w:r>
    </w:p>
    <w:p w14:paraId="0727959D">
      <w:pPr>
        <w:pStyle w:val="4"/>
        <w:spacing w:line="360" w:lineRule="auto"/>
        <w:ind w:left="0"/>
        <w:rPr>
          <w:b/>
          <w:bCs/>
          <w:color w:val="auto"/>
          <w:highlight w:val="none"/>
          <w:lang w:eastAsia="zh-CN"/>
        </w:rPr>
      </w:pPr>
      <w:r>
        <w:rPr>
          <w:b/>
          <w:bCs/>
          <w:color w:val="auto"/>
          <w:highlight w:val="none"/>
          <w:lang w:eastAsia="zh-CN"/>
        </w:rPr>
        <w:t>1.7语言文字</w:t>
      </w:r>
    </w:p>
    <w:p w14:paraId="4CF563F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招标投标文件使用的语言文字为中文。专用术语使用外文的，应附有中文注释。</w:t>
      </w:r>
    </w:p>
    <w:p w14:paraId="0D38D54B">
      <w:pPr>
        <w:pStyle w:val="4"/>
        <w:spacing w:line="360" w:lineRule="auto"/>
        <w:ind w:left="0"/>
        <w:rPr>
          <w:b/>
          <w:bCs/>
          <w:color w:val="auto"/>
          <w:highlight w:val="none"/>
          <w:lang w:eastAsia="zh-CN"/>
        </w:rPr>
      </w:pPr>
      <w:r>
        <w:rPr>
          <w:b/>
          <w:bCs/>
          <w:color w:val="auto"/>
          <w:highlight w:val="none"/>
          <w:lang w:eastAsia="zh-CN"/>
        </w:rPr>
        <w:t>1.8计量单位</w:t>
      </w:r>
    </w:p>
    <w:p w14:paraId="42511630">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所有计量均采用中华人民共和国法定计量单位。</w:t>
      </w:r>
    </w:p>
    <w:p w14:paraId="5ED85210">
      <w:pPr>
        <w:pStyle w:val="4"/>
        <w:spacing w:line="360" w:lineRule="auto"/>
        <w:ind w:left="0"/>
        <w:rPr>
          <w:b/>
          <w:bCs/>
          <w:color w:val="auto"/>
          <w:highlight w:val="none"/>
          <w:lang w:eastAsia="zh-CN"/>
        </w:rPr>
      </w:pPr>
      <w:r>
        <w:rPr>
          <w:b/>
          <w:bCs/>
          <w:color w:val="auto"/>
          <w:highlight w:val="none"/>
          <w:lang w:eastAsia="zh-CN"/>
        </w:rPr>
        <w:t>1.9踏勘现场</w:t>
      </w:r>
    </w:p>
    <w:p w14:paraId="6EEA592E">
      <w:pPr>
        <w:pStyle w:val="8"/>
        <w:spacing w:line="360" w:lineRule="auto"/>
        <w:ind w:left="0" w:firstLine="480" w:firstLineChars="200"/>
        <w:rPr>
          <w:color w:val="auto"/>
          <w:sz w:val="24"/>
          <w:szCs w:val="24"/>
          <w:highlight w:val="none"/>
          <w:u w:val="single"/>
          <w:lang w:eastAsia="zh-CN"/>
        </w:rPr>
      </w:pPr>
      <w:r>
        <w:rPr>
          <w:rFonts w:hint="eastAsia"/>
          <w:color w:val="auto"/>
          <w:sz w:val="24"/>
          <w:szCs w:val="24"/>
          <w:highlight w:val="none"/>
          <w:u w:val="single"/>
          <w:lang w:eastAsia="zh-CN"/>
        </w:rPr>
        <w:t>不组织</w:t>
      </w:r>
      <w:r>
        <w:rPr>
          <w:rFonts w:cs="宋体"/>
          <w:color w:val="auto"/>
          <w:sz w:val="24"/>
          <w:szCs w:val="24"/>
          <w:highlight w:val="none"/>
          <w:u w:val="single"/>
          <w:lang w:eastAsia="zh-CN"/>
        </w:rPr>
        <w:t>踏勘现场。</w:t>
      </w:r>
      <w:r>
        <w:rPr>
          <w:rFonts w:hint="eastAsia" w:cs="宋体"/>
          <w:color w:val="auto"/>
          <w:sz w:val="24"/>
          <w:szCs w:val="24"/>
          <w:highlight w:val="none"/>
          <w:u w:val="single"/>
          <w:lang w:eastAsia="zh-CN"/>
        </w:rPr>
        <w:t>补充说明如下：</w:t>
      </w:r>
    </w:p>
    <w:p w14:paraId="1F9FB746">
      <w:pPr>
        <w:pStyle w:val="8"/>
        <w:spacing w:line="360" w:lineRule="auto"/>
        <w:ind w:left="0" w:firstLine="480" w:firstLineChars="200"/>
        <w:rPr>
          <w:color w:val="auto"/>
          <w:sz w:val="24"/>
          <w:szCs w:val="24"/>
          <w:highlight w:val="none"/>
          <w:u w:val="single"/>
          <w:lang w:eastAsia="zh-CN"/>
        </w:rPr>
      </w:pPr>
      <w:r>
        <w:rPr>
          <w:rFonts w:hint="eastAsia" w:cs="宋体"/>
          <w:color w:val="auto"/>
          <w:sz w:val="24"/>
          <w:szCs w:val="24"/>
          <w:highlight w:val="none"/>
          <w:u w:val="single"/>
          <w:lang w:eastAsia="zh-CN"/>
        </w:rPr>
        <w:t>（</w:t>
      </w:r>
      <w:r>
        <w:rPr>
          <w:color w:val="auto"/>
          <w:sz w:val="24"/>
          <w:szCs w:val="24"/>
          <w:highlight w:val="none"/>
          <w:u w:val="single"/>
          <w:lang w:eastAsia="zh-CN"/>
        </w:rPr>
        <w:t>1</w:t>
      </w:r>
      <w:r>
        <w:rPr>
          <w:rFonts w:hint="eastAsia" w:cs="宋体"/>
          <w:color w:val="auto"/>
          <w:sz w:val="24"/>
          <w:szCs w:val="24"/>
          <w:highlight w:val="none"/>
          <w:u w:val="single"/>
          <w:lang w:eastAsia="zh-CN"/>
        </w:rPr>
        <w:t>）投标人自行对工程现场和周围环境进行现场考察，投标人应充分重视和仔细地进行这种考察，以获取那些须投标人自己负责的有关编制投标和签署合同所需的所有资料。一旦中标，这种考察即被认为其结果已在中标文件中得到充分反映。考察现场的费用由投标人自己承担。投标人若认为必要时，也可以独自增加现场考察活动。</w:t>
      </w:r>
    </w:p>
    <w:p w14:paraId="4E23C01C">
      <w:pPr>
        <w:pStyle w:val="8"/>
        <w:spacing w:line="360" w:lineRule="auto"/>
        <w:ind w:left="0" w:firstLine="480" w:firstLineChars="200"/>
        <w:rPr>
          <w:color w:val="auto"/>
          <w:sz w:val="24"/>
          <w:szCs w:val="24"/>
          <w:highlight w:val="none"/>
          <w:u w:val="single"/>
          <w:lang w:eastAsia="zh-CN"/>
        </w:rPr>
      </w:pPr>
      <w:r>
        <w:rPr>
          <w:rFonts w:hint="eastAsia" w:cs="宋体"/>
          <w:color w:val="auto"/>
          <w:sz w:val="24"/>
          <w:szCs w:val="24"/>
          <w:highlight w:val="none"/>
          <w:u w:val="single"/>
          <w:lang w:eastAsia="zh-CN"/>
        </w:rPr>
        <w:t>（</w:t>
      </w:r>
      <w:r>
        <w:rPr>
          <w:color w:val="auto"/>
          <w:sz w:val="24"/>
          <w:szCs w:val="24"/>
          <w:highlight w:val="none"/>
          <w:u w:val="single"/>
          <w:lang w:eastAsia="zh-CN"/>
        </w:rPr>
        <w:t>2</w:t>
      </w:r>
      <w:r>
        <w:rPr>
          <w:rFonts w:hint="eastAsia" w:cs="宋体"/>
          <w:color w:val="auto"/>
          <w:sz w:val="24"/>
          <w:szCs w:val="24"/>
          <w:highlight w:val="none"/>
          <w:u w:val="single"/>
          <w:lang w:eastAsia="zh-CN"/>
        </w:rPr>
        <w:t>）投标人及其代表进入考察的现场。投标人及其代表必须承担那些进入现场后，由于他们的行为所造成的人身伤害（不管是否致命）、财产损失或损坏，以及其他任何原因造成的损失、损坏或费用。招标人在投标人及其代表考察过程中不负任何责任。</w:t>
      </w:r>
    </w:p>
    <w:p w14:paraId="5392CA4B">
      <w:pPr>
        <w:pStyle w:val="8"/>
        <w:spacing w:line="360" w:lineRule="auto"/>
        <w:ind w:left="0" w:firstLine="480" w:firstLineChars="200"/>
        <w:rPr>
          <w:color w:val="auto"/>
          <w:sz w:val="24"/>
          <w:szCs w:val="24"/>
          <w:highlight w:val="none"/>
          <w:u w:val="single"/>
          <w:lang w:eastAsia="zh-CN"/>
        </w:rPr>
      </w:pPr>
      <w:r>
        <w:rPr>
          <w:rFonts w:hint="eastAsia" w:cs="宋体"/>
          <w:color w:val="auto"/>
          <w:sz w:val="24"/>
          <w:szCs w:val="24"/>
          <w:highlight w:val="none"/>
          <w:u w:val="single"/>
          <w:lang w:eastAsia="zh-CN"/>
        </w:rPr>
        <w:t>（</w:t>
      </w:r>
      <w:r>
        <w:rPr>
          <w:color w:val="auto"/>
          <w:sz w:val="24"/>
          <w:szCs w:val="24"/>
          <w:highlight w:val="none"/>
          <w:u w:val="single"/>
          <w:lang w:eastAsia="zh-CN"/>
        </w:rPr>
        <w:t>3</w:t>
      </w:r>
      <w:r>
        <w:rPr>
          <w:rFonts w:hint="eastAsia" w:cs="宋体"/>
          <w:color w:val="auto"/>
          <w:sz w:val="24"/>
          <w:szCs w:val="24"/>
          <w:highlight w:val="none"/>
          <w:u w:val="single"/>
          <w:lang w:eastAsia="zh-CN"/>
        </w:rPr>
        <w:t>）由招标人提供的资料和数据，只是为了使投标人能够利用招标人现有的资料。招标人对投标人由此而作出的推论、解释和结论概不负责。</w:t>
      </w:r>
    </w:p>
    <w:p w14:paraId="542434FC">
      <w:pPr>
        <w:pStyle w:val="8"/>
        <w:spacing w:line="360" w:lineRule="auto"/>
        <w:ind w:left="0" w:firstLine="480" w:firstLineChars="200"/>
        <w:rPr>
          <w:rFonts w:cs="宋体"/>
          <w:color w:val="auto"/>
          <w:sz w:val="24"/>
          <w:szCs w:val="24"/>
          <w:highlight w:val="none"/>
          <w:u w:val="single"/>
          <w:lang w:eastAsia="zh-CN"/>
        </w:rPr>
      </w:pPr>
      <w:r>
        <w:rPr>
          <w:rFonts w:hint="eastAsia" w:cs="宋体"/>
          <w:color w:val="auto"/>
          <w:sz w:val="24"/>
          <w:szCs w:val="24"/>
          <w:highlight w:val="none"/>
          <w:u w:val="single"/>
          <w:lang w:eastAsia="zh-CN"/>
        </w:rPr>
        <w:t>（</w:t>
      </w:r>
      <w:r>
        <w:rPr>
          <w:color w:val="auto"/>
          <w:sz w:val="24"/>
          <w:szCs w:val="24"/>
          <w:highlight w:val="none"/>
          <w:u w:val="single"/>
          <w:lang w:eastAsia="zh-CN"/>
        </w:rPr>
        <w:t>4</w:t>
      </w:r>
      <w:r>
        <w:rPr>
          <w:rFonts w:hint="eastAsia" w:cs="宋体"/>
          <w:color w:val="auto"/>
          <w:sz w:val="24"/>
          <w:szCs w:val="24"/>
          <w:highlight w:val="none"/>
          <w:u w:val="single"/>
          <w:lang w:eastAsia="zh-CN"/>
        </w:rPr>
        <w:t>）不论投标结果如何，投标人应承担其投标文件编制与递交所涉及的一切费用，发包人对上述费用不负任何责任。</w:t>
      </w:r>
    </w:p>
    <w:p w14:paraId="289511FA">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1.9.1投标人须知前附表规定组织踏勘现场的，招标人按投标人须知前附表规定的时间、地点组织投标人踏勘项目现场。部分投标人未按时参加踏勘现场的，不影响踏勘现场的正常进行。</w:t>
      </w:r>
    </w:p>
    <w:p w14:paraId="1E865491">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1.9.2投标人踏勘现场发生的费用自理。</w:t>
      </w:r>
    </w:p>
    <w:p w14:paraId="46A281AF">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1.9.3除招标人的原因外，投标人自行负责在踏勘现场中所发生的人员伤亡和财产损失。</w:t>
      </w:r>
    </w:p>
    <w:p w14:paraId="0A0529BF">
      <w:pPr>
        <w:pStyle w:val="8"/>
        <w:spacing w:line="360" w:lineRule="auto"/>
        <w:ind w:left="0" w:firstLine="480" w:firstLineChars="200"/>
        <w:rPr>
          <w:color w:val="auto"/>
          <w:sz w:val="24"/>
          <w:szCs w:val="24"/>
          <w:highlight w:val="none"/>
          <w:lang w:eastAsia="zh-CN"/>
        </w:rPr>
      </w:pPr>
      <w:r>
        <w:rPr>
          <w:strike/>
          <w:color w:val="auto"/>
          <w:sz w:val="24"/>
          <w:szCs w:val="24"/>
          <w:highlight w:val="none"/>
          <w:lang w:eastAsia="zh-CN"/>
        </w:rPr>
        <w:t>1.9.4招标人在踏勘现场中介绍的工程场地和相关的周边环境情况，供投标人在编制投标文件时参考，招标人不对投标人据此作出的判断和决策负责。</w:t>
      </w:r>
    </w:p>
    <w:p w14:paraId="28359C4F">
      <w:pPr>
        <w:pStyle w:val="4"/>
        <w:spacing w:line="360" w:lineRule="auto"/>
        <w:ind w:left="0"/>
        <w:rPr>
          <w:b/>
          <w:bCs/>
          <w:color w:val="auto"/>
          <w:highlight w:val="none"/>
          <w:lang w:eastAsia="zh-CN"/>
        </w:rPr>
      </w:pPr>
      <w:r>
        <w:rPr>
          <w:b/>
          <w:bCs/>
          <w:color w:val="auto"/>
          <w:highlight w:val="none"/>
          <w:lang w:eastAsia="zh-CN"/>
        </w:rPr>
        <w:t>1.10投标预备会</w:t>
      </w:r>
    </w:p>
    <w:p w14:paraId="7072D0E9">
      <w:pPr>
        <w:pStyle w:val="8"/>
        <w:spacing w:line="360" w:lineRule="auto"/>
        <w:ind w:left="0" w:firstLine="480" w:firstLineChars="200"/>
        <w:rPr>
          <w:strike/>
          <w:color w:val="auto"/>
          <w:sz w:val="24"/>
          <w:szCs w:val="24"/>
          <w:highlight w:val="none"/>
          <w:lang w:eastAsia="zh-CN"/>
        </w:rPr>
      </w:pPr>
      <w:r>
        <w:rPr>
          <w:color w:val="auto"/>
          <w:sz w:val="24"/>
          <w:szCs w:val="24"/>
          <w:highlight w:val="none"/>
          <w:lang w:eastAsia="zh-CN"/>
        </w:rPr>
        <w:t>不召开。</w:t>
      </w:r>
      <w:r>
        <w:rPr>
          <w:strike/>
          <w:color w:val="auto"/>
          <w:sz w:val="24"/>
          <w:szCs w:val="24"/>
          <w:highlight w:val="none"/>
          <w:lang w:eastAsia="zh-CN"/>
        </w:rPr>
        <w:t>1.10.1投标人须知前附表规定召开投标预备会的，招标人按投标人须知前附表规定的时间和地点召开投标预备会，澄清投标人提出的问题。</w:t>
      </w:r>
    </w:p>
    <w:p w14:paraId="3B75A5C9">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1.10.2投标人应按投标人须知前附表规定的时间和形式将提出的问题送达招标人，以便招标人在会议期间澄清。</w:t>
      </w:r>
    </w:p>
    <w:p w14:paraId="320A5710">
      <w:pPr>
        <w:pStyle w:val="8"/>
        <w:spacing w:line="360" w:lineRule="auto"/>
        <w:ind w:left="0" w:firstLine="480" w:firstLineChars="200"/>
        <w:rPr>
          <w:color w:val="auto"/>
          <w:sz w:val="24"/>
          <w:szCs w:val="24"/>
          <w:highlight w:val="none"/>
          <w:lang w:eastAsia="zh-CN"/>
        </w:rPr>
      </w:pPr>
      <w:r>
        <w:rPr>
          <w:strike/>
          <w:color w:val="auto"/>
          <w:sz w:val="24"/>
          <w:szCs w:val="24"/>
          <w:highlight w:val="none"/>
          <w:lang w:eastAsia="zh-CN"/>
        </w:rPr>
        <w:t>1.10.3投标预备会后，招标人将对投标人所提问题的澄清，以投标人须知前附表规定的形式通知所有购买招标文件的投标人。该澄清内容为招标文件的组成部分。</w:t>
      </w:r>
    </w:p>
    <w:p w14:paraId="4E4EBC0B">
      <w:pPr>
        <w:pStyle w:val="4"/>
        <w:spacing w:line="360" w:lineRule="auto"/>
        <w:ind w:left="0"/>
        <w:rPr>
          <w:b/>
          <w:bCs/>
          <w:color w:val="auto"/>
          <w:highlight w:val="none"/>
          <w:lang w:eastAsia="zh-CN"/>
        </w:rPr>
      </w:pPr>
      <w:r>
        <w:rPr>
          <w:b/>
          <w:bCs/>
          <w:color w:val="auto"/>
          <w:highlight w:val="none"/>
          <w:lang w:eastAsia="zh-CN"/>
        </w:rPr>
        <w:t>1.11分包</w:t>
      </w:r>
    </w:p>
    <w:p w14:paraId="1696622F">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1.11.1投标人拟在中标后将中标项目的非主体、非关键性设计工作进行分包的，应符合投标人须知前附表规定的分包内容、分包金额和资质要求等限制性条件，除投标人须知前附表规定的非主体、非关键性设计工作外，其他工作不得分包。</w:t>
      </w:r>
    </w:p>
    <w:p w14:paraId="059EF633">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1.11.2中标人不得向他人转让中标项目，接受分包的人不得再次分包。中标人应当就分包项目向招标人负责，接受分包的人就分包项目承担连带责任。</w:t>
      </w:r>
    </w:p>
    <w:p w14:paraId="15464FA7">
      <w:pPr>
        <w:pStyle w:val="4"/>
        <w:spacing w:line="360" w:lineRule="auto"/>
        <w:ind w:left="0"/>
        <w:rPr>
          <w:b/>
          <w:bCs/>
          <w:color w:val="auto"/>
          <w:highlight w:val="none"/>
          <w:lang w:eastAsia="zh-CN"/>
        </w:rPr>
      </w:pPr>
      <w:r>
        <w:rPr>
          <w:b/>
          <w:bCs/>
          <w:color w:val="auto"/>
          <w:highlight w:val="none"/>
          <w:lang w:eastAsia="zh-CN"/>
        </w:rPr>
        <w:t>1.12响应和偏差</w:t>
      </w:r>
    </w:p>
    <w:p w14:paraId="36558DE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1.12.1投标文件应当对招标文件的实质性要求和条件作出满足性或更有利于招标人的响应，否则，投标人的投标将被否决。实质性要求和条件见投标人须知前附表。</w:t>
      </w:r>
    </w:p>
    <w:p w14:paraId="14BB1049">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1.12.2投标人应根据招标文件的要求提供投标设计方案等内容以对招标文件作出响应。</w:t>
      </w:r>
    </w:p>
    <w:p w14:paraId="20382C65">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1.12.3投标人须知前附表允许投标文件偏离招标文件某些要求的，偏差应当符合招标文件规定的偏差范围和幅度。</w:t>
      </w:r>
      <w:bookmarkStart w:id="18" w:name="_Toc25137983"/>
    </w:p>
    <w:p w14:paraId="32B37AEB">
      <w:pPr>
        <w:pStyle w:val="3"/>
        <w:spacing w:line="360" w:lineRule="auto"/>
        <w:ind w:left="0"/>
        <w:rPr>
          <w:rFonts w:ascii="宋体" w:hAnsi="宋体" w:eastAsia="宋体"/>
          <w:color w:val="auto"/>
          <w:highlight w:val="none"/>
          <w:lang w:eastAsia="zh-CN"/>
        </w:rPr>
      </w:pPr>
      <w:bookmarkStart w:id="19" w:name="_Toc25152733"/>
      <w:r>
        <w:rPr>
          <w:rFonts w:ascii="宋体" w:hAnsi="宋体" w:eastAsia="宋体"/>
          <w:color w:val="auto"/>
          <w:highlight w:val="none"/>
          <w:lang w:eastAsia="zh-CN"/>
        </w:rPr>
        <w:t>2. 招标文件</w:t>
      </w:r>
      <w:bookmarkEnd w:id="18"/>
      <w:bookmarkEnd w:id="19"/>
    </w:p>
    <w:p w14:paraId="6854EF0E">
      <w:pPr>
        <w:pStyle w:val="4"/>
        <w:spacing w:line="360" w:lineRule="auto"/>
        <w:ind w:left="0"/>
        <w:rPr>
          <w:b/>
          <w:bCs/>
          <w:color w:val="auto"/>
          <w:highlight w:val="none"/>
          <w:lang w:eastAsia="zh-CN"/>
        </w:rPr>
      </w:pPr>
      <w:r>
        <w:rPr>
          <w:b/>
          <w:bCs/>
          <w:color w:val="auto"/>
          <w:highlight w:val="none"/>
          <w:lang w:eastAsia="zh-CN"/>
        </w:rPr>
        <w:t>2.1招标文件的组成</w:t>
      </w:r>
    </w:p>
    <w:p w14:paraId="5E20E6CE">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本招标文件包括：</w:t>
      </w:r>
    </w:p>
    <w:p w14:paraId="03FFEE13">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（1）招标公告；</w:t>
      </w:r>
    </w:p>
    <w:p w14:paraId="6E6BDA46">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（2）投标人须知；</w:t>
      </w:r>
    </w:p>
    <w:p w14:paraId="323E1B3A">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（3）评标办法；</w:t>
      </w:r>
    </w:p>
    <w:p w14:paraId="37A2424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（4）合同条款及格式；</w:t>
      </w:r>
    </w:p>
    <w:p w14:paraId="1BE9F0CE">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（5）</w:t>
      </w:r>
      <w:r>
        <w:rPr>
          <w:rFonts w:hint="eastAsia"/>
          <w:color w:val="auto"/>
          <w:sz w:val="24"/>
          <w:szCs w:val="24"/>
          <w:highlight w:val="none"/>
          <w:lang w:val="en-US" w:eastAsia="zh-CN"/>
        </w:rPr>
        <w:t>招标</w:t>
      </w:r>
      <w:r>
        <w:rPr>
          <w:color w:val="auto"/>
          <w:sz w:val="24"/>
          <w:szCs w:val="24"/>
          <w:highlight w:val="none"/>
          <w:lang w:eastAsia="zh-CN"/>
        </w:rPr>
        <w:t>人要求；</w:t>
      </w:r>
    </w:p>
    <w:p w14:paraId="35ACFC0F">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（6）投标文件格式；</w:t>
      </w:r>
    </w:p>
    <w:p w14:paraId="16082E5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（7）投标人须知前附表规定的其他资料。</w:t>
      </w:r>
    </w:p>
    <w:p w14:paraId="557BD3EA">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根据本章第1.10款、第2.2款和第2.3款对招标文件所作的澄清、修改，构成招标文件的组成部分。</w:t>
      </w:r>
    </w:p>
    <w:p w14:paraId="69081CC7">
      <w:pPr>
        <w:pStyle w:val="4"/>
        <w:spacing w:line="360" w:lineRule="auto"/>
        <w:ind w:left="0"/>
        <w:rPr>
          <w:b/>
          <w:bCs/>
          <w:color w:val="auto"/>
          <w:highlight w:val="none"/>
          <w:lang w:eastAsia="zh-CN"/>
        </w:rPr>
      </w:pPr>
      <w:r>
        <w:rPr>
          <w:b/>
          <w:bCs/>
          <w:color w:val="auto"/>
          <w:highlight w:val="none"/>
          <w:lang w:eastAsia="zh-CN"/>
        </w:rPr>
        <w:t>2.2招标文件的澄清</w:t>
      </w:r>
    </w:p>
    <w:p w14:paraId="03586A5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2.2.1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63FC41F1">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2.2.2招标文件的澄清以投标人须知前附表规定的形式发给所有购买招标文件的投标人，但不指明澄清问题的来源。澄清发出的时间距本章第4.2.1项规定的投标截止时间不足15日的，并且澄清内容可能影响投标文件编制的，将相应延长投标截止时间。</w:t>
      </w:r>
    </w:p>
    <w:p w14:paraId="2AC59A89">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2.2.3投标人在收到澄清后，应按投标人须知前附表规定的时间和形式通知招标人，确认已收到该澄清。</w:t>
      </w:r>
    </w:p>
    <w:p w14:paraId="0EA170DA">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2.2.4 除非招标人认为确有必要答复，否则，招标人有权拒绝回复投标人在本章第 2.2.1项规定的时间后的任何澄清要求。</w:t>
      </w:r>
    </w:p>
    <w:p w14:paraId="00500851">
      <w:pPr>
        <w:pStyle w:val="4"/>
        <w:spacing w:line="360" w:lineRule="auto"/>
        <w:ind w:left="0"/>
        <w:rPr>
          <w:b/>
          <w:bCs/>
          <w:color w:val="auto"/>
          <w:highlight w:val="none"/>
          <w:lang w:eastAsia="zh-CN"/>
        </w:rPr>
      </w:pPr>
      <w:r>
        <w:rPr>
          <w:b/>
          <w:bCs/>
          <w:color w:val="auto"/>
          <w:highlight w:val="none"/>
          <w:lang w:eastAsia="zh-CN"/>
        </w:rPr>
        <w:t>2.3招标文件的修改</w:t>
      </w:r>
    </w:p>
    <w:p w14:paraId="2F74A15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2.3.1招标人以投标人须知前附表规定的形式修改招标文件，并通知所有已购买招标文件的投标人。修改招标文件的时间距本章第4.2.1项规定的投标截止时间不足15日的，并且修改内容可能影响投标文件编制的，将相应延长投标截止时间。</w:t>
      </w:r>
    </w:p>
    <w:p w14:paraId="3768CD11">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2.3.2投标人收到修改内容后，应按投标人须知前附表规定的时间和形式通知招标人，确认已收到该修改。</w:t>
      </w:r>
    </w:p>
    <w:p w14:paraId="4542CE61">
      <w:pPr>
        <w:pStyle w:val="4"/>
        <w:spacing w:line="360" w:lineRule="auto"/>
        <w:ind w:left="0"/>
        <w:rPr>
          <w:b/>
          <w:bCs/>
          <w:color w:val="auto"/>
          <w:highlight w:val="none"/>
          <w:lang w:eastAsia="zh-CN"/>
        </w:rPr>
      </w:pPr>
      <w:r>
        <w:rPr>
          <w:b/>
          <w:bCs/>
          <w:color w:val="auto"/>
          <w:highlight w:val="none"/>
          <w:lang w:eastAsia="zh-CN"/>
        </w:rPr>
        <w:t>2.4招标文件的异议</w:t>
      </w:r>
    </w:p>
    <w:p w14:paraId="10EDB19E">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投标人或者其他利害关系人对招标文件有异议的，应当在投标截止时间10日前以书面形式提出。招标人将在收到异议之日起3日内作出答复；作出答复前，将暂停招标投标活动。</w:t>
      </w:r>
      <w:bookmarkStart w:id="20" w:name="_Toc25137984"/>
    </w:p>
    <w:p w14:paraId="581AB08B">
      <w:pPr>
        <w:pStyle w:val="3"/>
        <w:spacing w:line="360" w:lineRule="auto"/>
        <w:ind w:left="0"/>
        <w:rPr>
          <w:rFonts w:ascii="宋体" w:hAnsi="宋体" w:eastAsia="宋体"/>
          <w:color w:val="auto"/>
          <w:highlight w:val="none"/>
          <w:lang w:eastAsia="zh-CN"/>
        </w:rPr>
      </w:pPr>
      <w:bookmarkStart w:id="21" w:name="_Toc25152734"/>
      <w:r>
        <w:rPr>
          <w:rFonts w:ascii="宋体" w:hAnsi="宋体" w:eastAsia="宋体"/>
          <w:color w:val="auto"/>
          <w:highlight w:val="none"/>
          <w:lang w:eastAsia="zh-CN"/>
        </w:rPr>
        <w:t>3. 投标文件</w:t>
      </w:r>
      <w:bookmarkEnd w:id="20"/>
      <w:bookmarkEnd w:id="21"/>
    </w:p>
    <w:p w14:paraId="164ABC73">
      <w:pPr>
        <w:pStyle w:val="4"/>
        <w:spacing w:line="360" w:lineRule="auto"/>
        <w:ind w:left="0"/>
        <w:rPr>
          <w:b/>
          <w:bCs/>
          <w:color w:val="auto"/>
          <w:highlight w:val="none"/>
          <w:lang w:eastAsia="zh-CN"/>
        </w:rPr>
      </w:pPr>
      <w:r>
        <w:rPr>
          <w:b/>
          <w:bCs/>
          <w:color w:val="auto"/>
          <w:highlight w:val="none"/>
          <w:lang w:eastAsia="zh-CN"/>
        </w:rPr>
        <w:t>3.1投标文件的组成</w:t>
      </w:r>
    </w:p>
    <w:p w14:paraId="281B6E8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 xml:space="preserve">3.1.1 </w:t>
      </w:r>
      <w:r>
        <w:rPr>
          <w:rFonts w:hint="eastAsia" w:cs="宋体"/>
          <w:color w:val="auto"/>
          <w:sz w:val="24"/>
          <w:szCs w:val="24"/>
          <w:highlight w:val="none"/>
          <w:lang w:eastAsia="zh-CN"/>
        </w:rPr>
        <w:t>投标文件应包括下列内容：</w:t>
      </w:r>
    </w:p>
    <w:p w14:paraId="2713242A">
      <w:pPr>
        <w:pStyle w:val="8"/>
        <w:spacing w:line="360" w:lineRule="auto"/>
        <w:ind w:left="0" w:firstLine="480" w:firstLineChars="200"/>
        <w:rPr>
          <w:color w:val="auto"/>
          <w:sz w:val="24"/>
          <w:szCs w:val="24"/>
          <w:highlight w:val="none"/>
          <w:lang w:eastAsia="zh-CN"/>
        </w:rPr>
      </w:pPr>
      <w:r>
        <w:rPr>
          <w:rFonts w:hint="eastAsia" w:cs="宋体"/>
          <w:color w:val="auto"/>
          <w:sz w:val="24"/>
          <w:szCs w:val="24"/>
          <w:highlight w:val="none"/>
          <w:lang w:eastAsia="zh-CN"/>
        </w:rPr>
        <w:t>（</w:t>
      </w:r>
      <w:r>
        <w:rPr>
          <w:color w:val="auto"/>
          <w:sz w:val="24"/>
          <w:szCs w:val="24"/>
          <w:highlight w:val="none"/>
          <w:lang w:eastAsia="zh-CN"/>
        </w:rPr>
        <w:t>1</w:t>
      </w:r>
      <w:r>
        <w:rPr>
          <w:rFonts w:hint="eastAsia" w:cs="宋体"/>
          <w:color w:val="auto"/>
          <w:sz w:val="24"/>
          <w:szCs w:val="24"/>
          <w:highlight w:val="none"/>
          <w:lang w:eastAsia="zh-CN"/>
        </w:rPr>
        <w:t>）投标函及投标函附录；</w:t>
      </w:r>
    </w:p>
    <w:p w14:paraId="6CA958F6">
      <w:pPr>
        <w:pStyle w:val="8"/>
        <w:spacing w:line="360" w:lineRule="auto"/>
        <w:ind w:left="0" w:firstLine="480" w:firstLineChars="200"/>
        <w:rPr>
          <w:strike/>
          <w:color w:val="auto"/>
          <w:sz w:val="24"/>
          <w:szCs w:val="24"/>
          <w:highlight w:val="none"/>
          <w:lang w:eastAsia="zh-CN"/>
        </w:rPr>
      </w:pPr>
      <w:r>
        <w:rPr>
          <w:rFonts w:hint="eastAsia" w:cs="宋体"/>
          <w:color w:val="auto"/>
          <w:sz w:val="24"/>
          <w:szCs w:val="24"/>
          <w:highlight w:val="none"/>
          <w:lang w:eastAsia="zh-CN"/>
        </w:rPr>
        <w:t>（</w:t>
      </w:r>
      <w:r>
        <w:rPr>
          <w:color w:val="auto"/>
          <w:sz w:val="24"/>
          <w:szCs w:val="24"/>
          <w:highlight w:val="none"/>
          <w:lang w:eastAsia="zh-CN"/>
        </w:rPr>
        <w:t>2</w:t>
      </w:r>
      <w:r>
        <w:rPr>
          <w:rFonts w:hint="eastAsia" w:cs="宋体"/>
          <w:color w:val="auto"/>
          <w:sz w:val="24"/>
          <w:szCs w:val="24"/>
          <w:highlight w:val="none"/>
          <w:lang w:eastAsia="zh-CN"/>
        </w:rPr>
        <w:t>）法定代表人身份证明或附有法定代表人身份证明的授权委托书；</w:t>
      </w:r>
    </w:p>
    <w:p w14:paraId="4BEB69A4">
      <w:pPr>
        <w:pStyle w:val="8"/>
        <w:spacing w:line="360" w:lineRule="auto"/>
        <w:ind w:left="0" w:firstLine="480" w:firstLineChars="200"/>
        <w:rPr>
          <w:strike/>
          <w:color w:val="auto"/>
          <w:sz w:val="24"/>
          <w:szCs w:val="24"/>
          <w:highlight w:val="none"/>
          <w:lang w:eastAsia="zh-CN"/>
        </w:rPr>
      </w:pPr>
      <w:r>
        <w:rPr>
          <w:rFonts w:hint="eastAsia" w:cs="宋体"/>
          <w:strike/>
          <w:color w:val="auto"/>
          <w:sz w:val="24"/>
          <w:szCs w:val="24"/>
          <w:highlight w:val="none"/>
          <w:lang w:eastAsia="zh-CN"/>
        </w:rPr>
        <w:t>（</w:t>
      </w:r>
      <w:r>
        <w:rPr>
          <w:strike/>
          <w:color w:val="auto"/>
          <w:sz w:val="24"/>
          <w:szCs w:val="24"/>
          <w:highlight w:val="none"/>
          <w:lang w:eastAsia="zh-CN"/>
        </w:rPr>
        <w:t>3</w:t>
      </w:r>
      <w:r>
        <w:rPr>
          <w:rFonts w:hint="eastAsia" w:cs="宋体"/>
          <w:strike/>
          <w:color w:val="auto"/>
          <w:sz w:val="24"/>
          <w:szCs w:val="24"/>
          <w:highlight w:val="none"/>
          <w:lang w:eastAsia="zh-CN"/>
        </w:rPr>
        <w:t>）联合体协议书；</w:t>
      </w:r>
    </w:p>
    <w:p w14:paraId="224CFC4F">
      <w:pPr>
        <w:pStyle w:val="8"/>
        <w:spacing w:line="360" w:lineRule="auto"/>
        <w:ind w:left="0" w:firstLine="480" w:firstLineChars="200"/>
        <w:rPr>
          <w:strike/>
          <w:color w:val="auto"/>
          <w:sz w:val="24"/>
          <w:szCs w:val="24"/>
          <w:highlight w:val="none"/>
          <w:lang w:eastAsia="zh-CN"/>
        </w:rPr>
      </w:pPr>
      <w:r>
        <w:rPr>
          <w:rFonts w:hint="eastAsia" w:cs="宋体"/>
          <w:strike/>
          <w:color w:val="auto"/>
          <w:sz w:val="24"/>
          <w:szCs w:val="24"/>
          <w:highlight w:val="none"/>
          <w:lang w:eastAsia="zh-CN"/>
        </w:rPr>
        <w:t>（</w:t>
      </w:r>
      <w:r>
        <w:rPr>
          <w:strike/>
          <w:color w:val="auto"/>
          <w:sz w:val="24"/>
          <w:szCs w:val="24"/>
          <w:highlight w:val="none"/>
          <w:lang w:eastAsia="zh-CN"/>
        </w:rPr>
        <w:t>4</w:t>
      </w:r>
      <w:r>
        <w:rPr>
          <w:rFonts w:hint="eastAsia" w:cs="宋体"/>
          <w:strike/>
          <w:color w:val="auto"/>
          <w:sz w:val="24"/>
          <w:szCs w:val="24"/>
          <w:highlight w:val="none"/>
          <w:lang w:eastAsia="zh-CN"/>
        </w:rPr>
        <w:t>）投标保证金；</w:t>
      </w:r>
    </w:p>
    <w:p w14:paraId="6328B792">
      <w:pPr>
        <w:pStyle w:val="8"/>
        <w:spacing w:line="360" w:lineRule="auto"/>
        <w:ind w:left="0" w:firstLine="482" w:firstLineChars="200"/>
        <w:rPr>
          <w:rFonts w:cs="宋体"/>
          <w:b/>
          <w:color w:val="auto"/>
          <w:sz w:val="24"/>
          <w:szCs w:val="24"/>
          <w:highlight w:val="none"/>
          <w:lang w:eastAsia="zh-CN"/>
        </w:rPr>
      </w:pPr>
      <w:r>
        <w:rPr>
          <w:rFonts w:cs="宋体"/>
          <w:b/>
          <w:color w:val="auto"/>
          <w:sz w:val="24"/>
          <w:szCs w:val="24"/>
          <w:highlight w:val="none"/>
          <w:lang w:eastAsia="zh-CN"/>
        </w:rPr>
        <w:t>（5）</w:t>
      </w:r>
      <w:r>
        <w:rPr>
          <w:rFonts w:hint="eastAsia" w:cs="宋体"/>
          <w:b/>
          <w:color w:val="auto"/>
          <w:sz w:val="24"/>
          <w:szCs w:val="24"/>
          <w:highlight w:val="none"/>
          <w:lang w:eastAsia="zh-CN"/>
        </w:rPr>
        <w:t>投标</w:t>
      </w:r>
      <w:r>
        <w:rPr>
          <w:rFonts w:cs="宋体"/>
          <w:b/>
          <w:color w:val="auto"/>
          <w:sz w:val="24"/>
          <w:szCs w:val="24"/>
          <w:highlight w:val="none"/>
          <w:lang w:eastAsia="zh-CN"/>
        </w:rPr>
        <w:t>费用</w:t>
      </w:r>
      <w:r>
        <w:rPr>
          <w:rFonts w:hint="eastAsia" w:cs="宋体"/>
          <w:b/>
          <w:color w:val="auto"/>
          <w:sz w:val="24"/>
          <w:szCs w:val="24"/>
          <w:highlight w:val="none"/>
          <w:lang w:eastAsia="zh-CN"/>
        </w:rPr>
        <w:t>报价</w:t>
      </w:r>
      <w:r>
        <w:rPr>
          <w:rFonts w:cs="宋体"/>
          <w:b/>
          <w:color w:val="auto"/>
          <w:sz w:val="24"/>
          <w:szCs w:val="24"/>
          <w:highlight w:val="none"/>
          <w:lang w:eastAsia="zh-CN"/>
        </w:rPr>
        <w:t>单；</w:t>
      </w:r>
    </w:p>
    <w:p w14:paraId="706FA6DB">
      <w:pPr>
        <w:pStyle w:val="8"/>
        <w:spacing w:line="360" w:lineRule="auto"/>
        <w:ind w:left="0" w:firstLine="480" w:firstLineChars="200"/>
        <w:rPr>
          <w:rFonts w:cs="宋体"/>
          <w:color w:val="auto"/>
          <w:sz w:val="24"/>
          <w:szCs w:val="24"/>
          <w:highlight w:val="none"/>
          <w:lang w:eastAsia="zh-CN"/>
        </w:rPr>
      </w:pPr>
      <w:r>
        <w:rPr>
          <w:rFonts w:cs="宋体"/>
          <w:color w:val="auto"/>
          <w:sz w:val="24"/>
          <w:szCs w:val="24"/>
          <w:highlight w:val="none"/>
          <w:lang w:eastAsia="zh-CN"/>
        </w:rPr>
        <w:t>（6）资格审查资料；</w:t>
      </w:r>
    </w:p>
    <w:p w14:paraId="4BB4401C">
      <w:pPr>
        <w:pStyle w:val="8"/>
        <w:spacing w:line="360" w:lineRule="auto"/>
        <w:ind w:left="0" w:firstLine="480" w:firstLineChars="200"/>
        <w:rPr>
          <w:rFonts w:cs="宋体"/>
          <w:color w:val="auto"/>
          <w:sz w:val="24"/>
          <w:szCs w:val="24"/>
          <w:highlight w:val="none"/>
          <w:lang w:eastAsia="zh-CN"/>
        </w:rPr>
      </w:pPr>
      <w:r>
        <w:rPr>
          <w:rFonts w:cs="宋体"/>
          <w:color w:val="auto"/>
          <w:sz w:val="24"/>
          <w:szCs w:val="24"/>
          <w:highlight w:val="none"/>
          <w:lang w:eastAsia="zh-CN"/>
        </w:rPr>
        <w:t>（7）勘察设计方案；</w:t>
      </w:r>
    </w:p>
    <w:p w14:paraId="476B316D">
      <w:pPr>
        <w:pStyle w:val="8"/>
        <w:spacing w:line="360" w:lineRule="auto"/>
        <w:ind w:left="0" w:firstLine="480" w:firstLineChars="200"/>
        <w:rPr>
          <w:rFonts w:cs="宋体"/>
          <w:color w:val="auto"/>
          <w:sz w:val="24"/>
          <w:szCs w:val="24"/>
          <w:highlight w:val="none"/>
          <w:lang w:eastAsia="zh-CN"/>
        </w:rPr>
      </w:pPr>
      <w:r>
        <w:rPr>
          <w:rFonts w:cs="宋体"/>
          <w:color w:val="auto"/>
          <w:sz w:val="24"/>
          <w:szCs w:val="24"/>
          <w:highlight w:val="none"/>
          <w:lang w:eastAsia="zh-CN"/>
        </w:rPr>
        <w:t xml:space="preserve">（8）投标人须知前附表规定的其他资料。 </w:t>
      </w:r>
    </w:p>
    <w:p w14:paraId="2DF74F4E">
      <w:pPr>
        <w:pStyle w:val="8"/>
        <w:spacing w:line="360" w:lineRule="auto"/>
        <w:ind w:left="0" w:firstLine="482" w:firstLineChars="200"/>
        <w:rPr>
          <w:rFonts w:cs="宋体"/>
          <w:b/>
          <w:color w:val="auto"/>
          <w:sz w:val="24"/>
          <w:szCs w:val="24"/>
          <w:highlight w:val="none"/>
          <w:u w:val="single"/>
          <w:lang w:eastAsia="zh-CN"/>
        </w:rPr>
      </w:pPr>
      <w:r>
        <w:rPr>
          <w:rFonts w:hint="eastAsia" w:cs="宋体"/>
          <w:b/>
          <w:color w:val="auto"/>
          <w:sz w:val="24"/>
          <w:szCs w:val="24"/>
          <w:highlight w:val="none"/>
          <w:u w:val="single"/>
          <w:lang w:eastAsia="zh-CN"/>
        </w:rPr>
        <w:t>投标文件由商务文件（含资格审查部分、资信业绩部分）、技术文件（含设计方案部分）两个部分组成。各部分投标文件应分别编制。设计投标文件编制要求详见第六章投标文件格式“设计投标文件编制要求”。</w:t>
      </w:r>
    </w:p>
    <w:p w14:paraId="191B3EB2">
      <w:pPr>
        <w:pStyle w:val="8"/>
        <w:spacing w:line="360" w:lineRule="auto"/>
        <w:ind w:left="0" w:firstLine="482" w:firstLineChars="200"/>
        <w:rPr>
          <w:rFonts w:cs="宋体"/>
          <w:b/>
          <w:color w:val="auto"/>
          <w:sz w:val="24"/>
          <w:szCs w:val="24"/>
          <w:highlight w:val="none"/>
          <w:u w:val="single"/>
          <w:lang w:eastAsia="zh-CN"/>
        </w:rPr>
      </w:pPr>
      <w:r>
        <w:rPr>
          <w:rFonts w:hint="eastAsia" w:cs="宋体"/>
          <w:b/>
          <w:color w:val="auto"/>
          <w:sz w:val="24"/>
          <w:szCs w:val="24"/>
          <w:highlight w:val="none"/>
          <w:u w:val="single"/>
          <w:lang w:eastAsia="zh-CN"/>
        </w:rPr>
        <w:t>注：技术文件（含设计方案部分）为暗标。技术标中不能辨认出投标人或其专业技术人员的身份。不在设计方案上标注或做任何可以辨认投标人及专业技术人员身份的名称、印章、商标、图形等记认符号。</w:t>
      </w:r>
    </w:p>
    <w:p w14:paraId="51C6898D">
      <w:pPr>
        <w:pStyle w:val="8"/>
        <w:spacing w:line="360" w:lineRule="auto"/>
        <w:ind w:left="0" w:firstLine="480" w:firstLineChars="200"/>
        <w:rPr>
          <w:rFonts w:cs="宋体"/>
          <w:color w:val="auto"/>
          <w:sz w:val="24"/>
          <w:szCs w:val="24"/>
          <w:highlight w:val="none"/>
          <w:lang w:eastAsia="zh-CN"/>
        </w:rPr>
      </w:pPr>
      <w:r>
        <w:rPr>
          <w:rFonts w:cs="宋体"/>
          <w:color w:val="auto"/>
          <w:sz w:val="24"/>
          <w:szCs w:val="24"/>
          <w:highlight w:val="none"/>
          <w:lang w:eastAsia="zh-CN"/>
        </w:rPr>
        <w:t>投标人在评标过程中作出的符合法律法规和招标文件规定的澄清确认，构成投标文件的组成部分。</w:t>
      </w:r>
    </w:p>
    <w:p w14:paraId="6EE0A7F9">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3.1.2投标人须知前附表规定不接受联合体投标的，或投标人没有组成联合体的，投标文件不包括本章第3.1.1（3）目所指的联合体协议书。</w:t>
      </w:r>
    </w:p>
    <w:p w14:paraId="51A367B3">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3.1.3 投标人须知前附表未要求提交投标保证金的，投标文件不包括本章第 3.1.1（4）目所指的投标保证金。</w:t>
      </w:r>
    </w:p>
    <w:p w14:paraId="3C7BBDCF">
      <w:pPr>
        <w:pStyle w:val="4"/>
        <w:spacing w:line="360" w:lineRule="auto"/>
        <w:ind w:left="0"/>
        <w:rPr>
          <w:b/>
          <w:bCs/>
          <w:color w:val="auto"/>
          <w:highlight w:val="none"/>
          <w:lang w:eastAsia="zh-CN"/>
        </w:rPr>
      </w:pPr>
      <w:r>
        <w:rPr>
          <w:b/>
          <w:bCs/>
          <w:color w:val="auto"/>
          <w:highlight w:val="none"/>
          <w:lang w:eastAsia="zh-CN"/>
        </w:rPr>
        <w:t>3.2投标报价</w:t>
      </w:r>
    </w:p>
    <w:p w14:paraId="0BF6C551">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3.2.1投标报价应包括国家规定的增值税税金，除投标人须知前附表另有规定外，增值税税金按一般计税方法计算。投标人应按第六章“投标文件格式”的要求在投标函中进行报价并填写</w:t>
      </w:r>
      <w:r>
        <w:rPr>
          <w:color w:val="auto"/>
          <w:sz w:val="24"/>
          <w:szCs w:val="24"/>
          <w:highlight w:val="none"/>
          <w:u w:val="single"/>
          <w:lang w:eastAsia="zh-CN"/>
        </w:rPr>
        <w:t>设计</w:t>
      </w:r>
      <w:r>
        <w:rPr>
          <w:color w:val="auto"/>
          <w:sz w:val="24"/>
          <w:szCs w:val="24"/>
          <w:highlight w:val="none"/>
          <w:lang w:eastAsia="zh-CN"/>
        </w:rPr>
        <w:t>费用清单。</w:t>
      </w:r>
    </w:p>
    <w:p w14:paraId="01EF520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3.2.2投标人应充分了解该项目的总体情况以及影响投标报价的其他要素。</w:t>
      </w:r>
    </w:p>
    <w:p w14:paraId="1BF0982F">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3.2.3本项目的报价方式见投标人须知前附表。</w:t>
      </w:r>
      <w:r>
        <w:rPr>
          <w:strike/>
          <w:color w:val="auto"/>
          <w:sz w:val="24"/>
          <w:szCs w:val="24"/>
          <w:highlight w:val="none"/>
          <w:lang w:eastAsia="zh-CN"/>
        </w:rPr>
        <w:t>投标人在投标截止时间前修改投标函中的投标报价总额，应同时修改投标文件“设计费用清单”中的相应报价。此修改须符合本章第 4.3 款的有关要求。</w:t>
      </w:r>
    </w:p>
    <w:p w14:paraId="3EAE426F">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3.2.4招标人设有最高投标限价的，投标人的投标报价不得超过最高投标限价，最高投标限价在投标人须知前附表中载明。</w:t>
      </w:r>
    </w:p>
    <w:p w14:paraId="00367BFE">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3.2.5投标报价的其他要求见投标人须知前附表。</w:t>
      </w:r>
    </w:p>
    <w:p w14:paraId="76220662">
      <w:pPr>
        <w:pStyle w:val="4"/>
        <w:spacing w:line="360" w:lineRule="auto"/>
        <w:ind w:left="0"/>
        <w:rPr>
          <w:b/>
          <w:bCs/>
          <w:color w:val="auto"/>
          <w:highlight w:val="none"/>
          <w:lang w:eastAsia="zh-CN"/>
        </w:rPr>
      </w:pPr>
      <w:r>
        <w:rPr>
          <w:b/>
          <w:bCs/>
          <w:color w:val="auto"/>
          <w:highlight w:val="none"/>
          <w:lang w:eastAsia="zh-CN"/>
        </w:rPr>
        <w:t>3.3投标有效期</w:t>
      </w:r>
    </w:p>
    <w:p w14:paraId="3C05A4D8">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3.3.1除投标人须知前附表另有规定外，投标有效期为</w:t>
      </w:r>
      <w:r>
        <w:rPr>
          <w:rFonts w:hint="eastAsia"/>
          <w:color w:val="auto"/>
          <w:sz w:val="24"/>
          <w:szCs w:val="24"/>
          <w:highlight w:val="none"/>
          <w:lang w:eastAsia="zh-CN"/>
        </w:rPr>
        <w:t>90</w:t>
      </w:r>
      <w:r>
        <w:rPr>
          <w:color w:val="auto"/>
          <w:sz w:val="24"/>
          <w:szCs w:val="24"/>
          <w:highlight w:val="none"/>
          <w:lang w:eastAsia="zh-CN"/>
        </w:rPr>
        <w:t>天。</w:t>
      </w:r>
    </w:p>
    <w:p w14:paraId="16B40EFA">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3.3.2在投标有效期内，投标人撤销投标文件的，应承担招标文件和法律规定的责任。</w:t>
      </w:r>
    </w:p>
    <w:p w14:paraId="23599992">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3.3.3出现特殊情况需要延长投标有效期的，招标人以书面形式通知所有投标人延长投标有效期。投标人应予以书面答复，同意延长的，</w:t>
      </w:r>
      <w:r>
        <w:rPr>
          <w:strike/>
          <w:color w:val="auto"/>
          <w:sz w:val="24"/>
          <w:szCs w:val="24"/>
          <w:highlight w:val="none"/>
          <w:lang w:eastAsia="zh-CN"/>
        </w:rPr>
        <w:t>应相应延长其投标保证金的有效期，</w:t>
      </w:r>
      <w:r>
        <w:rPr>
          <w:color w:val="auto"/>
          <w:sz w:val="24"/>
          <w:szCs w:val="24"/>
          <w:highlight w:val="none"/>
          <w:lang w:eastAsia="zh-CN"/>
        </w:rPr>
        <w:t>但不得要求或被允许修改其投标文件；投标人拒绝延长的，其投标失效</w:t>
      </w:r>
      <w:r>
        <w:rPr>
          <w:strike/>
          <w:color w:val="auto"/>
          <w:sz w:val="24"/>
          <w:szCs w:val="24"/>
          <w:highlight w:val="none"/>
          <w:lang w:eastAsia="zh-CN"/>
        </w:rPr>
        <w:t>，但投标人有权收回其投标保证金及以现金或者支票形式递交的投标保证金的银行同期存款利息</w:t>
      </w:r>
      <w:r>
        <w:rPr>
          <w:color w:val="auto"/>
          <w:sz w:val="24"/>
          <w:szCs w:val="24"/>
          <w:highlight w:val="none"/>
          <w:lang w:eastAsia="zh-CN"/>
        </w:rPr>
        <w:t>。</w:t>
      </w:r>
    </w:p>
    <w:p w14:paraId="10637C4A">
      <w:pPr>
        <w:pStyle w:val="4"/>
        <w:spacing w:line="360" w:lineRule="auto"/>
        <w:ind w:left="0"/>
        <w:rPr>
          <w:b/>
          <w:bCs/>
          <w:strike/>
          <w:color w:val="auto"/>
          <w:highlight w:val="none"/>
          <w:lang w:eastAsia="zh-CN"/>
        </w:rPr>
      </w:pPr>
      <w:r>
        <w:rPr>
          <w:b/>
          <w:bCs/>
          <w:strike/>
          <w:color w:val="auto"/>
          <w:highlight w:val="none"/>
          <w:lang w:eastAsia="zh-CN"/>
        </w:rPr>
        <w:t>3.4投标保证金</w:t>
      </w:r>
    </w:p>
    <w:p w14:paraId="5E38C404">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3.4.1投标人在递交投标文件的同时，应按投标人须知前附表规定的金额、形式和第六章“投标文件格式”规定的投标保证金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14:paraId="5819A541">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3.4.2投标人不按本章第 3.4.1项要求提交投标保证金的，评标委员会将否决其投标。</w:t>
      </w:r>
    </w:p>
    <w:p w14:paraId="06AE0557">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3.4.3 招标人最迟将在与中标人签订合同后 5日内，向未中标的投标人和中标人退还投标保证金。投标保证金以现金或者支票形式递交的，还应退还银行同期存款利息。</w:t>
      </w:r>
      <w:r>
        <w:rPr>
          <w:rFonts w:hint="eastAsia"/>
          <w:strike/>
          <w:color w:val="auto"/>
          <w:sz w:val="24"/>
          <w:szCs w:val="24"/>
          <w:highlight w:val="none"/>
          <w:lang w:eastAsia="zh-CN"/>
        </w:rPr>
        <w:t>如出现异议或投诉，则投标有效期自动延长至异议或投诉处理结束。在提交投标文件截止时间后到招标文件规定的投标有效期终止之前，投标人不得补充、修改或者撤回其投标文件，否则其保证金将不予退还。招标人因特殊情况需要延长提交投标文件截止时间，投标人可以拒绝投标，招标人对退出的投标人不作任何经济补偿。同意延长投标有效期的投标人，在延长期内本招标文件的规定仍然适用。</w:t>
      </w:r>
    </w:p>
    <w:p w14:paraId="521F1825">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3.4.4有下列情形之一的，投标保证金将不予退还：</w:t>
      </w:r>
    </w:p>
    <w:p w14:paraId="3C8B8A85">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（1）投标人在投标有效期内撤销投标文件；</w:t>
      </w:r>
    </w:p>
    <w:p w14:paraId="24BBDA6A">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（2）中标人在收到中标通知书后，无正当理由不与招标人订立合同，在签订合同时向招标人提出附加条件，或者不按照招标文件要求提交履约保证金；</w:t>
      </w:r>
    </w:p>
    <w:p w14:paraId="6FB69712">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（3）发生投标人须知前附表规定的其他可以不予退还投标保证金的情形。</w:t>
      </w:r>
    </w:p>
    <w:p w14:paraId="438F18AA">
      <w:pPr>
        <w:pStyle w:val="4"/>
        <w:spacing w:line="360" w:lineRule="auto"/>
        <w:ind w:left="0"/>
        <w:rPr>
          <w:b/>
          <w:bCs/>
          <w:strike/>
          <w:color w:val="auto"/>
          <w:highlight w:val="none"/>
          <w:lang w:eastAsia="zh-CN"/>
        </w:rPr>
      </w:pPr>
      <w:r>
        <w:rPr>
          <w:b/>
          <w:bCs/>
          <w:strike/>
          <w:color w:val="auto"/>
          <w:highlight w:val="none"/>
          <w:lang w:eastAsia="zh-CN"/>
        </w:rPr>
        <w:t>3.5资格审查资料（适用于已进行资格预审的）</w:t>
      </w:r>
    </w:p>
    <w:p w14:paraId="0DB39B79">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投标人在递交投标文件前，发生可能影响其投标资格的新情况的，应更新或补充其在申请资格预审时提供的资料，以证实其各项资格条件仍能继续满足资格预审文件的要求，且没有实质性降低。</w:t>
      </w:r>
    </w:p>
    <w:p w14:paraId="2832CA4A">
      <w:pPr>
        <w:pStyle w:val="4"/>
        <w:spacing w:line="360" w:lineRule="auto"/>
        <w:ind w:left="0"/>
        <w:rPr>
          <w:b/>
          <w:bCs/>
          <w:color w:val="auto"/>
          <w:highlight w:val="none"/>
          <w:lang w:eastAsia="zh-CN"/>
        </w:rPr>
      </w:pPr>
      <w:r>
        <w:rPr>
          <w:b/>
          <w:bCs/>
          <w:color w:val="auto"/>
          <w:highlight w:val="none"/>
          <w:lang w:eastAsia="zh-CN"/>
        </w:rPr>
        <w:t>3.5资格审查资料（适用于未进行资格预审的）</w:t>
      </w:r>
    </w:p>
    <w:p w14:paraId="78FD2E28">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除投标人须知前附表另有规定外，投标人应按下列规定提供资格审查资料，以证明其满足本章第1.4款规定的资质、</w:t>
      </w:r>
      <w:r>
        <w:rPr>
          <w:strike/>
          <w:color w:val="auto"/>
          <w:sz w:val="24"/>
          <w:szCs w:val="24"/>
          <w:highlight w:val="none"/>
          <w:lang w:eastAsia="zh-CN"/>
        </w:rPr>
        <w:t>财务、业绩、信誉</w:t>
      </w:r>
      <w:r>
        <w:rPr>
          <w:color w:val="auto"/>
          <w:sz w:val="24"/>
          <w:szCs w:val="24"/>
          <w:highlight w:val="none"/>
          <w:lang w:eastAsia="zh-CN"/>
        </w:rPr>
        <w:t>等要求。</w:t>
      </w:r>
    </w:p>
    <w:p w14:paraId="2FA30393">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3.5.1“投标人基本情况表”应附投标人营业执照和组织机构代码证的</w:t>
      </w:r>
      <w:r>
        <w:rPr>
          <w:rFonts w:hint="eastAsia"/>
          <w:color w:val="auto"/>
          <w:sz w:val="24"/>
          <w:szCs w:val="24"/>
          <w:highlight w:val="none"/>
          <w:lang w:eastAsia="zh-CN"/>
        </w:rPr>
        <w:t>扫描</w:t>
      </w:r>
      <w:r>
        <w:rPr>
          <w:color w:val="auto"/>
          <w:sz w:val="24"/>
          <w:szCs w:val="24"/>
          <w:highlight w:val="none"/>
          <w:lang w:eastAsia="zh-CN"/>
        </w:rPr>
        <w:t>件（按照“三证合一”或“五证合一”登记制度进行登记的，可仅提供营业执照</w:t>
      </w:r>
      <w:r>
        <w:rPr>
          <w:rFonts w:hint="eastAsia"/>
          <w:color w:val="auto"/>
          <w:sz w:val="24"/>
          <w:szCs w:val="24"/>
          <w:highlight w:val="none"/>
          <w:lang w:eastAsia="zh-CN"/>
        </w:rPr>
        <w:t>扫描</w:t>
      </w:r>
      <w:r>
        <w:rPr>
          <w:color w:val="auto"/>
          <w:sz w:val="24"/>
          <w:szCs w:val="24"/>
          <w:highlight w:val="none"/>
          <w:lang w:eastAsia="zh-CN"/>
        </w:rPr>
        <w:t>件）、投标人</w:t>
      </w:r>
      <w:r>
        <w:rPr>
          <w:color w:val="auto"/>
          <w:sz w:val="24"/>
          <w:szCs w:val="24"/>
          <w:highlight w:val="none"/>
          <w:u w:val="single"/>
          <w:lang w:eastAsia="zh-CN"/>
        </w:rPr>
        <w:t>设计</w:t>
      </w:r>
      <w:r>
        <w:rPr>
          <w:color w:val="auto"/>
          <w:sz w:val="24"/>
          <w:szCs w:val="24"/>
          <w:highlight w:val="none"/>
          <w:lang w:eastAsia="zh-CN"/>
        </w:rPr>
        <w:t>资质证书副本等材料的</w:t>
      </w:r>
      <w:r>
        <w:rPr>
          <w:rFonts w:hint="eastAsia"/>
          <w:color w:val="auto"/>
          <w:sz w:val="24"/>
          <w:szCs w:val="24"/>
          <w:highlight w:val="none"/>
          <w:lang w:eastAsia="zh-CN"/>
        </w:rPr>
        <w:t>扫描</w:t>
      </w:r>
      <w:r>
        <w:rPr>
          <w:color w:val="auto"/>
          <w:sz w:val="24"/>
          <w:szCs w:val="24"/>
          <w:highlight w:val="none"/>
          <w:lang w:eastAsia="zh-CN"/>
        </w:rPr>
        <w:t>件。</w:t>
      </w:r>
    </w:p>
    <w:p w14:paraId="4662BD65">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3.5.2“近年财务状况表”应附经会计师事务所或审计机构审计的财务会计报表，包括资产负债表、现金流量表、利润表和财务情况说明书的</w:t>
      </w:r>
      <w:r>
        <w:rPr>
          <w:rFonts w:hint="eastAsia"/>
          <w:strike/>
          <w:color w:val="auto"/>
          <w:sz w:val="24"/>
          <w:szCs w:val="24"/>
          <w:highlight w:val="none"/>
          <w:lang w:eastAsia="zh-CN"/>
        </w:rPr>
        <w:t>扫描</w:t>
      </w:r>
      <w:r>
        <w:rPr>
          <w:strike/>
          <w:color w:val="auto"/>
          <w:sz w:val="24"/>
          <w:szCs w:val="24"/>
          <w:highlight w:val="none"/>
          <w:lang w:eastAsia="zh-CN"/>
        </w:rPr>
        <w:t>件，具体年份要求见投标人须知前附表。投标人的成立时间少于投标人须知前附表规定年份的，应提供成立以来的财务状况表。</w:t>
      </w:r>
    </w:p>
    <w:p w14:paraId="270F8634">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3.5.3“近年完成的类似设计项目情况表”应附中标通知书和（或）合同协议书、发包人出具的证明文件；具体时间要求见投标人须知前附表，每张表格只填写一个项目，并标明序号。</w:t>
      </w:r>
    </w:p>
    <w:p w14:paraId="6B215BD2">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3.5.4“正在设计和新承接的项目情况表”应附中标通知书和（或）合同协议书</w:t>
      </w:r>
      <w:r>
        <w:rPr>
          <w:rFonts w:hint="eastAsia"/>
          <w:strike/>
          <w:color w:val="auto"/>
          <w:sz w:val="24"/>
          <w:szCs w:val="24"/>
          <w:highlight w:val="none"/>
          <w:lang w:eastAsia="zh-CN"/>
        </w:rPr>
        <w:t>扫描</w:t>
      </w:r>
      <w:r>
        <w:rPr>
          <w:strike/>
          <w:color w:val="auto"/>
          <w:sz w:val="24"/>
          <w:szCs w:val="24"/>
          <w:highlight w:val="none"/>
          <w:lang w:eastAsia="zh-CN"/>
        </w:rPr>
        <w:t>件。每张表格只填写一个项目，并标明序号。</w:t>
      </w:r>
    </w:p>
    <w:p w14:paraId="1DF46C7F">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3.5.5“近年发生的诉讼及仲裁情况”应说明投标人败诉的设计合同的相关情况，并附法院或仲裁机构作出的判决、裁决等有关法律文书</w:t>
      </w:r>
      <w:r>
        <w:rPr>
          <w:rFonts w:hint="eastAsia"/>
          <w:strike/>
          <w:color w:val="auto"/>
          <w:sz w:val="24"/>
          <w:szCs w:val="24"/>
          <w:highlight w:val="none"/>
          <w:lang w:eastAsia="zh-CN"/>
        </w:rPr>
        <w:t>扫描</w:t>
      </w:r>
      <w:r>
        <w:rPr>
          <w:strike/>
          <w:color w:val="auto"/>
          <w:sz w:val="24"/>
          <w:szCs w:val="24"/>
          <w:highlight w:val="none"/>
          <w:lang w:eastAsia="zh-CN"/>
        </w:rPr>
        <w:t>件，具体时间要求见投标人须知前附表。</w:t>
      </w:r>
    </w:p>
    <w:p w14:paraId="2FE8E46C">
      <w:pPr>
        <w:pStyle w:val="8"/>
        <w:spacing w:line="360" w:lineRule="auto"/>
        <w:ind w:left="0" w:firstLine="480" w:firstLineChars="200"/>
        <w:rPr>
          <w:color w:val="auto"/>
          <w:sz w:val="24"/>
          <w:szCs w:val="24"/>
          <w:highlight w:val="none"/>
          <w:lang w:eastAsia="zh-CN"/>
        </w:rPr>
      </w:pPr>
      <w:r>
        <w:rPr>
          <w:strike/>
          <w:color w:val="auto"/>
          <w:sz w:val="24"/>
          <w:szCs w:val="24"/>
          <w:highlight w:val="none"/>
          <w:lang w:eastAsia="zh-CN"/>
        </w:rPr>
        <w:t>3.5.6“拟委任的主要人员汇总表”应填报满足本章第 1.4.1项规定的项目负责人和其他主要人员的相关信息。“主要人员简历表”中项目负责人应附身份证、学历证、职称证、执业资格证书和社保缴费证明</w:t>
      </w:r>
      <w:r>
        <w:rPr>
          <w:rFonts w:hint="eastAsia"/>
          <w:strike/>
          <w:color w:val="auto"/>
          <w:sz w:val="24"/>
          <w:szCs w:val="24"/>
          <w:highlight w:val="none"/>
          <w:lang w:eastAsia="zh-CN"/>
        </w:rPr>
        <w:t>扫描</w:t>
      </w:r>
      <w:r>
        <w:rPr>
          <w:strike/>
          <w:color w:val="auto"/>
          <w:sz w:val="24"/>
          <w:szCs w:val="24"/>
          <w:highlight w:val="none"/>
          <w:lang w:eastAsia="zh-CN"/>
        </w:rPr>
        <w:t>件，管理过的项目业绩须附合同协议书</w:t>
      </w:r>
      <w:r>
        <w:rPr>
          <w:rFonts w:hint="eastAsia"/>
          <w:strike/>
          <w:color w:val="auto"/>
          <w:sz w:val="24"/>
          <w:szCs w:val="24"/>
          <w:highlight w:val="none"/>
          <w:lang w:eastAsia="zh-CN"/>
        </w:rPr>
        <w:t>扫描</w:t>
      </w:r>
      <w:r>
        <w:rPr>
          <w:strike/>
          <w:color w:val="auto"/>
          <w:sz w:val="24"/>
          <w:szCs w:val="24"/>
          <w:highlight w:val="none"/>
          <w:lang w:eastAsia="zh-CN"/>
        </w:rPr>
        <w:t>件；其他主要人员应附身份证、学历证、职称证、有关证书和社保缴费证明</w:t>
      </w:r>
      <w:r>
        <w:rPr>
          <w:rFonts w:hint="eastAsia"/>
          <w:strike/>
          <w:color w:val="auto"/>
          <w:sz w:val="24"/>
          <w:szCs w:val="24"/>
          <w:highlight w:val="none"/>
          <w:lang w:eastAsia="zh-CN"/>
        </w:rPr>
        <w:t>扫描</w:t>
      </w:r>
      <w:r>
        <w:rPr>
          <w:strike/>
          <w:color w:val="auto"/>
          <w:sz w:val="24"/>
          <w:szCs w:val="24"/>
          <w:highlight w:val="none"/>
          <w:lang w:eastAsia="zh-CN"/>
        </w:rPr>
        <w:t>件。</w:t>
      </w:r>
    </w:p>
    <w:p w14:paraId="4027B4D5">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3.5.7投标人须知前附表规定接受联合体投标的，本章第3.5.1项至第3.5.6项规定的表格和资料应包括联合体各方相关情况。</w:t>
      </w:r>
    </w:p>
    <w:p w14:paraId="263DC697">
      <w:pPr>
        <w:pStyle w:val="4"/>
        <w:spacing w:line="360" w:lineRule="auto"/>
        <w:ind w:left="0"/>
        <w:rPr>
          <w:b/>
          <w:bCs/>
          <w:color w:val="auto"/>
          <w:highlight w:val="none"/>
          <w:lang w:eastAsia="zh-CN"/>
        </w:rPr>
      </w:pPr>
      <w:r>
        <w:rPr>
          <w:b/>
          <w:bCs/>
          <w:color w:val="auto"/>
          <w:highlight w:val="none"/>
          <w:lang w:eastAsia="zh-CN"/>
        </w:rPr>
        <w:t>3.6备选投标方案</w:t>
      </w:r>
    </w:p>
    <w:p w14:paraId="104C02D9">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不允许递交备选投标方案。</w:t>
      </w:r>
    </w:p>
    <w:p w14:paraId="5DDD0CCA">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3.6.1除投标人须知前附表规定允许外，投标人不得递交备选投标方案，否则其投标将被否决。</w:t>
      </w:r>
    </w:p>
    <w:p w14:paraId="7BBB40CF">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3.6.2允许投标人递交备选投标方案的，只有中标人所递交的备选投标方案方可予以考虑。评标委员会认为中标人的备选投标方案优于其按照招标文件要求编制的投标方案的，招标人可以接受该备选投标方案。</w:t>
      </w:r>
    </w:p>
    <w:p w14:paraId="268EB3A8">
      <w:pPr>
        <w:pStyle w:val="8"/>
        <w:spacing w:line="360" w:lineRule="auto"/>
        <w:ind w:left="0" w:firstLine="480" w:firstLineChars="200"/>
        <w:rPr>
          <w:color w:val="auto"/>
          <w:sz w:val="24"/>
          <w:szCs w:val="24"/>
          <w:highlight w:val="none"/>
          <w:lang w:eastAsia="zh-CN"/>
        </w:rPr>
      </w:pPr>
      <w:r>
        <w:rPr>
          <w:strike/>
          <w:color w:val="auto"/>
          <w:sz w:val="24"/>
          <w:szCs w:val="24"/>
          <w:highlight w:val="none"/>
          <w:lang w:eastAsia="zh-CN"/>
        </w:rPr>
        <w:t>3.6.3投标人提供两个或两个以上投标报价，或者在投标文件中提供一个报价，但同时提供两个或两个以上勘察设计方案的，视为提供备选方案。</w:t>
      </w:r>
    </w:p>
    <w:p w14:paraId="532F5A13">
      <w:pPr>
        <w:pStyle w:val="4"/>
        <w:spacing w:line="360" w:lineRule="auto"/>
        <w:ind w:left="0"/>
        <w:rPr>
          <w:b/>
          <w:bCs/>
          <w:color w:val="auto"/>
          <w:highlight w:val="none"/>
          <w:lang w:eastAsia="zh-CN"/>
        </w:rPr>
      </w:pPr>
      <w:r>
        <w:rPr>
          <w:b/>
          <w:bCs/>
          <w:color w:val="auto"/>
          <w:highlight w:val="none"/>
          <w:lang w:eastAsia="zh-CN"/>
        </w:rPr>
        <w:t>3.7投标文件的编制</w:t>
      </w:r>
    </w:p>
    <w:p w14:paraId="6994876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3.7.1投标文件应按第六章“投标文件格式”进行编写，如有必要，可以增加附页，作为投标文件的组成部分。其中，投标函附录在满足招标文件实质性要求的基础上，可以提出比招标文件要求更有利于招标人的承诺。</w:t>
      </w:r>
    </w:p>
    <w:p w14:paraId="679D0361">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3.7.2投标文件应当对招标文件有关</w:t>
      </w:r>
      <w:r>
        <w:rPr>
          <w:color w:val="auto"/>
          <w:sz w:val="24"/>
          <w:szCs w:val="24"/>
          <w:highlight w:val="none"/>
          <w:u w:val="single"/>
          <w:lang w:eastAsia="zh-CN"/>
        </w:rPr>
        <w:t>设计</w:t>
      </w:r>
      <w:r>
        <w:rPr>
          <w:color w:val="auto"/>
          <w:sz w:val="24"/>
          <w:szCs w:val="24"/>
          <w:highlight w:val="none"/>
          <w:lang w:eastAsia="zh-CN"/>
        </w:rPr>
        <w:t>服务期限、投标有效期、发包人要求、招标范围等实质性内容作出响应。</w:t>
      </w:r>
    </w:p>
    <w:p w14:paraId="28D6520E">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3.7.3（A）（1）投标文件应用不褪色的材料书写或打印，投标函、投标函附录及对投标文件的澄清、说明和补正应由投标人的法定代表人或其授权的代理人签字或盖单位章。由投标人的法定代表人签字的，应附法定代表人身份证明，由代理人签字的，应附授权委托书，身份证明或授权委托书应符合第六章“投标文件格式”的要求。投标文件应尽量避免涂改、行间插字或删除。如果出现上述情况，改动之处应由投标人的法定代表人或其授权的代理人签字或盖单位章。</w:t>
      </w:r>
    </w:p>
    <w:p w14:paraId="39D80153">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14:paraId="71C7FA56">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（3）投标文件的正本与副本应分别装订，并编制目录，投标文件需分册装订的，具体分册装订要求见投标人须知前附表规定。</w:t>
      </w:r>
    </w:p>
    <w:p w14:paraId="0CFD9D2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3.7.3（B）投标文件全部采用电子文档，除投标人须知前附表另有规定外，投标文件所附证书证件均为原件扫描件，并采用单位和个人数字证书，按招标文件要求在相应位置加盖电子印章</w:t>
      </w:r>
      <w:r>
        <w:rPr>
          <w:rFonts w:hint="eastAsia"/>
          <w:b/>
          <w:color w:val="auto"/>
          <w:sz w:val="24"/>
          <w:szCs w:val="24"/>
          <w:highlight w:val="none"/>
          <w:u w:val="single"/>
          <w:lang w:eastAsia="zh-CN"/>
        </w:rPr>
        <w:t>（技术文件除外）</w:t>
      </w:r>
      <w:r>
        <w:rPr>
          <w:color w:val="auto"/>
          <w:sz w:val="24"/>
          <w:szCs w:val="24"/>
          <w:highlight w:val="none"/>
          <w:lang w:eastAsia="zh-CN"/>
        </w:rPr>
        <w:t>。由投标人的法定代表人签字或加盖电子印章的，应附法定代表人身份证明，由代理人签字或加盖电子印章的，应附由法定代表人签署的授权委托书。签字或盖章的具体要求见投标人须知前附表。</w:t>
      </w:r>
      <w:bookmarkStart w:id="22" w:name="_Toc25137985"/>
    </w:p>
    <w:p w14:paraId="3C26B08F">
      <w:pPr>
        <w:pStyle w:val="8"/>
        <w:spacing w:line="360" w:lineRule="auto"/>
        <w:ind w:left="0" w:firstLine="480" w:firstLineChars="200"/>
        <w:rPr>
          <w:color w:val="auto"/>
          <w:sz w:val="24"/>
          <w:szCs w:val="24"/>
          <w:highlight w:val="none"/>
          <w:lang w:eastAsia="zh-CN"/>
        </w:rPr>
      </w:pPr>
      <w:r>
        <w:rPr>
          <w:color w:val="auto"/>
          <w:sz w:val="24"/>
          <w:szCs w:val="24"/>
          <w:highlight w:val="none"/>
          <w:u w:val="single"/>
          <w:lang w:eastAsia="zh-CN"/>
        </w:rPr>
        <w:t>3.7.4</w:t>
      </w:r>
      <w:r>
        <w:rPr>
          <w:rFonts w:hint="eastAsia"/>
          <w:color w:val="auto"/>
          <w:sz w:val="24"/>
          <w:szCs w:val="24"/>
          <w:highlight w:val="none"/>
          <w:u w:val="single"/>
          <w:lang w:eastAsia="zh-CN"/>
        </w:rPr>
        <w:t>技术标中不能辨认出投标人或其专业技术人员的身份。不在设计方案上标注或做任何可以辨认投标人及专业技术人员身份的名称、印章、商标、图形等记认符号</w:t>
      </w:r>
      <w:r>
        <w:rPr>
          <w:rFonts w:hint="eastAsia"/>
          <w:color w:val="auto"/>
          <w:sz w:val="24"/>
          <w:szCs w:val="24"/>
          <w:highlight w:val="none"/>
          <w:lang w:eastAsia="zh-CN"/>
        </w:rPr>
        <w:t>。</w:t>
      </w:r>
    </w:p>
    <w:p w14:paraId="5E403678">
      <w:pPr>
        <w:pStyle w:val="3"/>
        <w:spacing w:line="360" w:lineRule="auto"/>
        <w:ind w:left="0"/>
        <w:rPr>
          <w:rFonts w:ascii="宋体" w:hAnsi="宋体" w:eastAsia="宋体"/>
          <w:color w:val="auto"/>
          <w:highlight w:val="none"/>
          <w:lang w:eastAsia="zh-CN"/>
        </w:rPr>
      </w:pPr>
      <w:bookmarkStart w:id="23" w:name="_Toc25152735"/>
      <w:r>
        <w:rPr>
          <w:rFonts w:ascii="宋体" w:hAnsi="宋体" w:eastAsia="宋体"/>
          <w:color w:val="auto"/>
          <w:highlight w:val="none"/>
          <w:lang w:eastAsia="zh-CN"/>
        </w:rPr>
        <w:t>4. 投标</w:t>
      </w:r>
      <w:bookmarkEnd w:id="22"/>
      <w:bookmarkEnd w:id="23"/>
    </w:p>
    <w:p w14:paraId="4B28810D">
      <w:pPr>
        <w:pStyle w:val="4"/>
        <w:spacing w:line="360" w:lineRule="auto"/>
        <w:ind w:left="0"/>
        <w:rPr>
          <w:b/>
          <w:bCs/>
          <w:color w:val="auto"/>
          <w:highlight w:val="none"/>
          <w:lang w:eastAsia="zh-CN"/>
        </w:rPr>
      </w:pPr>
      <w:r>
        <w:rPr>
          <w:b/>
          <w:bCs/>
          <w:color w:val="auto"/>
          <w:highlight w:val="none"/>
          <w:lang w:eastAsia="zh-CN"/>
        </w:rPr>
        <w:t>4.1投标文件的密封和标记</w:t>
      </w:r>
    </w:p>
    <w:p w14:paraId="3E354EF0">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4.1.1（A）投标文件应密封包装，并在封套的封口处加盖投标人单位章或由投标人的法定代表人或其授权的代理人签字。</w:t>
      </w:r>
    </w:p>
    <w:p w14:paraId="5086C8D1">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4.1.1（B）投标人应当按照招标文件和电子招标投标交易平台的要求加密投标文件，具体要求见投标人须知前附表。</w:t>
      </w:r>
    </w:p>
    <w:p w14:paraId="0074A3E9">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4.1.2投标文件</w:t>
      </w:r>
      <w:r>
        <w:rPr>
          <w:rFonts w:hint="eastAsia"/>
          <w:b/>
          <w:color w:val="auto"/>
          <w:sz w:val="24"/>
          <w:szCs w:val="24"/>
          <w:highlight w:val="none"/>
          <w:u w:val="single"/>
          <w:lang w:eastAsia="zh-CN"/>
        </w:rPr>
        <w:t>备用光盘</w:t>
      </w:r>
      <w:r>
        <w:rPr>
          <w:color w:val="auto"/>
          <w:sz w:val="24"/>
          <w:szCs w:val="24"/>
          <w:highlight w:val="none"/>
          <w:lang w:eastAsia="zh-CN"/>
        </w:rPr>
        <w:t>封套上应写明的内容见投标人须知前附表。</w:t>
      </w:r>
    </w:p>
    <w:p w14:paraId="743A83AC">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4.1.3未按本章第 4.1.1项要求密封的投标文件，招标人将予以拒收。</w:t>
      </w:r>
    </w:p>
    <w:p w14:paraId="152AAB2C">
      <w:pPr>
        <w:pStyle w:val="4"/>
        <w:spacing w:line="360" w:lineRule="auto"/>
        <w:ind w:left="0"/>
        <w:rPr>
          <w:b/>
          <w:bCs/>
          <w:color w:val="auto"/>
          <w:highlight w:val="none"/>
          <w:lang w:eastAsia="zh-CN"/>
        </w:rPr>
      </w:pPr>
      <w:r>
        <w:rPr>
          <w:b/>
          <w:bCs/>
          <w:color w:val="auto"/>
          <w:highlight w:val="none"/>
          <w:lang w:eastAsia="zh-CN"/>
        </w:rPr>
        <w:t>4.2投标文件的递交</w:t>
      </w:r>
    </w:p>
    <w:p w14:paraId="5E11E258">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4.2.1投标人应在投标人须知前附表规定的投标截止时间前递交投标文件。</w:t>
      </w:r>
    </w:p>
    <w:p w14:paraId="6010127F">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4.2.2（A）投标人递交投标文件的地点：见投标人须知前附表。</w:t>
      </w:r>
    </w:p>
    <w:p w14:paraId="4F724320">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4.2.2（B）投标人通过下载招标文件的电子招标投标交易平台递交电子投标文件。</w:t>
      </w:r>
    </w:p>
    <w:p w14:paraId="5FDF68A0">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4.2.3除投标人须知前附表另有规定外，投标人所递交的投标文件不予退还。</w:t>
      </w:r>
    </w:p>
    <w:p w14:paraId="04A670D9">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4.2.4（A）招标人收到投标文件后，向投标人出具签收凭证。</w:t>
      </w:r>
    </w:p>
    <w:p w14:paraId="14D98949">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4.2.4（B）投标人完成电子投标文件上传后，电子招标投标交易平台即时向投标人发出递交回执通知。递交时间以递交回执通知载明的传输完成时间为准。</w:t>
      </w:r>
    </w:p>
    <w:p w14:paraId="055544A1">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4.2.5（A）逾期送达的投标文件，招标人将予以拒收。</w:t>
      </w:r>
    </w:p>
    <w:p w14:paraId="4CC7FC17">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4.2.5（B）逾期送达的投标文件，电子招标投标交易平台将予以拒收。</w:t>
      </w:r>
    </w:p>
    <w:p w14:paraId="0FA78AA7">
      <w:pPr>
        <w:pStyle w:val="4"/>
        <w:spacing w:line="360" w:lineRule="auto"/>
        <w:ind w:left="0"/>
        <w:rPr>
          <w:b/>
          <w:bCs/>
          <w:color w:val="auto"/>
          <w:highlight w:val="none"/>
          <w:lang w:eastAsia="zh-CN"/>
        </w:rPr>
      </w:pPr>
      <w:r>
        <w:rPr>
          <w:b/>
          <w:bCs/>
          <w:color w:val="auto"/>
          <w:highlight w:val="none"/>
          <w:lang w:eastAsia="zh-CN"/>
        </w:rPr>
        <w:t>4.3投标文件的修改与撤回</w:t>
      </w:r>
    </w:p>
    <w:p w14:paraId="6EADCD10">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4.3.1在本章第 4.2.1项规定的投标截止时间前，投标人可以修改或撤回已递交的投标文件，但应以书面形式通知招标人。</w:t>
      </w:r>
    </w:p>
    <w:p w14:paraId="1CC46CD7">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4.3.2（A）投标人修改或撤回已递交投标文件的书面通知应按照本章第3.7.3（A）项的要求签字或盖章。招标人收到书面通知后，向投标人出具签收凭证。</w:t>
      </w:r>
    </w:p>
    <w:p w14:paraId="262D811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4.3.2（B）投标人修改或撤回已递交投标文件的通知，应按照本章第3.7.3（B）项的要求加盖电子印章。电子招标投标交易平台收到通知后，即时向投标人发出确认回执通知。</w:t>
      </w:r>
    </w:p>
    <w:p w14:paraId="6FDC3C0E">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4.3.3投标人撤回投标文件的，招标人自收到投标人书面撤回通知之日起 5日内退还已收取的投标保证金。</w:t>
      </w:r>
    </w:p>
    <w:p w14:paraId="4D75BF0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4.3.4修改的内容为投标文件的组成部分。修改的投标文件应按照本章第3条、第4条的规定进行编制、密封、标记和递交，并标明“修改”字样。</w:t>
      </w:r>
      <w:bookmarkStart w:id="24" w:name="_Toc25137986"/>
    </w:p>
    <w:p w14:paraId="7F5FAF72">
      <w:pPr>
        <w:pStyle w:val="3"/>
        <w:spacing w:line="360" w:lineRule="auto"/>
        <w:ind w:left="0"/>
        <w:rPr>
          <w:rFonts w:ascii="宋体" w:hAnsi="宋体" w:eastAsia="宋体"/>
          <w:color w:val="auto"/>
          <w:highlight w:val="none"/>
          <w:lang w:eastAsia="zh-CN"/>
        </w:rPr>
      </w:pPr>
      <w:bookmarkStart w:id="25" w:name="_Toc25152736"/>
      <w:r>
        <w:rPr>
          <w:rFonts w:ascii="宋体" w:hAnsi="宋体" w:eastAsia="宋体"/>
          <w:color w:val="auto"/>
          <w:highlight w:val="none"/>
          <w:lang w:eastAsia="zh-CN"/>
        </w:rPr>
        <w:t>5. 开标</w:t>
      </w:r>
      <w:bookmarkEnd w:id="24"/>
      <w:bookmarkEnd w:id="25"/>
    </w:p>
    <w:p w14:paraId="115817FA">
      <w:pPr>
        <w:pStyle w:val="4"/>
        <w:spacing w:line="360" w:lineRule="auto"/>
        <w:ind w:left="0"/>
        <w:rPr>
          <w:b/>
          <w:bCs/>
          <w:strike/>
          <w:color w:val="auto"/>
          <w:highlight w:val="none"/>
          <w:lang w:eastAsia="zh-CN"/>
        </w:rPr>
      </w:pPr>
      <w:r>
        <w:rPr>
          <w:b/>
          <w:bCs/>
          <w:strike/>
          <w:color w:val="auto"/>
          <w:highlight w:val="none"/>
          <w:lang w:eastAsia="zh-CN"/>
        </w:rPr>
        <w:t>5.1开标时间和地点（A）</w:t>
      </w:r>
    </w:p>
    <w:p w14:paraId="74D93EA3">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招标人在本章第 4.2.1项规定的投标截止时间（开标时间）和投标人须知前附表规定的地点公开开标，并邀请所有投标人的法定代表人或其委托代理人准时参加。</w:t>
      </w:r>
    </w:p>
    <w:p w14:paraId="1AE00E24">
      <w:pPr>
        <w:pStyle w:val="4"/>
        <w:spacing w:line="360" w:lineRule="auto"/>
        <w:ind w:left="0"/>
        <w:rPr>
          <w:b/>
          <w:bCs/>
          <w:color w:val="auto"/>
          <w:highlight w:val="none"/>
          <w:lang w:eastAsia="zh-CN"/>
        </w:rPr>
      </w:pPr>
      <w:r>
        <w:rPr>
          <w:b/>
          <w:bCs/>
          <w:color w:val="auto"/>
          <w:highlight w:val="none"/>
          <w:lang w:eastAsia="zh-CN"/>
        </w:rPr>
        <w:t>5.1开标时间和地点（B）</w:t>
      </w:r>
    </w:p>
    <w:p w14:paraId="27FEF6FA">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招标人在本章第 4.2.1项规定的投标截止时间（开标时间）,通过电子招标投标交易平台公开开标，所有投标人的法定代表人或其委托代理人应当准时参加</w:t>
      </w:r>
      <w:r>
        <w:rPr>
          <w:rFonts w:hint="eastAsia"/>
          <w:color w:val="auto"/>
          <w:sz w:val="24"/>
          <w:szCs w:val="24"/>
          <w:highlight w:val="none"/>
          <w:u w:val="single"/>
          <w:lang w:eastAsia="zh-CN"/>
        </w:rPr>
        <w:t>，也可不参加</w:t>
      </w:r>
      <w:r>
        <w:rPr>
          <w:color w:val="auto"/>
          <w:sz w:val="24"/>
          <w:szCs w:val="24"/>
          <w:highlight w:val="none"/>
          <w:lang w:eastAsia="zh-CN"/>
        </w:rPr>
        <w:t>。</w:t>
      </w:r>
    </w:p>
    <w:p w14:paraId="586C8DC0">
      <w:pPr>
        <w:pStyle w:val="4"/>
        <w:spacing w:line="360" w:lineRule="auto"/>
        <w:ind w:left="0"/>
        <w:rPr>
          <w:b/>
          <w:bCs/>
          <w:color w:val="auto"/>
          <w:highlight w:val="none"/>
          <w:lang w:eastAsia="zh-CN"/>
        </w:rPr>
      </w:pPr>
      <w:r>
        <w:rPr>
          <w:b/>
          <w:bCs/>
          <w:color w:val="auto"/>
          <w:highlight w:val="none"/>
          <w:lang w:eastAsia="zh-CN"/>
        </w:rPr>
        <w:t>5.2开标程序</w:t>
      </w:r>
    </w:p>
    <w:p w14:paraId="4B27E905">
      <w:pPr>
        <w:pStyle w:val="8"/>
        <w:spacing w:line="360" w:lineRule="auto"/>
        <w:ind w:left="0" w:firstLine="480" w:firstLineChars="200"/>
        <w:rPr>
          <w:color w:val="auto"/>
          <w:sz w:val="24"/>
          <w:szCs w:val="24"/>
          <w:highlight w:val="none"/>
          <w:u w:val="single"/>
          <w:lang w:eastAsia="zh-CN"/>
        </w:rPr>
      </w:pPr>
      <w:r>
        <w:rPr>
          <w:color w:val="auto"/>
          <w:sz w:val="24"/>
          <w:szCs w:val="24"/>
          <w:highlight w:val="none"/>
          <w:u w:val="single"/>
          <w:lang w:eastAsia="zh-CN"/>
        </w:rPr>
        <w:t>主持人按下列程序进行开标：</w:t>
      </w:r>
    </w:p>
    <w:p w14:paraId="37A25D58">
      <w:pPr>
        <w:pStyle w:val="8"/>
        <w:spacing w:line="360" w:lineRule="auto"/>
        <w:ind w:left="0" w:firstLine="480" w:firstLineChars="200"/>
        <w:rPr>
          <w:color w:val="auto"/>
          <w:sz w:val="24"/>
          <w:szCs w:val="24"/>
          <w:highlight w:val="none"/>
          <w:u w:val="single"/>
          <w:lang w:eastAsia="zh-CN"/>
        </w:rPr>
      </w:pPr>
      <w:r>
        <w:rPr>
          <w:rFonts w:hint="eastAsia"/>
          <w:color w:val="auto"/>
          <w:sz w:val="24"/>
          <w:szCs w:val="24"/>
          <w:highlight w:val="none"/>
          <w:u w:val="single"/>
          <w:lang w:eastAsia="zh-CN"/>
        </w:rPr>
        <w:t>（</w:t>
      </w:r>
      <w:r>
        <w:rPr>
          <w:color w:val="auto"/>
          <w:sz w:val="24"/>
          <w:szCs w:val="24"/>
          <w:highlight w:val="none"/>
          <w:u w:val="single"/>
          <w:lang w:eastAsia="zh-CN"/>
        </w:rPr>
        <w:t>1</w:t>
      </w:r>
      <w:r>
        <w:rPr>
          <w:rFonts w:hint="eastAsia"/>
          <w:color w:val="auto"/>
          <w:sz w:val="24"/>
          <w:szCs w:val="24"/>
          <w:highlight w:val="none"/>
          <w:u w:val="single"/>
          <w:lang w:eastAsia="zh-CN"/>
        </w:rPr>
        <w:t>）宣布开标纪律；</w:t>
      </w:r>
    </w:p>
    <w:p w14:paraId="3187BC8A">
      <w:pPr>
        <w:pStyle w:val="8"/>
        <w:spacing w:line="360" w:lineRule="auto"/>
        <w:ind w:left="0" w:firstLine="480" w:firstLineChars="200"/>
        <w:rPr>
          <w:color w:val="auto"/>
          <w:sz w:val="24"/>
          <w:szCs w:val="24"/>
          <w:highlight w:val="none"/>
          <w:u w:val="single"/>
          <w:lang w:eastAsia="zh-CN"/>
        </w:rPr>
      </w:pPr>
      <w:r>
        <w:rPr>
          <w:rFonts w:hint="eastAsia"/>
          <w:color w:val="auto"/>
          <w:sz w:val="24"/>
          <w:szCs w:val="24"/>
          <w:highlight w:val="none"/>
          <w:u w:val="single"/>
          <w:lang w:eastAsia="zh-CN"/>
        </w:rPr>
        <w:t>（</w:t>
      </w:r>
      <w:r>
        <w:rPr>
          <w:color w:val="auto"/>
          <w:sz w:val="24"/>
          <w:szCs w:val="24"/>
          <w:highlight w:val="none"/>
          <w:u w:val="single"/>
          <w:lang w:eastAsia="zh-CN"/>
        </w:rPr>
        <w:t>2</w:t>
      </w:r>
      <w:r>
        <w:rPr>
          <w:rFonts w:hint="eastAsia"/>
          <w:color w:val="auto"/>
          <w:sz w:val="24"/>
          <w:szCs w:val="24"/>
          <w:highlight w:val="none"/>
          <w:u w:val="single"/>
          <w:lang w:eastAsia="zh-CN"/>
        </w:rPr>
        <w:t>）招标代理（招标人）登录交易平台</w:t>
      </w:r>
      <w:r>
        <w:rPr>
          <w:color w:val="auto"/>
          <w:sz w:val="24"/>
          <w:szCs w:val="24"/>
          <w:highlight w:val="none"/>
          <w:u w:val="single"/>
          <w:lang w:eastAsia="zh-CN"/>
        </w:rPr>
        <w:t>-</w:t>
      </w:r>
      <w:r>
        <w:rPr>
          <w:rFonts w:hint="eastAsia"/>
          <w:color w:val="auto"/>
          <w:sz w:val="24"/>
          <w:szCs w:val="24"/>
          <w:highlight w:val="none"/>
          <w:u w:val="single"/>
          <w:lang w:eastAsia="zh-CN"/>
        </w:rPr>
        <w:t>数字开标系统，公布在投标截止时间前递交投标文件的投标人名称；</w:t>
      </w:r>
    </w:p>
    <w:p w14:paraId="2E5D12BE">
      <w:pPr>
        <w:pStyle w:val="8"/>
        <w:spacing w:line="360" w:lineRule="auto"/>
        <w:ind w:left="0" w:firstLine="480" w:firstLineChars="200"/>
        <w:rPr>
          <w:color w:val="auto"/>
          <w:sz w:val="24"/>
          <w:szCs w:val="24"/>
          <w:highlight w:val="none"/>
          <w:u w:val="single"/>
          <w:lang w:eastAsia="zh-CN"/>
        </w:rPr>
      </w:pPr>
      <w:r>
        <w:rPr>
          <w:rFonts w:hint="eastAsia"/>
          <w:color w:val="auto"/>
          <w:sz w:val="24"/>
          <w:szCs w:val="24"/>
          <w:highlight w:val="none"/>
          <w:u w:val="single"/>
          <w:lang w:eastAsia="zh-CN"/>
        </w:rPr>
        <w:t>（</w:t>
      </w:r>
      <w:r>
        <w:rPr>
          <w:color w:val="auto"/>
          <w:sz w:val="24"/>
          <w:szCs w:val="24"/>
          <w:highlight w:val="none"/>
          <w:u w:val="single"/>
          <w:lang w:eastAsia="zh-CN"/>
        </w:rPr>
        <w:t>3</w:t>
      </w:r>
      <w:r>
        <w:rPr>
          <w:rFonts w:hint="eastAsia"/>
          <w:color w:val="auto"/>
          <w:sz w:val="24"/>
          <w:szCs w:val="24"/>
          <w:highlight w:val="none"/>
          <w:u w:val="single"/>
          <w:lang w:eastAsia="zh-CN"/>
        </w:rPr>
        <w:t>）宣布开标人、唱标人、记录人、监标人等有关人员姓名；</w:t>
      </w:r>
    </w:p>
    <w:p w14:paraId="40B288F4">
      <w:pPr>
        <w:pStyle w:val="8"/>
        <w:spacing w:line="360" w:lineRule="auto"/>
        <w:ind w:left="0" w:firstLine="480" w:firstLineChars="200"/>
        <w:rPr>
          <w:color w:val="auto"/>
          <w:sz w:val="24"/>
          <w:szCs w:val="24"/>
          <w:highlight w:val="none"/>
          <w:u w:val="single"/>
          <w:lang w:eastAsia="zh-CN"/>
        </w:rPr>
      </w:pPr>
      <w:r>
        <w:rPr>
          <w:rFonts w:hint="eastAsia"/>
          <w:color w:val="auto"/>
          <w:sz w:val="24"/>
          <w:szCs w:val="24"/>
          <w:highlight w:val="none"/>
          <w:u w:val="single"/>
          <w:lang w:eastAsia="zh-CN"/>
        </w:rPr>
        <w:t>（</w:t>
      </w:r>
      <w:r>
        <w:rPr>
          <w:color w:val="auto"/>
          <w:sz w:val="24"/>
          <w:szCs w:val="24"/>
          <w:highlight w:val="none"/>
          <w:u w:val="single"/>
          <w:lang w:eastAsia="zh-CN"/>
        </w:rPr>
        <w:t>4</w:t>
      </w:r>
      <w:r>
        <w:rPr>
          <w:rFonts w:hint="eastAsia"/>
          <w:color w:val="auto"/>
          <w:sz w:val="24"/>
          <w:szCs w:val="24"/>
          <w:highlight w:val="none"/>
          <w:u w:val="single"/>
          <w:lang w:eastAsia="zh-CN"/>
        </w:rPr>
        <w:t>）（</w:t>
      </w:r>
      <w:r>
        <w:rPr>
          <w:color w:val="auto"/>
          <w:sz w:val="24"/>
          <w:szCs w:val="24"/>
          <w:highlight w:val="none"/>
          <w:u w:val="single"/>
          <w:lang w:eastAsia="zh-CN"/>
        </w:rPr>
        <w:t>B</w:t>
      </w:r>
      <w:r>
        <w:rPr>
          <w:rFonts w:hint="eastAsia"/>
          <w:color w:val="auto"/>
          <w:sz w:val="24"/>
          <w:szCs w:val="24"/>
          <w:highlight w:val="none"/>
          <w:u w:val="single"/>
          <w:lang w:eastAsia="zh-CN"/>
        </w:rPr>
        <w:t>）投标人登录交易平台</w:t>
      </w:r>
      <w:r>
        <w:rPr>
          <w:color w:val="auto"/>
          <w:sz w:val="24"/>
          <w:szCs w:val="24"/>
          <w:highlight w:val="none"/>
          <w:u w:val="single"/>
          <w:lang w:eastAsia="zh-CN"/>
        </w:rPr>
        <w:t>-</w:t>
      </w:r>
      <w:r>
        <w:rPr>
          <w:rFonts w:hint="eastAsia"/>
          <w:color w:val="auto"/>
          <w:sz w:val="24"/>
          <w:szCs w:val="24"/>
          <w:highlight w:val="none"/>
          <w:u w:val="single"/>
          <w:lang w:eastAsia="zh-CN"/>
        </w:rPr>
        <w:t>数字开标系统，输入</w:t>
      </w:r>
      <w:r>
        <w:rPr>
          <w:color w:val="auto"/>
          <w:sz w:val="24"/>
          <w:szCs w:val="24"/>
          <w:highlight w:val="none"/>
          <w:u w:val="single"/>
          <w:lang w:eastAsia="zh-CN"/>
        </w:rPr>
        <w:t>CA</w:t>
      </w:r>
      <w:r>
        <w:rPr>
          <w:rFonts w:hint="eastAsia"/>
          <w:color w:val="auto"/>
          <w:sz w:val="24"/>
          <w:szCs w:val="24"/>
          <w:highlight w:val="none"/>
          <w:u w:val="single"/>
          <w:lang w:eastAsia="zh-CN"/>
        </w:rPr>
        <w:t>密码对已递交的电子投标文件进行解密，所有投标人需要在招标时设定的投标文件解密截止时间内进行解密，投标文件解密截止时间后不能再进行解密操作；</w:t>
      </w:r>
    </w:p>
    <w:p w14:paraId="0D768B1F">
      <w:pPr>
        <w:pStyle w:val="8"/>
        <w:spacing w:line="360" w:lineRule="auto"/>
        <w:ind w:left="0" w:firstLine="480" w:firstLineChars="200"/>
        <w:rPr>
          <w:color w:val="auto"/>
          <w:sz w:val="24"/>
          <w:szCs w:val="24"/>
          <w:highlight w:val="none"/>
          <w:u w:val="single"/>
          <w:lang w:eastAsia="zh-CN"/>
        </w:rPr>
      </w:pPr>
      <w:r>
        <w:rPr>
          <w:rFonts w:hint="eastAsia"/>
          <w:color w:val="auto"/>
          <w:sz w:val="24"/>
          <w:szCs w:val="24"/>
          <w:highlight w:val="none"/>
          <w:u w:val="single"/>
          <w:lang w:eastAsia="zh-CN"/>
        </w:rPr>
        <w:t>所有投标人都已解密完成，或到了投标文件解密截止时间后，招标代理（招标人）可进行</w:t>
      </w:r>
      <w:r>
        <w:rPr>
          <w:color w:val="auto"/>
          <w:sz w:val="24"/>
          <w:szCs w:val="24"/>
          <w:highlight w:val="none"/>
          <w:u w:val="single"/>
          <w:lang w:eastAsia="zh-CN"/>
        </w:rPr>
        <w:t>“</w:t>
      </w:r>
      <w:r>
        <w:rPr>
          <w:rFonts w:hint="eastAsia"/>
          <w:color w:val="auto"/>
          <w:sz w:val="24"/>
          <w:szCs w:val="24"/>
          <w:highlight w:val="none"/>
          <w:u w:val="single"/>
          <w:lang w:eastAsia="zh-CN"/>
        </w:rPr>
        <w:t>招标人解密操作</w:t>
      </w:r>
      <w:r>
        <w:rPr>
          <w:color w:val="auto"/>
          <w:sz w:val="24"/>
          <w:szCs w:val="24"/>
          <w:highlight w:val="none"/>
          <w:u w:val="single"/>
          <w:lang w:eastAsia="zh-CN"/>
        </w:rPr>
        <w:t>”</w:t>
      </w:r>
      <w:r>
        <w:rPr>
          <w:rFonts w:hint="eastAsia"/>
          <w:color w:val="auto"/>
          <w:sz w:val="24"/>
          <w:szCs w:val="24"/>
          <w:highlight w:val="none"/>
          <w:u w:val="single"/>
          <w:lang w:eastAsia="zh-CN"/>
        </w:rPr>
        <w:t>，解密操作同样需要进行</w:t>
      </w:r>
      <w:r>
        <w:rPr>
          <w:color w:val="auto"/>
          <w:sz w:val="24"/>
          <w:szCs w:val="24"/>
          <w:highlight w:val="none"/>
          <w:u w:val="single"/>
          <w:lang w:eastAsia="zh-CN"/>
        </w:rPr>
        <w:t>CA</w:t>
      </w:r>
      <w:r>
        <w:rPr>
          <w:rFonts w:hint="eastAsia"/>
          <w:color w:val="auto"/>
          <w:sz w:val="24"/>
          <w:szCs w:val="24"/>
          <w:highlight w:val="none"/>
          <w:u w:val="single"/>
          <w:lang w:eastAsia="zh-CN"/>
        </w:rPr>
        <w:t>验证；</w:t>
      </w:r>
    </w:p>
    <w:p w14:paraId="363E2A64">
      <w:pPr>
        <w:pStyle w:val="8"/>
        <w:spacing w:line="360" w:lineRule="auto"/>
        <w:ind w:left="0" w:firstLine="480" w:firstLineChars="200"/>
        <w:rPr>
          <w:color w:val="auto"/>
          <w:sz w:val="24"/>
          <w:szCs w:val="24"/>
          <w:highlight w:val="none"/>
          <w:u w:val="single"/>
          <w:lang w:eastAsia="zh-CN"/>
        </w:rPr>
      </w:pPr>
      <w:r>
        <w:rPr>
          <w:rFonts w:hint="eastAsia"/>
          <w:color w:val="auto"/>
          <w:sz w:val="24"/>
          <w:szCs w:val="24"/>
          <w:highlight w:val="none"/>
          <w:u w:val="single"/>
          <w:lang w:eastAsia="zh-CN"/>
        </w:rPr>
        <w:t>投标人、招标代理（招标人）完成解密后，招标代理开启电子唱标，公布招标项目名称、投标人名称、</w:t>
      </w:r>
      <w:r>
        <w:rPr>
          <w:rFonts w:hint="eastAsia"/>
          <w:strike/>
          <w:color w:val="auto"/>
          <w:sz w:val="24"/>
          <w:szCs w:val="24"/>
          <w:highlight w:val="none"/>
          <w:u w:val="single"/>
          <w:lang w:eastAsia="zh-CN"/>
        </w:rPr>
        <w:t>投标保证金的递交情况</w:t>
      </w:r>
      <w:r>
        <w:rPr>
          <w:rFonts w:hint="eastAsia"/>
          <w:color w:val="auto"/>
          <w:sz w:val="24"/>
          <w:szCs w:val="24"/>
          <w:highlight w:val="none"/>
          <w:u w:val="single"/>
          <w:lang w:eastAsia="zh-CN"/>
        </w:rPr>
        <w:t>、投标报价、服务期限及其他内容，并记录在案；</w:t>
      </w:r>
    </w:p>
    <w:p w14:paraId="16DFAC5C">
      <w:pPr>
        <w:pStyle w:val="8"/>
        <w:spacing w:line="360" w:lineRule="auto"/>
        <w:ind w:left="0" w:firstLine="480" w:firstLineChars="200"/>
        <w:rPr>
          <w:color w:val="auto"/>
          <w:sz w:val="24"/>
          <w:szCs w:val="24"/>
          <w:highlight w:val="none"/>
          <w:u w:val="single"/>
          <w:lang w:eastAsia="zh-CN"/>
        </w:rPr>
      </w:pPr>
      <w:r>
        <w:rPr>
          <w:rFonts w:hint="eastAsia"/>
          <w:color w:val="auto"/>
          <w:sz w:val="24"/>
          <w:szCs w:val="24"/>
          <w:highlight w:val="none"/>
          <w:u w:val="single"/>
          <w:lang w:eastAsia="zh-CN"/>
        </w:rPr>
        <w:t>唱标结束后，招标代理须开启</w:t>
      </w:r>
      <w:r>
        <w:rPr>
          <w:color w:val="auto"/>
          <w:sz w:val="24"/>
          <w:szCs w:val="24"/>
          <w:highlight w:val="none"/>
          <w:u w:val="single"/>
          <w:lang w:eastAsia="zh-CN"/>
        </w:rPr>
        <w:t>“</w:t>
      </w:r>
      <w:r>
        <w:rPr>
          <w:rFonts w:hint="eastAsia"/>
          <w:color w:val="auto"/>
          <w:sz w:val="24"/>
          <w:szCs w:val="24"/>
          <w:highlight w:val="none"/>
          <w:u w:val="single"/>
          <w:lang w:eastAsia="zh-CN"/>
        </w:rPr>
        <w:t>开始异议</w:t>
      </w:r>
      <w:r>
        <w:rPr>
          <w:color w:val="auto"/>
          <w:sz w:val="24"/>
          <w:szCs w:val="24"/>
          <w:highlight w:val="none"/>
          <w:u w:val="single"/>
          <w:lang w:eastAsia="zh-CN"/>
        </w:rPr>
        <w:t>”</w:t>
      </w:r>
      <w:r>
        <w:rPr>
          <w:rFonts w:hint="eastAsia"/>
          <w:color w:val="auto"/>
          <w:sz w:val="24"/>
          <w:szCs w:val="24"/>
          <w:highlight w:val="none"/>
          <w:u w:val="single"/>
          <w:lang w:eastAsia="zh-CN"/>
        </w:rPr>
        <w:t>，开启后，投标人若需要提问的可在</w:t>
      </w:r>
      <w:r>
        <w:rPr>
          <w:color w:val="auto"/>
          <w:sz w:val="24"/>
          <w:szCs w:val="24"/>
          <w:highlight w:val="none"/>
          <w:u w:val="single"/>
          <w:lang w:eastAsia="zh-CN"/>
        </w:rPr>
        <w:t>15</w:t>
      </w:r>
      <w:r>
        <w:rPr>
          <w:rFonts w:hint="eastAsia"/>
          <w:color w:val="auto"/>
          <w:sz w:val="24"/>
          <w:szCs w:val="24"/>
          <w:highlight w:val="none"/>
          <w:u w:val="single"/>
          <w:lang w:eastAsia="zh-CN"/>
        </w:rPr>
        <w:t>分钟内进行提问，招标代理（招标人）需要回答所有的投标人提问或等待</w:t>
      </w:r>
      <w:r>
        <w:rPr>
          <w:color w:val="auto"/>
          <w:sz w:val="24"/>
          <w:szCs w:val="24"/>
          <w:highlight w:val="none"/>
          <w:u w:val="single"/>
          <w:lang w:eastAsia="zh-CN"/>
        </w:rPr>
        <w:t>15</w:t>
      </w:r>
      <w:r>
        <w:rPr>
          <w:rFonts w:hint="eastAsia"/>
          <w:color w:val="auto"/>
          <w:sz w:val="24"/>
          <w:szCs w:val="24"/>
          <w:highlight w:val="none"/>
          <w:u w:val="single"/>
          <w:lang w:eastAsia="zh-CN"/>
        </w:rPr>
        <w:t>分钟才能结束异议，若所有投标人都回复了</w:t>
      </w:r>
      <w:r>
        <w:rPr>
          <w:color w:val="auto"/>
          <w:sz w:val="24"/>
          <w:szCs w:val="24"/>
          <w:highlight w:val="none"/>
          <w:u w:val="single"/>
          <w:lang w:eastAsia="zh-CN"/>
        </w:rPr>
        <w:t>“</w:t>
      </w:r>
      <w:r>
        <w:rPr>
          <w:rFonts w:hint="eastAsia"/>
          <w:color w:val="auto"/>
          <w:sz w:val="24"/>
          <w:szCs w:val="24"/>
          <w:highlight w:val="none"/>
          <w:u w:val="single"/>
          <w:lang w:eastAsia="zh-CN"/>
        </w:rPr>
        <w:t>无异议</w:t>
      </w:r>
      <w:r>
        <w:rPr>
          <w:color w:val="auto"/>
          <w:sz w:val="24"/>
          <w:szCs w:val="24"/>
          <w:highlight w:val="none"/>
          <w:u w:val="single"/>
          <w:lang w:eastAsia="zh-CN"/>
        </w:rPr>
        <w:t>”</w:t>
      </w:r>
      <w:r>
        <w:rPr>
          <w:rFonts w:hint="eastAsia"/>
          <w:color w:val="auto"/>
          <w:sz w:val="24"/>
          <w:szCs w:val="24"/>
          <w:highlight w:val="none"/>
          <w:u w:val="single"/>
          <w:lang w:eastAsia="zh-CN"/>
        </w:rPr>
        <w:t>，招标代理（招标人）可提前结束异议；</w:t>
      </w:r>
    </w:p>
    <w:p w14:paraId="3360AF7B">
      <w:pPr>
        <w:pStyle w:val="8"/>
        <w:spacing w:line="360" w:lineRule="auto"/>
        <w:ind w:left="0" w:firstLine="480" w:firstLineChars="200"/>
        <w:rPr>
          <w:color w:val="auto"/>
          <w:sz w:val="24"/>
          <w:szCs w:val="24"/>
          <w:highlight w:val="none"/>
          <w:u w:val="single"/>
          <w:lang w:eastAsia="zh-CN"/>
        </w:rPr>
      </w:pPr>
      <w:r>
        <w:rPr>
          <w:rFonts w:hint="eastAsia"/>
          <w:color w:val="auto"/>
          <w:sz w:val="24"/>
          <w:szCs w:val="24"/>
          <w:highlight w:val="none"/>
          <w:u w:val="single"/>
          <w:lang w:eastAsia="zh-CN"/>
        </w:rPr>
        <w:t>（</w:t>
      </w:r>
      <w:r>
        <w:rPr>
          <w:color w:val="auto"/>
          <w:sz w:val="24"/>
          <w:szCs w:val="24"/>
          <w:highlight w:val="none"/>
          <w:u w:val="single"/>
          <w:lang w:eastAsia="zh-CN"/>
        </w:rPr>
        <w:t>5</w:t>
      </w:r>
      <w:r>
        <w:rPr>
          <w:rFonts w:hint="eastAsia"/>
          <w:color w:val="auto"/>
          <w:sz w:val="24"/>
          <w:szCs w:val="24"/>
          <w:highlight w:val="none"/>
          <w:u w:val="single"/>
          <w:lang w:eastAsia="zh-CN"/>
        </w:rPr>
        <w:t>）（</w:t>
      </w:r>
      <w:r>
        <w:rPr>
          <w:color w:val="auto"/>
          <w:sz w:val="24"/>
          <w:szCs w:val="24"/>
          <w:highlight w:val="none"/>
          <w:u w:val="single"/>
          <w:lang w:eastAsia="zh-CN"/>
        </w:rPr>
        <w:t>B</w:t>
      </w:r>
      <w:r>
        <w:rPr>
          <w:rFonts w:hint="eastAsia"/>
          <w:color w:val="auto"/>
          <w:sz w:val="24"/>
          <w:szCs w:val="24"/>
          <w:highlight w:val="none"/>
          <w:u w:val="single"/>
          <w:lang w:eastAsia="zh-CN"/>
        </w:rPr>
        <w:t>）唱标环节结束后，招标代理、投标人都可以同时查看到</w:t>
      </w:r>
      <w:r>
        <w:rPr>
          <w:color w:val="auto"/>
          <w:sz w:val="24"/>
          <w:szCs w:val="24"/>
          <w:highlight w:val="none"/>
          <w:u w:val="single"/>
          <w:lang w:eastAsia="zh-CN"/>
        </w:rPr>
        <w:t>“</w:t>
      </w:r>
      <w:r>
        <w:rPr>
          <w:rFonts w:hint="eastAsia"/>
          <w:color w:val="auto"/>
          <w:sz w:val="24"/>
          <w:szCs w:val="24"/>
          <w:highlight w:val="none"/>
          <w:u w:val="single"/>
          <w:lang w:eastAsia="zh-CN"/>
        </w:rPr>
        <w:t>开标报表</w:t>
      </w:r>
      <w:r>
        <w:rPr>
          <w:color w:val="auto"/>
          <w:sz w:val="24"/>
          <w:szCs w:val="24"/>
          <w:highlight w:val="none"/>
          <w:u w:val="single"/>
          <w:lang w:eastAsia="zh-CN"/>
        </w:rPr>
        <w:t>”</w:t>
      </w:r>
      <w:r>
        <w:rPr>
          <w:rFonts w:hint="eastAsia"/>
          <w:color w:val="auto"/>
          <w:sz w:val="24"/>
          <w:szCs w:val="24"/>
          <w:highlight w:val="none"/>
          <w:u w:val="single"/>
          <w:lang w:eastAsia="zh-CN"/>
        </w:rPr>
        <w:t>；投标人代表、招标人代表、监标人、记录人等有关人员在开标记录上签字确认；若有关人员不签字的，不影响开标程序；</w:t>
      </w:r>
    </w:p>
    <w:p w14:paraId="5B6C427A">
      <w:pPr>
        <w:pStyle w:val="8"/>
        <w:spacing w:line="360" w:lineRule="auto"/>
        <w:ind w:left="0" w:firstLine="480" w:firstLineChars="200"/>
        <w:rPr>
          <w:color w:val="auto"/>
          <w:sz w:val="24"/>
          <w:szCs w:val="24"/>
          <w:highlight w:val="none"/>
          <w:u w:val="single"/>
          <w:lang w:eastAsia="zh-CN"/>
        </w:rPr>
      </w:pPr>
      <w:r>
        <w:rPr>
          <w:rFonts w:hint="eastAsia"/>
          <w:color w:val="auto"/>
          <w:sz w:val="24"/>
          <w:szCs w:val="24"/>
          <w:highlight w:val="none"/>
          <w:u w:val="single"/>
          <w:lang w:eastAsia="zh-CN"/>
        </w:rPr>
        <w:t>（</w:t>
      </w:r>
      <w:r>
        <w:rPr>
          <w:color w:val="auto"/>
          <w:sz w:val="24"/>
          <w:szCs w:val="24"/>
          <w:highlight w:val="none"/>
          <w:u w:val="single"/>
          <w:lang w:eastAsia="zh-CN"/>
        </w:rPr>
        <w:t>6</w:t>
      </w:r>
      <w:r>
        <w:rPr>
          <w:rFonts w:hint="eastAsia"/>
          <w:color w:val="auto"/>
          <w:sz w:val="24"/>
          <w:szCs w:val="24"/>
          <w:highlight w:val="none"/>
          <w:u w:val="single"/>
          <w:lang w:eastAsia="zh-CN"/>
        </w:rPr>
        <w:t>）开标结束。</w:t>
      </w:r>
    </w:p>
    <w:p w14:paraId="53F1BA8C">
      <w:pPr>
        <w:pStyle w:val="8"/>
        <w:spacing w:line="360" w:lineRule="auto"/>
        <w:ind w:left="0" w:firstLine="480" w:firstLineChars="200"/>
        <w:rPr>
          <w:color w:val="auto"/>
          <w:sz w:val="24"/>
          <w:szCs w:val="24"/>
          <w:highlight w:val="none"/>
          <w:u w:val="single"/>
          <w:lang w:eastAsia="zh-CN"/>
        </w:rPr>
      </w:pPr>
      <w:r>
        <w:rPr>
          <w:color w:val="auto"/>
          <w:sz w:val="24"/>
          <w:szCs w:val="24"/>
          <w:highlight w:val="none"/>
          <w:u w:val="single"/>
          <w:lang w:eastAsia="zh-CN"/>
        </w:rPr>
        <w:t>5.2.2</w:t>
      </w:r>
      <w:r>
        <w:rPr>
          <w:rFonts w:hint="eastAsia"/>
          <w:color w:val="auto"/>
          <w:sz w:val="24"/>
          <w:szCs w:val="24"/>
          <w:highlight w:val="none"/>
          <w:u w:val="single"/>
          <w:lang w:eastAsia="zh-CN"/>
        </w:rPr>
        <w:t>投标截止时间前未完成投标文件传输的或因投标人之外的原因造成投标文件未解密的或未在投标截止时间后半小时解密的，视为投标人撤回投标文件。因投标人原因造成投标文件未解密的，或因投标人原因解密失败且未递交电子光盘或递交的电子光盘不能读取的，视为撤销其投标文件。</w:t>
      </w:r>
      <w:r>
        <w:rPr>
          <w:color w:val="auto"/>
          <w:sz w:val="24"/>
          <w:szCs w:val="24"/>
          <w:highlight w:val="none"/>
          <w:u w:val="single"/>
          <w:lang w:eastAsia="zh-CN"/>
        </w:rPr>
        <w:t>5.2.3</w:t>
      </w:r>
      <w:r>
        <w:rPr>
          <w:rFonts w:hint="eastAsia"/>
          <w:color w:val="auto"/>
          <w:sz w:val="24"/>
          <w:szCs w:val="24"/>
          <w:highlight w:val="none"/>
          <w:u w:val="single"/>
          <w:lang w:eastAsia="zh-CN"/>
        </w:rPr>
        <w:t>开标时，两个（含两个）以上的投标人加密打包投标文件电脑机器特征码一致的，不参与下一程序，并由评标委员会否决其投标。</w:t>
      </w:r>
    </w:p>
    <w:p w14:paraId="4BA93A20">
      <w:pPr>
        <w:pStyle w:val="8"/>
        <w:spacing w:line="360" w:lineRule="auto"/>
        <w:ind w:left="0" w:firstLine="480" w:firstLineChars="200"/>
        <w:rPr>
          <w:strike/>
          <w:color w:val="auto"/>
          <w:sz w:val="24"/>
          <w:szCs w:val="24"/>
          <w:highlight w:val="none"/>
          <w:u w:val="single"/>
          <w:lang w:eastAsia="zh-CN"/>
        </w:rPr>
      </w:pPr>
      <w:r>
        <w:rPr>
          <w:strike/>
          <w:color w:val="auto"/>
          <w:sz w:val="24"/>
          <w:szCs w:val="24"/>
          <w:highlight w:val="none"/>
          <w:u w:val="single"/>
          <w:lang w:eastAsia="zh-CN"/>
        </w:rPr>
        <w:t>（1）宣布开标纪律；</w:t>
      </w:r>
    </w:p>
    <w:p w14:paraId="1EF39744">
      <w:pPr>
        <w:pStyle w:val="8"/>
        <w:spacing w:line="360" w:lineRule="auto"/>
        <w:ind w:left="0" w:firstLine="480" w:firstLineChars="200"/>
        <w:rPr>
          <w:strike/>
          <w:color w:val="auto"/>
          <w:sz w:val="24"/>
          <w:szCs w:val="24"/>
          <w:highlight w:val="none"/>
          <w:u w:val="single"/>
          <w:lang w:eastAsia="zh-CN"/>
        </w:rPr>
      </w:pPr>
      <w:r>
        <w:rPr>
          <w:strike/>
          <w:color w:val="auto"/>
          <w:sz w:val="24"/>
          <w:szCs w:val="24"/>
          <w:highlight w:val="none"/>
          <w:u w:val="single"/>
          <w:lang w:eastAsia="zh-CN"/>
        </w:rPr>
        <w:t>（2）公布在投标截止时间前递交投标文件的投标人名称；</w:t>
      </w:r>
    </w:p>
    <w:p w14:paraId="76DD01FC">
      <w:pPr>
        <w:pStyle w:val="8"/>
        <w:spacing w:line="360" w:lineRule="auto"/>
        <w:ind w:left="0" w:firstLine="480" w:firstLineChars="200"/>
        <w:rPr>
          <w:strike/>
          <w:color w:val="auto"/>
          <w:sz w:val="24"/>
          <w:szCs w:val="24"/>
          <w:highlight w:val="none"/>
          <w:u w:val="single"/>
          <w:lang w:eastAsia="zh-CN"/>
        </w:rPr>
      </w:pPr>
      <w:r>
        <w:rPr>
          <w:strike/>
          <w:color w:val="auto"/>
          <w:sz w:val="24"/>
          <w:szCs w:val="24"/>
          <w:highlight w:val="none"/>
          <w:u w:val="single"/>
          <w:lang w:eastAsia="zh-CN"/>
        </w:rPr>
        <w:t>（3）宣布开标人、唱标人、记录人、监标人等有关人员姓名；</w:t>
      </w:r>
    </w:p>
    <w:p w14:paraId="3CE1C46D">
      <w:pPr>
        <w:pStyle w:val="8"/>
        <w:spacing w:line="360" w:lineRule="auto"/>
        <w:ind w:left="0" w:firstLine="480" w:firstLineChars="200"/>
        <w:rPr>
          <w:strike/>
          <w:color w:val="auto"/>
          <w:sz w:val="24"/>
          <w:szCs w:val="24"/>
          <w:highlight w:val="none"/>
          <w:u w:val="single"/>
          <w:lang w:eastAsia="zh-CN"/>
        </w:rPr>
      </w:pPr>
      <w:r>
        <w:rPr>
          <w:strike/>
          <w:color w:val="auto"/>
          <w:sz w:val="24"/>
          <w:szCs w:val="24"/>
          <w:highlight w:val="none"/>
          <w:u w:val="single"/>
          <w:lang w:eastAsia="zh-CN"/>
        </w:rPr>
        <w:t>（4）（A）检查投标文件的密封情况，按照投标人须知前附表规定的开标顺序当众开标，公布招标项目名称、投标人名称、投标保证金的递交情况、投标报价、设计服务期限及其他内容，并记录在案；</w:t>
      </w:r>
    </w:p>
    <w:p w14:paraId="5F7BBE05">
      <w:pPr>
        <w:pStyle w:val="8"/>
        <w:spacing w:line="360" w:lineRule="auto"/>
        <w:ind w:left="0" w:firstLine="480" w:firstLineChars="200"/>
        <w:rPr>
          <w:strike/>
          <w:color w:val="auto"/>
          <w:sz w:val="24"/>
          <w:szCs w:val="24"/>
          <w:highlight w:val="none"/>
          <w:u w:val="single"/>
          <w:lang w:eastAsia="zh-CN"/>
        </w:rPr>
      </w:pPr>
      <w:r>
        <w:rPr>
          <w:strike/>
          <w:color w:val="auto"/>
          <w:sz w:val="24"/>
          <w:szCs w:val="24"/>
          <w:highlight w:val="none"/>
          <w:u w:val="single"/>
          <w:lang w:eastAsia="zh-CN"/>
        </w:rPr>
        <w:t>（4）（B）投标人通过电子招标投标交易平台对已递交的电子投标文件进行解密，公布招标项目名称、投标人名称、投标保证金的递交情况、投标报价、设计服务期限及其他内容，并记录在案；</w:t>
      </w:r>
    </w:p>
    <w:p w14:paraId="3850DB47">
      <w:pPr>
        <w:pStyle w:val="8"/>
        <w:spacing w:line="360" w:lineRule="auto"/>
        <w:ind w:left="0" w:firstLine="480" w:firstLineChars="200"/>
        <w:rPr>
          <w:strike/>
          <w:color w:val="auto"/>
          <w:sz w:val="24"/>
          <w:szCs w:val="24"/>
          <w:highlight w:val="none"/>
          <w:u w:val="single"/>
          <w:lang w:eastAsia="zh-CN"/>
        </w:rPr>
      </w:pPr>
      <w:r>
        <w:rPr>
          <w:strike/>
          <w:color w:val="auto"/>
          <w:sz w:val="24"/>
          <w:szCs w:val="24"/>
          <w:highlight w:val="none"/>
          <w:u w:val="single"/>
          <w:lang w:eastAsia="zh-CN"/>
        </w:rPr>
        <w:t>（5）（A）投标人代表、招标人代表、监标人、记录人等有关人员在开标记录上签字确认；</w:t>
      </w:r>
    </w:p>
    <w:p w14:paraId="1E5107E4">
      <w:pPr>
        <w:pStyle w:val="8"/>
        <w:spacing w:line="360" w:lineRule="auto"/>
        <w:ind w:left="0" w:firstLine="480" w:firstLineChars="200"/>
        <w:rPr>
          <w:strike/>
          <w:color w:val="auto"/>
          <w:sz w:val="24"/>
          <w:szCs w:val="24"/>
          <w:highlight w:val="none"/>
          <w:u w:val="single"/>
          <w:lang w:eastAsia="zh-CN"/>
        </w:rPr>
      </w:pPr>
      <w:r>
        <w:rPr>
          <w:strike/>
          <w:color w:val="auto"/>
          <w:sz w:val="24"/>
          <w:szCs w:val="24"/>
          <w:highlight w:val="none"/>
          <w:u w:val="single"/>
          <w:lang w:eastAsia="zh-CN"/>
        </w:rPr>
        <w:t>（5）（B）投标人代表、招标人代表、监标人、记录人等有关人员使用本人的电子印章在开标记录上签字确认；</w:t>
      </w:r>
    </w:p>
    <w:p w14:paraId="6163E569">
      <w:pPr>
        <w:pStyle w:val="8"/>
        <w:spacing w:line="360" w:lineRule="auto"/>
        <w:ind w:left="0" w:firstLine="480" w:firstLineChars="200"/>
        <w:rPr>
          <w:color w:val="auto"/>
          <w:sz w:val="24"/>
          <w:szCs w:val="24"/>
          <w:highlight w:val="none"/>
          <w:u w:val="single"/>
          <w:lang w:eastAsia="zh-CN"/>
        </w:rPr>
      </w:pPr>
      <w:r>
        <w:rPr>
          <w:strike/>
          <w:color w:val="auto"/>
          <w:sz w:val="24"/>
          <w:szCs w:val="24"/>
          <w:highlight w:val="none"/>
          <w:u w:val="single"/>
          <w:lang w:eastAsia="zh-CN"/>
        </w:rPr>
        <w:t>（6）开标结束。</w:t>
      </w:r>
    </w:p>
    <w:p w14:paraId="1175D5F2">
      <w:pPr>
        <w:pStyle w:val="4"/>
        <w:spacing w:line="360" w:lineRule="auto"/>
        <w:ind w:left="0"/>
        <w:rPr>
          <w:b/>
          <w:bCs/>
          <w:color w:val="auto"/>
          <w:highlight w:val="none"/>
          <w:lang w:eastAsia="zh-CN"/>
        </w:rPr>
      </w:pPr>
      <w:r>
        <w:rPr>
          <w:b/>
          <w:bCs/>
          <w:color w:val="auto"/>
          <w:highlight w:val="none"/>
          <w:lang w:eastAsia="zh-CN"/>
        </w:rPr>
        <w:t>5.3开标异议</w:t>
      </w:r>
    </w:p>
    <w:p w14:paraId="48286D10">
      <w:pPr>
        <w:pStyle w:val="8"/>
        <w:spacing w:line="360" w:lineRule="auto"/>
        <w:ind w:left="0" w:firstLine="480" w:firstLineChars="200"/>
        <w:rPr>
          <w:color w:val="auto"/>
          <w:sz w:val="24"/>
          <w:szCs w:val="24"/>
          <w:highlight w:val="none"/>
          <w:u w:val="single"/>
          <w:lang w:eastAsia="zh-CN"/>
        </w:rPr>
      </w:pPr>
      <w:r>
        <w:rPr>
          <w:color w:val="auto"/>
          <w:sz w:val="24"/>
          <w:szCs w:val="24"/>
          <w:highlight w:val="none"/>
          <w:lang w:eastAsia="zh-CN"/>
        </w:rPr>
        <w:t>投标人对开标有异议的，应当在开标现场提出，招标人当场作出答复，并制作记录。</w:t>
      </w:r>
      <w:r>
        <w:rPr>
          <w:rFonts w:hint="eastAsia"/>
          <w:color w:val="auto"/>
          <w:sz w:val="24"/>
          <w:szCs w:val="24"/>
          <w:highlight w:val="none"/>
          <w:u w:val="single"/>
          <w:lang w:eastAsia="zh-CN"/>
        </w:rPr>
        <w:t>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bookmarkStart w:id="26" w:name="_Toc25137987"/>
    </w:p>
    <w:p w14:paraId="78DB9F39">
      <w:pPr>
        <w:pStyle w:val="3"/>
        <w:spacing w:line="360" w:lineRule="auto"/>
        <w:ind w:left="0"/>
        <w:rPr>
          <w:rFonts w:ascii="宋体" w:hAnsi="宋体" w:eastAsia="宋体"/>
          <w:color w:val="auto"/>
          <w:highlight w:val="none"/>
          <w:lang w:eastAsia="zh-CN"/>
        </w:rPr>
      </w:pPr>
      <w:bookmarkStart w:id="27" w:name="_Toc25152737"/>
      <w:r>
        <w:rPr>
          <w:rFonts w:ascii="宋体" w:hAnsi="宋体" w:eastAsia="宋体"/>
          <w:color w:val="auto"/>
          <w:highlight w:val="none"/>
          <w:lang w:eastAsia="zh-CN"/>
        </w:rPr>
        <w:t>6. 评标</w:t>
      </w:r>
      <w:bookmarkEnd w:id="26"/>
      <w:bookmarkEnd w:id="27"/>
    </w:p>
    <w:p w14:paraId="7C6FBCBF">
      <w:pPr>
        <w:pStyle w:val="4"/>
        <w:spacing w:line="360" w:lineRule="auto"/>
        <w:ind w:left="0"/>
        <w:rPr>
          <w:b/>
          <w:bCs/>
          <w:color w:val="auto"/>
          <w:highlight w:val="none"/>
          <w:lang w:eastAsia="zh-CN"/>
        </w:rPr>
      </w:pPr>
      <w:r>
        <w:rPr>
          <w:b/>
          <w:bCs/>
          <w:color w:val="auto"/>
          <w:highlight w:val="none"/>
          <w:lang w:eastAsia="zh-CN"/>
        </w:rPr>
        <w:t>6.1评标委员会</w:t>
      </w:r>
    </w:p>
    <w:p w14:paraId="66B69FA6">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6.1.1评标由招标人依法组建的评标委员会负责。评标委员会由招标人</w:t>
      </w:r>
      <w:r>
        <w:rPr>
          <w:strike/>
          <w:color w:val="auto"/>
          <w:sz w:val="24"/>
          <w:szCs w:val="24"/>
          <w:highlight w:val="none"/>
          <w:lang w:eastAsia="zh-CN"/>
        </w:rPr>
        <w:t>或其委托的招标代理机构熟悉相关业务的代表，</w:t>
      </w:r>
      <w:r>
        <w:rPr>
          <w:color w:val="auto"/>
          <w:sz w:val="24"/>
          <w:szCs w:val="24"/>
          <w:highlight w:val="none"/>
          <w:lang w:eastAsia="zh-CN"/>
        </w:rPr>
        <w:t>以及有关技术、经济等方面的专家组成。评标委员会成员人数以及技术、经济等方面专家的确定方式见投标人须知前附表。</w:t>
      </w:r>
    </w:p>
    <w:p w14:paraId="57A62DC3">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6.1.2评标委员会成员有下列情形之一的，应当回避：</w:t>
      </w:r>
    </w:p>
    <w:p w14:paraId="6705BEE8">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（1）投标人或投标人主要负责人的近亲属；</w:t>
      </w:r>
    </w:p>
    <w:p w14:paraId="74C12116">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（2）项目主管部门或者行政监督部门的人员；</w:t>
      </w:r>
    </w:p>
    <w:p w14:paraId="70818A4C">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（3）与投标人有经济利益关系，可能影响对投标公正评审的；</w:t>
      </w:r>
    </w:p>
    <w:p w14:paraId="1FAEBAE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（4）曾因在招标、评标以及其他与招标投标有关活动中从事违法行为而受过行政处罚或刑事处罚的；</w:t>
      </w:r>
    </w:p>
    <w:p w14:paraId="658DC12E">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（5）与投标人有其他利害关系。</w:t>
      </w:r>
    </w:p>
    <w:p w14:paraId="7E3123A3">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6.1.3评标过程中，评标委员会成员有回避事由、擅离职守或者因健康等原因不能继续评标的，招标人有权更换。被更换的评标委员会成员作出的评审结论无效，由更换后的评标委员会成员重新进行评审。</w:t>
      </w:r>
    </w:p>
    <w:p w14:paraId="6BB1F2E4">
      <w:pPr>
        <w:pStyle w:val="4"/>
        <w:spacing w:line="360" w:lineRule="auto"/>
        <w:ind w:left="0"/>
        <w:rPr>
          <w:b/>
          <w:bCs/>
          <w:color w:val="auto"/>
          <w:highlight w:val="none"/>
          <w:lang w:eastAsia="zh-CN"/>
        </w:rPr>
      </w:pPr>
      <w:r>
        <w:rPr>
          <w:b/>
          <w:bCs/>
          <w:color w:val="auto"/>
          <w:highlight w:val="none"/>
          <w:lang w:eastAsia="zh-CN"/>
        </w:rPr>
        <w:t>6.2评标原则</w:t>
      </w:r>
    </w:p>
    <w:p w14:paraId="062C1072">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评标活动遵循公平、公正、科学和择优的原则。</w:t>
      </w:r>
    </w:p>
    <w:p w14:paraId="335AFFA4">
      <w:pPr>
        <w:pStyle w:val="4"/>
        <w:spacing w:line="360" w:lineRule="auto"/>
        <w:ind w:left="0"/>
        <w:rPr>
          <w:b/>
          <w:bCs/>
          <w:color w:val="auto"/>
          <w:highlight w:val="none"/>
          <w:lang w:eastAsia="zh-CN"/>
        </w:rPr>
      </w:pPr>
      <w:r>
        <w:rPr>
          <w:b/>
          <w:bCs/>
          <w:color w:val="auto"/>
          <w:highlight w:val="none"/>
          <w:lang w:eastAsia="zh-CN"/>
        </w:rPr>
        <w:t>6.3评标</w:t>
      </w:r>
    </w:p>
    <w:p w14:paraId="6BBB3FB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6.3.1评标委员会按照第三章“评标办法”规定的方法、评审因素、标准和程序对投标文件进行评审。第三章“评标办法”没有规定的方法、评审因素和标准，不作为评标依据。</w:t>
      </w:r>
    </w:p>
    <w:p w14:paraId="55096FDC">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6.3.2评标完成后，评标委员会应当向招标人提交书面评标报告和中标候选人名单。评标委员会推荐中标候选人的人数见投标人须知前附表。</w:t>
      </w:r>
      <w:bookmarkStart w:id="28" w:name="_Toc25137988"/>
    </w:p>
    <w:p w14:paraId="67A0B707">
      <w:pPr>
        <w:pStyle w:val="3"/>
        <w:spacing w:line="360" w:lineRule="auto"/>
        <w:rPr>
          <w:rFonts w:ascii="宋体" w:hAnsi="宋体" w:eastAsia="宋体"/>
          <w:color w:val="auto"/>
          <w:highlight w:val="none"/>
          <w:lang w:eastAsia="zh-CN"/>
        </w:rPr>
      </w:pPr>
      <w:bookmarkStart w:id="29" w:name="_Toc25152738"/>
      <w:r>
        <w:rPr>
          <w:rFonts w:ascii="宋体" w:hAnsi="宋体" w:eastAsia="宋体"/>
          <w:color w:val="auto"/>
          <w:highlight w:val="none"/>
          <w:lang w:eastAsia="zh-CN"/>
        </w:rPr>
        <w:t>7. 合同授予</w:t>
      </w:r>
      <w:bookmarkEnd w:id="28"/>
      <w:bookmarkEnd w:id="29"/>
    </w:p>
    <w:p w14:paraId="2DD2DFF0">
      <w:pPr>
        <w:pStyle w:val="4"/>
        <w:spacing w:line="360" w:lineRule="auto"/>
        <w:ind w:left="0"/>
        <w:rPr>
          <w:b/>
          <w:bCs/>
          <w:color w:val="auto"/>
          <w:highlight w:val="none"/>
          <w:lang w:eastAsia="zh-CN"/>
        </w:rPr>
      </w:pPr>
      <w:r>
        <w:rPr>
          <w:b/>
          <w:bCs/>
          <w:color w:val="auto"/>
          <w:highlight w:val="none"/>
          <w:lang w:eastAsia="zh-CN"/>
        </w:rPr>
        <w:t>7.1中标候选人公示</w:t>
      </w:r>
    </w:p>
    <w:p w14:paraId="6D7B9E8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招标人在收到评标报告之日起 3日内，按照投标人须知前附表规定的公示媒介和期限公示中标候选人，公示期不得少于3天。</w:t>
      </w:r>
    </w:p>
    <w:p w14:paraId="02C856B1">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u w:val="single"/>
          <w:lang w:eastAsia="zh-CN"/>
        </w:rPr>
        <w:t>在产生中标候选人后，招标人将中标候选人的投标文件商务部分的电子版（报价清单、方案等涉及商业秘密的内容除外）在广东省招标投标监管网、广州交易集团有限公司（广州公共资源交易中心）网站等法定媒介公开。</w:t>
      </w:r>
    </w:p>
    <w:p w14:paraId="36E98344">
      <w:pPr>
        <w:pStyle w:val="4"/>
        <w:spacing w:line="360" w:lineRule="auto"/>
        <w:ind w:left="0"/>
        <w:rPr>
          <w:b/>
          <w:bCs/>
          <w:color w:val="auto"/>
          <w:highlight w:val="none"/>
          <w:lang w:eastAsia="zh-CN"/>
        </w:rPr>
      </w:pPr>
      <w:r>
        <w:rPr>
          <w:b/>
          <w:bCs/>
          <w:color w:val="auto"/>
          <w:highlight w:val="none"/>
          <w:lang w:eastAsia="zh-CN"/>
        </w:rPr>
        <w:t>7.2评标结果异议</w:t>
      </w:r>
    </w:p>
    <w:p w14:paraId="70AB37F1">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投标人或者其他利害关系人对评标结果有异议的，应当在中标候选人公示期间提出。招标人将在收到异议之日起3日内作出答复；作出答复前，将暂停招标投标活动。</w:t>
      </w:r>
    </w:p>
    <w:p w14:paraId="1520548E">
      <w:pPr>
        <w:pStyle w:val="4"/>
        <w:spacing w:line="360" w:lineRule="auto"/>
        <w:ind w:left="0"/>
        <w:rPr>
          <w:b/>
          <w:bCs/>
          <w:color w:val="auto"/>
          <w:highlight w:val="none"/>
          <w:lang w:eastAsia="zh-CN"/>
        </w:rPr>
      </w:pPr>
      <w:r>
        <w:rPr>
          <w:b/>
          <w:bCs/>
          <w:color w:val="auto"/>
          <w:highlight w:val="none"/>
          <w:lang w:eastAsia="zh-CN"/>
        </w:rPr>
        <w:t>7.3中标候选人履约能力审查</w:t>
      </w:r>
    </w:p>
    <w:p w14:paraId="54B6C2CC">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中标候选人的经营、财务状况发生较大变化或存在违法行为，招标人认为可能影响其履约能力的，将在发出中标通知书前提请原评标委员会按照招标文件规定的标准和方法进行审查确认。</w:t>
      </w:r>
    </w:p>
    <w:p w14:paraId="4FD25BE9">
      <w:pPr>
        <w:pStyle w:val="4"/>
        <w:spacing w:line="360" w:lineRule="auto"/>
        <w:ind w:left="0"/>
        <w:rPr>
          <w:b/>
          <w:bCs/>
          <w:color w:val="auto"/>
          <w:highlight w:val="none"/>
          <w:lang w:eastAsia="zh-CN"/>
        </w:rPr>
      </w:pPr>
      <w:r>
        <w:rPr>
          <w:b/>
          <w:bCs/>
          <w:color w:val="auto"/>
          <w:highlight w:val="none"/>
          <w:lang w:eastAsia="zh-CN"/>
        </w:rPr>
        <w:t>7.4定标</w:t>
      </w:r>
    </w:p>
    <w:p w14:paraId="0C7634F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按照投标人须知前附表的规定，招标人或招标人授权的评标委员会依法确定中标人。</w:t>
      </w:r>
    </w:p>
    <w:p w14:paraId="5A645E56">
      <w:pPr>
        <w:pStyle w:val="4"/>
        <w:spacing w:line="360" w:lineRule="auto"/>
        <w:ind w:left="0"/>
        <w:rPr>
          <w:b/>
          <w:bCs/>
          <w:color w:val="auto"/>
          <w:highlight w:val="none"/>
          <w:lang w:eastAsia="zh-CN"/>
        </w:rPr>
      </w:pPr>
      <w:r>
        <w:rPr>
          <w:b/>
          <w:bCs/>
          <w:color w:val="auto"/>
          <w:highlight w:val="none"/>
          <w:lang w:eastAsia="zh-CN"/>
        </w:rPr>
        <w:t>7.5中标通知</w:t>
      </w:r>
    </w:p>
    <w:p w14:paraId="1C97C596">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在本章第 3.3款规定的投标有效期内，招标人以书面形式向中标人发出中标通知书，同时将中标结果通知未中标的投标人。</w:t>
      </w:r>
    </w:p>
    <w:p w14:paraId="516A01E0">
      <w:pPr>
        <w:pStyle w:val="4"/>
        <w:spacing w:line="360" w:lineRule="auto"/>
        <w:ind w:left="0"/>
        <w:rPr>
          <w:b/>
          <w:bCs/>
          <w:color w:val="auto"/>
          <w:highlight w:val="none"/>
          <w:lang w:eastAsia="zh-CN"/>
        </w:rPr>
      </w:pPr>
      <w:r>
        <w:rPr>
          <w:b/>
          <w:bCs/>
          <w:color w:val="auto"/>
          <w:highlight w:val="none"/>
          <w:lang w:eastAsia="zh-CN"/>
        </w:rPr>
        <w:t>7.6技术成果经济补偿</w:t>
      </w:r>
    </w:p>
    <w:p w14:paraId="45F0439F">
      <w:pPr>
        <w:pStyle w:val="8"/>
        <w:spacing w:line="360" w:lineRule="auto"/>
        <w:ind w:left="0" w:firstLine="480" w:firstLineChars="200"/>
        <w:rPr>
          <w:color w:val="auto"/>
          <w:sz w:val="24"/>
          <w:szCs w:val="24"/>
          <w:highlight w:val="none"/>
          <w:u w:val="single"/>
          <w:lang w:eastAsia="zh-CN"/>
        </w:rPr>
      </w:pPr>
      <w:r>
        <w:rPr>
          <w:rFonts w:hint="eastAsia"/>
          <w:strike/>
          <w:color w:val="auto"/>
          <w:sz w:val="24"/>
          <w:szCs w:val="24"/>
          <w:highlight w:val="none"/>
          <w:lang w:eastAsia="zh-CN"/>
        </w:rPr>
        <w:t>本工程不设未中标单位经济补偿，投标费用由投标人自理。</w:t>
      </w:r>
    </w:p>
    <w:p w14:paraId="6D754F21">
      <w:pPr>
        <w:pStyle w:val="8"/>
        <w:spacing w:line="360" w:lineRule="auto"/>
        <w:ind w:left="0" w:firstLine="480" w:firstLineChars="200"/>
        <w:rPr>
          <w:color w:val="auto"/>
          <w:sz w:val="24"/>
          <w:szCs w:val="24"/>
          <w:highlight w:val="none"/>
          <w:lang w:eastAsia="zh-CN"/>
        </w:rPr>
      </w:pPr>
      <w:r>
        <w:rPr>
          <w:rFonts w:hint="eastAsia"/>
          <w:color w:val="auto"/>
          <w:sz w:val="24"/>
          <w:szCs w:val="24"/>
          <w:highlight w:val="none"/>
          <w:lang w:eastAsia="zh-CN"/>
        </w:rPr>
        <w:t>本工程设未中标单位经济补偿。</w:t>
      </w:r>
      <w:r>
        <w:rPr>
          <w:color w:val="auto"/>
          <w:sz w:val="24"/>
          <w:szCs w:val="24"/>
          <w:highlight w:val="none"/>
          <w:lang w:eastAsia="zh-CN"/>
        </w:rPr>
        <w:t>招标人对符合招标文件规定的未中标人的技术成果进行补偿的，将按投标人须知前附表规定的标准给予经济补偿，未中标人在投标文件中声明放弃技术成果经济补偿费的除外。</w:t>
      </w:r>
      <w:r>
        <w:rPr>
          <w:rFonts w:hint="eastAsia"/>
          <w:color w:val="auto"/>
          <w:sz w:val="24"/>
          <w:szCs w:val="24"/>
          <w:highlight w:val="none"/>
          <w:lang w:eastAsia="zh-CN"/>
        </w:rPr>
        <w:t>中标价=工程方案设计及初步设计费总额+未中标单位经济补偿总额（未中标单位经济补偿包含在中标价内），中标人在收到招标人的第一笔预付款后分别向未中标单位支付经济补偿（含税金等）。</w:t>
      </w:r>
    </w:p>
    <w:p w14:paraId="5CD8B75D">
      <w:pPr>
        <w:pStyle w:val="4"/>
        <w:spacing w:line="360" w:lineRule="auto"/>
        <w:ind w:left="0"/>
        <w:rPr>
          <w:b/>
          <w:bCs/>
          <w:color w:val="auto"/>
          <w:highlight w:val="none"/>
          <w:lang w:eastAsia="zh-CN"/>
        </w:rPr>
      </w:pPr>
      <w:r>
        <w:rPr>
          <w:b/>
          <w:bCs/>
          <w:color w:val="auto"/>
          <w:highlight w:val="none"/>
          <w:lang w:eastAsia="zh-CN"/>
        </w:rPr>
        <w:t>7.7履约保证金</w:t>
      </w:r>
    </w:p>
    <w:p w14:paraId="07471D2A">
      <w:pPr>
        <w:pStyle w:val="8"/>
        <w:spacing w:line="360" w:lineRule="auto"/>
        <w:ind w:left="0" w:firstLine="480" w:firstLineChars="200"/>
        <w:rPr>
          <w:strike/>
          <w:color w:val="auto"/>
          <w:sz w:val="24"/>
          <w:szCs w:val="24"/>
          <w:highlight w:val="none"/>
          <w:lang w:eastAsia="zh-CN"/>
        </w:rPr>
      </w:pPr>
      <w:r>
        <w:rPr>
          <w:color w:val="auto"/>
          <w:sz w:val="24"/>
          <w:szCs w:val="24"/>
          <w:highlight w:val="none"/>
          <w:lang w:eastAsia="zh-CN"/>
        </w:rPr>
        <w:t>7.7.1</w:t>
      </w:r>
      <w:r>
        <w:rPr>
          <w:rFonts w:hint="eastAsia"/>
          <w:color w:val="auto"/>
          <w:sz w:val="24"/>
          <w:szCs w:val="24"/>
          <w:highlight w:val="none"/>
          <w:lang w:eastAsia="zh-CN"/>
        </w:rPr>
        <w:t>本项目不要求中标人递交履约保证金。</w:t>
      </w:r>
      <w:r>
        <w:rPr>
          <w:strike/>
          <w:color w:val="auto"/>
          <w:sz w:val="24"/>
          <w:szCs w:val="24"/>
          <w:highlight w:val="none"/>
          <w:lang w:eastAsia="zh-CN"/>
        </w:rPr>
        <w:t>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14:paraId="4CE97962">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7.7.2中标人不能按本章第 7.7.1项要求提交履约保证金的，视为放弃中标，其投标保证金不予退还，给招标人造成的损失超过投标保证金数额的，中标人还应当对超过部分予以赔偿。</w:t>
      </w:r>
    </w:p>
    <w:p w14:paraId="170B280E">
      <w:pPr>
        <w:pStyle w:val="4"/>
        <w:spacing w:line="360" w:lineRule="auto"/>
        <w:ind w:left="0"/>
        <w:rPr>
          <w:b/>
          <w:bCs/>
          <w:color w:val="auto"/>
          <w:highlight w:val="none"/>
          <w:lang w:eastAsia="zh-CN"/>
        </w:rPr>
      </w:pPr>
      <w:r>
        <w:rPr>
          <w:b/>
          <w:bCs/>
          <w:color w:val="auto"/>
          <w:highlight w:val="none"/>
          <w:lang w:eastAsia="zh-CN"/>
        </w:rPr>
        <w:t>7.8签订合同</w:t>
      </w:r>
    </w:p>
    <w:p w14:paraId="65226473">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7.8.1招标人和中标人应当在中标通知书发出之日起 30日内，根据招标文件和中标人的投标文件订立书面合同。中标人无正当理由拒签合同，在签订合同时向招标人提出附加条件，</w:t>
      </w:r>
      <w:r>
        <w:rPr>
          <w:strike/>
          <w:color w:val="auto"/>
          <w:sz w:val="24"/>
          <w:szCs w:val="24"/>
          <w:highlight w:val="none"/>
          <w:lang w:eastAsia="zh-CN"/>
        </w:rPr>
        <w:t>或者不按照招标文件要求提交履约保证金的，招标人有权取消其中标资格，其投标保证金不予退还；</w:t>
      </w:r>
      <w:r>
        <w:rPr>
          <w:color w:val="auto"/>
          <w:sz w:val="24"/>
          <w:szCs w:val="24"/>
          <w:highlight w:val="none"/>
          <w:lang w:eastAsia="zh-CN"/>
        </w:rPr>
        <w:t>给招标人造成的损失，中标人还应当对超过部分予以赔偿。</w:t>
      </w:r>
    </w:p>
    <w:p w14:paraId="12302C02">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7.8.2发出中标通知书后，招标人无正当理由拒签合同，或者在签订合同时向中标人提出附加条件的，</w:t>
      </w:r>
      <w:r>
        <w:rPr>
          <w:strike/>
          <w:color w:val="auto"/>
          <w:sz w:val="24"/>
          <w:szCs w:val="24"/>
          <w:highlight w:val="none"/>
          <w:lang w:eastAsia="zh-CN"/>
        </w:rPr>
        <w:t>招标人向中标人退还投标保证金；</w:t>
      </w:r>
      <w:r>
        <w:rPr>
          <w:color w:val="auto"/>
          <w:sz w:val="24"/>
          <w:szCs w:val="24"/>
          <w:highlight w:val="none"/>
          <w:lang w:eastAsia="zh-CN"/>
        </w:rPr>
        <w:t>给中标人造成损失的，还应当赔偿损失。</w:t>
      </w:r>
    </w:p>
    <w:p w14:paraId="5D7CFF8E">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7.8.3联合体中标的，联合体各方应当共同与招标人签订合同，就中标项目向招标人承担连带责任。</w:t>
      </w:r>
      <w:bookmarkStart w:id="30" w:name="_Toc25137989"/>
    </w:p>
    <w:p w14:paraId="59829890">
      <w:pPr>
        <w:pStyle w:val="3"/>
        <w:spacing w:line="360" w:lineRule="auto"/>
        <w:ind w:left="0"/>
        <w:rPr>
          <w:rFonts w:ascii="宋体" w:hAnsi="宋体" w:eastAsia="宋体"/>
          <w:color w:val="auto"/>
          <w:highlight w:val="none"/>
          <w:lang w:eastAsia="zh-CN"/>
        </w:rPr>
      </w:pPr>
      <w:bookmarkStart w:id="31" w:name="_Toc25152739"/>
      <w:r>
        <w:rPr>
          <w:rFonts w:ascii="宋体" w:hAnsi="宋体" w:eastAsia="宋体"/>
          <w:color w:val="auto"/>
          <w:highlight w:val="none"/>
          <w:lang w:eastAsia="zh-CN"/>
        </w:rPr>
        <w:t>8.</w:t>
      </w:r>
      <w:r>
        <w:rPr>
          <w:rFonts w:hint="eastAsia" w:ascii="宋体" w:hAnsi="宋体" w:eastAsia="宋体"/>
          <w:color w:val="auto"/>
          <w:highlight w:val="none"/>
          <w:lang w:eastAsia="zh-CN"/>
        </w:rPr>
        <w:t xml:space="preserve"> </w:t>
      </w:r>
      <w:r>
        <w:rPr>
          <w:rFonts w:ascii="宋体" w:hAnsi="宋体" w:eastAsia="宋体"/>
          <w:color w:val="auto"/>
          <w:highlight w:val="none"/>
          <w:lang w:eastAsia="zh-CN"/>
        </w:rPr>
        <w:t>纪律和监督</w:t>
      </w:r>
      <w:bookmarkEnd w:id="30"/>
      <w:bookmarkEnd w:id="31"/>
    </w:p>
    <w:p w14:paraId="45EDFEEB">
      <w:pPr>
        <w:pStyle w:val="4"/>
        <w:spacing w:line="360" w:lineRule="auto"/>
        <w:ind w:left="0"/>
        <w:rPr>
          <w:b/>
          <w:bCs/>
          <w:color w:val="auto"/>
          <w:highlight w:val="none"/>
          <w:lang w:eastAsia="zh-CN"/>
        </w:rPr>
      </w:pPr>
      <w:r>
        <w:rPr>
          <w:b/>
          <w:bCs/>
          <w:color w:val="auto"/>
          <w:highlight w:val="none"/>
          <w:lang w:eastAsia="zh-CN"/>
        </w:rPr>
        <w:t>8.1对招标人的纪律要求</w:t>
      </w:r>
    </w:p>
    <w:p w14:paraId="6A985366">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招标人不得泄露招标投标活动中应当保密的情况和资料，不得与投标人串通损害国家利益、社会公共利益或者他人合法权益。</w:t>
      </w:r>
    </w:p>
    <w:p w14:paraId="214BDE71">
      <w:pPr>
        <w:pStyle w:val="4"/>
        <w:spacing w:line="360" w:lineRule="auto"/>
        <w:ind w:left="0"/>
        <w:rPr>
          <w:b/>
          <w:bCs/>
          <w:color w:val="auto"/>
          <w:highlight w:val="none"/>
          <w:lang w:eastAsia="zh-CN"/>
        </w:rPr>
      </w:pPr>
      <w:r>
        <w:rPr>
          <w:b/>
          <w:bCs/>
          <w:color w:val="auto"/>
          <w:highlight w:val="none"/>
          <w:lang w:eastAsia="zh-CN"/>
        </w:rPr>
        <w:t>8.2对投标人的纪律要求</w:t>
      </w:r>
    </w:p>
    <w:p w14:paraId="1737F347">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33BEA09D">
      <w:pPr>
        <w:pStyle w:val="4"/>
        <w:spacing w:line="360" w:lineRule="auto"/>
        <w:ind w:left="0"/>
        <w:rPr>
          <w:b/>
          <w:bCs/>
          <w:color w:val="auto"/>
          <w:highlight w:val="none"/>
          <w:lang w:eastAsia="zh-CN"/>
        </w:rPr>
      </w:pPr>
      <w:r>
        <w:rPr>
          <w:b/>
          <w:bCs/>
          <w:color w:val="auto"/>
          <w:highlight w:val="none"/>
          <w:lang w:eastAsia="zh-CN"/>
        </w:rPr>
        <w:t>8.3对评标委员会成员的纪律要求</w:t>
      </w:r>
    </w:p>
    <w:p w14:paraId="272A950C">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31E75358">
      <w:pPr>
        <w:pStyle w:val="8"/>
        <w:spacing w:line="360" w:lineRule="auto"/>
        <w:ind w:left="0" w:firstLine="480" w:firstLineChars="200"/>
        <w:rPr>
          <w:color w:val="auto"/>
          <w:sz w:val="24"/>
          <w:szCs w:val="24"/>
          <w:highlight w:val="none"/>
          <w:u w:val="single"/>
          <w:lang w:eastAsia="zh-CN"/>
        </w:rPr>
      </w:pPr>
      <w:r>
        <w:rPr>
          <w:rFonts w:hint="eastAsia"/>
          <w:color w:val="auto"/>
          <w:sz w:val="24"/>
          <w:szCs w:val="24"/>
          <w:highlight w:val="none"/>
          <w:lang w:eastAsia="zh-CN"/>
        </w:rPr>
        <w:t>评标委员会在开始评标前，应了解评标专家的职责及守则，认真阅读</w:t>
      </w:r>
      <w:r>
        <w:rPr>
          <w:rFonts w:hint="eastAsia"/>
          <w:color w:val="auto"/>
          <w:sz w:val="24"/>
          <w:szCs w:val="24"/>
          <w:highlight w:val="none"/>
          <w:u w:val="single"/>
          <w:lang w:eastAsia="zh-CN"/>
        </w:rPr>
        <w:t>附件</w:t>
      </w:r>
      <w:r>
        <w:rPr>
          <w:rFonts w:hint="eastAsia"/>
          <w:color w:val="auto"/>
          <w:sz w:val="24"/>
          <w:szCs w:val="24"/>
          <w:highlight w:val="none"/>
          <w:u w:val="single"/>
          <w:lang w:val="en-US" w:eastAsia="zh-CN"/>
        </w:rPr>
        <w:t>五</w:t>
      </w:r>
      <w:r>
        <w:rPr>
          <w:rFonts w:hint="eastAsia"/>
          <w:color w:val="auto"/>
          <w:sz w:val="24"/>
          <w:szCs w:val="24"/>
          <w:highlight w:val="none"/>
          <w:u w:val="single"/>
          <w:lang w:eastAsia="zh-CN"/>
        </w:rPr>
        <w:t xml:space="preserve">《评标委员会成员声明》的内容并签名，签字后方可进行评标。 </w:t>
      </w:r>
    </w:p>
    <w:p w14:paraId="470D5522">
      <w:pPr>
        <w:pStyle w:val="4"/>
        <w:spacing w:line="360" w:lineRule="auto"/>
        <w:ind w:left="0"/>
        <w:rPr>
          <w:b/>
          <w:bCs/>
          <w:color w:val="auto"/>
          <w:highlight w:val="none"/>
          <w:lang w:eastAsia="zh-CN"/>
        </w:rPr>
      </w:pPr>
      <w:r>
        <w:rPr>
          <w:b/>
          <w:bCs/>
          <w:color w:val="auto"/>
          <w:highlight w:val="none"/>
          <w:lang w:eastAsia="zh-CN"/>
        </w:rPr>
        <w:t>8.4对与评标活动有关的工作人员的纪律要求</w:t>
      </w:r>
    </w:p>
    <w:p w14:paraId="7F43026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1678E71A">
      <w:pPr>
        <w:pStyle w:val="4"/>
        <w:spacing w:line="360" w:lineRule="auto"/>
        <w:ind w:left="0"/>
        <w:rPr>
          <w:b/>
          <w:bCs/>
          <w:color w:val="auto"/>
          <w:highlight w:val="none"/>
          <w:lang w:eastAsia="zh-CN"/>
        </w:rPr>
      </w:pPr>
      <w:r>
        <w:rPr>
          <w:b/>
          <w:bCs/>
          <w:color w:val="auto"/>
          <w:highlight w:val="none"/>
          <w:lang w:eastAsia="zh-CN"/>
        </w:rPr>
        <w:t>8.5投诉</w:t>
      </w:r>
    </w:p>
    <w:p w14:paraId="5595E401">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8.5.1投标人或者其他利害关系人认为招标投标活动不符合法律、行政法规规定的，可以自知道或者应当知道之日起10日内向有关行政监督部门投诉。投诉应当有明确的请求和必要的证明材料。</w:t>
      </w:r>
    </w:p>
    <w:p w14:paraId="347A6076">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8.5.2投标人或者其他利害关系人对招标文件、开标和评标结果提出投诉的，应当按照投标人须知第2.4款、第5.3款和第7.2款的规定先向招标人提出异议。异议答复期间不计算在第8.5.1项规定的期限内。</w:t>
      </w:r>
      <w:bookmarkStart w:id="32" w:name="_Toc25137990"/>
    </w:p>
    <w:p w14:paraId="61D0AD89">
      <w:pPr>
        <w:pStyle w:val="3"/>
        <w:spacing w:line="360" w:lineRule="auto"/>
        <w:rPr>
          <w:rFonts w:ascii="宋体" w:hAnsi="宋体" w:eastAsia="宋体"/>
          <w:color w:val="auto"/>
          <w:highlight w:val="none"/>
          <w:lang w:eastAsia="zh-CN"/>
        </w:rPr>
      </w:pPr>
      <w:bookmarkStart w:id="33" w:name="_Toc25152740"/>
      <w:r>
        <w:rPr>
          <w:rFonts w:ascii="宋体" w:hAnsi="宋体" w:eastAsia="宋体"/>
          <w:color w:val="auto"/>
          <w:highlight w:val="none"/>
          <w:lang w:eastAsia="zh-CN"/>
        </w:rPr>
        <w:t>9. 是否采用电子招标投标</w:t>
      </w:r>
      <w:bookmarkEnd w:id="32"/>
      <w:bookmarkEnd w:id="33"/>
    </w:p>
    <w:p w14:paraId="3B70D142">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本招标项目是否采用电子招标投标方式，见投标人须知前附表。</w:t>
      </w:r>
      <w:bookmarkStart w:id="34" w:name="_Toc25137991"/>
    </w:p>
    <w:p w14:paraId="43E50869">
      <w:pPr>
        <w:pStyle w:val="3"/>
        <w:spacing w:line="360" w:lineRule="auto"/>
        <w:rPr>
          <w:rFonts w:ascii="宋体" w:hAnsi="宋体" w:eastAsia="宋体"/>
          <w:color w:val="auto"/>
          <w:highlight w:val="none"/>
          <w:lang w:eastAsia="zh-CN"/>
        </w:rPr>
      </w:pPr>
      <w:bookmarkStart w:id="35" w:name="_Toc25152741"/>
      <w:r>
        <w:rPr>
          <w:rFonts w:ascii="宋体" w:hAnsi="宋体" w:eastAsia="宋体"/>
          <w:color w:val="auto"/>
          <w:highlight w:val="none"/>
          <w:lang w:eastAsia="zh-CN"/>
        </w:rPr>
        <w:t>10. 需要补充的其他内容</w:t>
      </w:r>
      <w:bookmarkEnd w:id="34"/>
      <w:bookmarkEnd w:id="35"/>
    </w:p>
    <w:p w14:paraId="143E5740">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需要补充的其他内容：见投标人须知前附表。</w:t>
      </w:r>
    </w:p>
    <w:p w14:paraId="2BBFF20B">
      <w:pPr>
        <w:pStyle w:val="8"/>
        <w:spacing w:line="360" w:lineRule="auto"/>
        <w:ind w:left="0" w:firstLine="480" w:firstLineChars="200"/>
        <w:rPr>
          <w:color w:val="auto"/>
          <w:sz w:val="24"/>
          <w:szCs w:val="24"/>
          <w:highlight w:val="none"/>
          <w:lang w:eastAsia="zh-CN"/>
        </w:rPr>
        <w:sectPr>
          <w:footerReference r:id="rId4" w:type="default"/>
          <w:pgSz w:w="11907" w:h="16839"/>
          <w:pgMar w:top="1440" w:right="1440" w:bottom="1440" w:left="1440" w:header="0" w:footer="919" w:gutter="0"/>
          <w:pgNumType w:start="1"/>
          <w:cols w:space="720" w:num="1"/>
        </w:sectPr>
      </w:pPr>
    </w:p>
    <w:p w14:paraId="49783193">
      <w:pPr>
        <w:pStyle w:val="4"/>
        <w:spacing w:line="363" w:lineRule="exact"/>
        <w:ind w:left="357"/>
        <w:rPr>
          <w:b/>
          <w:bCs/>
          <w:color w:val="auto"/>
          <w:highlight w:val="none"/>
          <w:lang w:eastAsia="zh-CN"/>
        </w:rPr>
      </w:pPr>
      <w:r>
        <w:rPr>
          <w:b/>
          <w:bCs/>
          <w:color w:val="auto"/>
          <w:highlight w:val="none"/>
          <w:lang w:eastAsia="zh-CN"/>
        </w:rPr>
        <w:t>附件一：开标记录表</w:t>
      </w:r>
    </w:p>
    <w:p w14:paraId="396029E2">
      <w:pPr>
        <w:rPr>
          <w:rFonts w:ascii="宋体" w:hAnsi="宋体" w:eastAsia="宋体" w:cs="宋体"/>
          <w:color w:val="auto"/>
          <w:sz w:val="20"/>
          <w:szCs w:val="20"/>
          <w:highlight w:val="none"/>
          <w:lang w:eastAsia="zh-CN"/>
        </w:rPr>
      </w:pPr>
    </w:p>
    <w:p w14:paraId="18018C88">
      <w:pPr>
        <w:spacing w:before="9"/>
        <w:rPr>
          <w:rFonts w:ascii="宋体" w:hAnsi="宋体" w:eastAsia="宋体" w:cs="宋体"/>
          <w:color w:val="auto"/>
          <w:sz w:val="23"/>
          <w:szCs w:val="23"/>
          <w:highlight w:val="none"/>
          <w:lang w:eastAsia="zh-CN"/>
        </w:rPr>
      </w:pPr>
    </w:p>
    <w:p w14:paraId="1926BCE4">
      <w:pPr>
        <w:spacing w:before="14"/>
        <w:ind w:left="3238" w:right="3137"/>
        <w:jc w:val="center"/>
        <w:rPr>
          <w:rFonts w:ascii="宋体" w:hAnsi="宋体" w:eastAsia="宋体" w:cs="宋体"/>
          <w:b/>
          <w:bCs/>
          <w:color w:val="auto"/>
          <w:sz w:val="28"/>
          <w:szCs w:val="28"/>
          <w:highlight w:val="none"/>
          <w:lang w:eastAsia="zh-CN"/>
        </w:rPr>
      </w:pPr>
      <w:r>
        <w:rPr>
          <w:rFonts w:ascii="宋体" w:hAnsi="宋体" w:eastAsia="宋体" w:cs="宋体"/>
          <w:b/>
          <w:bCs/>
          <w:color w:val="auto"/>
          <w:sz w:val="28"/>
          <w:szCs w:val="28"/>
          <w:highlight w:val="none"/>
          <w:lang w:eastAsia="zh-CN"/>
        </w:rPr>
        <w:t>开标记录表</w:t>
      </w:r>
    </w:p>
    <w:p w14:paraId="76C87EAA">
      <w:pPr>
        <w:pStyle w:val="8"/>
        <w:tabs>
          <w:tab w:val="left" w:pos="3614"/>
          <w:tab w:val="left" w:pos="4768"/>
          <w:tab w:val="left" w:pos="5923"/>
          <w:tab w:val="left" w:pos="7078"/>
          <w:tab w:val="left" w:pos="8233"/>
        </w:tabs>
        <w:ind w:left="0"/>
        <w:rPr>
          <w:color w:val="auto"/>
          <w:highlight w:val="none"/>
        </w:rPr>
      </w:pPr>
      <w:r>
        <w:rPr>
          <w:color w:val="auto"/>
          <w:spacing w:val="-1"/>
          <w:highlight w:val="none"/>
        </w:rPr>
        <w:t>开标时间：</w:t>
      </w:r>
      <w:r>
        <w:rPr>
          <w:color w:val="auto"/>
          <w:spacing w:val="-1"/>
          <w:highlight w:val="none"/>
          <w:u w:val="single" w:color="000000"/>
        </w:rPr>
        <w:tab/>
      </w:r>
      <w:r>
        <w:rPr>
          <w:color w:val="auto"/>
          <w:highlight w:val="none"/>
        </w:rPr>
        <w:t>年</w:t>
      </w:r>
      <w:r>
        <w:rPr>
          <w:color w:val="auto"/>
          <w:highlight w:val="none"/>
          <w:u w:val="single" w:color="000000"/>
        </w:rPr>
        <w:tab/>
      </w:r>
      <w:r>
        <w:rPr>
          <w:color w:val="auto"/>
          <w:highlight w:val="none"/>
        </w:rPr>
        <w:t>月</w:t>
      </w:r>
      <w:r>
        <w:rPr>
          <w:color w:val="auto"/>
          <w:highlight w:val="none"/>
          <w:u w:val="single" w:color="000000"/>
        </w:rPr>
        <w:tab/>
      </w:r>
      <w:r>
        <w:rPr>
          <w:color w:val="auto"/>
          <w:highlight w:val="none"/>
        </w:rPr>
        <w:t>日</w:t>
      </w:r>
      <w:r>
        <w:rPr>
          <w:color w:val="auto"/>
          <w:highlight w:val="none"/>
          <w:u w:val="single" w:color="000000"/>
        </w:rPr>
        <w:tab/>
      </w:r>
      <w:r>
        <w:rPr>
          <w:color w:val="auto"/>
          <w:highlight w:val="none"/>
        </w:rPr>
        <w:t>时</w:t>
      </w:r>
      <w:r>
        <w:rPr>
          <w:color w:val="auto"/>
          <w:highlight w:val="none"/>
          <w:u w:val="single" w:color="000000"/>
        </w:rPr>
        <w:tab/>
      </w:r>
      <w:r>
        <w:rPr>
          <w:color w:val="auto"/>
          <w:highlight w:val="none"/>
        </w:rPr>
        <w:t>分</w:t>
      </w:r>
    </w:p>
    <w:p w14:paraId="0825ABC9">
      <w:pPr>
        <w:spacing w:before="2"/>
        <w:rPr>
          <w:rFonts w:ascii="宋体" w:hAnsi="宋体" w:eastAsia="宋体" w:cs="宋体"/>
          <w:color w:val="auto"/>
          <w:sz w:val="13"/>
          <w:szCs w:val="13"/>
          <w:highlight w:val="none"/>
        </w:rPr>
      </w:pPr>
    </w:p>
    <w:tbl>
      <w:tblPr>
        <w:tblStyle w:val="22"/>
        <w:tblW w:w="0" w:type="auto"/>
        <w:tblInd w:w="0" w:type="dxa"/>
        <w:tblLayout w:type="fixed"/>
        <w:tblCellMar>
          <w:top w:w="0" w:type="dxa"/>
          <w:left w:w="0" w:type="dxa"/>
          <w:bottom w:w="0" w:type="dxa"/>
          <w:right w:w="0" w:type="dxa"/>
        </w:tblCellMar>
      </w:tblPr>
      <w:tblGrid>
        <w:gridCol w:w="793"/>
        <w:gridCol w:w="1252"/>
        <w:gridCol w:w="1219"/>
        <w:gridCol w:w="1221"/>
        <w:gridCol w:w="1219"/>
        <w:gridCol w:w="1221"/>
        <w:gridCol w:w="873"/>
        <w:gridCol w:w="1219"/>
      </w:tblGrid>
      <w:tr w14:paraId="0FA7F44C">
        <w:tblPrEx>
          <w:tblCellMar>
            <w:top w:w="0" w:type="dxa"/>
            <w:left w:w="0" w:type="dxa"/>
            <w:bottom w:w="0" w:type="dxa"/>
            <w:right w:w="0" w:type="dxa"/>
          </w:tblCellMar>
        </w:tblPrEx>
        <w:trPr>
          <w:trHeight w:val="1010" w:hRule="exact"/>
        </w:trPr>
        <w:tc>
          <w:tcPr>
            <w:tcW w:w="793" w:type="dxa"/>
            <w:tcBorders>
              <w:top w:val="single" w:color="000000" w:sz="4" w:space="0"/>
              <w:left w:val="single" w:color="000000" w:sz="4" w:space="0"/>
              <w:bottom w:val="single" w:color="000000" w:sz="4" w:space="0"/>
              <w:right w:val="single" w:color="000000" w:sz="4" w:space="0"/>
            </w:tcBorders>
            <w:vAlign w:val="center"/>
          </w:tcPr>
          <w:p w14:paraId="01F3A6E2">
            <w:pPr>
              <w:pStyle w:val="43"/>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序号</w:t>
            </w:r>
          </w:p>
        </w:tc>
        <w:tc>
          <w:tcPr>
            <w:tcW w:w="1252" w:type="dxa"/>
            <w:tcBorders>
              <w:top w:val="single" w:color="000000" w:sz="4" w:space="0"/>
              <w:left w:val="single" w:color="000000" w:sz="4" w:space="0"/>
              <w:bottom w:val="single" w:color="000000" w:sz="4" w:space="0"/>
              <w:right w:val="single" w:color="000000" w:sz="4" w:space="0"/>
            </w:tcBorders>
            <w:vAlign w:val="center"/>
          </w:tcPr>
          <w:p w14:paraId="5BA32BA6">
            <w:pPr>
              <w:pStyle w:val="43"/>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投标人</w:t>
            </w:r>
          </w:p>
        </w:tc>
        <w:tc>
          <w:tcPr>
            <w:tcW w:w="1219" w:type="dxa"/>
            <w:tcBorders>
              <w:top w:val="single" w:color="000000" w:sz="4" w:space="0"/>
              <w:left w:val="single" w:color="000000" w:sz="4" w:space="0"/>
              <w:bottom w:val="single" w:color="000000" w:sz="4" w:space="0"/>
              <w:right w:val="single" w:color="000000" w:sz="4" w:space="0"/>
            </w:tcBorders>
            <w:vAlign w:val="center"/>
          </w:tcPr>
          <w:p w14:paraId="0619E1CE">
            <w:pPr>
              <w:pStyle w:val="43"/>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解密</w:t>
            </w:r>
            <w:r>
              <w:rPr>
                <w:rFonts w:ascii="宋体" w:hAnsi="宋体" w:eastAsia="宋体" w:cs="宋体"/>
                <w:color w:val="auto"/>
                <w:sz w:val="21"/>
                <w:szCs w:val="21"/>
                <w:highlight w:val="none"/>
              </w:rPr>
              <w:t>情况</w:t>
            </w:r>
          </w:p>
        </w:tc>
        <w:tc>
          <w:tcPr>
            <w:tcW w:w="1221" w:type="dxa"/>
            <w:tcBorders>
              <w:top w:val="single" w:color="000000" w:sz="4" w:space="0"/>
              <w:left w:val="single" w:color="000000" w:sz="4" w:space="0"/>
              <w:bottom w:val="single" w:color="000000" w:sz="4" w:space="0"/>
              <w:right w:val="single" w:color="000000" w:sz="4" w:space="0"/>
            </w:tcBorders>
            <w:vAlign w:val="center"/>
          </w:tcPr>
          <w:p w14:paraId="740C4503">
            <w:pPr>
              <w:pStyle w:val="43"/>
              <w:jc w:val="center"/>
              <w:rPr>
                <w:rFonts w:ascii="宋体" w:hAnsi="宋体" w:eastAsia="宋体" w:cs="宋体"/>
                <w:strike/>
                <w:color w:val="auto"/>
                <w:sz w:val="21"/>
                <w:szCs w:val="21"/>
                <w:highlight w:val="none"/>
              </w:rPr>
            </w:pPr>
            <w:r>
              <w:rPr>
                <w:rFonts w:ascii="宋体" w:hAnsi="宋体" w:eastAsia="宋体" w:cs="宋体"/>
                <w:color w:val="auto"/>
                <w:sz w:val="21"/>
                <w:szCs w:val="21"/>
                <w:highlight w:val="none"/>
              </w:rPr>
              <w:t>投标报价（元）</w:t>
            </w:r>
          </w:p>
        </w:tc>
        <w:tc>
          <w:tcPr>
            <w:tcW w:w="1219" w:type="dxa"/>
            <w:tcBorders>
              <w:top w:val="single" w:color="000000" w:sz="4" w:space="0"/>
              <w:left w:val="single" w:color="000000" w:sz="4" w:space="0"/>
              <w:bottom w:val="single" w:color="000000" w:sz="4" w:space="0"/>
              <w:right w:val="single" w:color="000000" w:sz="4" w:space="0"/>
            </w:tcBorders>
            <w:vAlign w:val="center"/>
          </w:tcPr>
          <w:p w14:paraId="3B216B8E">
            <w:pPr>
              <w:pStyle w:val="43"/>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工期</w:t>
            </w:r>
          </w:p>
        </w:tc>
        <w:tc>
          <w:tcPr>
            <w:tcW w:w="1221" w:type="dxa"/>
            <w:tcBorders>
              <w:top w:val="single" w:color="000000" w:sz="4" w:space="0"/>
              <w:left w:val="single" w:color="000000" w:sz="4" w:space="0"/>
              <w:bottom w:val="single" w:color="000000" w:sz="4" w:space="0"/>
              <w:right w:val="single" w:color="000000" w:sz="4" w:space="0"/>
            </w:tcBorders>
            <w:vAlign w:val="center"/>
          </w:tcPr>
          <w:p w14:paraId="380CE165">
            <w:pPr>
              <w:pStyle w:val="43"/>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项目负责人</w:t>
            </w:r>
          </w:p>
        </w:tc>
        <w:tc>
          <w:tcPr>
            <w:tcW w:w="873" w:type="dxa"/>
            <w:tcBorders>
              <w:top w:val="single" w:color="000000" w:sz="4" w:space="0"/>
              <w:left w:val="single" w:color="000000" w:sz="4" w:space="0"/>
              <w:bottom w:val="single" w:color="000000" w:sz="4" w:space="0"/>
              <w:right w:val="single" w:color="000000" w:sz="4" w:space="0"/>
            </w:tcBorders>
            <w:vAlign w:val="center"/>
          </w:tcPr>
          <w:p w14:paraId="594DA0AD">
            <w:pPr>
              <w:pStyle w:val="43"/>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备注</w:t>
            </w:r>
          </w:p>
        </w:tc>
        <w:tc>
          <w:tcPr>
            <w:tcW w:w="1219" w:type="dxa"/>
            <w:tcBorders>
              <w:top w:val="single" w:color="000000" w:sz="4" w:space="0"/>
              <w:left w:val="single" w:color="000000" w:sz="4" w:space="0"/>
              <w:bottom w:val="single" w:color="000000" w:sz="4" w:space="0"/>
              <w:right w:val="single" w:color="000000" w:sz="4" w:space="0"/>
            </w:tcBorders>
            <w:vAlign w:val="center"/>
          </w:tcPr>
          <w:p w14:paraId="303F60E1">
            <w:pPr>
              <w:pStyle w:val="43"/>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投标人代表签名</w:t>
            </w:r>
          </w:p>
        </w:tc>
      </w:tr>
      <w:tr w14:paraId="44B3F8A3">
        <w:tblPrEx>
          <w:tblCellMar>
            <w:top w:w="0" w:type="dxa"/>
            <w:left w:w="0" w:type="dxa"/>
            <w:bottom w:w="0" w:type="dxa"/>
            <w:right w:w="0" w:type="dxa"/>
          </w:tblCellMar>
        </w:tblPrEx>
        <w:trPr>
          <w:trHeight w:val="509" w:hRule="exact"/>
        </w:trPr>
        <w:tc>
          <w:tcPr>
            <w:tcW w:w="793" w:type="dxa"/>
            <w:tcBorders>
              <w:top w:val="single" w:color="000000" w:sz="4" w:space="0"/>
              <w:left w:val="single" w:color="000000" w:sz="4" w:space="0"/>
              <w:bottom w:val="single" w:color="000000" w:sz="4" w:space="0"/>
              <w:right w:val="single" w:color="000000" w:sz="4" w:space="0"/>
            </w:tcBorders>
            <w:vAlign w:val="center"/>
          </w:tcPr>
          <w:p w14:paraId="0EE835D8">
            <w:pPr>
              <w:jc w:val="center"/>
              <w:rPr>
                <w:rFonts w:ascii="宋体" w:hAnsi="宋体" w:eastAsia="宋体"/>
                <w:color w:val="auto"/>
                <w:sz w:val="21"/>
                <w:szCs w:val="21"/>
                <w:highlight w:val="none"/>
              </w:rPr>
            </w:pPr>
          </w:p>
        </w:tc>
        <w:tc>
          <w:tcPr>
            <w:tcW w:w="1252" w:type="dxa"/>
            <w:tcBorders>
              <w:top w:val="single" w:color="000000" w:sz="4" w:space="0"/>
              <w:left w:val="single" w:color="000000" w:sz="4" w:space="0"/>
              <w:bottom w:val="single" w:color="000000" w:sz="4" w:space="0"/>
              <w:right w:val="single" w:color="000000" w:sz="4" w:space="0"/>
            </w:tcBorders>
            <w:vAlign w:val="center"/>
          </w:tcPr>
          <w:p w14:paraId="05B53AE6">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1112BE8F">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169C4736">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0C3096DB">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6E6FE078">
            <w:pPr>
              <w:jc w:val="center"/>
              <w:rPr>
                <w:rFonts w:ascii="宋体" w:hAnsi="宋体" w:eastAsia="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14:paraId="3B9D2A9F">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3ED069BA">
            <w:pPr>
              <w:jc w:val="center"/>
              <w:rPr>
                <w:rFonts w:ascii="宋体" w:hAnsi="宋体" w:eastAsia="宋体"/>
                <w:color w:val="auto"/>
                <w:sz w:val="21"/>
                <w:szCs w:val="21"/>
                <w:highlight w:val="none"/>
              </w:rPr>
            </w:pPr>
          </w:p>
        </w:tc>
      </w:tr>
      <w:tr w14:paraId="345F600C">
        <w:tblPrEx>
          <w:tblCellMar>
            <w:top w:w="0" w:type="dxa"/>
            <w:left w:w="0" w:type="dxa"/>
            <w:bottom w:w="0" w:type="dxa"/>
            <w:right w:w="0" w:type="dxa"/>
          </w:tblCellMar>
        </w:tblPrEx>
        <w:trPr>
          <w:trHeight w:val="511" w:hRule="exact"/>
        </w:trPr>
        <w:tc>
          <w:tcPr>
            <w:tcW w:w="793" w:type="dxa"/>
            <w:tcBorders>
              <w:top w:val="single" w:color="000000" w:sz="4" w:space="0"/>
              <w:left w:val="single" w:color="000000" w:sz="4" w:space="0"/>
              <w:bottom w:val="single" w:color="000000" w:sz="4" w:space="0"/>
              <w:right w:val="single" w:color="000000" w:sz="4" w:space="0"/>
            </w:tcBorders>
            <w:vAlign w:val="center"/>
          </w:tcPr>
          <w:p w14:paraId="5E1C01C6">
            <w:pPr>
              <w:jc w:val="center"/>
              <w:rPr>
                <w:rFonts w:ascii="宋体" w:hAnsi="宋体" w:eastAsia="宋体"/>
                <w:color w:val="auto"/>
                <w:sz w:val="21"/>
                <w:szCs w:val="21"/>
                <w:highlight w:val="none"/>
              </w:rPr>
            </w:pPr>
          </w:p>
        </w:tc>
        <w:tc>
          <w:tcPr>
            <w:tcW w:w="1252" w:type="dxa"/>
            <w:tcBorders>
              <w:top w:val="single" w:color="000000" w:sz="4" w:space="0"/>
              <w:left w:val="single" w:color="000000" w:sz="4" w:space="0"/>
              <w:bottom w:val="single" w:color="000000" w:sz="4" w:space="0"/>
              <w:right w:val="single" w:color="000000" w:sz="4" w:space="0"/>
            </w:tcBorders>
            <w:vAlign w:val="center"/>
          </w:tcPr>
          <w:p w14:paraId="461A7281">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20E049FD">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1D105E89">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7FDBA1F4">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605C9C2E">
            <w:pPr>
              <w:jc w:val="center"/>
              <w:rPr>
                <w:rFonts w:ascii="宋体" w:hAnsi="宋体" w:eastAsia="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14:paraId="6EC3D17F">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370239FB">
            <w:pPr>
              <w:jc w:val="center"/>
              <w:rPr>
                <w:rFonts w:ascii="宋体" w:hAnsi="宋体" w:eastAsia="宋体"/>
                <w:color w:val="auto"/>
                <w:sz w:val="21"/>
                <w:szCs w:val="21"/>
                <w:highlight w:val="none"/>
              </w:rPr>
            </w:pPr>
          </w:p>
        </w:tc>
      </w:tr>
      <w:tr w14:paraId="1040A5E6">
        <w:tblPrEx>
          <w:tblCellMar>
            <w:top w:w="0" w:type="dxa"/>
            <w:left w:w="0" w:type="dxa"/>
            <w:bottom w:w="0" w:type="dxa"/>
            <w:right w:w="0" w:type="dxa"/>
          </w:tblCellMar>
        </w:tblPrEx>
        <w:trPr>
          <w:trHeight w:val="509" w:hRule="exact"/>
        </w:trPr>
        <w:tc>
          <w:tcPr>
            <w:tcW w:w="793" w:type="dxa"/>
            <w:tcBorders>
              <w:top w:val="single" w:color="000000" w:sz="4" w:space="0"/>
              <w:left w:val="single" w:color="000000" w:sz="4" w:space="0"/>
              <w:bottom w:val="single" w:color="000000" w:sz="4" w:space="0"/>
              <w:right w:val="single" w:color="000000" w:sz="4" w:space="0"/>
            </w:tcBorders>
            <w:vAlign w:val="center"/>
          </w:tcPr>
          <w:p w14:paraId="53970212">
            <w:pPr>
              <w:jc w:val="center"/>
              <w:rPr>
                <w:rFonts w:ascii="宋体" w:hAnsi="宋体" w:eastAsia="宋体"/>
                <w:color w:val="auto"/>
                <w:sz w:val="21"/>
                <w:szCs w:val="21"/>
                <w:highlight w:val="none"/>
              </w:rPr>
            </w:pPr>
          </w:p>
        </w:tc>
        <w:tc>
          <w:tcPr>
            <w:tcW w:w="1252" w:type="dxa"/>
            <w:tcBorders>
              <w:top w:val="single" w:color="000000" w:sz="4" w:space="0"/>
              <w:left w:val="single" w:color="000000" w:sz="4" w:space="0"/>
              <w:bottom w:val="single" w:color="000000" w:sz="4" w:space="0"/>
              <w:right w:val="single" w:color="000000" w:sz="4" w:space="0"/>
            </w:tcBorders>
            <w:vAlign w:val="center"/>
          </w:tcPr>
          <w:p w14:paraId="34A26508">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6BD2ADAC">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0D78BAEE">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3ABB2FF6">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012DAAE3">
            <w:pPr>
              <w:jc w:val="center"/>
              <w:rPr>
                <w:rFonts w:ascii="宋体" w:hAnsi="宋体" w:eastAsia="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14:paraId="47AAEAB6">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79814993">
            <w:pPr>
              <w:jc w:val="center"/>
              <w:rPr>
                <w:rFonts w:ascii="宋体" w:hAnsi="宋体" w:eastAsia="宋体"/>
                <w:color w:val="auto"/>
                <w:sz w:val="21"/>
                <w:szCs w:val="21"/>
                <w:highlight w:val="none"/>
              </w:rPr>
            </w:pPr>
          </w:p>
        </w:tc>
      </w:tr>
      <w:tr w14:paraId="071E095C">
        <w:tblPrEx>
          <w:tblCellMar>
            <w:top w:w="0" w:type="dxa"/>
            <w:left w:w="0" w:type="dxa"/>
            <w:bottom w:w="0" w:type="dxa"/>
            <w:right w:w="0" w:type="dxa"/>
          </w:tblCellMar>
        </w:tblPrEx>
        <w:trPr>
          <w:trHeight w:val="511" w:hRule="exact"/>
        </w:trPr>
        <w:tc>
          <w:tcPr>
            <w:tcW w:w="793" w:type="dxa"/>
            <w:tcBorders>
              <w:top w:val="single" w:color="000000" w:sz="4" w:space="0"/>
              <w:left w:val="single" w:color="000000" w:sz="4" w:space="0"/>
              <w:bottom w:val="single" w:color="000000" w:sz="4" w:space="0"/>
              <w:right w:val="single" w:color="000000" w:sz="4" w:space="0"/>
            </w:tcBorders>
            <w:vAlign w:val="center"/>
          </w:tcPr>
          <w:p w14:paraId="2F983BDD">
            <w:pPr>
              <w:jc w:val="center"/>
              <w:rPr>
                <w:rFonts w:ascii="宋体" w:hAnsi="宋体" w:eastAsia="宋体"/>
                <w:color w:val="auto"/>
                <w:sz w:val="21"/>
                <w:szCs w:val="21"/>
                <w:highlight w:val="none"/>
              </w:rPr>
            </w:pPr>
          </w:p>
        </w:tc>
        <w:tc>
          <w:tcPr>
            <w:tcW w:w="1252" w:type="dxa"/>
            <w:tcBorders>
              <w:top w:val="single" w:color="000000" w:sz="4" w:space="0"/>
              <w:left w:val="single" w:color="000000" w:sz="4" w:space="0"/>
              <w:bottom w:val="single" w:color="000000" w:sz="4" w:space="0"/>
              <w:right w:val="single" w:color="000000" w:sz="4" w:space="0"/>
            </w:tcBorders>
            <w:vAlign w:val="center"/>
          </w:tcPr>
          <w:p w14:paraId="762B468E">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04FAD6E2">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227409CB">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777BC5B9">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1ED1D0BD">
            <w:pPr>
              <w:jc w:val="center"/>
              <w:rPr>
                <w:rFonts w:ascii="宋体" w:hAnsi="宋体" w:eastAsia="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14:paraId="0BAD6E3B">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0C45CB10">
            <w:pPr>
              <w:jc w:val="center"/>
              <w:rPr>
                <w:rFonts w:ascii="宋体" w:hAnsi="宋体" w:eastAsia="宋体"/>
                <w:color w:val="auto"/>
                <w:sz w:val="21"/>
                <w:szCs w:val="21"/>
                <w:highlight w:val="none"/>
              </w:rPr>
            </w:pPr>
          </w:p>
        </w:tc>
      </w:tr>
      <w:tr w14:paraId="6601A5D7">
        <w:tblPrEx>
          <w:tblCellMar>
            <w:top w:w="0" w:type="dxa"/>
            <w:left w:w="0" w:type="dxa"/>
            <w:bottom w:w="0" w:type="dxa"/>
            <w:right w:w="0" w:type="dxa"/>
          </w:tblCellMar>
        </w:tblPrEx>
        <w:trPr>
          <w:trHeight w:val="509" w:hRule="exact"/>
        </w:trPr>
        <w:tc>
          <w:tcPr>
            <w:tcW w:w="793" w:type="dxa"/>
            <w:tcBorders>
              <w:top w:val="single" w:color="000000" w:sz="4" w:space="0"/>
              <w:left w:val="single" w:color="000000" w:sz="4" w:space="0"/>
              <w:bottom w:val="single" w:color="000000" w:sz="4" w:space="0"/>
              <w:right w:val="single" w:color="000000" w:sz="4" w:space="0"/>
            </w:tcBorders>
            <w:vAlign w:val="center"/>
          </w:tcPr>
          <w:p w14:paraId="7FBF8198">
            <w:pPr>
              <w:jc w:val="center"/>
              <w:rPr>
                <w:rFonts w:ascii="宋体" w:hAnsi="宋体" w:eastAsia="宋体"/>
                <w:color w:val="auto"/>
                <w:sz w:val="21"/>
                <w:szCs w:val="21"/>
                <w:highlight w:val="none"/>
              </w:rPr>
            </w:pPr>
          </w:p>
        </w:tc>
        <w:tc>
          <w:tcPr>
            <w:tcW w:w="1252" w:type="dxa"/>
            <w:tcBorders>
              <w:top w:val="single" w:color="000000" w:sz="4" w:space="0"/>
              <w:left w:val="single" w:color="000000" w:sz="4" w:space="0"/>
              <w:bottom w:val="single" w:color="000000" w:sz="4" w:space="0"/>
              <w:right w:val="single" w:color="000000" w:sz="4" w:space="0"/>
            </w:tcBorders>
            <w:vAlign w:val="center"/>
          </w:tcPr>
          <w:p w14:paraId="1AEECFE1">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38161703">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05E27B6B">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78858D23">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3298CD02">
            <w:pPr>
              <w:jc w:val="center"/>
              <w:rPr>
                <w:rFonts w:ascii="宋体" w:hAnsi="宋体" w:eastAsia="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14:paraId="5A51CBAD">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468B3C6C">
            <w:pPr>
              <w:jc w:val="center"/>
              <w:rPr>
                <w:rFonts w:ascii="宋体" w:hAnsi="宋体" w:eastAsia="宋体"/>
                <w:color w:val="auto"/>
                <w:sz w:val="21"/>
                <w:szCs w:val="21"/>
                <w:highlight w:val="none"/>
              </w:rPr>
            </w:pPr>
          </w:p>
        </w:tc>
      </w:tr>
      <w:tr w14:paraId="77C09FC4">
        <w:tblPrEx>
          <w:tblCellMar>
            <w:top w:w="0" w:type="dxa"/>
            <w:left w:w="0" w:type="dxa"/>
            <w:bottom w:w="0" w:type="dxa"/>
            <w:right w:w="0" w:type="dxa"/>
          </w:tblCellMar>
        </w:tblPrEx>
        <w:trPr>
          <w:trHeight w:val="511" w:hRule="exact"/>
        </w:trPr>
        <w:tc>
          <w:tcPr>
            <w:tcW w:w="793" w:type="dxa"/>
            <w:tcBorders>
              <w:top w:val="single" w:color="000000" w:sz="4" w:space="0"/>
              <w:left w:val="single" w:color="000000" w:sz="4" w:space="0"/>
              <w:bottom w:val="single" w:color="000000" w:sz="4" w:space="0"/>
              <w:right w:val="single" w:color="000000" w:sz="4" w:space="0"/>
            </w:tcBorders>
            <w:vAlign w:val="center"/>
          </w:tcPr>
          <w:p w14:paraId="05CF9F9E">
            <w:pPr>
              <w:jc w:val="center"/>
              <w:rPr>
                <w:rFonts w:ascii="宋体" w:hAnsi="宋体" w:eastAsia="宋体"/>
                <w:color w:val="auto"/>
                <w:sz w:val="21"/>
                <w:szCs w:val="21"/>
                <w:highlight w:val="none"/>
              </w:rPr>
            </w:pPr>
          </w:p>
        </w:tc>
        <w:tc>
          <w:tcPr>
            <w:tcW w:w="1252" w:type="dxa"/>
            <w:tcBorders>
              <w:top w:val="single" w:color="000000" w:sz="4" w:space="0"/>
              <w:left w:val="single" w:color="000000" w:sz="4" w:space="0"/>
              <w:bottom w:val="single" w:color="000000" w:sz="4" w:space="0"/>
              <w:right w:val="single" w:color="000000" w:sz="4" w:space="0"/>
            </w:tcBorders>
            <w:vAlign w:val="center"/>
          </w:tcPr>
          <w:p w14:paraId="19EEC3C3">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4CF353CD">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177A231D">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10FD3C23">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572ED001">
            <w:pPr>
              <w:jc w:val="center"/>
              <w:rPr>
                <w:rFonts w:ascii="宋体" w:hAnsi="宋体" w:eastAsia="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14:paraId="5CE7A542">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09C43BFB">
            <w:pPr>
              <w:jc w:val="center"/>
              <w:rPr>
                <w:rFonts w:ascii="宋体" w:hAnsi="宋体" w:eastAsia="宋体"/>
                <w:color w:val="auto"/>
                <w:sz w:val="21"/>
                <w:szCs w:val="21"/>
                <w:highlight w:val="none"/>
              </w:rPr>
            </w:pPr>
          </w:p>
        </w:tc>
      </w:tr>
      <w:tr w14:paraId="10EC0EEC">
        <w:tblPrEx>
          <w:tblCellMar>
            <w:top w:w="0" w:type="dxa"/>
            <w:left w:w="0" w:type="dxa"/>
            <w:bottom w:w="0" w:type="dxa"/>
            <w:right w:w="0" w:type="dxa"/>
          </w:tblCellMar>
        </w:tblPrEx>
        <w:trPr>
          <w:trHeight w:val="509" w:hRule="exact"/>
        </w:trPr>
        <w:tc>
          <w:tcPr>
            <w:tcW w:w="793" w:type="dxa"/>
            <w:tcBorders>
              <w:top w:val="single" w:color="000000" w:sz="4" w:space="0"/>
              <w:left w:val="single" w:color="000000" w:sz="4" w:space="0"/>
              <w:bottom w:val="single" w:color="000000" w:sz="4" w:space="0"/>
              <w:right w:val="single" w:color="000000" w:sz="4" w:space="0"/>
            </w:tcBorders>
            <w:vAlign w:val="center"/>
          </w:tcPr>
          <w:p w14:paraId="0A81FA91">
            <w:pPr>
              <w:jc w:val="center"/>
              <w:rPr>
                <w:rFonts w:ascii="宋体" w:hAnsi="宋体" w:eastAsia="宋体"/>
                <w:color w:val="auto"/>
                <w:sz w:val="21"/>
                <w:szCs w:val="21"/>
                <w:highlight w:val="none"/>
              </w:rPr>
            </w:pPr>
          </w:p>
        </w:tc>
        <w:tc>
          <w:tcPr>
            <w:tcW w:w="1252" w:type="dxa"/>
            <w:tcBorders>
              <w:top w:val="single" w:color="000000" w:sz="4" w:space="0"/>
              <w:left w:val="single" w:color="000000" w:sz="4" w:space="0"/>
              <w:bottom w:val="single" w:color="000000" w:sz="4" w:space="0"/>
              <w:right w:val="single" w:color="000000" w:sz="4" w:space="0"/>
            </w:tcBorders>
            <w:vAlign w:val="center"/>
          </w:tcPr>
          <w:p w14:paraId="47D5BE66">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28E8E178">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5BA53DBB">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1ED0C0D6">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290B408E">
            <w:pPr>
              <w:jc w:val="center"/>
              <w:rPr>
                <w:rFonts w:ascii="宋体" w:hAnsi="宋体" w:eastAsia="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14:paraId="6EFBEABA">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094A5F46">
            <w:pPr>
              <w:jc w:val="center"/>
              <w:rPr>
                <w:rFonts w:ascii="宋体" w:hAnsi="宋体" w:eastAsia="宋体"/>
                <w:color w:val="auto"/>
                <w:sz w:val="21"/>
                <w:szCs w:val="21"/>
                <w:highlight w:val="none"/>
              </w:rPr>
            </w:pPr>
          </w:p>
        </w:tc>
      </w:tr>
      <w:tr w14:paraId="1402620C">
        <w:tblPrEx>
          <w:tblCellMar>
            <w:top w:w="0" w:type="dxa"/>
            <w:left w:w="0" w:type="dxa"/>
            <w:bottom w:w="0" w:type="dxa"/>
            <w:right w:w="0" w:type="dxa"/>
          </w:tblCellMar>
        </w:tblPrEx>
        <w:trPr>
          <w:trHeight w:val="511" w:hRule="exact"/>
        </w:trPr>
        <w:tc>
          <w:tcPr>
            <w:tcW w:w="793" w:type="dxa"/>
            <w:tcBorders>
              <w:top w:val="single" w:color="000000" w:sz="4" w:space="0"/>
              <w:left w:val="single" w:color="000000" w:sz="4" w:space="0"/>
              <w:bottom w:val="single" w:color="000000" w:sz="4" w:space="0"/>
              <w:right w:val="single" w:color="000000" w:sz="4" w:space="0"/>
            </w:tcBorders>
            <w:vAlign w:val="center"/>
          </w:tcPr>
          <w:p w14:paraId="740C5E1B">
            <w:pPr>
              <w:jc w:val="center"/>
              <w:rPr>
                <w:rFonts w:ascii="宋体" w:hAnsi="宋体" w:eastAsia="宋体"/>
                <w:color w:val="auto"/>
                <w:sz w:val="21"/>
                <w:szCs w:val="21"/>
                <w:highlight w:val="none"/>
              </w:rPr>
            </w:pPr>
          </w:p>
        </w:tc>
        <w:tc>
          <w:tcPr>
            <w:tcW w:w="1252" w:type="dxa"/>
            <w:tcBorders>
              <w:top w:val="single" w:color="000000" w:sz="4" w:space="0"/>
              <w:left w:val="single" w:color="000000" w:sz="4" w:space="0"/>
              <w:bottom w:val="single" w:color="000000" w:sz="4" w:space="0"/>
              <w:right w:val="single" w:color="000000" w:sz="4" w:space="0"/>
            </w:tcBorders>
            <w:vAlign w:val="center"/>
          </w:tcPr>
          <w:p w14:paraId="5FA6BE1B">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1D355D06">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1FFF7436">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6171B4D2">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1B9D2281">
            <w:pPr>
              <w:jc w:val="center"/>
              <w:rPr>
                <w:rFonts w:ascii="宋体" w:hAnsi="宋体" w:eastAsia="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14:paraId="2F94167C">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75F6C4F1">
            <w:pPr>
              <w:jc w:val="center"/>
              <w:rPr>
                <w:rFonts w:ascii="宋体" w:hAnsi="宋体" w:eastAsia="宋体"/>
                <w:color w:val="auto"/>
                <w:sz w:val="21"/>
                <w:szCs w:val="21"/>
                <w:highlight w:val="none"/>
              </w:rPr>
            </w:pPr>
          </w:p>
        </w:tc>
      </w:tr>
      <w:tr w14:paraId="3F2C46F5">
        <w:tblPrEx>
          <w:tblCellMar>
            <w:top w:w="0" w:type="dxa"/>
            <w:left w:w="0" w:type="dxa"/>
            <w:bottom w:w="0" w:type="dxa"/>
            <w:right w:w="0" w:type="dxa"/>
          </w:tblCellMar>
        </w:tblPrEx>
        <w:trPr>
          <w:trHeight w:val="511" w:hRule="exact"/>
        </w:trPr>
        <w:tc>
          <w:tcPr>
            <w:tcW w:w="793" w:type="dxa"/>
            <w:tcBorders>
              <w:top w:val="single" w:color="000000" w:sz="4" w:space="0"/>
              <w:left w:val="single" w:color="000000" w:sz="4" w:space="0"/>
              <w:bottom w:val="single" w:color="000000" w:sz="4" w:space="0"/>
              <w:right w:val="single" w:color="000000" w:sz="4" w:space="0"/>
            </w:tcBorders>
            <w:vAlign w:val="center"/>
          </w:tcPr>
          <w:p w14:paraId="6B10262F">
            <w:pPr>
              <w:jc w:val="center"/>
              <w:rPr>
                <w:rFonts w:ascii="宋体" w:hAnsi="宋体" w:eastAsia="宋体"/>
                <w:color w:val="auto"/>
                <w:sz w:val="21"/>
                <w:szCs w:val="21"/>
                <w:highlight w:val="none"/>
              </w:rPr>
            </w:pPr>
          </w:p>
        </w:tc>
        <w:tc>
          <w:tcPr>
            <w:tcW w:w="1252" w:type="dxa"/>
            <w:tcBorders>
              <w:top w:val="single" w:color="000000" w:sz="4" w:space="0"/>
              <w:left w:val="single" w:color="000000" w:sz="4" w:space="0"/>
              <w:bottom w:val="single" w:color="000000" w:sz="4" w:space="0"/>
              <w:right w:val="single" w:color="000000" w:sz="4" w:space="0"/>
            </w:tcBorders>
            <w:vAlign w:val="center"/>
          </w:tcPr>
          <w:p w14:paraId="1A0564A4">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68909469">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1C123F05">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61AFFB3D">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73C737E5">
            <w:pPr>
              <w:jc w:val="center"/>
              <w:rPr>
                <w:rFonts w:ascii="宋体" w:hAnsi="宋体" w:eastAsia="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14:paraId="6F6DE949">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147A343E">
            <w:pPr>
              <w:jc w:val="center"/>
              <w:rPr>
                <w:rFonts w:ascii="宋体" w:hAnsi="宋体" w:eastAsia="宋体"/>
                <w:color w:val="auto"/>
                <w:sz w:val="21"/>
                <w:szCs w:val="21"/>
                <w:highlight w:val="none"/>
              </w:rPr>
            </w:pPr>
          </w:p>
        </w:tc>
      </w:tr>
      <w:tr w14:paraId="63B57EE3">
        <w:tblPrEx>
          <w:tblCellMar>
            <w:top w:w="0" w:type="dxa"/>
            <w:left w:w="0" w:type="dxa"/>
            <w:bottom w:w="0" w:type="dxa"/>
            <w:right w:w="0" w:type="dxa"/>
          </w:tblCellMar>
        </w:tblPrEx>
        <w:trPr>
          <w:trHeight w:val="511" w:hRule="exact"/>
        </w:trPr>
        <w:tc>
          <w:tcPr>
            <w:tcW w:w="793" w:type="dxa"/>
            <w:tcBorders>
              <w:top w:val="single" w:color="000000" w:sz="4" w:space="0"/>
              <w:left w:val="single" w:color="000000" w:sz="4" w:space="0"/>
              <w:bottom w:val="single" w:color="000000" w:sz="4" w:space="0"/>
              <w:right w:val="single" w:color="000000" w:sz="4" w:space="0"/>
            </w:tcBorders>
            <w:vAlign w:val="center"/>
          </w:tcPr>
          <w:p w14:paraId="1E335E8C">
            <w:pPr>
              <w:jc w:val="center"/>
              <w:rPr>
                <w:rFonts w:ascii="宋体" w:hAnsi="宋体" w:eastAsia="宋体"/>
                <w:color w:val="auto"/>
                <w:sz w:val="21"/>
                <w:szCs w:val="21"/>
                <w:highlight w:val="none"/>
              </w:rPr>
            </w:pPr>
          </w:p>
        </w:tc>
        <w:tc>
          <w:tcPr>
            <w:tcW w:w="1252" w:type="dxa"/>
            <w:tcBorders>
              <w:top w:val="single" w:color="000000" w:sz="4" w:space="0"/>
              <w:left w:val="single" w:color="000000" w:sz="4" w:space="0"/>
              <w:bottom w:val="single" w:color="000000" w:sz="4" w:space="0"/>
              <w:right w:val="single" w:color="000000" w:sz="4" w:space="0"/>
            </w:tcBorders>
            <w:vAlign w:val="center"/>
          </w:tcPr>
          <w:p w14:paraId="619447CC">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7678AB81">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59E9B7FA">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21A03948">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64D520C9">
            <w:pPr>
              <w:jc w:val="center"/>
              <w:rPr>
                <w:rFonts w:ascii="宋体" w:hAnsi="宋体" w:eastAsia="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14:paraId="2EDA8FAA">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4369515C">
            <w:pPr>
              <w:jc w:val="center"/>
              <w:rPr>
                <w:rFonts w:ascii="宋体" w:hAnsi="宋体" w:eastAsia="宋体"/>
                <w:color w:val="auto"/>
                <w:sz w:val="21"/>
                <w:szCs w:val="21"/>
                <w:highlight w:val="none"/>
              </w:rPr>
            </w:pPr>
          </w:p>
        </w:tc>
      </w:tr>
      <w:tr w14:paraId="7310442F">
        <w:tblPrEx>
          <w:tblCellMar>
            <w:top w:w="0" w:type="dxa"/>
            <w:left w:w="0" w:type="dxa"/>
            <w:bottom w:w="0" w:type="dxa"/>
            <w:right w:w="0" w:type="dxa"/>
          </w:tblCellMar>
        </w:tblPrEx>
        <w:trPr>
          <w:trHeight w:val="509" w:hRule="exact"/>
        </w:trPr>
        <w:tc>
          <w:tcPr>
            <w:tcW w:w="793" w:type="dxa"/>
            <w:tcBorders>
              <w:top w:val="single" w:color="000000" w:sz="4" w:space="0"/>
              <w:left w:val="single" w:color="000000" w:sz="4" w:space="0"/>
              <w:bottom w:val="single" w:color="000000" w:sz="4" w:space="0"/>
              <w:right w:val="single" w:color="000000" w:sz="4" w:space="0"/>
            </w:tcBorders>
            <w:vAlign w:val="center"/>
          </w:tcPr>
          <w:p w14:paraId="1DECC73F">
            <w:pPr>
              <w:jc w:val="center"/>
              <w:rPr>
                <w:rFonts w:ascii="宋体" w:hAnsi="宋体" w:eastAsia="宋体"/>
                <w:color w:val="auto"/>
                <w:sz w:val="21"/>
                <w:szCs w:val="21"/>
                <w:highlight w:val="none"/>
              </w:rPr>
            </w:pPr>
          </w:p>
        </w:tc>
        <w:tc>
          <w:tcPr>
            <w:tcW w:w="1252" w:type="dxa"/>
            <w:tcBorders>
              <w:top w:val="single" w:color="000000" w:sz="4" w:space="0"/>
              <w:left w:val="single" w:color="000000" w:sz="4" w:space="0"/>
              <w:bottom w:val="single" w:color="000000" w:sz="4" w:space="0"/>
              <w:right w:val="single" w:color="000000" w:sz="4" w:space="0"/>
            </w:tcBorders>
            <w:vAlign w:val="center"/>
          </w:tcPr>
          <w:p w14:paraId="661656F9">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57FE0515">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2D9DDB87">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58CD6FE3">
            <w:pPr>
              <w:jc w:val="center"/>
              <w:rPr>
                <w:rFonts w:ascii="宋体" w:hAnsi="宋体" w:eastAsia="宋体"/>
                <w:color w:val="auto"/>
                <w:sz w:val="21"/>
                <w:szCs w:val="21"/>
                <w:highlight w:val="none"/>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518F2350">
            <w:pPr>
              <w:jc w:val="center"/>
              <w:rPr>
                <w:rFonts w:ascii="宋体" w:hAnsi="宋体" w:eastAsia="宋体"/>
                <w:color w:val="auto"/>
                <w:sz w:val="21"/>
                <w:szCs w:val="21"/>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14:paraId="212D1E60">
            <w:pPr>
              <w:jc w:val="center"/>
              <w:rPr>
                <w:rFonts w:ascii="宋体" w:hAnsi="宋体" w:eastAsia="宋体"/>
                <w:color w:val="auto"/>
                <w:sz w:val="21"/>
                <w:szCs w:val="21"/>
                <w:highlight w:val="none"/>
              </w:rPr>
            </w:pPr>
          </w:p>
        </w:tc>
        <w:tc>
          <w:tcPr>
            <w:tcW w:w="1219" w:type="dxa"/>
            <w:tcBorders>
              <w:top w:val="single" w:color="000000" w:sz="4" w:space="0"/>
              <w:left w:val="single" w:color="000000" w:sz="4" w:space="0"/>
              <w:bottom w:val="single" w:color="000000" w:sz="4" w:space="0"/>
              <w:right w:val="single" w:color="000000" w:sz="4" w:space="0"/>
            </w:tcBorders>
            <w:vAlign w:val="center"/>
          </w:tcPr>
          <w:p w14:paraId="7A436241">
            <w:pPr>
              <w:jc w:val="center"/>
              <w:rPr>
                <w:rFonts w:ascii="宋体" w:hAnsi="宋体" w:eastAsia="宋体"/>
                <w:color w:val="auto"/>
                <w:sz w:val="21"/>
                <w:szCs w:val="21"/>
                <w:highlight w:val="none"/>
              </w:rPr>
            </w:pPr>
          </w:p>
        </w:tc>
      </w:tr>
      <w:tr w14:paraId="5F4E74D4">
        <w:tblPrEx>
          <w:tblCellMar>
            <w:top w:w="0" w:type="dxa"/>
            <w:left w:w="0" w:type="dxa"/>
            <w:bottom w:w="0" w:type="dxa"/>
            <w:right w:w="0" w:type="dxa"/>
          </w:tblCellMar>
        </w:tblPrEx>
        <w:trPr>
          <w:trHeight w:val="509" w:hRule="exact"/>
        </w:trPr>
        <w:tc>
          <w:tcPr>
            <w:tcW w:w="3264" w:type="dxa"/>
            <w:gridSpan w:val="3"/>
            <w:tcBorders>
              <w:top w:val="single" w:color="000000" w:sz="4" w:space="0"/>
              <w:left w:val="single" w:color="000000" w:sz="4" w:space="0"/>
              <w:bottom w:val="single" w:color="000000" w:sz="4" w:space="0"/>
              <w:right w:val="single" w:color="000000" w:sz="4" w:space="0"/>
            </w:tcBorders>
            <w:vAlign w:val="center"/>
          </w:tcPr>
          <w:p w14:paraId="59596E48">
            <w:pPr>
              <w:jc w:val="center"/>
              <w:rPr>
                <w:rFonts w:ascii="宋体" w:hAnsi="宋体" w:eastAsia="宋体"/>
                <w:color w:val="auto"/>
                <w:sz w:val="21"/>
                <w:szCs w:val="21"/>
                <w:highlight w:val="none"/>
              </w:rPr>
            </w:pPr>
            <w:r>
              <w:rPr>
                <w:rFonts w:ascii="宋体" w:hAnsi="宋体" w:eastAsia="宋体" w:cs="宋体"/>
                <w:color w:val="auto"/>
                <w:sz w:val="21"/>
                <w:szCs w:val="21"/>
                <w:highlight w:val="none"/>
              </w:rPr>
              <w:t>最高投标限价：</w:t>
            </w:r>
          </w:p>
        </w:tc>
        <w:tc>
          <w:tcPr>
            <w:tcW w:w="5753" w:type="dxa"/>
            <w:gridSpan w:val="5"/>
            <w:tcBorders>
              <w:top w:val="single" w:color="000000" w:sz="4" w:space="0"/>
              <w:left w:val="single" w:color="000000" w:sz="4" w:space="0"/>
              <w:bottom w:val="single" w:color="000000" w:sz="4" w:space="0"/>
              <w:right w:val="single" w:color="000000" w:sz="4" w:space="0"/>
            </w:tcBorders>
            <w:vAlign w:val="center"/>
          </w:tcPr>
          <w:p w14:paraId="5359B018">
            <w:pPr>
              <w:jc w:val="center"/>
              <w:rPr>
                <w:rFonts w:ascii="宋体" w:hAnsi="宋体" w:eastAsia="宋体"/>
                <w:color w:val="auto"/>
                <w:sz w:val="21"/>
                <w:szCs w:val="21"/>
                <w:highlight w:val="none"/>
              </w:rPr>
            </w:pPr>
          </w:p>
        </w:tc>
      </w:tr>
    </w:tbl>
    <w:p w14:paraId="6CE53F7E">
      <w:pPr>
        <w:rPr>
          <w:rFonts w:ascii="宋体" w:hAnsi="宋体" w:eastAsia="宋体" w:cs="宋体"/>
          <w:color w:val="auto"/>
          <w:sz w:val="20"/>
          <w:szCs w:val="20"/>
          <w:highlight w:val="none"/>
        </w:rPr>
      </w:pPr>
    </w:p>
    <w:p w14:paraId="3162761F">
      <w:pPr>
        <w:rPr>
          <w:rFonts w:ascii="宋体" w:hAnsi="宋体" w:eastAsia="宋体" w:cs="宋体"/>
          <w:color w:val="auto"/>
          <w:sz w:val="20"/>
          <w:szCs w:val="20"/>
          <w:highlight w:val="none"/>
        </w:rPr>
      </w:pPr>
    </w:p>
    <w:p w14:paraId="5732E961">
      <w:pPr>
        <w:pStyle w:val="8"/>
        <w:tabs>
          <w:tab w:val="left" w:pos="2264"/>
          <w:tab w:val="left" w:pos="3057"/>
          <w:tab w:val="left" w:pos="4679"/>
          <w:tab w:val="left" w:pos="5366"/>
          <w:tab w:val="left" w:pos="6989"/>
        </w:tabs>
        <w:ind w:left="0"/>
        <w:rPr>
          <w:color w:val="auto"/>
          <w:highlight w:val="none"/>
          <w:lang w:eastAsia="zh-CN"/>
        </w:rPr>
      </w:pPr>
      <w:r>
        <w:rPr>
          <w:color w:val="auto"/>
          <w:spacing w:val="-2"/>
          <w:highlight w:val="none"/>
          <w:lang w:eastAsia="zh-CN"/>
        </w:rPr>
        <w:t>招标人代表：</w:t>
      </w:r>
      <w:r>
        <w:rPr>
          <w:color w:val="auto"/>
          <w:spacing w:val="-2"/>
          <w:highlight w:val="none"/>
          <w:u w:val="single" w:color="000000"/>
          <w:lang w:eastAsia="zh-CN"/>
        </w:rPr>
        <w:tab/>
      </w:r>
      <w:r>
        <w:rPr>
          <w:color w:val="auto"/>
          <w:spacing w:val="-2"/>
          <w:highlight w:val="none"/>
          <w:lang w:eastAsia="zh-CN"/>
        </w:rPr>
        <w:tab/>
      </w:r>
      <w:r>
        <w:rPr>
          <w:color w:val="auto"/>
          <w:spacing w:val="-2"/>
          <w:highlight w:val="none"/>
          <w:lang w:eastAsia="zh-CN"/>
        </w:rPr>
        <w:t>记录人：</w:t>
      </w:r>
      <w:r>
        <w:rPr>
          <w:color w:val="auto"/>
          <w:spacing w:val="-2"/>
          <w:highlight w:val="none"/>
          <w:u w:val="single" w:color="000000"/>
          <w:lang w:eastAsia="zh-CN"/>
        </w:rPr>
        <w:tab/>
      </w:r>
      <w:r>
        <w:rPr>
          <w:color w:val="auto"/>
          <w:spacing w:val="-2"/>
          <w:highlight w:val="none"/>
          <w:lang w:eastAsia="zh-CN"/>
        </w:rPr>
        <w:tab/>
      </w:r>
      <w:r>
        <w:rPr>
          <w:color w:val="auto"/>
          <w:spacing w:val="-2"/>
          <w:highlight w:val="none"/>
          <w:lang w:eastAsia="zh-CN"/>
        </w:rPr>
        <w:t>监标人：</w:t>
      </w:r>
      <w:r>
        <w:rPr>
          <w:color w:val="auto"/>
          <w:highlight w:val="none"/>
          <w:u w:val="single" w:color="000000"/>
          <w:lang w:eastAsia="zh-CN"/>
        </w:rPr>
        <w:tab/>
      </w:r>
    </w:p>
    <w:p w14:paraId="7BF1E63C">
      <w:pPr>
        <w:rPr>
          <w:rFonts w:ascii="宋体" w:hAnsi="宋体" w:eastAsia="宋体"/>
          <w:color w:val="auto"/>
          <w:sz w:val="27"/>
          <w:szCs w:val="27"/>
          <w:highlight w:val="none"/>
          <w:lang w:eastAsia="zh-CN"/>
        </w:rPr>
      </w:pPr>
    </w:p>
    <w:p w14:paraId="23D08349">
      <w:pPr>
        <w:pStyle w:val="8"/>
        <w:tabs>
          <w:tab w:val="left" w:pos="736"/>
          <w:tab w:val="left" w:pos="1682"/>
          <w:tab w:val="left" w:pos="2626"/>
        </w:tabs>
        <w:ind w:left="0"/>
        <w:jc w:val="right"/>
        <w:rPr>
          <w:color w:val="auto"/>
          <w:highlight w:val="none"/>
          <w:lang w:eastAsia="zh-CN"/>
        </w:rPr>
      </w:pPr>
      <w:r>
        <w:rPr>
          <w:color w:val="auto"/>
          <w:highlight w:val="none"/>
          <w:u w:val="single" w:color="000000"/>
          <w:lang w:eastAsia="zh-CN"/>
        </w:rPr>
        <w:tab/>
      </w:r>
      <w:r>
        <w:rPr>
          <w:color w:val="auto"/>
          <w:highlight w:val="none"/>
          <w:lang w:eastAsia="zh-CN"/>
        </w:rPr>
        <w:t>年</w:t>
      </w:r>
      <w:r>
        <w:rPr>
          <w:color w:val="auto"/>
          <w:highlight w:val="none"/>
          <w:u w:val="single" w:color="000000"/>
          <w:lang w:eastAsia="zh-CN"/>
        </w:rPr>
        <w:tab/>
      </w:r>
      <w:r>
        <w:rPr>
          <w:color w:val="auto"/>
          <w:spacing w:val="-3"/>
          <w:highlight w:val="none"/>
          <w:lang w:eastAsia="zh-CN"/>
        </w:rPr>
        <w:t>月</w:t>
      </w:r>
      <w:r>
        <w:rPr>
          <w:color w:val="auto"/>
          <w:spacing w:val="-3"/>
          <w:highlight w:val="none"/>
          <w:u w:val="single" w:color="000000"/>
          <w:lang w:eastAsia="zh-CN"/>
        </w:rPr>
        <w:tab/>
      </w:r>
      <w:r>
        <w:rPr>
          <w:color w:val="auto"/>
          <w:highlight w:val="none"/>
          <w:lang w:eastAsia="zh-CN"/>
        </w:rPr>
        <w:t>日</w:t>
      </w:r>
    </w:p>
    <w:p w14:paraId="4F48A202">
      <w:pPr>
        <w:pStyle w:val="8"/>
        <w:tabs>
          <w:tab w:val="left" w:pos="736"/>
          <w:tab w:val="left" w:pos="1682"/>
          <w:tab w:val="left" w:pos="2626"/>
        </w:tabs>
        <w:ind w:left="0"/>
        <w:rPr>
          <w:b/>
          <w:color w:val="auto"/>
          <w:highlight w:val="none"/>
          <w:u w:val="single"/>
          <w:lang w:eastAsia="zh-CN"/>
        </w:rPr>
      </w:pPr>
      <w:r>
        <w:rPr>
          <w:rFonts w:hint="eastAsia"/>
          <w:b/>
          <w:color w:val="auto"/>
          <w:highlight w:val="none"/>
          <w:u w:val="single"/>
          <w:lang w:eastAsia="zh-CN"/>
        </w:rPr>
        <w:t>本表仅供参考，具体以开标时的开标记录表为准。</w:t>
      </w:r>
    </w:p>
    <w:p w14:paraId="3B639FEF">
      <w:pPr>
        <w:pStyle w:val="4"/>
        <w:spacing w:line="363" w:lineRule="exact"/>
        <w:ind w:left="357"/>
        <w:rPr>
          <w:b/>
          <w:bCs/>
          <w:color w:val="auto"/>
          <w:highlight w:val="none"/>
          <w:lang w:eastAsia="zh-CN"/>
        </w:rPr>
      </w:pPr>
      <w:r>
        <w:rPr>
          <w:color w:val="auto"/>
          <w:highlight w:val="none"/>
          <w:lang w:eastAsia="zh-CN"/>
        </w:rPr>
        <w:br w:type="page"/>
      </w:r>
      <w:r>
        <w:rPr>
          <w:b/>
          <w:bCs/>
          <w:color w:val="auto"/>
          <w:highlight w:val="none"/>
          <w:lang w:eastAsia="zh-CN"/>
        </w:rPr>
        <w:t>附件二：问题澄清通知</w:t>
      </w:r>
    </w:p>
    <w:p w14:paraId="6E42E54E">
      <w:pPr>
        <w:rPr>
          <w:rFonts w:ascii="宋体" w:hAnsi="宋体" w:eastAsia="宋体" w:cs="宋体"/>
          <w:color w:val="auto"/>
          <w:sz w:val="20"/>
          <w:szCs w:val="20"/>
          <w:highlight w:val="none"/>
          <w:lang w:eastAsia="zh-CN"/>
        </w:rPr>
      </w:pPr>
    </w:p>
    <w:p w14:paraId="736DA191">
      <w:pPr>
        <w:rPr>
          <w:rFonts w:ascii="宋体" w:hAnsi="宋体" w:eastAsia="宋体" w:cs="宋体"/>
          <w:color w:val="auto"/>
          <w:sz w:val="20"/>
          <w:szCs w:val="20"/>
          <w:highlight w:val="none"/>
          <w:lang w:eastAsia="zh-CN"/>
        </w:rPr>
      </w:pPr>
    </w:p>
    <w:p w14:paraId="423650EC">
      <w:pPr>
        <w:rPr>
          <w:rFonts w:ascii="宋体" w:hAnsi="宋体" w:eastAsia="宋体" w:cs="宋体"/>
          <w:color w:val="auto"/>
          <w:sz w:val="20"/>
          <w:szCs w:val="20"/>
          <w:highlight w:val="none"/>
          <w:lang w:eastAsia="zh-CN"/>
        </w:rPr>
      </w:pPr>
    </w:p>
    <w:p w14:paraId="0978CCCD">
      <w:pPr>
        <w:spacing w:before="4"/>
        <w:rPr>
          <w:rFonts w:ascii="宋体" w:hAnsi="宋体" w:eastAsia="宋体" w:cs="宋体"/>
          <w:color w:val="auto"/>
          <w:sz w:val="17"/>
          <w:szCs w:val="17"/>
          <w:highlight w:val="none"/>
          <w:lang w:eastAsia="zh-CN"/>
        </w:rPr>
      </w:pPr>
    </w:p>
    <w:p w14:paraId="4948757E">
      <w:pPr>
        <w:spacing w:before="14" w:line="360" w:lineRule="auto"/>
        <w:ind w:right="13"/>
        <w:jc w:val="center"/>
        <w:rPr>
          <w:rFonts w:ascii="宋体" w:hAnsi="宋体" w:eastAsia="宋体" w:cs="宋体"/>
          <w:color w:val="auto"/>
          <w:sz w:val="28"/>
          <w:szCs w:val="28"/>
          <w:highlight w:val="none"/>
          <w:lang w:eastAsia="zh-CN"/>
        </w:rPr>
      </w:pPr>
      <w:r>
        <w:rPr>
          <w:rFonts w:ascii="宋体" w:hAnsi="宋体" w:eastAsia="宋体" w:cs="宋体"/>
          <w:b/>
          <w:bCs/>
          <w:color w:val="auto"/>
          <w:sz w:val="28"/>
          <w:szCs w:val="28"/>
          <w:highlight w:val="none"/>
          <w:lang w:eastAsia="zh-CN"/>
        </w:rPr>
        <w:t>问题澄清通知</w:t>
      </w:r>
    </w:p>
    <w:p w14:paraId="3B53D030">
      <w:pPr>
        <w:pStyle w:val="8"/>
        <w:tabs>
          <w:tab w:val="left" w:pos="5671"/>
          <w:tab w:val="left" w:pos="6617"/>
          <w:tab w:val="left" w:pos="7560"/>
        </w:tabs>
        <w:spacing w:line="360" w:lineRule="auto"/>
        <w:ind w:left="0"/>
        <w:jc w:val="center"/>
        <w:rPr>
          <w:color w:val="auto"/>
          <w:sz w:val="24"/>
          <w:szCs w:val="24"/>
          <w:highlight w:val="none"/>
          <w:lang w:eastAsia="zh-CN"/>
        </w:rPr>
      </w:pPr>
      <w:r>
        <w:rPr>
          <w:rFonts w:hint="eastAsia"/>
          <w:color w:val="auto"/>
          <w:sz w:val="24"/>
          <w:szCs w:val="24"/>
          <w:highlight w:val="none"/>
          <w:lang w:eastAsia="zh-CN"/>
        </w:rPr>
        <w:t>（按广州交易集团有限公司（广州公共资源交易中心）格式）</w:t>
      </w:r>
    </w:p>
    <w:p w14:paraId="4FF29E94">
      <w:pPr>
        <w:pStyle w:val="4"/>
        <w:spacing w:line="363" w:lineRule="exact"/>
        <w:ind w:left="357"/>
        <w:rPr>
          <w:b/>
          <w:bCs/>
          <w:color w:val="auto"/>
          <w:highlight w:val="none"/>
          <w:lang w:eastAsia="zh-CN"/>
        </w:rPr>
      </w:pPr>
      <w:r>
        <w:rPr>
          <w:color w:val="auto"/>
          <w:sz w:val="24"/>
          <w:szCs w:val="24"/>
          <w:highlight w:val="none"/>
          <w:lang w:eastAsia="zh-CN"/>
        </w:rPr>
        <w:br w:type="page"/>
      </w:r>
      <w:r>
        <w:rPr>
          <w:b/>
          <w:bCs/>
          <w:color w:val="auto"/>
          <w:highlight w:val="none"/>
          <w:lang w:eastAsia="zh-CN"/>
        </w:rPr>
        <w:t>附件三：问题的澄清</w:t>
      </w:r>
    </w:p>
    <w:p w14:paraId="608F6DCB">
      <w:pPr>
        <w:rPr>
          <w:rFonts w:ascii="宋体" w:hAnsi="宋体" w:eastAsia="宋体" w:cs="宋体"/>
          <w:color w:val="auto"/>
          <w:sz w:val="20"/>
          <w:szCs w:val="20"/>
          <w:highlight w:val="none"/>
          <w:lang w:eastAsia="zh-CN"/>
        </w:rPr>
      </w:pPr>
    </w:p>
    <w:p w14:paraId="788F0C45">
      <w:pPr>
        <w:rPr>
          <w:rFonts w:ascii="宋体" w:hAnsi="宋体" w:eastAsia="宋体" w:cs="宋体"/>
          <w:color w:val="auto"/>
          <w:sz w:val="20"/>
          <w:szCs w:val="20"/>
          <w:highlight w:val="none"/>
          <w:lang w:eastAsia="zh-CN"/>
        </w:rPr>
      </w:pPr>
    </w:p>
    <w:p w14:paraId="6E1F7FBA">
      <w:pPr>
        <w:rPr>
          <w:rFonts w:ascii="宋体" w:hAnsi="宋体" w:eastAsia="宋体" w:cs="宋体"/>
          <w:color w:val="auto"/>
          <w:sz w:val="20"/>
          <w:szCs w:val="20"/>
          <w:highlight w:val="none"/>
          <w:lang w:eastAsia="zh-CN"/>
        </w:rPr>
      </w:pPr>
    </w:p>
    <w:p w14:paraId="29E0FC88">
      <w:pPr>
        <w:spacing w:before="168" w:line="360" w:lineRule="auto"/>
        <w:ind w:right="16"/>
        <w:jc w:val="center"/>
        <w:rPr>
          <w:rFonts w:ascii="宋体" w:hAnsi="宋体" w:eastAsia="宋体" w:cs="宋体"/>
          <w:b/>
          <w:bCs/>
          <w:color w:val="auto"/>
          <w:sz w:val="28"/>
          <w:szCs w:val="28"/>
          <w:highlight w:val="none"/>
          <w:lang w:eastAsia="zh-CN"/>
        </w:rPr>
      </w:pPr>
      <w:r>
        <w:rPr>
          <w:rFonts w:ascii="宋体" w:hAnsi="宋体" w:eastAsia="宋体" w:cs="宋体"/>
          <w:b/>
          <w:bCs/>
          <w:color w:val="auto"/>
          <w:sz w:val="28"/>
          <w:szCs w:val="28"/>
          <w:highlight w:val="none"/>
          <w:lang w:eastAsia="zh-CN"/>
        </w:rPr>
        <w:t>问题的澄清</w:t>
      </w:r>
    </w:p>
    <w:p w14:paraId="25B865D3">
      <w:pPr>
        <w:pStyle w:val="8"/>
        <w:tabs>
          <w:tab w:val="left" w:pos="5671"/>
          <w:tab w:val="left" w:pos="6617"/>
          <w:tab w:val="left" w:pos="7560"/>
        </w:tabs>
        <w:spacing w:line="360" w:lineRule="auto"/>
        <w:ind w:left="0"/>
        <w:jc w:val="center"/>
        <w:rPr>
          <w:color w:val="auto"/>
          <w:sz w:val="24"/>
          <w:szCs w:val="24"/>
          <w:highlight w:val="none"/>
          <w:lang w:eastAsia="zh-CN"/>
        </w:rPr>
      </w:pPr>
      <w:r>
        <w:rPr>
          <w:rFonts w:hint="eastAsia"/>
          <w:color w:val="auto"/>
          <w:sz w:val="24"/>
          <w:szCs w:val="24"/>
          <w:highlight w:val="none"/>
          <w:lang w:eastAsia="zh-CN"/>
        </w:rPr>
        <w:t>（按广州交易集团有限公司（广州公共资源交易中心）格式）</w:t>
      </w:r>
    </w:p>
    <w:p w14:paraId="615EF600">
      <w:pPr>
        <w:pStyle w:val="4"/>
        <w:spacing w:line="363" w:lineRule="exact"/>
        <w:ind w:left="357"/>
        <w:rPr>
          <w:b/>
          <w:bCs/>
          <w:color w:val="auto"/>
          <w:highlight w:val="none"/>
          <w:lang w:eastAsia="zh-CN"/>
        </w:rPr>
      </w:pPr>
      <w:r>
        <w:rPr>
          <w:color w:val="auto"/>
          <w:sz w:val="24"/>
          <w:szCs w:val="24"/>
          <w:highlight w:val="none"/>
          <w:lang w:eastAsia="zh-CN"/>
        </w:rPr>
        <w:br w:type="page"/>
      </w:r>
      <w:r>
        <w:rPr>
          <w:b/>
          <w:bCs/>
          <w:color w:val="auto"/>
          <w:highlight w:val="none"/>
          <w:lang w:eastAsia="zh-CN"/>
        </w:rPr>
        <w:t>附件四：中标通知书</w:t>
      </w:r>
    </w:p>
    <w:p w14:paraId="46F6A2CB">
      <w:pPr>
        <w:rPr>
          <w:rFonts w:ascii="宋体" w:hAnsi="宋体" w:eastAsia="宋体" w:cs="宋体"/>
          <w:color w:val="auto"/>
          <w:sz w:val="20"/>
          <w:szCs w:val="20"/>
          <w:highlight w:val="none"/>
          <w:lang w:eastAsia="zh-CN"/>
        </w:rPr>
      </w:pPr>
    </w:p>
    <w:p w14:paraId="2B386C55">
      <w:pPr>
        <w:rPr>
          <w:rFonts w:ascii="宋体" w:hAnsi="宋体" w:eastAsia="宋体" w:cs="宋体"/>
          <w:color w:val="auto"/>
          <w:sz w:val="20"/>
          <w:szCs w:val="20"/>
          <w:highlight w:val="none"/>
          <w:lang w:eastAsia="zh-CN"/>
        </w:rPr>
      </w:pPr>
    </w:p>
    <w:p w14:paraId="5A9937A6">
      <w:pPr>
        <w:rPr>
          <w:rFonts w:ascii="宋体" w:hAnsi="宋体" w:eastAsia="宋体" w:cs="宋体"/>
          <w:color w:val="auto"/>
          <w:sz w:val="20"/>
          <w:szCs w:val="20"/>
          <w:highlight w:val="none"/>
          <w:lang w:eastAsia="zh-CN"/>
        </w:rPr>
      </w:pPr>
    </w:p>
    <w:p w14:paraId="7D4C18E0">
      <w:pPr>
        <w:pStyle w:val="8"/>
        <w:tabs>
          <w:tab w:val="left" w:pos="5671"/>
          <w:tab w:val="left" w:pos="6617"/>
          <w:tab w:val="left" w:pos="7560"/>
        </w:tabs>
        <w:ind w:left="0"/>
        <w:jc w:val="center"/>
        <w:rPr>
          <w:color w:val="auto"/>
          <w:sz w:val="24"/>
          <w:szCs w:val="24"/>
          <w:highlight w:val="none"/>
          <w:lang w:eastAsia="zh-CN"/>
        </w:rPr>
      </w:pPr>
      <w:r>
        <w:rPr>
          <w:rFonts w:hint="eastAsia"/>
          <w:color w:val="auto"/>
          <w:sz w:val="24"/>
          <w:szCs w:val="24"/>
          <w:highlight w:val="none"/>
          <w:lang w:eastAsia="zh-CN"/>
        </w:rPr>
        <w:t>（按</w:t>
      </w:r>
      <w:r>
        <w:rPr>
          <w:rFonts w:hint="eastAsia" w:cs="仿宋_GB2312"/>
          <w:color w:val="auto"/>
          <w:sz w:val="24"/>
          <w:szCs w:val="24"/>
          <w:highlight w:val="none"/>
          <w:lang w:eastAsia="zh-CN"/>
        </w:rPr>
        <w:t>广州交易集团有限公司（广州公共资源交易中心）</w:t>
      </w:r>
      <w:r>
        <w:rPr>
          <w:rFonts w:hint="eastAsia"/>
          <w:color w:val="auto"/>
          <w:sz w:val="24"/>
          <w:szCs w:val="24"/>
          <w:highlight w:val="none"/>
          <w:lang w:eastAsia="zh-CN"/>
        </w:rPr>
        <w:t>格式）</w:t>
      </w:r>
    </w:p>
    <w:p w14:paraId="228DF416">
      <w:pPr>
        <w:rPr>
          <w:rFonts w:hint="eastAsia" w:ascii="宋体" w:hAnsi="宋体" w:eastAsia="宋体" w:cs="Times New Roman"/>
          <w:b/>
          <w:bCs/>
          <w:color w:val="auto"/>
          <w:sz w:val="28"/>
          <w:szCs w:val="28"/>
          <w:highlight w:val="none"/>
          <w:lang w:val="en-US" w:eastAsia="zh-CN" w:bidi="ar-SA"/>
        </w:rPr>
      </w:pPr>
      <w:r>
        <w:rPr>
          <w:rFonts w:hint="eastAsia" w:ascii="宋体" w:hAnsi="宋体" w:eastAsia="宋体" w:cs="Times New Roman"/>
          <w:b/>
          <w:bCs/>
          <w:color w:val="auto"/>
          <w:sz w:val="28"/>
          <w:szCs w:val="28"/>
          <w:highlight w:val="none"/>
          <w:lang w:val="en-US" w:eastAsia="zh-CN" w:bidi="ar-SA"/>
        </w:rPr>
        <w:br w:type="page"/>
      </w:r>
    </w:p>
    <w:p w14:paraId="371A4B9F">
      <w:pPr>
        <w:spacing w:line="400" w:lineRule="exact"/>
        <w:rPr>
          <w:rFonts w:hint="eastAsia" w:ascii="宋体" w:hAnsi="宋体" w:eastAsia="宋体" w:cs="Times New Roman"/>
          <w:b/>
          <w:bCs/>
          <w:color w:val="auto"/>
          <w:sz w:val="28"/>
          <w:szCs w:val="28"/>
          <w:highlight w:val="none"/>
          <w:lang w:val="en-US" w:eastAsia="zh-CN" w:bidi="ar-SA"/>
        </w:rPr>
      </w:pPr>
      <w:r>
        <w:rPr>
          <w:rFonts w:hint="eastAsia" w:ascii="宋体" w:hAnsi="宋体" w:eastAsia="宋体" w:cs="Times New Roman"/>
          <w:b/>
          <w:bCs/>
          <w:color w:val="auto"/>
          <w:sz w:val="28"/>
          <w:szCs w:val="28"/>
          <w:highlight w:val="none"/>
          <w:lang w:val="en-US" w:eastAsia="zh-CN" w:bidi="ar-SA"/>
        </w:rPr>
        <w:t>附件五：评标委员会成员声明</w:t>
      </w:r>
    </w:p>
    <w:p w14:paraId="5CAE849E">
      <w:pPr>
        <w:pStyle w:val="8"/>
        <w:rPr>
          <w:rFonts w:hint="eastAsia"/>
          <w:color w:val="auto"/>
          <w:highlight w:val="none"/>
        </w:rPr>
      </w:pPr>
    </w:p>
    <w:p w14:paraId="52489DBE">
      <w:pPr>
        <w:ind w:firstLine="640" w:firstLineChars="200"/>
        <w:jc w:val="cente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评标委员会成员声明</w:t>
      </w:r>
    </w:p>
    <w:p w14:paraId="6D208D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本项目招标人  </w:t>
      </w:r>
      <w:r>
        <w:rPr>
          <w:rFonts w:hint="eastAsia" w:ascii="宋体" w:hAnsi="宋体" w:eastAsia="宋体" w:cs="宋体"/>
          <w:color w:val="auto"/>
          <w:sz w:val="24"/>
          <w:szCs w:val="24"/>
          <w:highlight w:val="none"/>
        </w:rPr>
        <w:t>：</w:t>
      </w:r>
    </w:p>
    <w:p w14:paraId="028445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本人就参与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项目的评标工作，作出郑重声明：</w:t>
      </w:r>
    </w:p>
    <w:p w14:paraId="41D00D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人严格遵守评标场所管理规定，服从评标场所现场管理。本人完全知悉并自愿在评审过程中通过电子手写签名板产生电子形式的签名，并认同由此方式产生的签名与本人手写、电子签名具有同等效力；本人使用该签名所签署的评标（审）材料及内容均为本人充分理解并符合本人真实意思表示。</w:t>
      </w:r>
    </w:p>
    <w:p w14:paraId="5CD290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在本项目评标开始前，本人不存在以下需要向招标人提出回避的情形：（一）接收到任何单位或者个人授意本人倾向或者排斥本项目特定投标人的电话、短信、微信等；（二）私下接触本项目投标人；（三）收受本项目投标人、中介人、其他利害关系人的财物或者其他好处；（四）法律法规等规定的回避情形。</w:t>
      </w:r>
    </w:p>
    <w:p w14:paraId="105CA9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人将按照本项目招标文件规定的评标标准和方法，客观、公正地对投标文件提出评审意见，不故意拖延评标时间，或者敷衍塞责随意评标，不透露本项目评标委员会成员身份，不透露对本项目投标文件的评审和比较、中标候选人的推荐情况、在评标过程中知悉的国家秘密和商业秘密以及与评标有关的其他情况。在本项目评标过程中，本人不对评标委员会其他成员的独立评审施加不当影响；不接受任何单位或者个人明示或者暗示提出的倾向或者排斥本项目特定投标人的要求；不对评标委员会其他成员或者其他人员发表带有倾向性、误导性的言论或者暗示性的意见建议。</w:t>
      </w:r>
    </w:p>
    <w:p w14:paraId="33F80F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评标结束后，如果本项目需要复核或者存在异议的，本人理解招标人将暂缓支付评审酬劳。本人保证在招标人要求的时间内配合招标人进行复核或者异议处理工作，也保证在规定时间内配合招标监督机构依法对本项目评审情况进行的调查。如果本人存在评审错误的，本人将主动改正错误，配合招标人挽回损失。</w:t>
      </w:r>
    </w:p>
    <w:p w14:paraId="617AE9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招标监督机构依法处理本项目投诉、信访或者举报时，经调查后确认本人存在评审错误的，本人接受招标人不支付本项目评审酬劳、将本人列入招标人评标专家回避名单等相关处理措施，本人也接受本项目招标监督机构依法对本人进行的处理。</w:t>
      </w:r>
    </w:p>
    <w:p w14:paraId="3B9CAE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如果本人违反上述声明内容，造成的后果由本人自行承担。</w:t>
      </w:r>
    </w:p>
    <w:p w14:paraId="36C927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14:paraId="354186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声明人：</w:t>
      </w:r>
      <w:r>
        <w:rPr>
          <w:rFonts w:hint="eastAsia" w:ascii="宋体" w:hAnsi="宋体" w:eastAsia="宋体" w:cs="宋体"/>
          <w:color w:val="auto"/>
          <w:sz w:val="24"/>
          <w:szCs w:val="24"/>
          <w:highlight w:val="none"/>
          <w:u w:val="single"/>
        </w:rPr>
        <w:t xml:space="preserve">（签名）  </w:t>
      </w:r>
    </w:p>
    <w:p w14:paraId="347665E2">
      <w:pPr>
        <w:pStyle w:val="2"/>
        <w:jc w:val="center"/>
        <w:rPr>
          <w:rFonts w:ascii="宋体" w:hAnsi="宋体" w:eastAsia="宋体"/>
          <w:color w:val="auto"/>
          <w:highlight w:val="none"/>
          <w:lang w:eastAsia="zh-CN"/>
        </w:rPr>
      </w:pPr>
      <w:r>
        <w:rPr>
          <w:color w:val="auto"/>
          <w:sz w:val="24"/>
          <w:szCs w:val="24"/>
          <w:highlight w:val="none"/>
          <w:lang w:eastAsia="zh-CN"/>
        </w:rPr>
        <w:br w:type="page"/>
      </w:r>
      <w:bookmarkStart w:id="36" w:name="_Toc25137992"/>
      <w:bookmarkStart w:id="37" w:name="_Toc25152742"/>
      <w:bookmarkStart w:id="38" w:name="_Toc25152744"/>
      <w:bookmarkStart w:id="39" w:name="_Toc25137994"/>
      <w:r>
        <w:rPr>
          <w:rFonts w:ascii="宋体" w:hAnsi="宋体" w:eastAsia="宋体"/>
          <w:color w:val="auto"/>
          <w:highlight w:val="none"/>
          <w:lang w:eastAsia="zh-CN"/>
        </w:rPr>
        <w:t>第三章</w:t>
      </w:r>
      <w:r>
        <w:rPr>
          <w:rFonts w:hint="eastAsia" w:ascii="宋体" w:hAnsi="宋体" w:eastAsia="宋体"/>
          <w:color w:val="auto"/>
          <w:highlight w:val="none"/>
          <w:lang w:eastAsia="zh-CN"/>
        </w:rPr>
        <w:t xml:space="preserve">  </w:t>
      </w:r>
      <w:r>
        <w:rPr>
          <w:rFonts w:ascii="宋体" w:hAnsi="宋体" w:eastAsia="宋体"/>
          <w:color w:val="auto"/>
          <w:highlight w:val="none"/>
          <w:lang w:eastAsia="zh-CN"/>
        </w:rPr>
        <w:t>评标办法（综合评估法）</w:t>
      </w:r>
      <w:bookmarkEnd w:id="36"/>
      <w:bookmarkEnd w:id="37"/>
    </w:p>
    <w:p w14:paraId="6C5EC473">
      <w:pPr>
        <w:pStyle w:val="3"/>
        <w:spacing w:line="300" w:lineRule="auto"/>
        <w:ind w:left="0"/>
        <w:jc w:val="center"/>
        <w:rPr>
          <w:rFonts w:ascii="宋体" w:hAnsi="宋体" w:eastAsia="宋体"/>
          <w:color w:val="auto"/>
          <w:highlight w:val="none"/>
          <w:lang w:eastAsia="zh-CN"/>
        </w:rPr>
      </w:pPr>
      <w:bookmarkStart w:id="40" w:name="_Toc25137993"/>
      <w:bookmarkStart w:id="41" w:name="_Toc25152743"/>
      <w:r>
        <w:rPr>
          <w:rFonts w:ascii="宋体" w:hAnsi="宋体" w:eastAsia="宋体"/>
          <w:color w:val="auto"/>
          <w:highlight w:val="none"/>
        </w:rPr>
        <w:t>评标办法前附表</w:t>
      </w:r>
      <w:bookmarkEnd w:id="40"/>
      <w:bookmarkEnd w:id="41"/>
    </w:p>
    <w:tbl>
      <w:tblPr>
        <w:tblStyle w:val="22"/>
        <w:tblW w:w="10064" w:type="dxa"/>
        <w:jc w:val="center"/>
        <w:tblLayout w:type="fixed"/>
        <w:tblCellMar>
          <w:top w:w="0" w:type="dxa"/>
          <w:left w:w="0" w:type="dxa"/>
          <w:bottom w:w="0" w:type="dxa"/>
          <w:right w:w="0" w:type="dxa"/>
        </w:tblCellMar>
      </w:tblPr>
      <w:tblGrid>
        <w:gridCol w:w="625"/>
        <w:gridCol w:w="905"/>
        <w:gridCol w:w="1966"/>
        <w:gridCol w:w="6568"/>
      </w:tblGrid>
      <w:tr w14:paraId="0B845462">
        <w:tblPrEx>
          <w:tblCellMar>
            <w:top w:w="0" w:type="dxa"/>
            <w:left w:w="0" w:type="dxa"/>
            <w:bottom w:w="0" w:type="dxa"/>
            <w:right w:w="0" w:type="dxa"/>
          </w:tblCellMar>
        </w:tblPrEx>
        <w:trPr>
          <w:trHeight w:val="454" w:hRule="atLeast"/>
          <w:jc w:val="center"/>
        </w:trPr>
        <w:tc>
          <w:tcPr>
            <w:tcW w:w="1530" w:type="dxa"/>
            <w:gridSpan w:val="2"/>
            <w:tcBorders>
              <w:top w:val="single" w:color="000000" w:sz="4" w:space="0"/>
              <w:left w:val="single" w:color="000000" w:sz="4" w:space="0"/>
              <w:bottom w:val="single" w:color="000000" w:sz="4" w:space="0"/>
              <w:right w:val="single" w:color="000000" w:sz="4" w:space="0"/>
            </w:tcBorders>
            <w:vAlign w:val="center"/>
          </w:tcPr>
          <w:p w14:paraId="7D09FE76">
            <w:pPr>
              <w:pStyle w:val="43"/>
              <w:spacing w:line="300" w:lineRule="auto"/>
              <w:jc w:val="center"/>
              <w:rPr>
                <w:rFonts w:ascii="宋体" w:hAnsi="宋体" w:eastAsia="宋体" w:cs="Microsoft JhengHei"/>
                <w:color w:val="auto"/>
                <w:sz w:val="21"/>
                <w:szCs w:val="21"/>
                <w:highlight w:val="none"/>
              </w:rPr>
            </w:pPr>
            <w:r>
              <w:rPr>
                <w:rFonts w:ascii="宋体" w:hAnsi="宋体" w:eastAsia="宋体" w:cs="Microsoft JhengHei"/>
                <w:b/>
                <w:bCs/>
                <w:color w:val="auto"/>
                <w:sz w:val="21"/>
                <w:szCs w:val="21"/>
                <w:highlight w:val="none"/>
              </w:rPr>
              <w:t>条款号</w:t>
            </w:r>
          </w:p>
        </w:tc>
        <w:tc>
          <w:tcPr>
            <w:tcW w:w="1966" w:type="dxa"/>
            <w:tcBorders>
              <w:top w:val="single" w:color="000000" w:sz="4" w:space="0"/>
              <w:left w:val="single" w:color="000000" w:sz="4" w:space="0"/>
              <w:bottom w:val="single" w:color="000000" w:sz="4" w:space="0"/>
              <w:right w:val="single" w:color="000000" w:sz="4" w:space="0"/>
            </w:tcBorders>
            <w:vAlign w:val="center"/>
          </w:tcPr>
          <w:p w14:paraId="318E2234">
            <w:pPr>
              <w:pStyle w:val="43"/>
              <w:spacing w:line="300" w:lineRule="auto"/>
              <w:jc w:val="center"/>
              <w:rPr>
                <w:rFonts w:ascii="宋体" w:hAnsi="宋体" w:eastAsia="宋体" w:cs="Microsoft JhengHei"/>
                <w:color w:val="auto"/>
                <w:sz w:val="21"/>
                <w:szCs w:val="21"/>
                <w:highlight w:val="none"/>
              </w:rPr>
            </w:pPr>
            <w:r>
              <w:rPr>
                <w:rFonts w:ascii="宋体" w:hAnsi="宋体" w:eastAsia="宋体" w:cs="Microsoft JhengHei"/>
                <w:b/>
                <w:bCs/>
                <w:color w:val="auto"/>
                <w:sz w:val="21"/>
                <w:szCs w:val="21"/>
                <w:highlight w:val="none"/>
              </w:rPr>
              <w:t>评审因素</w:t>
            </w:r>
          </w:p>
        </w:tc>
        <w:tc>
          <w:tcPr>
            <w:tcW w:w="6568" w:type="dxa"/>
            <w:tcBorders>
              <w:top w:val="single" w:color="000000" w:sz="4" w:space="0"/>
              <w:left w:val="single" w:color="000000" w:sz="4" w:space="0"/>
              <w:bottom w:val="single" w:color="000000" w:sz="4" w:space="0"/>
              <w:right w:val="single" w:color="000000" w:sz="4" w:space="0"/>
            </w:tcBorders>
            <w:vAlign w:val="center"/>
          </w:tcPr>
          <w:p w14:paraId="3635E3C1">
            <w:pPr>
              <w:pStyle w:val="43"/>
              <w:spacing w:line="300" w:lineRule="auto"/>
              <w:jc w:val="center"/>
              <w:rPr>
                <w:rFonts w:ascii="宋体" w:hAnsi="宋体" w:eastAsia="宋体" w:cs="Microsoft JhengHei"/>
                <w:color w:val="auto"/>
                <w:sz w:val="21"/>
                <w:szCs w:val="21"/>
                <w:highlight w:val="none"/>
              </w:rPr>
            </w:pPr>
            <w:r>
              <w:rPr>
                <w:rFonts w:ascii="宋体" w:hAnsi="宋体" w:eastAsia="宋体" w:cs="Microsoft JhengHei"/>
                <w:b/>
                <w:bCs/>
                <w:color w:val="auto"/>
                <w:sz w:val="21"/>
                <w:szCs w:val="21"/>
                <w:highlight w:val="none"/>
              </w:rPr>
              <w:t>评审标准</w:t>
            </w:r>
          </w:p>
        </w:tc>
      </w:tr>
      <w:tr w14:paraId="42564BD1">
        <w:tblPrEx>
          <w:tblCellMar>
            <w:top w:w="0" w:type="dxa"/>
            <w:left w:w="0" w:type="dxa"/>
            <w:bottom w:w="0" w:type="dxa"/>
            <w:right w:w="0" w:type="dxa"/>
          </w:tblCellMar>
        </w:tblPrEx>
        <w:trPr>
          <w:trHeight w:val="454" w:hRule="atLeast"/>
          <w:jc w:val="center"/>
        </w:trPr>
        <w:tc>
          <w:tcPr>
            <w:tcW w:w="625" w:type="dxa"/>
            <w:tcBorders>
              <w:top w:val="single" w:color="000000" w:sz="4" w:space="0"/>
              <w:left w:val="single" w:color="000000" w:sz="4" w:space="0"/>
              <w:bottom w:val="single" w:color="000000" w:sz="4" w:space="0"/>
              <w:right w:val="single" w:color="000000" w:sz="4" w:space="0"/>
            </w:tcBorders>
            <w:vAlign w:val="center"/>
          </w:tcPr>
          <w:p w14:paraId="11C57E39">
            <w:pPr>
              <w:pStyle w:val="43"/>
              <w:spacing w:line="30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1</w:t>
            </w:r>
          </w:p>
        </w:tc>
        <w:tc>
          <w:tcPr>
            <w:tcW w:w="905" w:type="dxa"/>
            <w:tcBorders>
              <w:top w:val="single" w:color="000000" w:sz="4" w:space="0"/>
              <w:left w:val="single" w:color="000000" w:sz="4" w:space="0"/>
              <w:bottom w:val="single" w:color="000000" w:sz="4" w:space="0"/>
              <w:right w:val="single" w:color="000000" w:sz="4" w:space="0"/>
            </w:tcBorders>
            <w:vAlign w:val="center"/>
          </w:tcPr>
          <w:p w14:paraId="1DC81DFC">
            <w:pPr>
              <w:pStyle w:val="43"/>
              <w:spacing w:line="30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评标方法</w:t>
            </w:r>
          </w:p>
        </w:tc>
        <w:tc>
          <w:tcPr>
            <w:tcW w:w="1966" w:type="dxa"/>
            <w:tcBorders>
              <w:top w:val="single" w:color="000000" w:sz="4" w:space="0"/>
              <w:left w:val="single" w:color="000000" w:sz="4" w:space="0"/>
              <w:bottom w:val="single" w:color="000000" w:sz="4" w:space="0"/>
              <w:right w:val="single" w:color="000000" w:sz="4" w:space="0"/>
            </w:tcBorders>
            <w:vAlign w:val="center"/>
          </w:tcPr>
          <w:p w14:paraId="3C7E8533">
            <w:pPr>
              <w:pStyle w:val="43"/>
              <w:spacing w:line="30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中标候选人排序方法</w:t>
            </w:r>
          </w:p>
        </w:tc>
        <w:tc>
          <w:tcPr>
            <w:tcW w:w="6568" w:type="dxa"/>
            <w:tcBorders>
              <w:top w:val="single" w:color="000000" w:sz="4" w:space="0"/>
              <w:left w:val="single" w:color="000000" w:sz="4" w:space="0"/>
              <w:bottom w:val="single" w:color="000000" w:sz="4" w:space="0"/>
              <w:right w:val="single" w:color="000000" w:sz="4" w:space="0"/>
            </w:tcBorders>
            <w:vAlign w:val="center"/>
          </w:tcPr>
          <w:p w14:paraId="243C21AE">
            <w:pPr>
              <w:spacing w:line="300" w:lineRule="auto"/>
              <w:jc w:val="both"/>
              <w:rPr>
                <w:rFonts w:ascii="宋体" w:hAnsi="宋体" w:eastAsia="宋体"/>
                <w:color w:val="auto"/>
                <w:sz w:val="21"/>
                <w:szCs w:val="21"/>
                <w:highlight w:val="none"/>
                <w:u w:val="single"/>
                <w:lang w:eastAsia="zh-CN"/>
              </w:rPr>
            </w:pPr>
            <w:r>
              <w:rPr>
                <w:rFonts w:hint="eastAsia" w:ascii="宋体" w:hAnsi="宋体" w:eastAsia="宋体"/>
                <w:color w:val="auto"/>
                <w:sz w:val="21"/>
                <w:szCs w:val="21"/>
                <w:highlight w:val="none"/>
                <w:u w:val="single"/>
                <w:lang w:eastAsia="zh-CN"/>
              </w:rPr>
              <w:t>本次评标采用综合评估法。评标委员会对满足招标文件实质性要求的投标文件，按照本章规定的评分标准进行打分，并按得分由高到低顺序推荐前三名做为中标候选人，综合评分相等的，以投标报价低的优先；投标报价得分也相等的，以设计方案得分高的优先；如果设计方案得分也相等，以商务得分高的优先；如仍存在相同情况，则对具有相同情况的投标人，按中标候选人数量规定，由评标委员会采用记名投票的方式，确定中标候选人的排序。</w:t>
            </w:r>
          </w:p>
        </w:tc>
      </w:tr>
      <w:tr w14:paraId="234CBFED">
        <w:tblPrEx>
          <w:tblCellMar>
            <w:top w:w="0" w:type="dxa"/>
            <w:left w:w="0" w:type="dxa"/>
            <w:bottom w:w="0" w:type="dxa"/>
            <w:right w:w="0" w:type="dxa"/>
          </w:tblCellMar>
        </w:tblPrEx>
        <w:trPr>
          <w:trHeight w:val="454" w:hRule="atLeast"/>
          <w:jc w:val="center"/>
        </w:trPr>
        <w:tc>
          <w:tcPr>
            <w:tcW w:w="625" w:type="dxa"/>
            <w:vMerge w:val="restart"/>
            <w:tcBorders>
              <w:top w:val="single" w:color="000000" w:sz="4" w:space="0"/>
              <w:left w:val="single" w:color="000000" w:sz="4" w:space="0"/>
              <w:right w:val="single" w:color="000000" w:sz="4" w:space="0"/>
            </w:tcBorders>
            <w:vAlign w:val="center"/>
          </w:tcPr>
          <w:p w14:paraId="005D6C30">
            <w:pPr>
              <w:pStyle w:val="43"/>
              <w:spacing w:line="30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2.1.1</w:t>
            </w:r>
          </w:p>
        </w:tc>
        <w:tc>
          <w:tcPr>
            <w:tcW w:w="905" w:type="dxa"/>
            <w:vMerge w:val="restart"/>
            <w:tcBorders>
              <w:top w:val="single" w:color="000000" w:sz="4" w:space="0"/>
              <w:left w:val="single" w:color="000000" w:sz="4" w:space="0"/>
              <w:right w:val="single" w:color="000000" w:sz="4" w:space="0"/>
            </w:tcBorders>
            <w:vAlign w:val="center"/>
          </w:tcPr>
          <w:p w14:paraId="3C4ADB2E">
            <w:pPr>
              <w:pStyle w:val="43"/>
              <w:spacing w:line="30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形式评审标准</w:t>
            </w:r>
          </w:p>
        </w:tc>
        <w:tc>
          <w:tcPr>
            <w:tcW w:w="1966" w:type="dxa"/>
            <w:tcBorders>
              <w:top w:val="single" w:color="000000" w:sz="4" w:space="0"/>
              <w:left w:val="single" w:color="000000" w:sz="4" w:space="0"/>
              <w:bottom w:val="single" w:color="000000" w:sz="4" w:space="0"/>
              <w:right w:val="single" w:color="000000" w:sz="4" w:space="0"/>
            </w:tcBorders>
            <w:vAlign w:val="center"/>
          </w:tcPr>
          <w:p w14:paraId="6B4F281C">
            <w:pPr>
              <w:spacing w:line="300" w:lineRule="auto"/>
              <w:jc w:val="center"/>
              <w:rPr>
                <w:rFonts w:ascii="宋体" w:hAnsi="宋体" w:eastAsia="宋体"/>
                <w:color w:val="auto"/>
                <w:sz w:val="21"/>
                <w:szCs w:val="21"/>
                <w:highlight w:val="none"/>
              </w:rPr>
            </w:pPr>
            <w:r>
              <w:rPr>
                <w:rFonts w:hint="eastAsia" w:ascii="宋体" w:hAnsi="宋体" w:eastAsia="宋体" w:cs="微软雅黑"/>
                <w:color w:val="auto"/>
                <w:sz w:val="21"/>
                <w:szCs w:val="21"/>
                <w:highlight w:val="none"/>
              </w:rPr>
              <w:t>投标人名称</w:t>
            </w:r>
          </w:p>
        </w:tc>
        <w:tc>
          <w:tcPr>
            <w:tcW w:w="6568" w:type="dxa"/>
            <w:tcBorders>
              <w:top w:val="single" w:color="000000" w:sz="4" w:space="0"/>
              <w:left w:val="single" w:color="000000" w:sz="4" w:space="0"/>
              <w:bottom w:val="single" w:color="000000" w:sz="4" w:space="0"/>
              <w:right w:val="single" w:color="000000" w:sz="4" w:space="0"/>
            </w:tcBorders>
            <w:vAlign w:val="center"/>
          </w:tcPr>
          <w:p w14:paraId="37849E39">
            <w:pPr>
              <w:pStyle w:val="43"/>
              <w:spacing w:line="300" w:lineRule="auto"/>
              <w:jc w:val="both"/>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与营业执照、资质证书一致</w:t>
            </w:r>
          </w:p>
        </w:tc>
      </w:tr>
      <w:tr w14:paraId="0BCFA08D">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4CD4ACCE">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218DE09C">
            <w:pPr>
              <w:spacing w:line="300" w:lineRule="auto"/>
              <w:jc w:val="center"/>
              <w:rPr>
                <w:rFonts w:ascii="宋体" w:hAnsi="宋体" w:eastAsia="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6EF4FDA2">
            <w:pPr>
              <w:spacing w:line="300" w:lineRule="auto"/>
              <w:jc w:val="center"/>
              <w:rPr>
                <w:rFonts w:ascii="宋体" w:hAnsi="宋体" w:eastAsia="宋体"/>
                <w:color w:val="auto"/>
                <w:sz w:val="21"/>
                <w:szCs w:val="21"/>
                <w:highlight w:val="none"/>
              </w:rPr>
            </w:pPr>
            <w:r>
              <w:rPr>
                <w:rFonts w:hint="eastAsia" w:ascii="宋体" w:hAnsi="宋体" w:eastAsia="宋体" w:cs="微软雅黑"/>
                <w:color w:val="auto"/>
                <w:sz w:val="21"/>
                <w:szCs w:val="21"/>
                <w:highlight w:val="none"/>
              </w:rPr>
              <w:t>投标书签字盖章</w:t>
            </w:r>
          </w:p>
        </w:tc>
        <w:tc>
          <w:tcPr>
            <w:tcW w:w="6568" w:type="dxa"/>
            <w:tcBorders>
              <w:top w:val="single" w:color="000000" w:sz="4" w:space="0"/>
              <w:left w:val="single" w:color="000000" w:sz="4" w:space="0"/>
              <w:bottom w:val="single" w:color="000000" w:sz="4" w:space="0"/>
              <w:right w:val="single" w:color="000000" w:sz="4" w:space="0"/>
            </w:tcBorders>
            <w:vAlign w:val="center"/>
          </w:tcPr>
          <w:p w14:paraId="17445050">
            <w:pPr>
              <w:pStyle w:val="43"/>
              <w:spacing w:line="300" w:lineRule="auto"/>
              <w:jc w:val="both"/>
              <w:rPr>
                <w:rFonts w:ascii="宋体" w:hAnsi="宋体" w:eastAsia="宋体" w:cs="宋体"/>
                <w:color w:val="auto"/>
                <w:sz w:val="21"/>
                <w:szCs w:val="21"/>
                <w:highlight w:val="none"/>
                <w:lang w:eastAsia="zh-CN"/>
              </w:rPr>
            </w:pPr>
            <w:r>
              <w:rPr>
                <w:rFonts w:ascii="宋体" w:hAnsi="宋体" w:eastAsia="宋体" w:cs="宋体"/>
                <w:color w:val="auto"/>
                <w:spacing w:val="10"/>
                <w:sz w:val="21"/>
                <w:szCs w:val="21"/>
                <w:highlight w:val="none"/>
                <w:lang w:eastAsia="zh-CN"/>
              </w:rPr>
              <w:t>有法定代表人</w:t>
            </w:r>
            <w:r>
              <w:rPr>
                <w:rFonts w:hint="eastAsia" w:ascii="宋体" w:hAnsi="宋体" w:eastAsia="宋体" w:cs="宋体"/>
                <w:color w:val="auto"/>
                <w:spacing w:val="10"/>
                <w:sz w:val="21"/>
                <w:szCs w:val="21"/>
                <w:highlight w:val="none"/>
                <w:lang w:eastAsia="zh-CN"/>
              </w:rPr>
              <w:t>、</w:t>
            </w:r>
            <w:r>
              <w:rPr>
                <w:rFonts w:ascii="宋体" w:hAnsi="宋体" w:eastAsia="宋体" w:cs="宋体"/>
                <w:color w:val="auto"/>
                <w:spacing w:val="10"/>
                <w:sz w:val="21"/>
                <w:szCs w:val="21"/>
                <w:highlight w:val="none"/>
                <w:lang w:eastAsia="zh-CN"/>
              </w:rPr>
              <w:t>委托代理人</w:t>
            </w:r>
            <w:r>
              <w:rPr>
                <w:rFonts w:hint="eastAsia" w:ascii="宋体" w:hAnsi="宋体" w:eastAsia="宋体" w:cs="宋体"/>
                <w:color w:val="auto"/>
                <w:spacing w:val="10"/>
                <w:sz w:val="21"/>
                <w:szCs w:val="21"/>
                <w:highlight w:val="none"/>
                <w:lang w:eastAsia="zh-CN"/>
              </w:rPr>
              <w:t>及项目负责人</w:t>
            </w:r>
            <w:r>
              <w:rPr>
                <w:rFonts w:ascii="宋体" w:hAnsi="宋体" w:eastAsia="宋体" w:cs="宋体"/>
                <w:color w:val="auto"/>
                <w:spacing w:val="10"/>
                <w:sz w:val="21"/>
                <w:szCs w:val="21"/>
                <w:highlight w:val="none"/>
                <w:lang w:eastAsia="zh-CN"/>
              </w:rPr>
              <w:t>签字</w:t>
            </w:r>
            <w:r>
              <w:rPr>
                <w:rFonts w:hint="eastAsia" w:ascii="宋体" w:hAnsi="宋体" w:eastAsia="宋体" w:cs="宋体"/>
                <w:b/>
                <w:color w:val="auto"/>
                <w:spacing w:val="10"/>
                <w:sz w:val="21"/>
                <w:szCs w:val="21"/>
                <w:highlight w:val="none"/>
                <w:u w:val="single"/>
                <w:lang w:eastAsia="zh-CN"/>
              </w:rPr>
              <w:t>（或盖章）</w:t>
            </w:r>
            <w:r>
              <w:rPr>
                <w:rFonts w:hint="eastAsia" w:ascii="宋体" w:hAnsi="宋体" w:eastAsia="宋体" w:cs="宋体"/>
                <w:bCs/>
                <w:color w:val="auto"/>
                <w:spacing w:val="10"/>
                <w:sz w:val="21"/>
                <w:szCs w:val="21"/>
                <w:highlight w:val="none"/>
                <w:lang w:eastAsia="zh-CN"/>
              </w:rPr>
              <w:t>并</w:t>
            </w:r>
            <w:r>
              <w:rPr>
                <w:rFonts w:ascii="宋体" w:hAnsi="宋体" w:eastAsia="宋体" w:cs="宋体"/>
                <w:color w:val="auto"/>
                <w:spacing w:val="10"/>
                <w:sz w:val="21"/>
                <w:szCs w:val="21"/>
                <w:highlight w:val="none"/>
                <w:lang w:eastAsia="zh-CN"/>
              </w:rPr>
              <w:t>加盖单位</w:t>
            </w:r>
            <w:r>
              <w:rPr>
                <w:rFonts w:hint="eastAsia" w:ascii="宋体" w:hAnsi="宋体" w:eastAsia="宋体" w:cs="宋体"/>
                <w:color w:val="auto"/>
                <w:spacing w:val="10"/>
                <w:sz w:val="21"/>
                <w:szCs w:val="21"/>
                <w:highlight w:val="none"/>
                <w:lang w:eastAsia="zh-CN"/>
              </w:rPr>
              <w:t>公</w:t>
            </w:r>
            <w:r>
              <w:rPr>
                <w:rFonts w:ascii="宋体" w:hAnsi="宋体" w:eastAsia="宋体" w:cs="宋体"/>
                <w:color w:val="auto"/>
                <w:sz w:val="21"/>
                <w:szCs w:val="21"/>
                <w:highlight w:val="none"/>
                <w:lang w:eastAsia="zh-CN"/>
              </w:rPr>
              <w:t>章。</w:t>
            </w:r>
          </w:p>
        </w:tc>
      </w:tr>
      <w:tr w14:paraId="4DD08C75">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6EA88081">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5E122A01">
            <w:pPr>
              <w:spacing w:line="300" w:lineRule="auto"/>
              <w:jc w:val="center"/>
              <w:rPr>
                <w:rFonts w:ascii="宋体" w:hAnsi="宋体" w:eastAsia="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51A88912">
            <w:pPr>
              <w:spacing w:line="300" w:lineRule="auto"/>
              <w:jc w:val="center"/>
              <w:rPr>
                <w:rFonts w:ascii="宋体" w:hAnsi="宋体" w:eastAsia="宋体"/>
                <w:color w:val="auto"/>
                <w:sz w:val="21"/>
                <w:szCs w:val="21"/>
                <w:highlight w:val="none"/>
              </w:rPr>
            </w:pPr>
            <w:r>
              <w:rPr>
                <w:rFonts w:hint="eastAsia" w:ascii="宋体" w:hAnsi="宋体" w:eastAsia="宋体" w:cs="微软雅黑"/>
                <w:color w:val="auto"/>
                <w:sz w:val="21"/>
                <w:szCs w:val="21"/>
                <w:highlight w:val="none"/>
              </w:rPr>
              <w:t>投标文件格式</w:t>
            </w:r>
          </w:p>
        </w:tc>
        <w:tc>
          <w:tcPr>
            <w:tcW w:w="6568" w:type="dxa"/>
            <w:tcBorders>
              <w:top w:val="single" w:color="000000" w:sz="4" w:space="0"/>
              <w:left w:val="single" w:color="000000" w:sz="4" w:space="0"/>
              <w:bottom w:val="single" w:color="000000" w:sz="4" w:space="0"/>
              <w:right w:val="single" w:color="000000" w:sz="4" w:space="0"/>
            </w:tcBorders>
            <w:vAlign w:val="center"/>
          </w:tcPr>
          <w:p w14:paraId="78A42786">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投标书格式</w:t>
            </w:r>
            <w:r>
              <w:rPr>
                <w:rFonts w:ascii="宋体" w:hAnsi="宋体" w:eastAsia="宋体" w:cs="宋体"/>
                <w:color w:val="auto"/>
                <w:sz w:val="21"/>
                <w:szCs w:val="21"/>
                <w:highlight w:val="none"/>
                <w:lang w:eastAsia="zh-CN"/>
              </w:rPr>
              <w:t>符合第六章</w:t>
            </w:r>
            <w:r>
              <w:rPr>
                <w:rFonts w:ascii="宋体" w:hAnsi="宋体" w:eastAsia="宋体"/>
                <w:color w:val="auto"/>
                <w:sz w:val="21"/>
                <w:szCs w:val="21"/>
                <w:highlight w:val="none"/>
                <w:lang w:eastAsia="zh-CN"/>
              </w:rPr>
              <w:t>“</w:t>
            </w:r>
            <w:r>
              <w:rPr>
                <w:rFonts w:ascii="宋体" w:hAnsi="宋体" w:eastAsia="宋体" w:cs="宋体"/>
                <w:color w:val="auto"/>
                <w:sz w:val="21"/>
                <w:szCs w:val="21"/>
                <w:highlight w:val="none"/>
                <w:lang w:eastAsia="zh-CN"/>
              </w:rPr>
              <w:t>投标文件格式</w:t>
            </w:r>
            <w:r>
              <w:rPr>
                <w:rFonts w:ascii="宋体" w:hAnsi="宋体" w:eastAsia="宋体"/>
                <w:color w:val="auto"/>
                <w:sz w:val="21"/>
                <w:szCs w:val="21"/>
                <w:highlight w:val="none"/>
                <w:lang w:eastAsia="zh-CN"/>
              </w:rPr>
              <w:t>”</w:t>
            </w:r>
            <w:r>
              <w:rPr>
                <w:rFonts w:ascii="宋体" w:hAnsi="宋体" w:eastAsia="宋体" w:cs="宋体"/>
                <w:color w:val="auto"/>
                <w:sz w:val="21"/>
                <w:szCs w:val="21"/>
                <w:highlight w:val="none"/>
                <w:lang w:eastAsia="zh-CN"/>
              </w:rPr>
              <w:t>的规定</w:t>
            </w:r>
            <w:r>
              <w:rPr>
                <w:rFonts w:hint="eastAsia" w:ascii="宋体" w:hAnsi="宋体" w:eastAsia="宋体" w:cs="宋体"/>
                <w:color w:val="auto"/>
                <w:sz w:val="21"/>
                <w:szCs w:val="21"/>
                <w:highlight w:val="none"/>
                <w:lang w:eastAsia="zh-CN"/>
              </w:rPr>
              <w:t>。</w:t>
            </w:r>
          </w:p>
        </w:tc>
      </w:tr>
      <w:tr w14:paraId="552A09FE">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4FFDE427">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41FBC79F">
            <w:pPr>
              <w:spacing w:line="300" w:lineRule="auto"/>
              <w:jc w:val="center"/>
              <w:rPr>
                <w:rFonts w:ascii="宋体" w:hAnsi="宋体" w:eastAsia="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6050A5B7">
            <w:pPr>
              <w:spacing w:line="300" w:lineRule="auto"/>
              <w:jc w:val="center"/>
              <w:rPr>
                <w:rFonts w:ascii="宋体" w:hAnsi="宋体" w:eastAsia="宋体"/>
                <w:color w:val="auto"/>
                <w:sz w:val="21"/>
                <w:szCs w:val="21"/>
                <w:highlight w:val="none"/>
              </w:rPr>
            </w:pPr>
            <w:r>
              <w:rPr>
                <w:rFonts w:hint="eastAsia" w:ascii="宋体" w:hAnsi="宋体" w:eastAsia="宋体" w:cs="微软雅黑"/>
                <w:color w:val="auto"/>
                <w:sz w:val="21"/>
                <w:szCs w:val="21"/>
                <w:highlight w:val="none"/>
              </w:rPr>
              <w:t>备选投标方案</w:t>
            </w:r>
          </w:p>
        </w:tc>
        <w:tc>
          <w:tcPr>
            <w:tcW w:w="6568" w:type="dxa"/>
            <w:tcBorders>
              <w:top w:val="single" w:color="000000" w:sz="4" w:space="0"/>
              <w:left w:val="single" w:color="000000" w:sz="4" w:space="0"/>
              <w:bottom w:val="single" w:color="000000" w:sz="4" w:space="0"/>
              <w:right w:val="single" w:color="000000" w:sz="4" w:space="0"/>
            </w:tcBorders>
            <w:vAlign w:val="center"/>
          </w:tcPr>
          <w:p w14:paraId="20D230CE">
            <w:pPr>
              <w:pStyle w:val="43"/>
              <w:spacing w:line="30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3D93FF59">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514F07E8">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7D4B007F">
            <w:pPr>
              <w:spacing w:line="300" w:lineRule="auto"/>
              <w:jc w:val="center"/>
              <w:rPr>
                <w:rFonts w:ascii="宋体" w:hAnsi="宋体" w:eastAsia="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2CD614F8">
            <w:pPr>
              <w:spacing w:line="300" w:lineRule="auto"/>
              <w:jc w:val="center"/>
              <w:rPr>
                <w:rFonts w:ascii="宋体" w:hAnsi="宋体" w:eastAsia="宋体"/>
                <w:color w:val="auto"/>
                <w:sz w:val="21"/>
                <w:szCs w:val="21"/>
                <w:highlight w:val="none"/>
              </w:rPr>
            </w:pPr>
            <w:r>
              <w:rPr>
                <w:rFonts w:hint="eastAsia" w:ascii="宋体" w:hAnsi="宋体" w:eastAsia="宋体" w:cs="微软雅黑"/>
                <w:color w:val="auto"/>
                <w:sz w:val="21"/>
                <w:szCs w:val="21"/>
                <w:highlight w:val="none"/>
              </w:rPr>
              <w:t>投标人机器码</w:t>
            </w:r>
          </w:p>
        </w:tc>
        <w:tc>
          <w:tcPr>
            <w:tcW w:w="6568" w:type="dxa"/>
            <w:tcBorders>
              <w:top w:val="single" w:color="000000" w:sz="4" w:space="0"/>
              <w:left w:val="single" w:color="000000" w:sz="4" w:space="0"/>
              <w:bottom w:val="single" w:color="000000" w:sz="4" w:space="0"/>
              <w:right w:val="single" w:color="000000" w:sz="4" w:space="0"/>
            </w:tcBorders>
            <w:vAlign w:val="center"/>
          </w:tcPr>
          <w:p w14:paraId="096629AD">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投标人与其他投标人加密打包投标文件电脑机器特征码一致的（以广州交易集团有限公司（广州公共资源交易中心）评标系统的检索信息为准）将被否决。</w:t>
            </w:r>
          </w:p>
        </w:tc>
      </w:tr>
      <w:tr w14:paraId="438EF2BF">
        <w:tblPrEx>
          <w:tblCellMar>
            <w:top w:w="0" w:type="dxa"/>
            <w:left w:w="0" w:type="dxa"/>
            <w:bottom w:w="0" w:type="dxa"/>
            <w:right w:w="0" w:type="dxa"/>
          </w:tblCellMar>
        </w:tblPrEx>
        <w:trPr>
          <w:trHeight w:val="454" w:hRule="atLeast"/>
          <w:jc w:val="center"/>
        </w:trPr>
        <w:tc>
          <w:tcPr>
            <w:tcW w:w="625" w:type="dxa"/>
            <w:vMerge w:val="restart"/>
            <w:tcBorders>
              <w:top w:val="single" w:color="000000" w:sz="4" w:space="0"/>
              <w:left w:val="single" w:color="000000" w:sz="4" w:space="0"/>
              <w:right w:val="single" w:color="000000" w:sz="4" w:space="0"/>
            </w:tcBorders>
            <w:vAlign w:val="center"/>
          </w:tcPr>
          <w:p w14:paraId="29163314">
            <w:pPr>
              <w:pStyle w:val="43"/>
              <w:spacing w:line="30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2.1.2</w:t>
            </w:r>
          </w:p>
        </w:tc>
        <w:tc>
          <w:tcPr>
            <w:tcW w:w="905" w:type="dxa"/>
            <w:vMerge w:val="restart"/>
            <w:tcBorders>
              <w:top w:val="single" w:color="000000" w:sz="4" w:space="0"/>
              <w:left w:val="single" w:color="000000" w:sz="4" w:space="0"/>
              <w:right w:val="single" w:color="000000" w:sz="4" w:space="0"/>
            </w:tcBorders>
            <w:vAlign w:val="center"/>
          </w:tcPr>
          <w:p w14:paraId="240A9C8A">
            <w:pPr>
              <w:pStyle w:val="43"/>
              <w:spacing w:line="30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资格评审标准</w:t>
            </w:r>
          </w:p>
        </w:tc>
        <w:tc>
          <w:tcPr>
            <w:tcW w:w="1966" w:type="dxa"/>
            <w:tcBorders>
              <w:top w:val="single" w:color="000000" w:sz="4" w:space="0"/>
              <w:left w:val="single" w:color="000000" w:sz="4" w:space="0"/>
              <w:bottom w:val="single" w:color="000000" w:sz="4" w:space="0"/>
              <w:right w:val="single" w:color="000000" w:sz="4" w:space="0"/>
            </w:tcBorders>
            <w:vAlign w:val="center"/>
          </w:tcPr>
          <w:p w14:paraId="364BE159">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合同履约纠纷</w:t>
            </w:r>
          </w:p>
        </w:tc>
        <w:tc>
          <w:tcPr>
            <w:tcW w:w="6568" w:type="dxa"/>
            <w:tcBorders>
              <w:top w:val="single" w:color="000000" w:sz="4" w:space="0"/>
              <w:left w:val="single" w:color="000000" w:sz="4" w:space="0"/>
              <w:bottom w:val="single" w:color="000000" w:sz="4" w:space="0"/>
              <w:right w:val="single" w:color="000000" w:sz="4" w:space="0"/>
            </w:tcBorders>
            <w:vAlign w:val="center"/>
          </w:tcPr>
          <w:p w14:paraId="6BE8D4AF">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与招标人过去</w:t>
            </w:r>
            <w:r>
              <w:rPr>
                <w:rFonts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lang w:eastAsia="zh-CN"/>
              </w:rPr>
              <w:t>年内无合同履约纠纷，没有不得参加投标的情形。（以投标人声明为评审依据）。</w:t>
            </w:r>
          </w:p>
        </w:tc>
      </w:tr>
      <w:tr w14:paraId="2374A507">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54EA35E6">
            <w:pPr>
              <w:pStyle w:val="43"/>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09CD6243">
            <w:pPr>
              <w:pStyle w:val="43"/>
              <w:spacing w:line="300" w:lineRule="auto"/>
              <w:jc w:val="center"/>
              <w:rPr>
                <w:rFonts w:ascii="宋体" w:hAnsi="宋体" w:eastAsia="宋体" w:cs="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0F7FBAC8">
            <w:pPr>
              <w:pStyle w:val="43"/>
              <w:spacing w:line="30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资质要求</w:t>
            </w:r>
          </w:p>
        </w:tc>
        <w:tc>
          <w:tcPr>
            <w:tcW w:w="6568" w:type="dxa"/>
            <w:tcBorders>
              <w:top w:val="single" w:color="000000" w:sz="4" w:space="0"/>
              <w:left w:val="single" w:color="000000" w:sz="4" w:space="0"/>
              <w:bottom w:val="single" w:color="000000" w:sz="4" w:space="0"/>
              <w:right w:val="single" w:color="000000" w:sz="4" w:space="0"/>
            </w:tcBorders>
            <w:vAlign w:val="center"/>
          </w:tcPr>
          <w:p w14:paraId="76D287A6">
            <w:pPr>
              <w:pStyle w:val="43"/>
              <w:spacing w:line="300" w:lineRule="auto"/>
              <w:jc w:val="both"/>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符合第二章</w:t>
            </w:r>
            <w:r>
              <w:rPr>
                <w:rFonts w:ascii="宋体" w:hAnsi="宋体" w:eastAsia="宋体"/>
                <w:color w:val="auto"/>
                <w:sz w:val="21"/>
                <w:szCs w:val="21"/>
                <w:highlight w:val="none"/>
                <w:lang w:eastAsia="zh-CN"/>
              </w:rPr>
              <w:t>“</w:t>
            </w:r>
            <w:r>
              <w:rPr>
                <w:rFonts w:ascii="宋体" w:hAnsi="宋体" w:eastAsia="宋体" w:cs="宋体"/>
                <w:color w:val="auto"/>
                <w:sz w:val="21"/>
                <w:szCs w:val="21"/>
                <w:highlight w:val="none"/>
                <w:lang w:eastAsia="zh-CN"/>
              </w:rPr>
              <w:t>投标人须知”第</w:t>
            </w:r>
            <w:r>
              <w:rPr>
                <w:rFonts w:ascii="宋体" w:hAnsi="宋体" w:eastAsia="宋体"/>
                <w:color w:val="auto"/>
                <w:sz w:val="21"/>
                <w:szCs w:val="21"/>
                <w:highlight w:val="none"/>
                <w:lang w:eastAsia="zh-CN"/>
              </w:rPr>
              <w:t>1.4.1</w:t>
            </w:r>
            <w:r>
              <w:rPr>
                <w:rFonts w:ascii="宋体" w:hAnsi="宋体" w:eastAsia="宋体" w:cs="宋体"/>
                <w:color w:val="auto"/>
                <w:sz w:val="21"/>
                <w:szCs w:val="21"/>
                <w:highlight w:val="none"/>
                <w:lang w:eastAsia="zh-CN"/>
              </w:rPr>
              <w:t>项规定</w:t>
            </w:r>
          </w:p>
        </w:tc>
      </w:tr>
      <w:tr w14:paraId="05E4C8D3">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6A445AA0">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130EC4BF">
            <w:pPr>
              <w:spacing w:line="300" w:lineRule="auto"/>
              <w:jc w:val="center"/>
              <w:rPr>
                <w:rFonts w:ascii="宋体" w:hAnsi="宋体" w:eastAsia="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55CDAE5C">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外国或香港、澳门、台湾的企业</w:t>
            </w:r>
          </w:p>
        </w:tc>
        <w:tc>
          <w:tcPr>
            <w:tcW w:w="6568" w:type="dxa"/>
            <w:tcBorders>
              <w:top w:val="single" w:color="000000" w:sz="4" w:space="0"/>
              <w:left w:val="single" w:color="000000" w:sz="4" w:space="0"/>
              <w:bottom w:val="single" w:color="000000" w:sz="4" w:space="0"/>
              <w:right w:val="single" w:color="000000" w:sz="4" w:space="0"/>
            </w:tcBorders>
            <w:vAlign w:val="center"/>
          </w:tcPr>
          <w:p w14:paraId="1E699E05">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外国或澳门、台湾的设计企业必须选择一家</w:t>
            </w:r>
            <w:r>
              <w:rPr>
                <w:rFonts w:ascii="宋体" w:hAnsi="宋体" w:eastAsia="宋体" w:cs="宋体"/>
                <w:color w:val="auto"/>
                <w:sz w:val="21"/>
                <w:szCs w:val="21"/>
                <w:highlight w:val="none"/>
                <w:lang w:eastAsia="zh-CN"/>
              </w:rPr>
              <w:t>符合第二章</w:t>
            </w:r>
            <w:r>
              <w:rPr>
                <w:rFonts w:ascii="宋体" w:hAnsi="宋体" w:eastAsia="宋体"/>
                <w:color w:val="auto"/>
                <w:sz w:val="21"/>
                <w:szCs w:val="21"/>
                <w:highlight w:val="none"/>
                <w:lang w:eastAsia="zh-CN"/>
              </w:rPr>
              <w:t>“</w:t>
            </w:r>
            <w:r>
              <w:rPr>
                <w:rFonts w:ascii="宋体" w:hAnsi="宋体" w:eastAsia="宋体" w:cs="宋体"/>
                <w:color w:val="auto"/>
                <w:sz w:val="21"/>
                <w:szCs w:val="21"/>
                <w:highlight w:val="none"/>
                <w:lang w:eastAsia="zh-CN"/>
              </w:rPr>
              <w:t>投标人须知”第</w:t>
            </w:r>
            <w:r>
              <w:rPr>
                <w:rFonts w:ascii="宋体" w:hAnsi="宋体" w:eastAsia="宋体"/>
                <w:color w:val="auto"/>
                <w:sz w:val="21"/>
                <w:szCs w:val="21"/>
                <w:highlight w:val="none"/>
                <w:lang w:eastAsia="zh-CN"/>
              </w:rPr>
              <w:t>1.4.1</w:t>
            </w:r>
            <w:r>
              <w:rPr>
                <w:rFonts w:ascii="宋体" w:hAnsi="宋体" w:eastAsia="宋体" w:cs="宋体"/>
                <w:color w:val="auto"/>
                <w:sz w:val="21"/>
                <w:szCs w:val="21"/>
                <w:highlight w:val="none"/>
                <w:lang w:eastAsia="zh-CN"/>
              </w:rPr>
              <w:t>项规定</w:t>
            </w:r>
            <w:r>
              <w:rPr>
                <w:rFonts w:hint="eastAsia" w:ascii="宋体" w:hAnsi="宋体" w:eastAsia="宋体" w:cs="宋体"/>
                <w:color w:val="auto"/>
                <w:sz w:val="21"/>
                <w:szCs w:val="21"/>
                <w:highlight w:val="none"/>
                <w:lang w:eastAsia="zh-CN"/>
              </w:rPr>
              <w:t>条件的企业进行合作设计。香港企业如不单独参加投标，也必须选择一家符合上述条件的企业进行合作设计。（需提供合作协议书，格式自定）</w:t>
            </w:r>
          </w:p>
        </w:tc>
      </w:tr>
      <w:tr w14:paraId="7836E7E4">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779B1671">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34F27045">
            <w:pPr>
              <w:spacing w:line="300" w:lineRule="auto"/>
              <w:jc w:val="center"/>
              <w:rPr>
                <w:rFonts w:ascii="宋体" w:hAnsi="宋体" w:eastAsia="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50AFC0B8">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信用档案</w:t>
            </w:r>
          </w:p>
        </w:tc>
        <w:tc>
          <w:tcPr>
            <w:tcW w:w="6568" w:type="dxa"/>
            <w:tcBorders>
              <w:top w:val="single" w:color="000000" w:sz="4" w:space="0"/>
              <w:left w:val="single" w:color="000000" w:sz="4" w:space="0"/>
              <w:bottom w:val="single" w:color="000000" w:sz="4" w:space="0"/>
              <w:right w:val="single" w:color="000000" w:sz="4" w:space="0"/>
            </w:tcBorders>
            <w:vAlign w:val="center"/>
          </w:tcPr>
          <w:p w14:paraId="4E92B55A">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已在广州市住房和城乡建设局建立企业信用档案，拟委派的项目负责人须是本企业信用档案中的在册人员。（信用档案办理详见《广州市住建行业信用管理平台设计企业信息录入指引 》</w:t>
            </w:r>
          </w:p>
        </w:tc>
      </w:tr>
      <w:tr w14:paraId="73AFD809">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2F571CA4">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2FA84498">
            <w:pPr>
              <w:spacing w:line="300" w:lineRule="auto"/>
              <w:jc w:val="center"/>
              <w:rPr>
                <w:rFonts w:ascii="宋体" w:hAnsi="宋体" w:eastAsia="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27DE27F1">
            <w:pPr>
              <w:pStyle w:val="43"/>
              <w:spacing w:line="30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项目负责人</w:t>
            </w:r>
          </w:p>
        </w:tc>
        <w:tc>
          <w:tcPr>
            <w:tcW w:w="6568" w:type="dxa"/>
            <w:tcBorders>
              <w:top w:val="single" w:color="000000" w:sz="4" w:space="0"/>
              <w:left w:val="single" w:color="000000" w:sz="4" w:space="0"/>
              <w:bottom w:val="single" w:color="000000" w:sz="4" w:space="0"/>
              <w:right w:val="single" w:color="000000" w:sz="4" w:space="0"/>
            </w:tcBorders>
            <w:vAlign w:val="center"/>
          </w:tcPr>
          <w:p w14:paraId="45DF0201">
            <w:pPr>
              <w:pStyle w:val="43"/>
              <w:spacing w:line="300" w:lineRule="auto"/>
              <w:jc w:val="both"/>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符合第二章</w:t>
            </w:r>
            <w:r>
              <w:rPr>
                <w:rFonts w:ascii="宋体" w:hAnsi="宋体" w:eastAsia="宋体"/>
                <w:color w:val="auto"/>
                <w:sz w:val="21"/>
                <w:szCs w:val="21"/>
                <w:highlight w:val="none"/>
                <w:lang w:eastAsia="zh-CN"/>
              </w:rPr>
              <w:t>“</w:t>
            </w:r>
            <w:r>
              <w:rPr>
                <w:rFonts w:ascii="宋体" w:hAnsi="宋体" w:eastAsia="宋体" w:cs="宋体"/>
                <w:color w:val="auto"/>
                <w:sz w:val="21"/>
                <w:szCs w:val="21"/>
                <w:highlight w:val="none"/>
                <w:lang w:eastAsia="zh-CN"/>
              </w:rPr>
              <w:t>投标人须知</w:t>
            </w:r>
            <w:r>
              <w:rPr>
                <w:rFonts w:ascii="宋体" w:hAnsi="宋体" w:eastAsia="宋体"/>
                <w:color w:val="auto"/>
                <w:sz w:val="21"/>
                <w:szCs w:val="21"/>
                <w:highlight w:val="none"/>
                <w:lang w:eastAsia="zh-CN"/>
              </w:rPr>
              <w:t>”</w:t>
            </w:r>
            <w:r>
              <w:rPr>
                <w:rFonts w:ascii="宋体" w:hAnsi="宋体" w:eastAsia="宋体" w:cs="宋体"/>
                <w:color w:val="auto"/>
                <w:sz w:val="21"/>
                <w:szCs w:val="21"/>
                <w:highlight w:val="none"/>
                <w:lang w:eastAsia="zh-CN"/>
              </w:rPr>
              <w:t>第</w:t>
            </w:r>
            <w:r>
              <w:rPr>
                <w:rFonts w:ascii="宋体" w:hAnsi="宋体" w:eastAsia="宋体"/>
                <w:color w:val="auto"/>
                <w:sz w:val="21"/>
                <w:szCs w:val="21"/>
                <w:highlight w:val="none"/>
                <w:lang w:eastAsia="zh-CN"/>
              </w:rPr>
              <w:t>1.4.1</w:t>
            </w:r>
            <w:r>
              <w:rPr>
                <w:rFonts w:ascii="宋体" w:hAnsi="宋体" w:eastAsia="宋体" w:cs="宋体"/>
                <w:color w:val="auto"/>
                <w:sz w:val="21"/>
                <w:szCs w:val="21"/>
                <w:highlight w:val="none"/>
                <w:lang w:eastAsia="zh-CN"/>
              </w:rPr>
              <w:t>项规定</w:t>
            </w:r>
          </w:p>
        </w:tc>
      </w:tr>
      <w:tr w14:paraId="1891A7E2">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07267298">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10ED5D6D">
            <w:pPr>
              <w:spacing w:line="300" w:lineRule="auto"/>
              <w:jc w:val="center"/>
              <w:rPr>
                <w:rFonts w:ascii="宋体" w:hAnsi="宋体" w:eastAsia="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679A36BA">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信誉要求</w:t>
            </w:r>
          </w:p>
        </w:tc>
        <w:tc>
          <w:tcPr>
            <w:tcW w:w="6568" w:type="dxa"/>
            <w:tcBorders>
              <w:top w:val="single" w:color="000000" w:sz="4" w:space="0"/>
              <w:left w:val="single" w:color="000000" w:sz="4" w:space="0"/>
              <w:bottom w:val="single" w:color="000000" w:sz="4" w:space="0"/>
              <w:right w:val="single" w:color="000000" w:sz="4" w:space="0"/>
            </w:tcBorders>
            <w:vAlign w:val="center"/>
          </w:tcPr>
          <w:p w14:paraId="480432FD">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未被列入拖欠农民工工资失信联合惩戒对象名单。注：投标人无需提供资料，资格审查时，按广州交易集团有限公司（广州公共资源交易中心）交易系统比对的结果进行评审。</w:t>
            </w:r>
          </w:p>
        </w:tc>
      </w:tr>
      <w:tr w14:paraId="1D0A2F79">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7C194802">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6B2770ED">
            <w:pPr>
              <w:spacing w:line="300" w:lineRule="auto"/>
              <w:jc w:val="center"/>
              <w:rPr>
                <w:rFonts w:ascii="宋体" w:hAnsi="宋体" w:eastAsia="宋体"/>
                <w:color w:val="auto"/>
                <w:sz w:val="21"/>
                <w:szCs w:val="21"/>
                <w:highlight w:val="none"/>
                <w:lang w:eastAsia="zh-CN"/>
              </w:rPr>
            </w:pPr>
          </w:p>
        </w:tc>
        <w:tc>
          <w:tcPr>
            <w:tcW w:w="1966" w:type="dxa"/>
            <w:tcBorders>
              <w:left w:val="single" w:color="000000" w:sz="4" w:space="0"/>
              <w:bottom w:val="single" w:color="000000" w:sz="4" w:space="0"/>
              <w:right w:val="single" w:color="000000" w:sz="4" w:space="0"/>
            </w:tcBorders>
            <w:vAlign w:val="center"/>
          </w:tcPr>
          <w:p w14:paraId="49775CEF">
            <w:pPr>
              <w:pStyle w:val="43"/>
              <w:spacing w:line="30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其他要求</w:t>
            </w:r>
          </w:p>
        </w:tc>
        <w:tc>
          <w:tcPr>
            <w:tcW w:w="6568" w:type="dxa"/>
            <w:tcBorders>
              <w:top w:val="single" w:color="000000" w:sz="4" w:space="0"/>
              <w:left w:val="single" w:color="000000" w:sz="4" w:space="0"/>
              <w:bottom w:val="single" w:color="000000" w:sz="4" w:space="0"/>
              <w:right w:val="single" w:color="000000" w:sz="4" w:space="0"/>
            </w:tcBorders>
            <w:vAlign w:val="center"/>
          </w:tcPr>
          <w:p w14:paraId="42A8EAE8">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投标人未出现以下情形：与本项目其它投标人的单位负责人为同一人或者存在控股、管理关系的（以投标人声明为评审依据）。</w:t>
            </w:r>
          </w:p>
        </w:tc>
      </w:tr>
      <w:tr w14:paraId="3E9FF4DB">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0383CF51">
            <w:pPr>
              <w:spacing w:line="300" w:lineRule="auto"/>
              <w:jc w:val="center"/>
              <w:rPr>
                <w:rFonts w:ascii="宋体" w:hAnsi="宋体" w:eastAsia="宋体"/>
                <w:strike/>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36736842">
            <w:pPr>
              <w:spacing w:line="300" w:lineRule="auto"/>
              <w:jc w:val="center"/>
              <w:rPr>
                <w:rFonts w:ascii="宋体" w:hAnsi="宋体" w:eastAsia="宋体"/>
                <w:strike/>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19DA1314">
            <w:pPr>
              <w:pStyle w:val="43"/>
              <w:spacing w:line="30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联合体投标人</w:t>
            </w:r>
          </w:p>
        </w:tc>
        <w:tc>
          <w:tcPr>
            <w:tcW w:w="6568" w:type="dxa"/>
            <w:tcBorders>
              <w:top w:val="single" w:color="000000" w:sz="4" w:space="0"/>
              <w:left w:val="single" w:color="000000" w:sz="4" w:space="0"/>
              <w:bottom w:val="single" w:color="000000" w:sz="4" w:space="0"/>
              <w:right w:val="single" w:color="000000" w:sz="4" w:space="0"/>
            </w:tcBorders>
            <w:vAlign w:val="center"/>
          </w:tcPr>
          <w:p w14:paraId="0EF1133F">
            <w:pPr>
              <w:pStyle w:val="43"/>
              <w:spacing w:line="300" w:lineRule="auto"/>
              <w:jc w:val="both"/>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符合</w:t>
            </w:r>
            <w:r>
              <w:rPr>
                <w:rFonts w:hint="eastAsia" w:ascii="宋体" w:hAnsi="宋体" w:eastAsia="宋体" w:cs="宋体"/>
                <w:color w:val="auto"/>
                <w:sz w:val="21"/>
                <w:szCs w:val="21"/>
                <w:highlight w:val="none"/>
                <w:lang w:eastAsia="zh-CN"/>
              </w:rPr>
              <w:t>招标公告投标人资格要求第5.6条要求。</w:t>
            </w:r>
          </w:p>
        </w:tc>
      </w:tr>
      <w:tr w14:paraId="5A702B67">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198FF882">
            <w:pPr>
              <w:spacing w:line="300" w:lineRule="auto"/>
              <w:jc w:val="center"/>
              <w:rPr>
                <w:rFonts w:ascii="宋体" w:hAnsi="宋体" w:eastAsia="宋体"/>
                <w:strike/>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252F576A">
            <w:pPr>
              <w:spacing w:line="300" w:lineRule="auto"/>
              <w:jc w:val="center"/>
              <w:rPr>
                <w:rFonts w:ascii="宋体" w:hAnsi="宋体" w:eastAsia="宋体"/>
                <w:strike/>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4D87E79A">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不存在禁止投标的情形</w:t>
            </w:r>
          </w:p>
        </w:tc>
        <w:tc>
          <w:tcPr>
            <w:tcW w:w="6568" w:type="dxa"/>
            <w:tcBorders>
              <w:top w:val="single" w:color="000000" w:sz="4" w:space="0"/>
              <w:left w:val="single" w:color="000000" w:sz="4" w:space="0"/>
              <w:bottom w:val="single" w:color="000000" w:sz="4" w:space="0"/>
              <w:right w:val="single" w:color="000000" w:sz="4" w:space="0"/>
            </w:tcBorders>
            <w:vAlign w:val="center"/>
          </w:tcPr>
          <w:p w14:paraId="5D291FFD">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不存在第二章“投标人须知”第1.4.3项规定的任何一种情形</w:t>
            </w:r>
          </w:p>
        </w:tc>
      </w:tr>
      <w:tr w14:paraId="5BAD0CA1">
        <w:tblPrEx>
          <w:tblCellMar>
            <w:top w:w="0" w:type="dxa"/>
            <w:left w:w="0" w:type="dxa"/>
            <w:bottom w:w="0" w:type="dxa"/>
            <w:right w:w="0" w:type="dxa"/>
          </w:tblCellMar>
        </w:tblPrEx>
        <w:trPr>
          <w:trHeight w:val="454" w:hRule="atLeast"/>
          <w:jc w:val="center"/>
        </w:trPr>
        <w:tc>
          <w:tcPr>
            <w:tcW w:w="625" w:type="dxa"/>
            <w:tcBorders>
              <w:left w:val="single" w:color="000000" w:sz="4" w:space="0"/>
              <w:right w:val="single" w:color="000000" w:sz="4" w:space="0"/>
            </w:tcBorders>
            <w:vAlign w:val="center"/>
          </w:tcPr>
          <w:p w14:paraId="7FC5B003">
            <w:pPr>
              <w:spacing w:line="300" w:lineRule="auto"/>
              <w:jc w:val="center"/>
              <w:rPr>
                <w:rFonts w:ascii="宋体" w:hAnsi="宋体" w:eastAsia="宋体"/>
                <w:strike/>
                <w:color w:val="auto"/>
                <w:sz w:val="21"/>
                <w:szCs w:val="21"/>
                <w:highlight w:val="none"/>
                <w:lang w:eastAsia="zh-CN"/>
              </w:rPr>
            </w:pPr>
          </w:p>
        </w:tc>
        <w:tc>
          <w:tcPr>
            <w:tcW w:w="905" w:type="dxa"/>
            <w:tcBorders>
              <w:left w:val="single" w:color="000000" w:sz="4" w:space="0"/>
              <w:right w:val="single" w:color="000000" w:sz="4" w:space="0"/>
            </w:tcBorders>
            <w:vAlign w:val="center"/>
          </w:tcPr>
          <w:p w14:paraId="2D0725AB">
            <w:pPr>
              <w:spacing w:line="300" w:lineRule="auto"/>
              <w:jc w:val="center"/>
              <w:rPr>
                <w:rFonts w:ascii="宋体" w:hAnsi="宋体" w:eastAsia="宋体"/>
                <w:strike/>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68A64F5A">
            <w:pPr>
              <w:pStyle w:val="43"/>
              <w:spacing w:line="300" w:lineRule="auto"/>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设计服务人员配备要求</w:t>
            </w:r>
          </w:p>
        </w:tc>
        <w:tc>
          <w:tcPr>
            <w:tcW w:w="6568" w:type="dxa"/>
            <w:tcBorders>
              <w:top w:val="single" w:color="000000" w:sz="4" w:space="0"/>
              <w:left w:val="single" w:color="000000" w:sz="4" w:space="0"/>
              <w:bottom w:val="single" w:color="000000" w:sz="4" w:space="0"/>
              <w:right w:val="single" w:color="000000" w:sz="4" w:space="0"/>
            </w:tcBorders>
            <w:vAlign w:val="center"/>
          </w:tcPr>
          <w:p w14:paraId="5A29FD66">
            <w:pPr>
              <w:widowControl/>
              <w:autoSpaceDE w:val="0"/>
              <w:autoSpaceDN w:val="0"/>
              <w:adjustRightInd w:val="0"/>
              <w:ind w:left="0" w:leftChars="0" w:firstLine="0" w:firstLineChars="0"/>
              <w:jc w:val="left"/>
              <w:rPr>
                <w:rFonts w:hint="eastAsia" w:ascii="宋体" w:hAnsi="宋体" w:cs="Times New Roman"/>
                <w:b w:val="0"/>
                <w:bCs w:val="0"/>
                <w:color w:val="auto"/>
                <w:spacing w:val="7"/>
                <w:kern w:val="0"/>
                <w:sz w:val="24"/>
                <w:szCs w:val="24"/>
                <w:highlight w:val="none"/>
                <w:u w:val="single"/>
              </w:rPr>
            </w:pPr>
            <w:r>
              <w:rPr>
                <w:rFonts w:hint="eastAsia" w:ascii="宋体" w:hAnsi="宋体" w:eastAsia="宋体" w:cs="宋体"/>
                <w:color w:val="auto"/>
                <w:sz w:val="21"/>
                <w:szCs w:val="21"/>
                <w:highlight w:val="none"/>
                <w:lang w:val="en-US" w:eastAsia="zh-CN"/>
              </w:rPr>
              <w:t>满足</w:t>
            </w:r>
            <w:r>
              <w:rPr>
                <w:rFonts w:hint="eastAsia" w:ascii="宋体" w:hAnsi="宋体" w:cs="宋体"/>
                <w:color w:val="auto"/>
                <w:sz w:val="21"/>
                <w:szCs w:val="21"/>
                <w:highlight w:val="none"/>
                <w:lang w:val="en-US" w:eastAsia="zh-CN"/>
              </w:rPr>
              <w:t>发包人要求中的</w:t>
            </w:r>
            <w:r>
              <w:rPr>
                <w:rFonts w:hint="eastAsia" w:ascii="宋体" w:hAnsi="宋体" w:eastAsia="宋体" w:cs="宋体"/>
                <w:color w:val="auto"/>
                <w:sz w:val="21"/>
                <w:szCs w:val="21"/>
                <w:highlight w:val="none"/>
                <w:lang w:eastAsia="zh-CN"/>
              </w:rPr>
              <w:t>设计服务人员配备要求表</w:t>
            </w:r>
            <w:r>
              <w:rPr>
                <w:rFonts w:hint="eastAsia" w:ascii="宋体" w:hAnsi="宋体" w:eastAsia="宋体" w:cs="宋体"/>
                <w:color w:val="auto"/>
                <w:sz w:val="21"/>
                <w:szCs w:val="21"/>
                <w:highlight w:val="none"/>
                <w:lang w:val="en-US" w:eastAsia="zh-CN"/>
              </w:rPr>
              <w:t>的人员最低配备要求</w:t>
            </w:r>
            <w:r>
              <w:rPr>
                <w:rFonts w:hint="eastAsia" w:ascii="宋体" w:hAnsi="宋体" w:cs="宋体"/>
                <w:color w:val="auto"/>
                <w:sz w:val="21"/>
                <w:szCs w:val="21"/>
                <w:highlight w:val="none"/>
                <w:lang w:val="en-US" w:eastAsia="zh-CN"/>
              </w:rPr>
              <w:t>。</w:t>
            </w:r>
          </w:p>
          <w:p w14:paraId="198E282D">
            <w:pPr>
              <w:pStyle w:val="43"/>
              <w:spacing w:line="300" w:lineRule="auto"/>
              <w:jc w:val="both"/>
              <w:rPr>
                <w:rFonts w:hint="default" w:ascii="宋体" w:hAnsi="宋体" w:eastAsia="宋体" w:cs="宋体"/>
                <w:color w:val="auto"/>
                <w:sz w:val="21"/>
                <w:szCs w:val="21"/>
                <w:highlight w:val="none"/>
                <w:lang w:val="en-US" w:eastAsia="zh-CN"/>
              </w:rPr>
            </w:pPr>
          </w:p>
        </w:tc>
      </w:tr>
      <w:tr w14:paraId="6BC0BF2B">
        <w:tblPrEx>
          <w:tblCellMar>
            <w:top w:w="0" w:type="dxa"/>
            <w:left w:w="0" w:type="dxa"/>
            <w:bottom w:w="0" w:type="dxa"/>
            <w:right w:w="0" w:type="dxa"/>
          </w:tblCellMar>
        </w:tblPrEx>
        <w:trPr>
          <w:trHeight w:val="454" w:hRule="atLeast"/>
          <w:jc w:val="center"/>
        </w:trPr>
        <w:tc>
          <w:tcPr>
            <w:tcW w:w="625" w:type="dxa"/>
            <w:vMerge w:val="restart"/>
            <w:tcBorders>
              <w:top w:val="single" w:color="000000" w:sz="4" w:space="0"/>
              <w:left w:val="single" w:color="000000" w:sz="4" w:space="0"/>
              <w:right w:val="single" w:color="000000" w:sz="4" w:space="0"/>
            </w:tcBorders>
            <w:vAlign w:val="center"/>
          </w:tcPr>
          <w:p w14:paraId="234B37BF">
            <w:pPr>
              <w:pStyle w:val="43"/>
              <w:spacing w:line="30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2.1.3</w:t>
            </w:r>
          </w:p>
          <w:p w14:paraId="208D1F44">
            <w:pPr>
              <w:pStyle w:val="43"/>
              <w:spacing w:line="300" w:lineRule="auto"/>
              <w:jc w:val="center"/>
              <w:rPr>
                <w:rFonts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（1）</w:t>
            </w:r>
          </w:p>
        </w:tc>
        <w:tc>
          <w:tcPr>
            <w:tcW w:w="905" w:type="dxa"/>
            <w:vMerge w:val="restart"/>
            <w:tcBorders>
              <w:top w:val="single" w:color="000000" w:sz="4" w:space="0"/>
              <w:left w:val="single" w:color="000000" w:sz="4" w:space="0"/>
              <w:right w:val="single" w:color="000000" w:sz="4" w:space="0"/>
            </w:tcBorders>
            <w:vAlign w:val="center"/>
          </w:tcPr>
          <w:p w14:paraId="727EA38F">
            <w:pPr>
              <w:pStyle w:val="43"/>
              <w:spacing w:line="300" w:lineRule="auto"/>
              <w:jc w:val="center"/>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响应性评审标准</w:t>
            </w:r>
          </w:p>
          <w:p w14:paraId="2EDC38A7">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（商务文件）</w:t>
            </w:r>
          </w:p>
        </w:tc>
        <w:tc>
          <w:tcPr>
            <w:tcW w:w="1966" w:type="dxa"/>
            <w:tcBorders>
              <w:top w:val="single" w:color="000000" w:sz="4" w:space="0"/>
              <w:left w:val="single" w:color="000000" w:sz="4" w:space="0"/>
              <w:bottom w:val="single" w:color="000000" w:sz="4" w:space="0"/>
              <w:right w:val="single" w:color="000000" w:sz="4" w:space="0"/>
            </w:tcBorders>
            <w:vAlign w:val="center"/>
          </w:tcPr>
          <w:p w14:paraId="14B260A0">
            <w:pPr>
              <w:pStyle w:val="43"/>
              <w:spacing w:line="30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投标报价</w:t>
            </w:r>
          </w:p>
        </w:tc>
        <w:tc>
          <w:tcPr>
            <w:tcW w:w="6568" w:type="dxa"/>
            <w:tcBorders>
              <w:top w:val="single" w:color="000000" w:sz="4" w:space="0"/>
              <w:left w:val="single" w:color="000000" w:sz="4" w:space="0"/>
              <w:bottom w:val="single" w:color="000000" w:sz="4" w:space="0"/>
              <w:right w:val="single" w:color="000000" w:sz="4" w:space="0"/>
            </w:tcBorders>
            <w:vAlign w:val="center"/>
          </w:tcPr>
          <w:p w14:paraId="638D5BEA">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Cs w:val="21"/>
                <w:highlight w:val="none"/>
              </w:rPr>
              <w:t>符合第二章“投标人须知”第3.2.4项规定且不低于企业成本</w:t>
            </w:r>
          </w:p>
        </w:tc>
      </w:tr>
      <w:tr w14:paraId="152C8647">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64CDCD6C">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29A8DACC">
            <w:pPr>
              <w:spacing w:line="300" w:lineRule="auto"/>
              <w:jc w:val="center"/>
              <w:rPr>
                <w:rFonts w:ascii="宋体" w:hAnsi="宋体" w:eastAsia="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2B74048A">
            <w:pPr>
              <w:pStyle w:val="43"/>
              <w:spacing w:line="30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设计服务期限</w:t>
            </w:r>
          </w:p>
        </w:tc>
        <w:tc>
          <w:tcPr>
            <w:tcW w:w="6568" w:type="dxa"/>
            <w:tcBorders>
              <w:top w:val="single" w:color="000000" w:sz="4" w:space="0"/>
              <w:left w:val="single" w:color="000000" w:sz="4" w:space="0"/>
              <w:bottom w:val="single" w:color="000000" w:sz="4" w:space="0"/>
              <w:right w:val="single" w:color="000000" w:sz="4" w:space="0"/>
            </w:tcBorders>
            <w:vAlign w:val="center"/>
          </w:tcPr>
          <w:p w14:paraId="4A850480">
            <w:pPr>
              <w:pStyle w:val="43"/>
              <w:spacing w:line="300" w:lineRule="auto"/>
              <w:jc w:val="both"/>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符合第二章</w:t>
            </w:r>
            <w:r>
              <w:rPr>
                <w:rFonts w:ascii="宋体" w:hAnsi="宋体" w:eastAsia="宋体"/>
                <w:color w:val="auto"/>
                <w:sz w:val="21"/>
                <w:szCs w:val="21"/>
                <w:highlight w:val="none"/>
                <w:lang w:eastAsia="zh-CN"/>
              </w:rPr>
              <w:t>“</w:t>
            </w:r>
            <w:r>
              <w:rPr>
                <w:rFonts w:ascii="宋体" w:hAnsi="宋体" w:eastAsia="宋体" w:cs="宋体"/>
                <w:color w:val="auto"/>
                <w:sz w:val="21"/>
                <w:szCs w:val="21"/>
                <w:highlight w:val="none"/>
                <w:lang w:eastAsia="zh-CN"/>
              </w:rPr>
              <w:t>投标人须知</w:t>
            </w:r>
            <w:r>
              <w:rPr>
                <w:rFonts w:ascii="宋体" w:hAnsi="宋体" w:eastAsia="宋体"/>
                <w:color w:val="auto"/>
                <w:sz w:val="21"/>
                <w:szCs w:val="21"/>
                <w:highlight w:val="none"/>
                <w:lang w:eastAsia="zh-CN"/>
              </w:rPr>
              <w:t>”</w:t>
            </w:r>
            <w:r>
              <w:rPr>
                <w:rFonts w:ascii="宋体" w:hAnsi="宋体" w:eastAsia="宋体" w:cs="宋体"/>
                <w:color w:val="auto"/>
                <w:sz w:val="21"/>
                <w:szCs w:val="21"/>
                <w:highlight w:val="none"/>
                <w:lang w:eastAsia="zh-CN"/>
              </w:rPr>
              <w:t>第</w:t>
            </w:r>
            <w:r>
              <w:rPr>
                <w:rFonts w:ascii="宋体" w:hAnsi="宋体" w:eastAsia="宋体"/>
                <w:color w:val="auto"/>
                <w:sz w:val="21"/>
                <w:szCs w:val="21"/>
                <w:highlight w:val="none"/>
                <w:lang w:eastAsia="zh-CN"/>
              </w:rPr>
              <w:t>1.3.2</w:t>
            </w:r>
            <w:r>
              <w:rPr>
                <w:rFonts w:ascii="宋体" w:hAnsi="宋体" w:eastAsia="宋体" w:cs="宋体"/>
                <w:color w:val="auto"/>
                <w:sz w:val="21"/>
                <w:szCs w:val="21"/>
                <w:highlight w:val="none"/>
                <w:lang w:eastAsia="zh-CN"/>
              </w:rPr>
              <w:t>项规定</w:t>
            </w:r>
          </w:p>
        </w:tc>
      </w:tr>
      <w:tr w14:paraId="60EB3229">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7D191C0D">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790A4ACD">
            <w:pPr>
              <w:spacing w:line="300" w:lineRule="auto"/>
              <w:jc w:val="center"/>
              <w:rPr>
                <w:rFonts w:ascii="宋体" w:hAnsi="宋体" w:eastAsia="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066506F9">
            <w:pPr>
              <w:pStyle w:val="43"/>
              <w:spacing w:line="30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质量标准</w:t>
            </w:r>
          </w:p>
        </w:tc>
        <w:tc>
          <w:tcPr>
            <w:tcW w:w="6568" w:type="dxa"/>
            <w:tcBorders>
              <w:top w:val="single" w:color="000000" w:sz="4" w:space="0"/>
              <w:left w:val="single" w:color="000000" w:sz="4" w:space="0"/>
              <w:bottom w:val="single" w:color="000000" w:sz="4" w:space="0"/>
              <w:right w:val="single" w:color="000000" w:sz="4" w:space="0"/>
            </w:tcBorders>
            <w:vAlign w:val="center"/>
          </w:tcPr>
          <w:p w14:paraId="0D6A5A1E">
            <w:pPr>
              <w:pStyle w:val="43"/>
              <w:spacing w:line="300" w:lineRule="auto"/>
              <w:jc w:val="both"/>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符合第二章</w:t>
            </w:r>
            <w:r>
              <w:rPr>
                <w:rFonts w:ascii="宋体" w:hAnsi="宋体" w:eastAsia="宋体"/>
                <w:color w:val="auto"/>
                <w:sz w:val="21"/>
                <w:szCs w:val="21"/>
                <w:highlight w:val="none"/>
                <w:lang w:eastAsia="zh-CN"/>
              </w:rPr>
              <w:t>“</w:t>
            </w:r>
            <w:r>
              <w:rPr>
                <w:rFonts w:ascii="宋体" w:hAnsi="宋体" w:eastAsia="宋体" w:cs="宋体"/>
                <w:color w:val="auto"/>
                <w:sz w:val="21"/>
                <w:szCs w:val="21"/>
                <w:highlight w:val="none"/>
                <w:lang w:eastAsia="zh-CN"/>
              </w:rPr>
              <w:t>投标人须知</w:t>
            </w:r>
            <w:r>
              <w:rPr>
                <w:rFonts w:ascii="宋体" w:hAnsi="宋体" w:eastAsia="宋体"/>
                <w:color w:val="auto"/>
                <w:sz w:val="21"/>
                <w:szCs w:val="21"/>
                <w:highlight w:val="none"/>
                <w:lang w:eastAsia="zh-CN"/>
              </w:rPr>
              <w:t>”</w:t>
            </w:r>
            <w:r>
              <w:rPr>
                <w:rFonts w:ascii="宋体" w:hAnsi="宋体" w:eastAsia="宋体" w:cs="宋体"/>
                <w:color w:val="auto"/>
                <w:sz w:val="21"/>
                <w:szCs w:val="21"/>
                <w:highlight w:val="none"/>
                <w:lang w:eastAsia="zh-CN"/>
              </w:rPr>
              <w:t>第</w:t>
            </w:r>
            <w:r>
              <w:rPr>
                <w:rFonts w:ascii="宋体" w:hAnsi="宋体" w:eastAsia="宋体"/>
                <w:color w:val="auto"/>
                <w:sz w:val="21"/>
                <w:szCs w:val="21"/>
                <w:highlight w:val="none"/>
                <w:lang w:eastAsia="zh-CN"/>
              </w:rPr>
              <w:t>1.3.3</w:t>
            </w:r>
            <w:r>
              <w:rPr>
                <w:rFonts w:ascii="宋体" w:hAnsi="宋体" w:eastAsia="宋体" w:cs="宋体"/>
                <w:color w:val="auto"/>
                <w:sz w:val="21"/>
                <w:szCs w:val="21"/>
                <w:highlight w:val="none"/>
                <w:lang w:eastAsia="zh-CN"/>
              </w:rPr>
              <w:t>项规定</w:t>
            </w:r>
          </w:p>
        </w:tc>
      </w:tr>
      <w:tr w14:paraId="3F75BA93">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0BA61EA8">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57A08671">
            <w:pPr>
              <w:spacing w:line="300" w:lineRule="auto"/>
              <w:jc w:val="center"/>
              <w:rPr>
                <w:rFonts w:ascii="宋体" w:hAnsi="宋体" w:eastAsia="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6DAF1A0E">
            <w:pPr>
              <w:pStyle w:val="43"/>
              <w:spacing w:line="30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投标有效期</w:t>
            </w:r>
          </w:p>
        </w:tc>
        <w:tc>
          <w:tcPr>
            <w:tcW w:w="6568" w:type="dxa"/>
            <w:tcBorders>
              <w:top w:val="single" w:color="000000" w:sz="4" w:space="0"/>
              <w:left w:val="single" w:color="000000" w:sz="4" w:space="0"/>
              <w:bottom w:val="single" w:color="000000" w:sz="4" w:space="0"/>
              <w:right w:val="single" w:color="000000" w:sz="4" w:space="0"/>
            </w:tcBorders>
            <w:vAlign w:val="center"/>
          </w:tcPr>
          <w:p w14:paraId="4A520B1B">
            <w:pPr>
              <w:pStyle w:val="43"/>
              <w:spacing w:line="300" w:lineRule="auto"/>
              <w:jc w:val="both"/>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符合第二章</w:t>
            </w:r>
            <w:r>
              <w:rPr>
                <w:rFonts w:ascii="宋体" w:hAnsi="宋体" w:eastAsia="宋体"/>
                <w:color w:val="auto"/>
                <w:sz w:val="21"/>
                <w:szCs w:val="21"/>
                <w:highlight w:val="none"/>
                <w:lang w:eastAsia="zh-CN"/>
              </w:rPr>
              <w:t>“</w:t>
            </w:r>
            <w:r>
              <w:rPr>
                <w:rFonts w:ascii="宋体" w:hAnsi="宋体" w:eastAsia="宋体" w:cs="宋体"/>
                <w:color w:val="auto"/>
                <w:sz w:val="21"/>
                <w:szCs w:val="21"/>
                <w:highlight w:val="none"/>
                <w:lang w:eastAsia="zh-CN"/>
              </w:rPr>
              <w:t>投标人须知</w:t>
            </w:r>
            <w:r>
              <w:rPr>
                <w:rFonts w:ascii="宋体" w:hAnsi="宋体" w:eastAsia="宋体"/>
                <w:color w:val="auto"/>
                <w:sz w:val="21"/>
                <w:szCs w:val="21"/>
                <w:highlight w:val="none"/>
                <w:lang w:eastAsia="zh-CN"/>
              </w:rPr>
              <w:t>”</w:t>
            </w:r>
            <w:r>
              <w:rPr>
                <w:rFonts w:ascii="宋体" w:hAnsi="宋体" w:eastAsia="宋体" w:cs="宋体"/>
                <w:color w:val="auto"/>
                <w:sz w:val="21"/>
                <w:szCs w:val="21"/>
                <w:highlight w:val="none"/>
                <w:lang w:eastAsia="zh-CN"/>
              </w:rPr>
              <w:t>第</w:t>
            </w:r>
            <w:r>
              <w:rPr>
                <w:rFonts w:ascii="宋体" w:hAnsi="宋体" w:eastAsia="宋体"/>
                <w:color w:val="auto"/>
                <w:sz w:val="21"/>
                <w:szCs w:val="21"/>
                <w:highlight w:val="none"/>
                <w:lang w:eastAsia="zh-CN"/>
              </w:rPr>
              <w:t>3.3.1</w:t>
            </w:r>
            <w:r>
              <w:rPr>
                <w:rFonts w:ascii="宋体" w:hAnsi="宋体" w:eastAsia="宋体" w:cs="宋体"/>
                <w:color w:val="auto"/>
                <w:sz w:val="21"/>
                <w:szCs w:val="21"/>
                <w:highlight w:val="none"/>
                <w:lang w:eastAsia="zh-CN"/>
              </w:rPr>
              <w:t>项规定</w:t>
            </w:r>
          </w:p>
        </w:tc>
      </w:tr>
      <w:tr w14:paraId="2FB41D3D">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418FFB24">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4CD1DF19">
            <w:pPr>
              <w:spacing w:line="300" w:lineRule="auto"/>
              <w:jc w:val="center"/>
              <w:rPr>
                <w:rFonts w:ascii="宋体" w:hAnsi="宋体" w:eastAsia="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1BF921DE">
            <w:pPr>
              <w:pStyle w:val="43"/>
              <w:spacing w:line="300" w:lineRule="auto"/>
              <w:jc w:val="center"/>
              <w:rPr>
                <w:rFonts w:ascii="宋体" w:hAnsi="宋体" w:eastAsia="宋体" w:cs="宋体"/>
                <w:strike/>
                <w:color w:val="auto"/>
                <w:sz w:val="21"/>
                <w:szCs w:val="21"/>
                <w:highlight w:val="none"/>
              </w:rPr>
            </w:pPr>
            <w:r>
              <w:rPr>
                <w:rFonts w:ascii="宋体" w:hAnsi="宋体" w:eastAsia="宋体" w:cs="宋体"/>
                <w:strike/>
                <w:color w:val="auto"/>
                <w:sz w:val="21"/>
                <w:szCs w:val="21"/>
                <w:highlight w:val="none"/>
              </w:rPr>
              <w:t>投标保证金</w:t>
            </w:r>
          </w:p>
        </w:tc>
        <w:tc>
          <w:tcPr>
            <w:tcW w:w="6568" w:type="dxa"/>
            <w:tcBorders>
              <w:top w:val="single" w:color="000000" w:sz="4" w:space="0"/>
              <w:left w:val="single" w:color="000000" w:sz="4" w:space="0"/>
              <w:bottom w:val="single" w:color="000000" w:sz="4" w:space="0"/>
              <w:right w:val="single" w:color="000000" w:sz="4" w:space="0"/>
            </w:tcBorders>
            <w:vAlign w:val="center"/>
          </w:tcPr>
          <w:p w14:paraId="3F019AA8">
            <w:pPr>
              <w:pStyle w:val="43"/>
              <w:spacing w:line="300" w:lineRule="auto"/>
              <w:jc w:val="both"/>
              <w:rPr>
                <w:rFonts w:ascii="宋体" w:hAnsi="宋体" w:eastAsia="宋体" w:cs="宋体"/>
                <w:strike/>
                <w:color w:val="auto"/>
                <w:sz w:val="21"/>
                <w:szCs w:val="21"/>
                <w:highlight w:val="none"/>
                <w:lang w:eastAsia="zh-CN"/>
              </w:rPr>
            </w:pPr>
            <w:r>
              <w:rPr>
                <w:rFonts w:hint="eastAsia" w:ascii="宋体" w:hAnsi="宋体" w:eastAsia="宋体" w:cs="宋体"/>
                <w:strike/>
                <w:color w:val="auto"/>
                <w:sz w:val="21"/>
                <w:szCs w:val="21"/>
                <w:highlight w:val="none"/>
                <w:lang w:eastAsia="zh-CN"/>
              </w:rPr>
              <w:t>符合第二章“投标人须知”第</w:t>
            </w:r>
            <w:r>
              <w:rPr>
                <w:rFonts w:ascii="宋体" w:hAnsi="宋体" w:eastAsia="宋体" w:cs="宋体"/>
                <w:strike/>
                <w:color w:val="auto"/>
                <w:sz w:val="21"/>
                <w:szCs w:val="21"/>
                <w:highlight w:val="none"/>
                <w:lang w:eastAsia="zh-CN"/>
              </w:rPr>
              <w:t>3.4.1</w:t>
            </w:r>
            <w:r>
              <w:rPr>
                <w:rFonts w:hint="eastAsia" w:ascii="宋体" w:hAnsi="宋体" w:eastAsia="宋体" w:cs="宋体"/>
                <w:strike/>
                <w:color w:val="auto"/>
                <w:sz w:val="21"/>
                <w:szCs w:val="21"/>
                <w:highlight w:val="none"/>
                <w:lang w:eastAsia="zh-CN"/>
              </w:rPr>
              <w:t>项规定</w:t>
            </w:r>
          </w:p>
        </w:tc>
      </w:tr>
      <w:tr w14:paraId="3C24D06F">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bottom w:val="single" w:color="auto" w:sz="4" w:space="0"/>
              <w:right w:val="single" w:color="000000" w:sz="4" w:space="0"/>
            </w:tcBorders>
            <w:vAlign w:val="center"/>
          </w:tcPr>
          <w:p w14:paraId="42A3C98A">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bottom w:val="single" w:color="auto" w:sz="4" w:space="0"/>
              <w:right w:val="single" w:color="000000" w:sz="4" w:space="0"/>
            </w:tcBorders>
            <w:vAlign w:val="center"/>
          </w:tcPr>
          <w:p w14:paraId="67D9690A">
            <w:pPr>
              <w:spacing w:line="300" w:lineRule="auto"/>
              <w:jc w:val="center"/>
              <w:rPr>
                <w:rFonts w:ascii="宋体" w:hAnsi="宋体" w:eastAsia="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535523AD">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串通投标情形</w:t>
            </w:r>
          </w:p>
        </w:tc>
        <w:tc>
          <w:tcPr>
            <w:tcW w:w="6568" w:type="dxa"/>
            <w:tcBorders>
              <w:top w:val="single" w:color="000000" w:sz="4" w:space="0"/>
              <w:left w:val="single" w:color="000000" w:sz="4" w:space="0"/>
              <w:bottom w:val="single" w:color="000000" w:sz="4" w:space="0"/>
              <w:right w:val="single" w:color="000000" w:sz="4" w:space="0"/>
            </w:tcBorders>
            <w:vAlign w:val="center"/>
          </w:tcPr>
          <w:p w14:paraId="22D818DB">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不存在串通投标情形（串通投标情形以《中华人民共和国招标投标法实施条例》的规定为准）。</w:t>
            </w:r>
          </w:p>
        </w:tc>
      </w:tr>
      <w:tr w14:paraId="7CF476F6">
        <w:tblPrEx>
          <w:tblCellMar>
            <w:top w:w="0" w:type="dxa"/>
            <w:left w:w="0" w:type="dxa"/>
            <w:bottom w:w="0" w:type="dxa"/>
            <w:right w:w="0" w:type="dxa"/>
          </w:tblCellMar>
        </w:tblPrEx>
        <w:trPr>
          <w:trHeight w:val="454" w:hRule="atLeast"/>
          <w:jc w:val="center"/>
        </w:trPr>
        <w:tc>
          <w:tcPr>
            <w:tcW w:w="625" w:type="dxa"/>
            <w:vMerge w:val="restart"/>
            <w:tcBorders>
              <w:top w:val="single" w:color="auto" w:sz="4" w:space="0"/>
              <w:left w:val="single" w:color="000000" w:sz="4" w:space="0"/>
              <w:right w:val="single" w:color="000000" w:sz="4" w:space="0"/>
            </w:tcBorders>
            <w:vAlign w:val="center"/>
          </w:tcPr>
          <w:p w14:paraId="52125EA4">
            <w:pPr>
              <w:pStyle w:val="43"/>
              <w:spacing w:line="30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2.1.3</w:t>
            </w:r>
          </w:p>
          <w:p w14:paraId="1D66B4F9">
            <w:pPr>
              <w:spacing w:line="300" w:lineRule="auto"/>
              <w:jc w:val="center"/>
              <w:rPr>
                <w:rFonts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w:t>
            </w:r>
            <w:r>
              <w:rPr>
                <w:rFonts w:ascii="宋体" w:hAnsi="宋体" w:eastAsia="宋体"/>
                <w:color w:val="auto"/>
                <w:sz w:val="21"/>
                <w:szCs w:val="21"/>
                <w:highlight w:val="none"/>
                <w:lang w:eastAsia="zh-CN"/>
              </w:rPr>
              <w:t>2</w:t>
            </w:r>
            <w:r>
              <w:rPr>
                <w:rFonts w:hint="eastAsia" w:ascii="宋体" w:hAnsi="宋体" w:eastAsia="宋体"/>
                <w:color w:val="auto"/>
                <w:sz w:val="21"/>
                <w:szCs w:val="21"/>
                <w:highlight w:val="none"/>
                <w:lang w:eastAsia="zh-CN"/>
              </w:rPr>
              <w:t>）</w:t>
            </w:r>
          </w:p>
        </w:tc>
        <w:tc>
          <w:tcPr>
            <w:tcW w:w="905" w:type="dxa"/>
            <w:vMerge w:val="restart"/>
            <w:tcBorders>
              <w:top w:val="single" w:color="auto" w:sz="4" w:space="0"/>
              <w:left w:val="single" w:color="000000" w:sz="4" w:space="0"/>
              <w:right w:val="single" w:color="000000" w:sz="4" w:space="0"/>
            </w:tcBorders>
            <w:vAlign w:val="center"/>
          </w:tcPr>
          <w:p w14:paraId="49E1A300">
            <w:pPr>
              <w:pStyle w:val="43"/>
              <w:spacing w:line="300" w:lineRule="auto"/>
              <w:jc w:val="center"/>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响应性评审标准</w:t>
            </w:r>
          </w:p>
          <w:p w14:paraId="1454607E">
            <w:pPr>
              <w:spacing w:line="300" w:lineRule="auto"/>
              <w:jc w:val="center"/>
              <w:rPr>
                <w:rFonts w:ascii="宋体" w:hAnsi="宋体" w:eastAsia="宋体"/>
                <w:color w:val="auto"/>
                <w:sz w:val="21"/>
                <w:szCs w:val="21"/>
                <w:highlight w:val="none"/>
                <w:lang w:eastAsia="zh-CN"/>
              </w:rPr>
            </w:pPr>
            <w:r>
              <w:rPr>
                <w:rFonts w:hint="eastAsia" w:ascii="宋体" w:hAnsi="宋体" w:eastAsia="宋体" w:cs="宋体"/>
                <w:color w:val="auto"/>
                <w:sz w:val="21"/>
                <w:szCs w:val="21"/>
                <w:highlight w:val="none"/>
                <w:lang w:eastAsia="zh-CN"/>
              </w:rPr>
              <w:t>（技术文件）</w:t>
            </w:r>
          </w:p>
        </w:tc>
        <w:tc>
          <w:tcPr>
            <w:tcW w:w="1966" w:type="dxa"/>
            <w:tcBorders>
              <w:top w:val="single" w:color="000000" w:sz="4" w:space="0"/>
              <w:left w:val="single" w:color="000000" w:sz="4" w:space="0"/>
              <w:bottom w:val="single" w:color="000000" w:sz="4" w:space="0"/>
              <w:right w:val="single" w:color="000000" w:sz="4" w:space="0"/>
            </w:tcBorders>
            <w:vAlign w:val="center"/>
          </w:tcPr>
          <w:p w14:paraId="0C178F62">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串通投标情形</w:t>
            </w:r>
          </w:p>
        </w:tc>
        <w:tc>
          <w:tcPr>
            <w:tcW w:w="6568" w:type="dxa"/>
            <w:tcBorders>
              <w:top w:val="single" w:color="000000" w:sz="4" w:space="0"/>
              <w:left w:val="single" w:color="000000" w:sz="4" w:space="0"/>
              <w:bottom w:val="single" w:color="000000" w:sz="4" w:space="0"/>
              <w:right w:val="single" w:color="000000" w:sz="4" w:space="0"/>
            </w:tcBorders>
            <w:vAlign w:val="center"/>
          </w:tcPr>
          <w:p w14:paraId="197348B6">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不存在串通投标情形（串通投标情形以《中华人民共和国招标投标法实施条例》的规定为准）。</w:t>
            </w:r>
          </w:p>
        </w:tc>
      </w:tr>
      <w:tr w14:paraId="46581E3B">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7E1B09FD">
            <w:pPr>
              <w:spacing w:line="300" w:lineRule="auto"/>
              <w:jc w:val="center"/>
              <w:rPr>
                <w:rFonts w:ascii="宋体" w:hAnsi="宋体" w:eastAsia="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425CB0BB">
            <w:pPr>
              <w:spacing w:line="300" w:lineRule="auto"/>
              <w:jc w:val="center"/>
              <w:rPr>
                <w:rFonts w:ascii="宋体" w:hAnsi="宋体" w:eastAsia="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6353B30A">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w:t>
            </w:r>
            <w:r>
              <w:rPr>
                <w:rFonts w:hint="eastAsia" w:ascii="宋体" w:hAnsi="宋体" w:eastAsia="宋体" w:cs="宋体"/>
                <w:color w:val="auto"/>
                <w:sz w:val="21"/>
                <w:szCs w:val="21"/>
                <w:highlight w:val="none"/>
                <w:lang w:eastAsia="zh-CN"/>
              </w:rPr>
              <w:t>文件</w:t>
            </w:r>
            <w:r>
              <w:rPr>
                <w:rFonts w:hint="eastAsia" w:ascii="宋体" w:hAnsi="宋体" w:eastAsia="宋体" w:cs="宋体"/>
                <w:color w:val="auto"/>
                <w:sz w:val="21"/>
                <w:szCs w:val="21"/>
                <w:highlight w:val="none"/>
              </w:rPr>
              <w:t>暗标要求</w:t>
            </w:r>
          </w:p>
        </w:tc>
        <w:tc>
          <w:tcPr>
            <w:tcW w:w="6568" w:type="dxa"/>
            <w:tcBorders>
              <w:top w:val="single" w:color="000000" w:sz="4" w:space="0"/>
              <w:left w:val="single" w:color="000000" w:sz="4" w:space="0"/>
              <w:bottom w:val="single" w:color="000000" w:sz="4" w:space="0"/>
              <w:right w:val="single" w:color="000000" w:sz="4" w:space="0"/>
            </w:tcBorders>
            <w:vAlign w:val="center"/>
          </w:tcPr>
          <w:p w14:paraId="0CE583AB">
            <w:pPr>
              <w:pStyle w:val="43"/>
              <w:spacing w:line="300" w:lineRule="auto"/>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技术标中未能辨认出投标人或其专业技术人员的身份。未在设计方案上标注或做任何可以辨认投标人及专业技术人员身份的名称、印章、商标、图形等记认符号。</w:t>
            </w:r>
          </w:p>
        </w:tc>
      </w:tr>
      <w:tr w14:paraId="2ABD2AA4">
        <w:tblPrEx>
          <w:tblCellMar>
            <w:top w:w="0" w:type="dxa"/>
            <w:left w:w="0" w:type="dxa"/>
            <w:bottom w:w="0" w:type="dxa"/>
            <w:right w:w="0" w:type="dxa"/>
          </w:tblCellMar>
        </w:tblPrEx>
        <w:trPr>
          <w:trHeight w:val="454" w:hRule="atLeast"/>
          <w:jc w:val="center"/>
        </w:trPr>
        <w:tc>
          <w:tcPr>
            <w:tcW w:w="1530" w:type="dxa"/>
            <w:gridSpan w:val="2"/>
            <w:tcBorders>
              <w:top w:val="single" w:color="000000" w:sz="4" w:space="0"/>
              <w:left w:val="single" w:color="000000" w:sz="4" w:space="0"/>
              <w:bottom w:val="single" w:color="000000" w:sz="4" w:space="0"/>
              <w:right w:val="single" w:color="000000" w:sz="4" w:space="0"/>
            </w:tcBorders>
            <w:vAlign w:val="center"/>
          </w:tcPr>
          <w:p w14:paraId="280AD059">
            <w:pPr>
              <w:pStyle w:val="43"/>
              <w:spacing w:line="300" w:lineRule="auto"/>
              <w:jc w:val="center"/>
              <w:rPr>
                <w:rFonts w:ascii="宋体" w:hAnsi="宋体" w:eastAsia="宋体" w:cs="Microsoft JhengHei"/>
                <w:color w:val="auto"/>
                <w:sz w:val="21"/>
                <w:szCs w:val="21"/>
                <w:highlight w:val="none"/>
              </w:rPr>
            </w:pPr>
            <w:r>
              <w:rPr>
                <w:rFonts w:ascii="宋体" w:hAnsi="宋体" w:eastAsia="宋体" w:cs="Microsoft JhengHei"/>
                <w:b/>
                <w:bCs/>
                <w:color w:val="auto"/>
                <w:sz w:val="21"/>
                <w:szCs w:val="21"/>
                <w:highlight w:val="none"/>
              </w:rPr>
              <w:t>条款号</w:t>
            </w:r>
          </w:p>
        </w:tc>
        <w:tc>
          <w:tcPr>
            <w:tcW w:w="1966" w:type="dxa"/>
            <w:tcBorders>
              <w:top w:val="single" w:color="000000" w:sz="4" w:space="0"/>
              <w:left w:val="single" w:color="000000" w:sz="4" w:space="0"/>
              <w:bottom w:val="single" w:color="000000" w:sz="4" w:space="0"/>
              <w:right w:val="single" w:color="000000" w:sz="4" w:space="0"/>
            </w:tcBorders>
            <w:vAlign w:val="center"/>
          </w:tcPr>
          <w:p w14:paraId="4E4AE40A">
            <w:pPr>
              <w:pStyle w:val="43"/>
              <w:spacing w:line="300" w:lineRule="auto"/>
              <w:jc w:val="center"/>
              <w:rPr>
                <w:rFonts w:ascii="宋体" w:hAnsi="宋体" w:eastAsia="宋体" w:cs="Microsoft JhengHei"/>
                <w:color w:val="auto"/>
                <w:sz w:val="21"/>
                <w:szCs w:val="21"/>
                <w:highlight w:val="none"/>
              </w:rPr>
            </w:pPr>
            <w:r>
              <w:rPr>
                <w:rFonts w:ascii="宋体" w:hAnsi="宋体" w:eastAsia="宋体" w:cs="Microsoft JhengHei"/>
                <w:b/>
                <w:bCs/>
                <w:color w:val="auto"/>
                <w:sz w:val="21"/>
                <w:szCs w:val="21"/>
                <w:highlight w:val="none"/>
              </w:rPr>
              <w:t>条款内容</w:t>
            </w:r>
          </w:p>
        </w:tc>
        <w:tc>
          <w:tcPr>
            <w:tcW w:w="6568" w:type="dxa"/>
            <w:tcBorders>
              <w:top w:val="single" w:color="000000" w:sz="4" w:space="0"/>
              <w:left w:val="single" w:color="000000" w:sz="4" w:space="0"/>
              <w:bottom w:val="single" w:color="000000" w:sz="4" w:space="0"/>
              <w:right w:val="single" w:color="000000" w:sz="4" w:space="0"/>
            </w:tcBorders>
            <w:vAlign w:val="center"/>
          </w:tcPr>
          <w:p w14:paraId="6FF6EE5D">
            <w:pPr>
              <w:pStyle w:val="43"/>
              <w:spacing w:line="300" w:lineRule="auto"/>
              <w:jc w:val="center"/>
              <w:rPr>
                <w:rFonts w:ascii="宋体" w:hAnsi="宋体" w:eastAsia="宋体" w:cs="Microsoft JhengHei"/>
                <w:color w:val="auto"/>
                <w:sz w:val="21"/>
                <w:szCs w:val="21"/>
                <w:highlight w:val="none"/>
              </w:rPr>
            </w:pPr>
            <w:r>
              <w:rPr>
                <w:rFonts w:ascii="宋体" w:hAnsi="宋体" w:eastAsia="宋体" w:cs="Microsoft JhengHei"/>
                <w:b/>
                <w:bCs/>
                <w:color w:val="auto"/>
                <w:sz w:val="21"/>
                <w:szCs w:val="21"/>
                <w:highlight w:val="none"/>
              </w:rPr>
              <w:t>编列内容</w:t>
            </w:r>
          </w:p>
        </w:tc>
      </w:tr>
      <w:tr w14:paraId="61C9F4FC">
        <w:tblPrEx>
          <w:tblCellMar>
            <w:top w:w="0" w:type="dxa"/>
            <w:left w:w="0" w:type="dxa"/>
            <w:bottom w:w="0" w:type="dxa"/>
            <w:right w:w="0" w:type="dxa"/>
          </w:tblCellMar>
        </w:tblPrEx>
        <w:trPr>
          <w:trHeight w:val="454" w:hRule="atLeast"/>
          <w:jc w:val="center"/>
        </w:trPr>
        <w:tc>
          <w:tcPr>
            <w:tcW w:w="1530" w:type="dxa"/>
            <w:gridSpan w:val="2"/>
            <w:tcBorders>
              <w:top w:val="single" w:color="000000" w:sz="4" w:space="0"/>
              <w:left w:val="single" w:color="000000" w:sz="4" w:space="0"/>
              <w:bottom w:val="single" w:color="000000" w:sz="4" w:space="0"/>
              <w:right w:val="single" w:color="000000" w:sz="4" w:space="0"/>
            </w:tcBorders>
            <w:vAlign w:val="center"/>
          </w:tcPr>
          <w:p w14:paraId="185224B2">
            <w:pPr>
              <w:pStyle w:val="43"/>
              <w:spacing w:line="30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2.2.1</w:t>
            </w:r>
          </w:p>
        </w:tc>
        <w:tc>
          <w:tcPr>
            <w:tcW w:w="1966" w:type="dxa"/>
            <w:tcBorders>
              <w:top w:val="single" w:color="000000" w:sz="4" w:space="0"/>
              <w:left w:val="single" w:color="000000" w:sz="4" w:space="0"/>
              <w:bottom w:val="single" w:color="000000" w:sz="4" w:space="0"/>
              <w:right w:val="single" w:color="000000" w:sz="4" w:space="0"/>
            </w:tcBorders>
            <w:vAlign w:val="center"/>
          </w:tcPr>
          <w:p w14:paraId="69E14086">
            <w:pPr>
              <w:pStyle w:val="43"/>
              <w:spacing w:line="30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分值构成</w:t>
            </w:r>
          </w:p>
          <w:p w14:paraId="769E3489">
            <w:pPr>
              <w:pStyle w:val="43"/>
              <w:spacing w:line="30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w:t>
            </w:r>
            <w:r>
              <w:rPr>
                <w:rFonts w:ascii="宋体" w:hAnsi="宋体" w:eastAsia="宋体" w:cs="宋体"/>
                <w:color w:val="auto"/>
                <w:sz w:val="21"/>
                <w:szCs w:val="21"/>
                <w:highlight w:val="none"/>
              </w:rPr>
              <w:t>总分</w:t>
            </w:r>
            <w:r>
              <w:rPr>
                <w:rFonts w:ascii="宋体" w:hAnsi="宋体" w:eastAsia="宋体"/>
                <w:color w:val="auto"/>
                <w:sz w:val="21"/>
                <w:szCs w:val="21"/>
                <w:highlight w:val="none"/>
              </w:rPr>
              <w:t>100</w:t>
            </w:r>
            <w:r>
              <w:rPr>
                <w:rFonts w:ascii="宋体" w:hAnsi="宋体" w:eastAsia="宋体" w:cs="宋体"/>
                <w:color w:val="auto"/>
                <w:sz w:val="21"/>
                <w:szCs w:val="21"/>
                <w:highlight w:val="none"/>
              </w:rPr>
              <w:t>分</w:t>
            </w:r>
            <w:r>
              <w:rPr>
                <w:rFonts w:ascii="宋体" w:hAnsi="宋体" w:eastAsia="宋体"/>
                <w:color w:val="auto"/>
                <w:sz w:val="21"/>
                <w:szCs w:val="21"/>
                <w:highlight w:val="none"/>
              </w:rPr>
              <w:t>)</w:t>
            </w:r>
          </w:p>
        </w:tc>
        <w:tc>
          <w:tcPr>
            <w:tcW w:w="6568" w:type="dxa"/>
            <w:tcBorders>
              <w:top w:val="single" w:color="000000" w:sz="4" w:space="0"/>
              <w:left w:val="single" w:color="000000" w:sz="4" w:space="0"/>
              <w:bottom w:val="single" w:color="000000" w:sz="4" w:space="0"/>
              <w:right w:val="single" w:color="000000" w:sz="4" w:space="0"/>
            </w:tcBorders>
            <w:vAlign w:val="center"/>
          </w:tcPr>
          <w:p w14:paraId="7197BFC0">
            <w:pPr>
              <w:pStyle w:val="43"/>
              <w:tabs>
                <w:tab w:val="left" w:pos="1889"/>
                <w:tab w:val="left" w:pos="2309"/>
              </w:tabs>
              <w:spacing w:line="300" w:lineRule="auto"/>
              <w:rPr>
                <w:rFonts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商务文件（资信业绩部分）：</w:t>
            </w:r>
            <w:r>
              <w:rPr>
                <w:rFonts w:hint="eastAsia" w:ascii="宋体" w:hAnsi="宋体" w:eastAsia="宋体" w:cs="宋体"/>
                <w:color w:val="auto"/>
                <w:spacing w:val="-2"/>
                <w:sz w:val="21"/>
                <w:szCs w:val="21"/>
                <w:highlight w:val="none"/>
                <w:u w:val="single"/>
                <w:lang w:eastAsia="zh-CN"/>
              </w:rPr>
              <w:t>100</w:t>
            </w:r>
            <w:r>
              <w:rPr>
                <w:rFonts w:hint="eastAsia" w:ascii="宋体" w:hAnsi="宋体" w:eastAsia="宋体" w:cs="宋体"/>
                <w:color w:val="auto"/>
                <w:spacing w:val="-2"/>
                <w:sz w:val="21"/>
                <w:szCs w:val="21"/>
                <w:highlight w:val="none"/>
                <w:lang w:eastAsia="zh-CN"/>
              </w:rPr>
              <w:t>分（权重3</w:t>
            </w:r>
            <w:r>
              <w:rPr>
                <w:rFonts w:ascii="宋体" w:hAnsi="宋体" w:eastAsia="宋体" w:cs="宋体"/>
                <w:color w:val="auto"/>
                <w:spacing w:val="-2"/>
                <w:sz w:val="21"/>
                <w:szCs w:val="21"/>
                <w:highlight w:val="none"/>
                <w:lang w:eastAsia="zh-CN"/>
              </w:rPr>
              <w:t>0%</w:t>
            </w:r>
            <w:r>
              <w:rPr>
                <w:rFonts w:hint="eastAsia" w:ascii="宋体" w:hAnsi="宋体" w:eastAsia="宋体" w:cs="宋体"/>
                <w:color w:val="auto"/>
                <w:spacing w:val="-2"/>
                <w:sz w:val="21"/>
                <w:szCs w:val="21"/>
                <w:highlight w:val="none"/>
                <w:lang w:eastAsia="zh-CN"/>
              </w:rPr>
              <w:t>）</w:t>
            </w:r>
          </w:p>
          <w:p w14:paraId="2AA1A84E">
            <w:pPr>
              <w:pStyle w:val="43"/>
              <w:tabs>
                <w:tab w:val="left" w:pos="1889"/>
                <w:tab w:val="left" w:pos="2309"/>
              </w:tabs>
              <w:spacing w:line="300" w:lineRule="auto"/>
              <w:rPr>
                <w:rFonts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技术文件（设计方案部分）：</w:t>
            </w:r>
            <w:r>
              <w:rPr>
                <w:rFonts w:hint="eastAsia" w:ascii="宋体" w:hAnsi="宋体" w:eastAsia="宋体" w:cs="宋体"/>
                <w:b/>
                <w:color w:val="auto"/>
                <w:spacing w:val="-2"/>
                <w:sz w:val="21"/>
                <w:szCs w:val="21"/>
                <w:highlight w:val="none"/>
                <w:u w:val="single"/>
                <w:lang w:eastAsia="zh-CN"/>
              </w:rPr>
              <w:t>10</w:t>
            </w:r>
            <w:r>
              <w:rPr>
                <w:rFonts w:ascii="宋体" w:hAnsi="宋体" w:eastAsia="宋体" w:cs="宋体"/>
                <w:b/>
                <w:color w:val="auto"/>
                <w:spacing w:val="-2"/>
                <w:sz w:val="21"/>
                <w:szCs w:val="21"/>
                <w:highlight w:val="none"/>
                <w:u w:val="single"/>
                <w:lang w:eastAsia="zh-CN"/>
              </w:rPr>
              <w:t>0</w:t>
            </w:r>
            <w:r>
              <w:rPr>
                <w:rFonts w:hint="eastAsia" w:ascii="宋体" w:hAnsi="宋体" w:eastAsia="宋体" w:cs="宋体"/>
                <w:b/>
                <w:color w:val="auto"/>
                <w:spacing w:val="-2"/>
                <w:sz w:val="21"/>
                <w:szCs w:val="21"/>
                <w:highlight w:val="none"/>
                <w:lang w:eastAsia="zh-CN"/>
              </w:rPr>
              <w:t>分（权重6</w:t>
            </w:r>
            <w:r>
              <w:rPr>
                <w:rFonts w:ascii="宋体" w:hAnsi="宋体" w:eastAsia="宋体" w:cs="宋体"/>
                <w:b/>
                <w:color w:val="auto"/>
                <w:spacing w:val="-2"/>
                <w:sz w:val="21"/>
                <w:szCs w:val="21"/>
                <w:highlight w:val="none"/>
                <w:lang w:eastAsia="zh-CN"/>
              </w:rPr>
              <w:t>0%</w:t>
            </w:r>
            <w:r>
              <w:rPr>
                <w:rFonts w:hint="eastAsia" w:ascii="宋体" w:hAnsi="宋体" w:eastAsia="宋体" w:cs="宋体"/>
                <w:b/>
                <w:color w:val="auto"/>
                <w:spacing w:val="-2"/>
                <w:sz w:val="21"/>
                <w:szCs w:val="21"/>
                <w:highlight w:val="none"/>
                <w:lang w:eastAsia="zh-CN"/>
              </w:rPr>
              <w:t>）</w:t>
            </w:r>
          </w:p>
          <w:p w14:paraId="79B50637">
            <w:pPr>
              <w:pStyle w:val="43"/>
              <w:tabs>
                <w:tab w:val="left" w:pos="1889"/>
                <w:tab w:val="left" w:pos="2309"/>
              </w:tabs>
              <w:spacing w:line="300" w:lineRule="auto"/>
              <w:rPr>
                <w:rFonts w:ascii="宋体" w:hAnsi="宋体" w:eastAsia="宋体" w:cs="宋体"/>
                <w:b/>
                <w:color w:val="auto"/>
                <w:spacing w:val="-2"/>
                <w:sz w:val="21"/>
                <w:szCs w:val="21"/>
                <w:highlight w:val="none"/>
                <w:lang w:eastAsia="zh-CN"/>
              </w:rPr>
            </w:pPr>
            <w:r>
              <w:rPr>
                <w:rFonts w:hint="eastAsia" w:ascii="宋体" w:hAnsi="宋体" w:eastAsia="宋体" w:cs="宋体"/>
                <w:b/>
                <w:color w:val="auto"/>
                <w:spacing w:val="-2"/>
                <w:sz w:val="21"/>
                <w:szCs w:val="21"/>
                <w:highlight w:val="none"/>
                <w:lang w:eastAsia="zh-CN"/>
              </w:rPr>
              <w:t>报价文件（报价部分）：100分（权重10%）</w:t>
            </w:r>
          </w:p>
          <w:p w14:paraId="4BC8AD7E">
            <w:pPr>
              <w:pStyle w:val="43"/>
              <w:spacing w:line="300" w:lineRule="auto"/>
              <w:rPr>
                <w:rFonts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投标人的综合得分（满分</w:t>
            </w:r>
            <w:r>
              <w:rPr>
                <w:rFonts w:ascii="宋体" w:hAnsi="宋体" w:eastAsia="宋体" w:cs="宋体"/>
                <w:color w:val="auto"/>
                <w:sz w:val="21"/>
                <w:szCs w:val="21"/>
                <w:highlight w:val="none"/>
                <w:u w:val="single"/>
                <w:lang w:eastAsia="zh-CN"/>
              </w:rPr>
              <w:t>100</w:t>
            </w:r>
            <w:r>
              <w:rPr>
                <w:rFonts w:hint="eastAsia" w:ascii="宋体" w:hAnsi="宋体" w:eastAsia="宋体" w:cs="宋体"/>
                <w:color w:val="auto"/>
                <w:sz w:val="21"/>
                <w:szCs w:val="21"/>
                <w:highlight w:val="none"/>
                <w:u w:val="single"/>
                <w:lang w:eastAsia="zh-CN"/>
              </w:rPr>
              <w:t>分）＝商务文件得分×3</w:t>
            </w:r>
            <w:r>
              <w:rPr>
                <w:rFonts w:ascii="宋体" w:hAnsi="宋体" w:eastAsia="宋体" w:cs="宋体"/>
                <w:color w:val="auto"/>
                <w:sz w:val="21"/>
                <w:szCs w:val="21"/>
                <w:highlight w:val="none"/>
                <w:u w:val="single"/>
                <w:lang w:eastAsia="zh-CN"/>
              </w:rPr>
              <w:t>0</w:t>
            </w:r>
            <w:r>
              <w:rPr>
                <w:rFonts w:hint="eastAsia" w:ascii="宋体" w:hAnsi="宋体" w:eastAsia="宋体" w:cs="宋体"/>
                <w:color w:val="auto"/>
                <w:sz w:val="21"/>
                <w:szCs w:val="21"/>
                <w:highlight w:val="none"/>
                <w:u w:val="single"/>
                <w:lang w:eastAsia="zh-CN"/>
              </w:rPr>
              <w:t>％</w:t>
            </w:r>
            <w:r>
              <w:rPr>
                <w:rFonts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eastAsia="zh-CN"/>
              </w:rPr>
              <w:t>技术文件得分×6</w:t>
            </w:r>
            <w:r>
              <w:rPr>
                <w:rFonts w:ascii="宋体" w:hAnsi="宋体" w:eastAsia="宋体" w:cs="宋体"/>
                <w:color w:val="auto"/>
                <w:sz w:val="21"/>
                <w:szCs w:val="21"/>
                <w:highlight w:val="none"/>
                <w:u w:val="single"/>
                <w:lang w:eastAsia="zh-CN"/>
              </w:rPr>
              <w:t>0</w:t>
            </w:r>
            <w:r>
              <w:rPr>
                <w:rFonts w:hint="eastAsia" w:ascii="宋体" w:hAnsi="宋体" w:eastAsia="宋体" w:cs="宋体"/>
                <w:color w:val="auto"/>
                <w:sz w:val="21"/>
                <w:szCs w:val="21"/>
                <w:highlight w:val="none"/>
                <w:u w:val="single"/>
                <w:lang w:eastAsia="zh-CN"/>
              </w:rPr>
              <w:t>％+</w:t>
            </w:r>
            <w:r>
              <w:rPr>
                <w:rFonts w:hint="eastAsia" w:ascii="宋体" w:hAnsi="宋体" w:eastAsia="宋体" w:cs="宋体"/>
                <w:b/>
                <w:color w:val="auto"/>
                <w:sz w:val="21"/>
                <w:szCs w:val="21"/>
                <w:highlight w:val="none"/>
                <w:u w:val="single"/>
                <w:lang w:eastAsia="zh-CN"/>
              </w:rPr>
              <w:t>报价文件得分×1</w:t>
            </w:r>
            <w:r>
              <w:rPr>
                <w:rFonts w:ascii="宋体" w:hAnsi="宋体" w:eastAsia="宋体" w:cs="宋体"/>
                <w:b/>
                <w:color w:val="auto"/>
                <w:sz w:val="21"/>
                <w:szCs w:val="21"/>
                <w:highlight w:val="none"/>
                <w:u w:val="single"/>
                <w:lang w:eastAsia="zh-CN"/>
              </w:rPr>
              <w:t>0</w:t>
            </w:r>
            <w:r>
              <w:rPr>
                <w:rFonts w:hint="eastAsia" w:ascii="宋体" w:hAnsi="宋体" w:eastAsia="宋体" w:cs="宋体"/>
                <w:b/>
                <w:color w:val="auto"/>
                <w:sz w:val="21"/>
                <w:szCs w:val="21"/>
                <w:highlight w:val="none"/>
                <w:u w:val="single"/>
                <w:lang w:eastAsia="zh-CN"/>
              </w:rPr>
              <w:t>％</w:t>
            </w:r>
          </w:p>
        </w:tc>
      </w:tr>
      <w:tr w14:paraId="4589E831">
        <w:tblPrEx>
          <w:tblCellMar>
            <w:top w:w="0" w:type="dxa"/>
            <w:left w:w="0" w:type="dxa"/>
            <w:bottom w:w="0" w:type="dxa"/>
            <w:right w:w="0" w:type="dxa"/>
          </w:tblCellMar>
        </w:tblPrEx>
        <w:trPr>
          <w:trHeight w:val="454" w:hRule="atLeast"/>
          <w:jc w:val="center"/>
        </w:trPr>
        <w:tc>
          <w:tcPr>
            <w:tcW w:w="1530" w:type="dxa"/>
            <w:gridSpan w:val="2"/>
            <w:tcBorders>
              <w:top w:val="single" w:color="000000" w:sz="4" w:space="0"/>
              <w:left w:val="single" w:color="000000" w:sz="4" w:space="0"/>
              <w:bottom w:val="single" w:color="000000" w:sz="4" w:space="0"/>
              <w:right w:val="single" w:color="000000" w:sz="4" w:space="0"/>
            </w:tcBorders>
            <w:vAlign w:val="center"/>
          </w:tcPr>
          <w:p w14:paraId="66143ACD">
            <w:pPr>
              <w:pStyle w:val="43"/>
              <w:spacing w:line="30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2.2.2</w:t>
            </w:r>
          </w:p>
        </w:tc>
        <w:tc>
          <w:tcPr>
            <w:tcW w:w="1966" w:type="dxa"/>
            <w:tcBorders>
              <w:top w:val="single" w:color="000000" w:sz="4" w:space="0"/>
              <w:left w:val="single" w:color="000000" w:sz="4" w:space="0"/>
              <w:bottom w:val="single" w:color="000000" w:sz="4" w:space="0"/>
              <w:right w:val="single" w:color="000000" w:sz="4" w:space="0"/>
            </w:tcBorders>
            <w:vAlign w:val="center"/>
          </w:tcPr>
          <w:p w14:paraId="6BE4548B">
            <w:pPr>
              <w:pStyle w:val="43"/>
              <w:spacing w:line="30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评标基准价计算方法</w:t>
            </w:r>
          </w:p>
        </w:tc>
        <w:tc>
          <w:tcPr>
            <w:tcW w:w="6568" w:type="dxa"/>
            <w:tcBorders>
              <w:top w:val="single" w:color="000000" w:sz="4" w:space="0"/>
              <w:left w:val="single" w:color="000000" w:sz="4" w:space="0"/>
              <w:bottom w:val="single" w:color="000000" w:sz="4" w:space="0"/>
              <w:right w:val="single" w:color="000000" w:sz="4" w:space="0"/>
            </w:tcBorders>
            <w:vAlign w:val="center"/>
          </w:tcPr>
          <w:p w14:paraId="2F6973E6">
            <w:pPr>
              <w:spacing w:line="300" w:lineRule="auto"/>
              <w:jc w:val="both"/>
              <w:rPr>
                <w:rFonts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w:t>
            </w:r>
            <w:r>
              <w:rPr>
                <w:rFonts w:ascii="宋体" w:hAnsi="宋体" w:eastAsia="宋体"/>
                <w:b/>
                <w:color w:val="auto"/>
                <w:sz w:val="21"/>
                <w:szCs w:val="21"/>
                <w:highlight w:val="none"/>
                <w:lang w:eastAsia="zh-CN"/>
              </w:rPr>
              <w:t>1</w:t>
            </w:r>
            <w:r>
              <w:rPr>
                <w:rFonts w:hint="eastAsia" w:ascii="宋体" w:hAnsi="宋体" w:eastAsia="宋体"/>
                <w:b/>
                <w:color w:val="auto"/>
                <w:sz w:val="21"/>
                <w:szCs w:val="21"/>
                <w:highlight w:val="none"/>
                <w:lang w:eastAsia="zh-CN"/>
              </w:rPr>
              <w:t>）当通过形式评审、资格评审、响应性评审且投标总报价处于计算评标基准价的有效投标价范围内的有效投标人，取有效报价的算术平均值作为报价基准价。（保留小数点后二位，第三位小数四舍五入）</w:t>
            </w:r>
          </w:p>
          <w:p w14:paraId="79939836">
            <w:pPr>
              <w:spacing w:line="300" w:lineRule="auto"/>
              <w:jc w:val="both"/>
              <w:rPr>
                <w:rFonts w:ascii="宋体" w:hAnsi="宋体" w:eastAsia="宋体"/>
                <w:strike/>
                <w:color w:val="auto"/>
                <w:sz w:val="21"/>
                <w:szCs w:val="21"/>
                <w:highlight w:val="none"/>
                <w:lang w:eastAsia="zh-CN"/>
              </w:rPr>
            </w:pPr>
            <w:r>
              <w:rPr>
                <w:rFonts w:hint="eastAsia" w:ascii="宋体" w:hAnsi="宋体" w:eastAsia="宋体"/>
                <w:b/>
                <w:color w:val="auto"/>
                <w:sz w:val="21"/>
                <w:szCs w:val="21"/>
                <w:highlight w:val="none"/>
                <w:lang w:eastAsia="zh-CN"/>
              </w:rPr>
              <w:t>（2）等于基准价格的投标报价定为100分，高于基准价格的评标价格则按其比例，每高于1％减1.5分，低于基准价格的评标价格也按其比例，每低于1％减1分，如此类推，算出所有投标人的价格评分。然后乘以报价的权重最终得到投标人的报价得分。</w:t>
            </w:r>
          </w:p>
        </w:tc>
      </w:tr>
      <w:tr w14:paraId="15E1990B">
        <w:tblPrEx>
          <w:tblCellMar>
            <w:top w:w="0" w:type="dxa"/>
            <w:left w:w="0" w:type="dxa"/>
            <w:bottom w:w="0" w:type="dxa"/>
            <w:right w:w="0" w:type="dxa"/>
          </w:tblCellMar>
        </w:tblPrEx>
        <w:trPr>
          <w:trHeight w:val="454" w:hRule="atLeast"/>
          <w:jc w:val="center"/>
        </w:trPr>
        <w:tc>
          <w:tcPr>
            <w:tcW w:w="1530" w:type="dxa"/>
            <w:gridSpan w:val="2"/>
            <w:tcBorders>
              <w:top w:val="single" w:color="000000" w:sz="4" w:space="0"/>
              <w:left w:val="single" w:color="000000" w:sz="4" w:space="0"/>
              <w:bottom w:val="single" w:color="000000" w:sz="4" w:space="0"/>
              <w:right w:val="single" w:color="000000" w:sz="4" w:space="0"/>
            </w:tcBorders>
            <w:vAlign w:val="center"/>
          </w:tcPr>
          <w:p w14:paraId="13F486BF">
            <w:pPr>
              <w:pStyle w:val="43"/>
              <w:spacing w:line="300" w:lineRule="auto"/>
              <w:jc w:val="center"/>
              <w:rPr>
                <w:rFonts w:ascii="宋体" w:hAnsi="宋体" w:eastAsia="宋体"/>
                <w:color w:val="auto"/>
                <w:sz w:val="21"/>
                <w:szCs w:val="21"/>
                <w:highlight w:val="none"/>
              </w:rPr>
            </w:pPr>
            <w:r>
              <w:rPr>
                <w:rFonts w:ascii="宋体" w:hAnsi="宋体" w:eastAsia="宋体"/>
                <w:color w:val="auto"/>
                <w:sz w:val="21"/>
                <w:szCs w:val="21"/>
                <w:highlight w:val="none"/>
              </w:rPr>
              <w:t>2.2.3</w:t>
            </w:r>
          </w:p>
        </w:tc>
        <w:tc>
          <w:tcPr>
            <w:tcW w:w="1966" w:type="dxa"/>
            <w:tcBorders>
              <w:top w:val="single" w:color="000000" w:sz="4" w:space="0"/>
              <w:left w:val="single" w:color="000000" w:sz="4" w:space="0"/>
              <w:bottom w:val="single" w:color="000000" w:sz="4" w:space="0"/>
              <w:right w:val="single" w:color="000000" w:sz="4" w:space="0"/>
            </w:tcBorders>
            <w:vAlign w:val="center"/>
          </w:tcPr>
          <w:p w14:paraId="0CE7B594">
            <w:pPr>
              <w:pStyle w:val="43"/>
              <w:spacing w:line="300" w:lineRule="auto"/>
              <w:jc w:val="center"/>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投标报价的偏差率计算公式</w:t>
            </w:r>
          </w:p>
        </w:tc>
        <w:tc>
          <w:tcPr>
            <w:tcW w:w="6568" w:type="dxa"/>
            <w:tcBorders>
              <w:top w:val="single" w:color="000000" w:sz="4" w:space="0"/>
              <w:left w:val="single" w:color="000000" w:sz="4" w:space="0"/>
              <w:bottom w:val="single" w:color="000000" w:sz="4" w:space="0"/>
              <w:right w:val="single" w:color="000000" w:sz="4" w:space="0"/>
            </w:tcBorders>
            <w:vAlign w:val="center"/>
          </w:tcPr>
          <w:p w14:paraId="44C317C1">
            <w:pPr>
              <w:spacing w:line="300" w:lineRule="auto"/>
              <w:jc w:val="both"/>
              <w:rPr>
                <w:rFonts w:ascii="宋体" w:hAnsi="宋体" w:eastAsia="宋体"/>
                <w:strike/>
                <w:color w:val="auto"/>
                <w:sz w:val="21"/>
                <w:szCs w:val="21"/>
                <w:highlight w:val="none"/>
                <w:lang w:eastAsia="zh-CN"/>
              </w:rPr>
            </w:pPr>
            <w:r>
              <w:rPr>
                <w:rFonts w:hint="eastAsia" w:ascii="宋体" w:hAnsi="宋体" w:eastAsia="宋体"/>
                <w:color w:val="auto"/>
                <w:sz w:val="21"/>
                <w:szCs w:val="21"/>
                <w:highlight w:val="none"/>
                <w:lang w:eastAsia="zh-CN"/>
              </w:rPr>
              <w:t>偏差率</w:t>
            </w:r>
            <w:r>
              <w:rPr>
                <w:rFonts w:ascii="宋体" w:hAnsi="宋体" w:eastAsia="宋体"/>
                <w:color w:val="auto"/>
                <w:sz w:val="21"/>
                <w:szCs w:val="21"/>
                <w:highlight w:val="none"/>
                <w:lang w:eastAsia="zh-CN"/>
              </w:rPr>
              <w:t>=100% ×|</w:t>
            </w:r>
            <w:r>
              <w:rPr>
                <w:rFonts w:hint="eastAsia" w:ascii="宋体" w:hAnsi="宋体" w:eastAsia="宋体"/>
                <w:color w:val="auto"/>
                <w:sz w:val="21"/>
                <w:szCs w:val="21"/>
                <w:highlight w:val="none"/>
                <w:lang w:eastAsia="zh-CN"/>
              </w:rPr>
              <w:t>（投标人有效投标总报价</w:t>
            </w:r>
            <w:r>
              <w:rPr>
                <w:rFonts w:ascii="宋体" w:hAnsi="宋体" w:eastAsia="宋体"/>
                <w:color w:val="auto"/>
                <w:sz w:val="21"/>
                <w:szCs w:val="21"/>
                <w:highlight w:val="none"/>
                <w:lang w:eastAsia="zh-CN"/>
              </w:rPr>
              <w:t>-</w:t>
            </w:r>
            <w:r>
              <w:rPr>
                <w:rFonts w:hint="eastAsia" w:ascii="宋体" w:hAnsi="宋体" w:eastAsia="宋体"/>
                <w:color w:val="auto"/>
                <w:sz w:val="21"/>
                <w:szCs w:val="21"/>
                <w:highlight w:val="none"/>
                <w:lang w:eastAsia="zh-CN"/>
              </w:rPr>
              <w:t>评标基准价）</w:t>
            </w:r>
            <w:r>
              <w:rPr>
                <w:rFonts w:ascii="宋体" w:hAnsi="宋体" w:eastAsia="宋体"/>
                <w:color w:val="auto"/>
                <w:sz w:val="21"/>
                <w:szCs w:val="21"/>
                <w:highlight w:val="none"/>
                <w:lang w:eastAsia="zh-CN"/>
              </w:rPr>
              <w:t>|/</w:t>
            </w:r>
            <w:r>
              <w:rPr>
                <w:rFonts w:hint="eastAsia" w:ascii="宋体" w:hAnsi="宋体" w:eastAsia="宋体"/>
                <w:color w:val="auto"/>
                <w:sz w:val="21"/>
                <w:szCs w:val="21"/>
                <w:highlight w:val="none"/>
                <w:lang w:eastAsia="zh-CN"/>
              </w:rPr>
              <w:t>评标基准价（偏差率以四舍五入保留</w:t>
            </w:r>
            <w:r>
              <w:rPr>
                <w:rFonts w:ascii="宋体" w:hAnsi="宋体" w:eastAsia="宋体"/>
                <w:color w:val="auto"/>
                <w:sz w:val="21"/>
                <w:szCs w:val="21"/>
                <w:highlight w:val="none"/>
                <w:lang w:eastAsia="zh-CN"/>
              </w:rPr>
              <w:t>2</w:t>
            </w:r>
            <w:r>
              <w:rPr>
                <w:rFonts w:hint="eastAsia" w:ascii="宋体" w:hAnsi="宋体" w:eastAsia="宋体"/>
                <w:color w:val="auto"/>
                <w:sz w:val="21"/>
                <w:szCs w:val="21"/>
                <w:highlight w:val="none"/>
                <w:lang w:eastAsia="zh-CN"/>
              </w:rPr>
              <w:t>位小数点，报价偏差率不足</w:t>
            </w:r>
            <w:r>
              <w:rPr>
                <w:rFonts w:ascii="宋体" w:hAnsi="宋体" w:eastAsia="宋体"/>
                <w:color w:val="auto"/>
                <w:sz w:val="21"/>
                <w:szCs w:val="21"/>
                <w:highlight w:val="none"/>
                <w:lang w:eastAsia="zh-CN"/>
              </w:rPr>
              <w:t>1%</w:t>
            </w:r>
            <w:r>
              <w:rPr>
                <w:rFonts w:hint="eastAsia" w:ascii="宋体" w:hAnsi="宋体" w:eastAsia="宋体"/>
                <w:color w:val="auto"/>
                <w:sz w:val="21"/>
                <w:szCs w:val="21"/>
                <w:highlight w:val="none"/>
                <w:lang w:eastAsia="zh-CN"/>
              </w:rPr>
              <w:t>的，按直线内插法计算投标报价得分）</w:t>
            </w:r>
          </w:p>
        </w:tc>
      </w:tr>
      <w:tr w14:paraId="0B581968">
        <w:tblPrEx>
          <w:tblCellMar>
            <w:top w:w="0" w:type="dxa"/>
            <w:left w:w="0" w:type="dxa"/>
            <w:bottom w:w="0" w:type="dxa"/>
            <w:right w:w="0" w:type="dxa"/>
          </w:tblCellMar>
        </w:tblPrEx>
        <w:trPr>
          <w:trHeight w:val="454" w:hRule="atLeast"/>
          <w:jc w:val="center"/>
        </w:trPr>
        <w:tc>
          <w:tcPr>
            <w:tcW w:w="1530" w:type="dxa"/>
            <w:gridSpan w:val="2"/>
            <w:tcBorders>
              <w:top w:val="single" w:color="000000" w:sz="4" w:space="0"/>
              <w:left w:val="single" w:color="000000" w:sz="4" w:space="0"/>
              <w:bottom w:val="single" w:color="auto" w:sz="4" w:space="0"/>
              <w:right w:val="single" w:color="000000" w:sz="4" w:space="0"/>
            </w:tcBorders>
            <w:vAlign w:val="center"/>
          </w:tcPr>
          <w:p w14:paraId="4FE61A78">
            <w:pPr>
              <w:pStyle w:val="43"/>
              <w:spacing w:line="300" w:lineRule="auto"/>
              <w:jc w:val="center"/>
              <w:rPr>
                <w:rFonts w:ascii="宋体" w:hAnsi="宋体" w:eastAsia="宋体" w:cs="Microsoft JhengHei"/>
                <w:color w:val="auto"/>
                <w:sz w:val="21"/>
                <w:szCs w:val="21"/>
                <w:highlight w:val="none"/>
              </w:rPr>
            </w:pPr>
            <w:r>
              <w:rPr>
                <w:rFonts w:ascii="宋体" w:hAnsi="宋体" w:eastAsia="宋体" w:cs="Microsoft JhengHei"/>
                <w:b/>
                <w:bCs/>
                <w:color w:val="auto"/>
                <w:sz w:val="21"/>
                <w:szCs w:val="21"/>
                <w:highlight w:val="none"/>
              </w:rPr>
              <w:t>条款号</w:t>
            </w:r>
          </w:p>
        </w:tc>
        <w:tc>
          <w:tcPr>
            <w:tcW w:w="1966" w:type="dxa"/>
            <w:tcBorders>
              <w:top w:val="single" w:color="000000" w:sz="4" w:space="0"/>
              <w:left w:val="single" w:color="000000" w:sz="4" w:space="0"/>
              <w:bottom w:val="single" w:color="auto" w:sz="4" w:space="0"/>
              <w:right w:val="single" w:color="000000" w:sz="4" w:space="0"/>
            </w:tcBorders>
            <w:vAlign w:val="center"/>
          </w:tcPr>
          <w:p w14:paraId="7F282E64">
            <w:pPr>
              <w:pStyle w:val="43"/>
              <w:spacing w:line="300" w:lineRule="auto"/>
              <w:jc w:val="center"/>
              <w:rPr>
                <w:rFonts w:ascii="宋体" w:hAnsi="宋体" w:eastAsia="宋体" w:cs="Microsoft JhengHei"/>
                <w:color w:val="auto"/>
                <w:sz w:val="21"/>
                <w:szCs w:val="21"/>
                <w:highlight w:val="none"/>
              </w:rPr>
            </w:pPr>
            <w:r>
              <w:rPr>
                <w:rFonts w:ascii="宋体" w:hAnsi="宋体" w:eastAsia="宋体" w:cs="Microsoft JhengHei"/>
                <w:b/>
                <w:bCs/>
                <w:color w:val="auto"/>
                <w:sz w:val="21"/>
                <w:szCs w:val="21"/>
                <w:highlight w:val="none"/>
              </w:rPr>
              <w:t>评分因素</w:t>
            </w:r>
          </w:p>
        </w:tc>
        <w:tc>
          <w:tcPr>
            <w:tcW w:w="6568" w:type="dxa"/>
            <w:tcBorders>
              <w:top w:val="single" w:color="000000" w:sz="4" w:space="0"/>
              <w:left w:val="single" w:color="000000" w:sz="4" w:space="0"/>
              <w:bottom w:val="single" w:color="auto" w:sz="4" w:space="0"/>
              <w:right w:val="single" w:color="000000" w:sz="4" w:space="0"/>
            </w:tcBorders>
            <w:vAlign w:val="center"/>
          </w:tcPr>
          <w:p w14:paraId="3ACB02C8">
            <w:pPr>
              <w:pStyle w:val="43"/>
              <w:spacing w:line="300" w:lineRule="auto"/>
              <w:jc w:val="center"/>
              <w:rPr>
                <w:rFonts w:ascii="宋体" w:hAnsi="宋体" w:eastAsia="宋体" w:cs="Microsoft JhengHei"/>
                <w:color w:val="auto"/>
                <w:sz w:val="21"/>
                <w:szCs w:val="21"/>
                <w:highlight w:val="none"/>
              </w:rPr>
            </w:pPr>
            <w:r>
              <w:rPr>
                <w:rFonts w:ascii="宋体" w:hAnsi="宋体" w:eastAsia="宋体" w:cs="Microsoft JhengHei"/>
                <w:b/>
                <w:bCs/>
                <w:color w:val="auto"/>
                <w:sz w:val="21"/>
                <w:szCs w:val="21"/>
                <w:highlight w:val="none"/>
              </w:rPr>
              <w:t>评分标准</w:t>
            </w:r>
          </w:p>
        </w:tc>
      </w:tr>
      <w:tr w14:paraId="1DD6A2E1">
        <w:tblPrEx>
          <w:tblCellMar>
            <w:top w:w="0" w:type="dxa"/>
            <w:left w:w="0" w:type="dxa"/>
            <w:bottom w:w="0" w:type="dxa"/>
            <w:right w:w="0" w:type="dxa"/>
          </w:tblCellMar>
        </w:tblPrEx>
        <w:trPr>
          <w:trHeight w:val="454" w:hRule="atLeast"/>
          <w:jc w:val="center"/>
        </w:trPr>
        <w:tc>
          <w:tcPr>
            <w:tcW w:w="625" w:type="dxa"/>
            <w:vMerge w:val="restart"/>
            <w:tcBorders>
              <w:top w:val="single" w:color="auto" w:sz="4" w:space="0"/>
              <w:left w:val="single" w:color="auto" w:sz="4" w:space="0"/>
              <w:bottom w:val="single" w:color="auto" w:sz="4" w:space="0"/>
              <w:right w:val="single" w:color="auto" w:sz="4" w:space="0"/>
            </w:tcBorders>
            <w:vAlign w:val="center"/>
          </w:tcPr>
          <w:p w14:paraId="55EC3FE9">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r>
              <w:rPr>
                <w:rFonts w:ascii="宋体" w:hAnsi="宋体" w:eastAsia="宋体" w:cs="宋体"/>
                <w:color w:val="auto"/>
                <w:sz w:val="21"/>
                <w:szCs w:val="21"/>
                <w:highlight w:val="none"/>
              </w:rPr>
              <w:t>（</w:t>
            </w:r>
            <w:r>
              <w:rPr>
                <w:rFonts w:hint="eastAsia" w:ascii="宋体" w:hAnsi="宋体" w:eastAsia="宋体" w:cs="宋体"/>
                <w:color w:val="auto"/>
                <w:sz w:val="21"/>
                <w:szCs w:val="21"/>
                <w:highlight w:val="none"/>
              </w:rPr>
              <w:t>1</w:t>
            </w:r>
            <w:r>
              <w:rPr>
                <w:rFonts w:ascii="宋体" w:hAnsi="宋体" w:eastAsia="宋体" w:cs="宋体"/>
                <w:color w:val="auto"/>
                <w:sz w:val="21"/>
                <w:szCs w:val="21"/>
                <w:highlight w:val="none"/>
              </w:rPr>
              <w:t>）</w:t>
            </w:r>
          </w:p>
        </w:tc>
        <w:tc>
          <w:tcPr>
            <w:tcW w:w="905" w:type="dxa"/>
            <w:vMerge w:val="restart"/>
            <w:tcBorders>
              <w:top w:val="single" w:color="auto" w:sz="4" w:space="0"/>
              <w:left w:val="single" w:color="auto" w:sz="4" w:space="0"/>
              <w:bottom w:val="single" w:color="auto" w:sz="4" w:space="0"/>
              <w:right w:val="single" w:color="auto" w:sz="4" w:space="0"/>
            </w:tcBorders>
            <w:vAlign w:val="center"/>
          </w:tcPr>
          <w:p w14:paraId="3911521E">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商务文件（资信业绩评分标准）（100分）</w:t>
            </w:r>
          </w:p>
        </w:tc>
        <w:tc>
          <w:tcPr>
            <w:tcW w:w="1966" w:type="dxa"/>
            <w:tcBorders>
              <w:top w:val="single" w:color="auto" w:sz="4" w:space="0"/>
              <w:left w:val="single" w:color="auto" w:sz="4" w:space="0"/>
              <w:bottom w:val="single" w:color="auto" w:sz="4" w:space="0"/>
              <w:right w:val="single" w:color="auto" w:sz="4" w:space="0"/>
            </w:tcBorders>
            <w:vAlign w:val="center"/>
          </w:tcPr>
          <w:p w14:paraId="56EE8B21">
            <w:pPr>
              <w:pStyle w:val="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类似项目经验（</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5分）</w:t>
            </w:r>
          </w:p>
        </w:tc>
        <w:tc>
          <w:tcPr>
            <w:tcW w:w="6568" w:type="dxa"/>
            <w:tcBorders>
              <w:top w:val="single" w:color="auto" w:sz="4" w:space="0"/>
              <w:left w:val="single" w:color="auto" w:sz="4" w:space="0"/>
              <w:bottom w:val="single" w:color="auto" w:sz="4" w:space="0"/>
              <w:right w:val="single" w:color="auto" w:sz="4" w:space="0"/>
            </w:tcBorders>
            <w:vAlign w:val="center"/>
          </w:tcPr>
          <w:p w14:paraId="108ED504">
            <w:pPr>
              <w:spacing w:line="300" w:lineRule="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投标人20</w:t>
            </w:r>
            <w:r>
              <w:rPr>
                <w:rFonts w:hint="eastAsia" w:ascii="宋体" w:hAnsi="宋体" w:eastAsia="宋体" w:cs="宋体"/>
                <w:bCs/>
                <w:color w:val="auto"/>
                <w:sz w:val="21"/>
                <w:szCs w:val="21"/>
                <w:highlight w:val="none"/>
                <w:lang w:val="en-US" w:eastAsia="zh-CN"/>
              </w:rPr>
              <w:t>21</w:t>
            </w:r>
            <w:r>
              <w:rPr>
                <w:rFonts w:hint="eastAsia" w:ascii="宋体" w:hAnsi="宋体" w:eastAsia="宋体" w:cs="宋体"/>
                <w:bCs/>
                <w:color w:val="auto"/>
                <w:sz w:val="21"/>
                <w:szCs w:val="21"/>
                <w:highlight w:val="none"/>
              </w:rPr>
              <w:t>年1月1日至投标截止时间止，完成过总建筑面积≥</w:t>
            </w:r>
            <w:r>
              <w:rPr>
                <w:rFonts w:hint="eastAsia" w:ascii="宋体" w:hAnsi="宋体" w:eastAsia="宋体" w:cs="宋体"/>
                <w:bCs/>
                <w:color w:val="auto"/>
                <w:sz w:val="21"/>
                <w:szCs w:val="21"/>
                <w:highlight w:val="none"/>
                <w:lang w:val="en-US" w:eastAsia="zh-CN"/>
              </w:rPr>
              <w:t>16</w:t>
            </w:r>
            <w:r>
              <w:rPr>
                <w:rFonts w:hint="eastAsia" w:ascii="宋体" w:hAnsi="宋体" w:eastAsia="宋体" w:cs="宋体"/>
                <w:bCs/>
                <w:color w:val="auto"/>
                <w:sz w:val="21"/>
                <w:szCs w:val="21"/>
                <w:highlight w:val="none"/>
              </w:rPr>
              <w:t>000平方米的房屋建筑工程设计业绩的，每项得5分，最高得25分。</w:t>
            </w:r>
          </w:p>
          <w:p w14:paraId="5523638C">
            <w:pPr>
              <w:spacing w:line="300" w:lineRule="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注：①业绩时间以设计合同签订时间为准，业绩金额以合同金额为准；②合同里面需包含方案设计</w:t>
            </w:r>
            <w:r>
              <w:rPr>
                <w:rFonts w:hint="eastAsia" w:ascii="宋体" w:hAnsi="宋体" w:eastAsia="宋体" w:cs="宋体"/>
                <w:bCs/>
                <w:color w:val="auto"/>
                <w:sz w:val="21"/>
                <w:szCs w:val="21"/>
                <w:highlight w:val="none"/>
                <w:lang w:val="en-US" w:eastAsia="zh-CN"/>
              </w:rPr>
              <w:t>阶段</w:t>
            </w:r>
            <w:r>
              <w:rPr>
                <w:rFonts w:hint="eastAsia" w:ascii="宋体" w:hAnsi="宋体" w:eastAsia="宋体" w:cs="宋体"/>
                <w:bCs/>
                <w:color w:val="auto"/>
                <w:sz w:val="21"/>
                <w:szCs w:val="21"/>
                <w:highlight w:val="none"/>
                <w:lang w:eastAsia="zh-CN"/>
              </w:rPr>
              <w:t>，需提供合同关键页（若合同不能反映合同额度的还需提供业主证明）证明材料复印件并加盖投标人公章作为评审依据，否则不得分。</w:t>
            </w:r>
          </w:p>
        </w:tc>
      </w:tr>
      <w:tr w14:paraId="3030AF1F">
        <w:tblPrEx>
          <w:tblCellMar>
            <w:top w:w="0" w:type="dxa"/>
            <w:left w:w="0" w:type="dxa"/>
            <w:bottom w:w="0" w:type="dxa"/>
            <w:right w:w="0" w:type="dxa"/>
          </w:tblCellMar>
        </w:tblPrEx>
        <w:trPr>
          <w:trHeight w:val="454"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14:paraId="5CF4BD27">
            <w:pPr>
              <w:pStyle w:val="43"/>
              <w:spacing w:line="300" w:lineRule="auto"/>
              <w:jc w:val="center"/>
              <w:rPr>
                <w:rFonts w:ascii="宋体" w:hAnsi="宋体" w:eastAsia="宋体" w:cs="宋体"/>
                <w:color w:val="auto"/>
                <w:sz w:val="21"/>
                <w:szCs w:val="21"/>
                <w:highlight w:val="none"/>
                <w:lang w:eastAsia="zh-CN"/>
              </w:rPr>
            </w:pPr>
          </w:p>
        </w:tc>
        <w:tc>
          <w:tcPr>
            <w:tcW w:w="905" w:type="dxa"/>
            <w:vMerge w:val="continue"/>
            <w:tcBorders>
              <w:top w:val="single" w:color="auto" w:sz="4" w:space="0"/>
              <w:left w:val="single" w:color="auto" w:sz="4" w:space="0"/>
              <w:bottom w:val="single" w:color="auto" w:sz="4" w:space="0"/>
              <w:right w:val="single" w:color="auto" w:sz="4" w:space="0"/>
            </w:tcBorders>
            <w:vAlign w:val="center"/>
          </w:tcPr>
          <w:p w14:paraId="1482D6A4">
            <w:pPr>
              <w:pStyle w:val="43"/>
              <w:spacing w:line="300" w:lineRule="auto"/>
              <w:jc w:val="center"/>
              <w:rPr>
                <w:rFonts w:ascii="宋体" w:hAnsi="宋体" w:eastAsia="宋体" w:cs="宋体"/>
                <w:color w:val="auto"/>
                <w:sz w:val="21"/>
                <w:szCs w:val="21"/>
                <w:highlight w:val="none"/>
                <w:lang w:eastAsia="zh-CN"/>
              </w:rPr>
            </w:pPr>
          </w:p>
        </w:tc>
        <w:tc>
          <w:tcPr>
            <w:tcW w:w="1966" w:type="dxa"/>
            <w:tcBorders>
              <w:top w:val="single" w:color="auto" w:sz="4" w:space="0"/>
              <w:left w:val="single" w:color="auto" w:sz="4" w:space="0"/>
              <w:bottom w:val="single" w:color="auto" w:sz="4" w:space="0"/>
              <w:right w:val="single" w:color="auto" w:sz="4" w:space="0"/>
            </w:tcBorders>
            <w:vAlign w:val="center"/>
          </w:tcPr>
          <w:p w14:paraId="38524F5E">
            <w:pPr>
              <w:pStyle w:val="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企业获奖业绩（</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z w:val="21"/>
                <w:szCs w:val="21"/>
                <w:highlight w:val="none"/>
              </w:rPr>
              <w:t>分）</w:t>
            </w:r>
          </w:p>
        </w:tc>
        <w:tc>
          <w:tcPr>
            <w:tcW w:w="6568" w:type="dxa"/>
            <w:tcBorders>
              <w:top w:val="single" w:color="auto" w:sz="4" w:space="0"/>
              <w:left w:val="single" w:color="auto" w:sz="4" w:space="0"/>
              <w:bottom w:val="single" w:color="auto" w:sz="4" w:space="0"/>
              <w:right w:val="single" w:color="auto" w:sz="4" w:space="0"/>
            </w:tcBorders>
            <w:vAlign w:val="center"/>
          </w:tcPr>
          <w:p w14:paraId="5ED7B95F">
            <w:pPr>
              <w:pStyle w:val="43"/>
              <w:spacing w:line="300" w:lineRule="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投标人2021年1月1日至投标截止时间止，</w:t>
            </w:r>
            <w:r>
              <w:rPr>
                <w:rFonts w:hint="eastAsia" w:ascii="宋体" w:hAnsi="宋体" w:eastAsia="宋体" w:cs="宋体"/>
                <w:bCs/>
                <w:color w:val="auto"/>
                <w:sz w:val="21"/>
                <w:szCs w:val="21"/>
                <w:highlight w:val="none"/>
              </w:rPr>
              <w:t>投标人</w:t>
            </w:r>
            <w:r>
              <w:rPr>
                <w:rFonts w:hint="eastAsia" w:ascii="宋体" w:hAnsi="宋体" w:eastAsia="宋体" w:cs="宋体"/>
                <w:bCs/>
                <w:color w:val="auto"/>
                <w:sz w:val="21"/>
                <w:szCs w:val="21"/>
                <w:highlight w:val="none"/>
                <w:lang w:eastAsia="zh-CN"/>
              </w:rPr>
              <w:t>承揽的建筑工程设计项目（含建筑装饰类）获得过</w:t>
            </w:r>
            <w:r>
              <w:rPr>
                <w:rFonts w:hint="eastAsia" w:ascii="宋体" w:hAnsi="宋体" w:eastAsia="宋体" w:cs="宋体"/>
                <w:color w:val="auto"/>
                <w:sz w:val="21"/>
                <w:szCs w:val="21"/>
                <w:highlight w:val="none"/>
              </w:rPr>
              <w:t>国家级</w:t>
            </w:r>
            <w:r>
              <w:rPr>
                <w:rFonts w:hint="eastAsia" w:ascii="宋体" w:hAnsi="宋体" w:eastAsia="宋体" w:cs="宋体"/>
                <w:color w:val="auto"/>
                <w:sz w:val="21"/>
                <w:szCs w:val="21"/>
                <w:highlight w:val="none"/>
                <w:lang w:eastAsia="zh-CN"/>
              </w:rPr>
              <w:t>奖项</w:t>
            </w:r>
            <w:r>
              <w:rPr>
                <w:rFonts w:hint="eastAsia" w:ascii="宋体" w:hAnsi="宋体" w:eastAsia="宋体" w:cs="宋体"/>
                <w:bCs/>
                <w:color w:val="auto"/>
                <w:sz w:val="21"/>
                <w:szCs w:val="21"/>
                <w:highlight w:val="none"/>
                <w:lang w:eastAsia="zh-CN"/>
              </w:rPr>
              <w:t>，每项得</w:t>
            </w:r>
            <w:r>
              <w:rPr>
                <w:rFonts w:hint="eastAsia" w:ascii="宋体" w:hAnsi="宋体" w:eastAsia="宋体" w:cs="宋体"/>
                <w:bCs/>
                <w:color w:val="auto"/>
                <w:sz w:val="21"/>
                <w:szCs w:val="21"/>
                <w:highlight w:val="none"/>
                <w:lang w:val="en-US" w:eastAsia="zh-CN"/>
              </w:rPr>
              <w:t>20</w:t>
            </w:r>
            <w:r>
              <w:rPr>
                <w:rFonts w:hint="eastAsia" w:ascii="宋体" w:hAnsi="宋体" w:eastAsia="宋体" w:cs="宋体"/>
                <w:bCs/>
                <w:color w:val="auto"/>
                <w:sz w:val="21"/>
                <w:szCs w:val="21"/>
                <w:highlight w:val="none"/>
                <w:lang w:eastAsia="zh-CN"/>
              </w:rPr>
              <w:t>分；获得过省级（或以上等级）优秀工程勘察设计类奖项，每项得</w:t>
            </w:r>
            <w:r>
              <w:rPr>
                <w:rFonts w:hint="eastAsia" w:ascii="宋体" w:hAns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lang w:eastAsia="zh-CN"/>
              </w:rPr>
              <w:t>分；获得过市级优秀工程勘察设计类奖项，每项得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eastAsia="zh-CN"/>
              </w:rPr>
              <w:t>分；最多得</w:t>
            </w:r>
            <w:r>
              <w:rPr>
                <w:rFonts w:hint="eastAsia" w:ascii="宋体" w:hAnsi="宋体" w:eastAsia="宋体" w:cs="宋体"/>
                <w:bCs/>
                <w:color w:val="auto"/>
                <w:sz w:val="21"/>
                <w:szCs w:val="21"/>
                <w:highlight w:val="none"/>
                <w:lang w:val="en-US" w:eastAsia="zh-CN"/>
              </w:rPr>
              <w:t>45</w:t>
            </w:r>
            <w:r>
              <w:rPr>
                <w:rFonts w:hint="eastAsia" w:ascii="宋体" w:hAnsi="宋体" w:eastAsia="宋体" w:cs="宋体"/>
                <w:bCs/>
                <w:color w:val="auto"/>
                <w:sz w:val="21"/>
                <w:szCs w:val="21"/>
                <w:highlight w:val="none"/>
                <w:lang w:eastAsia="zh-CN"/>
              </w:rPr>
              <w:t>分。</w:t>
            </w:r>
          </w:p>
          <w:p w14:paraId="7171B3F1">
            <w:pPr>
              <w:pStyle w:val="43"/>
              <w:spacing w:line="300" w:lineRule="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注：①提供由行业主管部门或行业协会颁发的获奖证书或获奖文件复印件。</w:t>
            </w:r>
          </w:p>
          <w:p w14:paraId="23CCF661">
            <w:pPr>
              <w:pStyle w:val="43"/>
              <w:spacing w:line="300" w:lineRule="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②颁发奖项的行业协会须在民政管理部门登记备案，提供协会在全国社会组织信用信息公示平台的基础信息截图。</w:t>
            </w:r>
          </w:p>
          <w:p w14:paraId="7010318E">
            <w:pPr>
              <w:pStyle w:val="43"/>
              <w:spacing w:line="300" w:lineRule="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③同一项目获得多个奖项的，仅按最高级别奖项计分一次，获奖时间以获奖证书颁发时间为准。</w:t>
            </w:r>
          </w:p>
        </w:tc>
      </w:tr>
      <w:tr w14:paraId="31291BD4">
        <w:tblPrEx>
          <w:tblCellMar>
            <w:top w:w="0" w:type="dxa"/>
            <w:left w:w="0" w:type="dxa"/>
            <w:bottom w:w="0" w:type="dxa"/>
            <w:right w:w="0" w:type="dxa"/>
          </w:tblCellMar>
        </w:tblPrEx>
        <w:trPr>
          <w:trHeight w:val="454"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14:paraId="73B7F281">
            <w:pPr>
              <w:pStyle w:val="43"/>
              <w:spacing w:line="300" w:lineRule="auto"/>
              <w:jc w:val="center"/>
              <w:rPr>
                <w:rFonts w:ascii="宋体" w:hAnsi="宋体" w:eastAsia="宋体" w:cs="宋体"/>
                <w:color w:val="auto"/>
                <w:sz w:val="21"/>
                <w:szCs w:val="21"/>
                <w:highlight w:val="none"/>
                <w:lang w:eastAsia="zh-CN"/>
              </w:rPr>
            </w:pPr>
          </w:p>
        </w:tc>
        <w:tc>
          <w:tcPr>
            <w:tcW w:w="905" w:type="dxa"/>
            <w:vMerge w:val="continue"/>
            <w:tcBorders>
              <w:top w:val="single" w:color="auto" w:sz="4" w:space="0"/>
              <w:left w:val="single" w:color="auto" w:sz="4" w:space="0"/>
              <w:bottom w:val="single" w:color="auto" w:sz="4" w:space="0"/>
              <w:right w:val="single" w:color="auto" w:sz="4" w:space="0"/>
            </w:tcBorders>
            <w:vAlign w:val="center"/>
          </w:tcPr>
          <w:p w14:paraId="71B84315">
            <w:pPr>
              <w:pStyle w:val="43"/>
              <w:spacing w:line="300" w:lineRule="auto"/>
              <w:jc w:val="center"/>
              <w:rPr>
                <w:rFonts w:ascii="宋体" w:hAnsi="宋体" w:eastAsia="宋体" w:cs="宋体"/>
                <w:color w:val="auto"/>
                <w:sz w:val="21"/>
                <w:szCs w:val="21"/>
                <w:highlight w:val="none"/>
                <w:lang w:eastAsia="zh-CN"/>
              </w:rPr>
            </w:pPr>
          </w:p>
        </w:tc>
        <w:tc>
          <w:tcPr>
            <w:tcW w:w="1966" w:type="dxa"/>
            <w:tcBorders>
              <w:top w:val="single" w:color="auto" w:sz="4" w:space="0"/>
              <w:left w:val="single" w:color="auto" w:sz="4" w:space="0"/>
              <w:bottom w:val="single" w:color="auto" w:sz="4" w:space="0"/>
              <w:right w:val="single" w:color="auto" w:sz="4" w:space="0"/>
            </w:tcBorders>
            <w:vAlign w:val="center"/>
          </w:tcPr>
          <w:p w14:paraId="185CE397">
            <w:pPr>
              <w:pStyle w:val="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项目负责人资历</w:t>
            </w:r>
          </w:p>
          <w:p w14:paraId="239014B1">
            <w:pPr>
              <w:pStyle w:val="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6568" w:type="dxa"/>
            <w:tcBorders>
              <w:top w:val="single" w:color="auto" w:sz="4" w:space="0"/>
              <w:left w:val="single" w:color="auto" w:sz="4" w:space="0"/>
              <w:bottom w:val="single" w:color="auto" w:sz="4" w:space="0"/>
              <w:right w:val="single" w:color="auto" w:sz="4" w:space="0"/>
            </w:tcBorders>
            <w:vAlign w:val="center"/>
          </w:tcPr>
          <w:p w14:paraId="099B1706">
            <w:pPr>
              <w:autoSpaceDE w:val="0"/>
              <w:autoSpaceDN w:val="0"/>
              <w:adjustRightInd w:val="0"/>
              <w:spacing w:before="24" w:beforeLines="10" w:after="24" w:afterLines="10" w:line="360" w:lineRule="auto"/>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lang w:val="zh-CN"/>
              </w:rPr>
              <w:t>（1）具有高级工程师（或研究员等正高级）职称的得</w:t>
            </w:r>
            <w:r>
              <w:rPr>
                <w:rFonts w:hint="eastAsia" w:ascii="宋体" w:hAnsi="宋体" w:eastAsia="宋体" w:cs="宋体"/>
                <w:color w:val="auto"/>
                <w:kern w:val="1"/>
                <w:sz w:val="21"/>
                <w:szCs w:val="21"/>
                <w:highlight w:val="none"/>
                <w:lang w:val="en-US" w:eastAsia="zh-CN"/>
              </w:rPr>
              <w:t>3</w:t>
            </w:r>
            <w:r>
              <w:rPr>
                <w:rFonts w:hint="eastAsia" w:ascii="宋体" w:hAnsi="宋体" w:eastAsia="宋体" w:cs="宋体"/>
                <w:color w:val="auto"/>
                <w:kern w:val="1"/>
                <w:sz w:val="21"/>
                <w:szCs w:val="21"/>
                <w:highlight w:val="none"/>
                <w:lang w:val="zh-CN"/>
              </w:rPr>
              <w:t>分，具有高级工程师（或副研究员等副高级）职称的得</w:t>
            </w:r>
            <w:r>
              <w:rPr>
                <w:rFonts w:hint="eastAsia" w:ascii="宋体" w:hAnsi="宋体" w:eastAsia="宋体" w:cs="宋体"/>
                <w:color w:val="auto"/>
                <w:kern w:val="1"/>
                <w:sz w:val="21"/>
                <w:szCs w:val="21"/>
                <w:highlight w:val="none"/>
                <w:lang w:val="en-US" w:eastAsia="zh-CN"/>
              </w:rPr>
              <w:t>2</w:t>
            </w:r>
            <w:r>
              <w:rPr>
                <w:rFonts w:hint="eastAsia" w:ascii="宋体" w:hAnsi="宋体" w:eastAsia="宋体" w:cs="宋体"/>
                <w:color w:val="auto"/>
                <w:kern w:val="1"/>
                <w:sz w:val="21"/>
                <w:szCs w:val="21"/>
                <w:highlight w:val="none"/>
                <w:lang w:val="zh-CN"/>
              </w:rPr>
              <w:t>分，获得过市级或以上工程勘察设计大师荣誉称号的得</w:t>
            </w:r>
            <w:r>
              <w:rPr>
                <w:rFonts w:hint="eastAsia" w:ascii="宋体" w:hAnsi="宋体" w:eastAsia="宋体" w:cs="宋体"/>
                <w:color w:val="auto"/>
                <w:kern w:val="1"/>
                <w:sz w:val="21"/>
                <w:szCs w:val="21"/>
                <w:highlight w:val="none"/>
                <w:lang w:val="en-US" w:eastAsia="zh-CN"/>
              </w:rPr>
              <w:t>2</w:t>
            </w:r>
            <w:r>
              <w:rPr>
                <w:rFonts w:hint="eastAsia" w:ascii="宋体" w:hAnsi="宋体" w:eastAsia="宋体" w:cs="宋体"/>
                <w:color w:val="auto"/>
                <w:kern w:val="1"/>
                <w:sz w:val="21"/>
                <w:szCs w:val="21"/>
                <w:highlight w:val="none"/>
                <w:lang w:val="zh-CN"/>
              </w:rPr>
              <w:t>分，本项最多得</w:t>
            </w:r>
            <w:r>
              <w:rPr>
                <w:rFonts w:hint="eastAsia" w:ascii="宋体" w:hAnsi="宋体" w:eastAsia="宋体" w:cs="宋体"/>
                <w:color w:val="auto"/>
                <w:kern w:val="1"/>
                <w:sz w:val="21"/>
                <w:szCs w:val="21"/>
                <w:highlight w:val="none"/>
                <w:lang w:val="en-US" w:eastAsia="zh-CN"/>
              </w:rPr>
              <w:t>5</w:t>
            </w:r>
            <w:r>
              <w:rPr>
                <w:rFonts w:hint="eastAsia" w:ascii="宋体" w:hAnsi="宋体" w:eastAsia="宋体" w:cs="宋体"/>
                <w:color w:val="auto"/>
                <w:kern w:val="1"/>
                <w:sz w:val="21"/>
                <w:szCs w:val="21"/>
                <w:highlight w:val="none"/>
                <w:lang w:val="zh-CN"/>
              </w:rPr>
              <w:t>分</w:t>
            </w:r>
          </w:p>
          <w:p w14:paraId="58F95E20">
            <w:pPr>
              <w:autoSpaceDE w:val="0"/>
              <w:autoSpaceDN w:val="0"/>
              <w:adjustRightInd w:val="0"/>
              <w:spacing w:before="24" w:beforeLines="10" w:after="24" w:afterLines="10" w:line="360" w:lineRule="auto"/>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lang w:val="zh-CN"/>
              </w:rPr>
              <w:t>（2）20</w:t>
            </w:r>
            <w:r>
              <w:rPr>
                <w:rFonts w:hint="eastAsia" w:ascii="宋体" w:hAnsi="宋体" w:eastAsia="宋体" w:cs="宋体"/>
                <w:color w:val="auto"/>
                <w:kern w:val="1"/>
                <w:sz w:val="21"/>
                <w:szCs w:val="21"/>
                <w:highlight w:val="none"/>
                <w:lang w:val="en-US" w:eastAsia="zh-CN"/>
              </w:rPr>
              <w:t>21</w:t>
            </w:r>
            <w:r>
              <w:rPr>
                <w:rFonts w:hint="eastAsia" w:ascii="宋体" w:hAnsi="宋体" w:eastAsia="宋体" w:cs="宋体"/>
                <w:color w:val="auto"/>
                <w:kern w:val="1"/>
                <w:sz w:val="21"/>
                <w:szCs w:val="21"/>
                <w:highlight w:val="none"/>
                <w:lang w:val="zh-CN"/>
              </w:rPr>
              <w:t>年1月1日至</w:t>
            </w:r>
            <w:r>
              <w:rPr>
                <w:rFonts w:hint="eastAsia" w:ascii="宋体" w:hAnsi="宋体" w:eastAsia="宋体" w:cs="宋体"/>
                <w:color w:val="auto"/>
                <w:sz w:val="21"/>
                <w:szCs w:val="21"/>
                <w:highlight w:val="none"/>
              </w:rPr>
              <w:t>投标截止时间止</w:t>
            </w:r>
            <w:r>
              <w:rPr>
                <w:rFonts w:hint="eastAsia" w:ascii="宋体" w:hAnsi="宋体" w:eastAsia="宋体" w:cs="宋体"/>
                <w:bCs/>
                <w:color w:val="auto"/>
                <w:sz w:val="21"/>
                <w:szCs w:val="21"/>
                <w:highlight w:val="none"/>
              </w:rPr>
              <w:t>，</w:t>
            </w:r>
            <w:r>
              <w:rPr>
                <w:rFonts w:hint="eastAsia" w:ascii="宋体" w:hAnsi="宋体" w:eastAsia="宋体" w:cs="宋体"/>
                <w:color w:val="auto"/>
                <w:kern w:val="1"/>
                <w:sz w:val="21"/>
                <w:szCs w:val="21"/>
                <w:highlight w:val="none"/>
                <w:lang w:val="zh-CN"/>
              </w:rPr>
              <w:t>担任项目负责人（或设计负责人）主持过总建筑面积≥</w:t>
            </w:r>
            <w:r>
              <w:rPr>
                <w:rFonts w:hint="eastAsia" w:ascii="宋体" w:hAnsi="宋体" w:eastAsia="宋体" w:cs="宋体"/>
                <w:color w:val="auto"/>
                <w:kern w:val="1"/>
                <w:sz w:val="21"/>
                <w:szCs w:val="21"/>
                <w:highlight w:val="none"/>
                <w:lang w:val="en-US" w:eastAsia="zh-CN"/>
              </w:rPr>
              <w:t>16</w:t>
            </w:r>
            <w:r>
              <w:rPr>
                <w:rFonts w:hint="eastAsia" w:ascii="宋体" w:hAnsi="宋体" w:eastAsia="宋体" w:cs="宋体"/>
                <w:color w:val="auto"/>
                <w:kern w:val="1"/>
                <w:sz w:val="21"/>
                <w:szCs w:val="21"/>
                <w:highlight w:val="none"/>
              </w:rPr>
              <w:t>0</w:t>
            </w:r>
            <w:r>
              <w:rPr>
                <w:rFonts w:hint="eastAsia" w:ascii="宋体" w:hAnsi="宋体" w:eastAsia="宋体" w:cs="宋体"/>
                <w:color w:val="auto"/>
                <w:kern w:val="1"/>
                <w:sz w:val="21"/>
                <w:szCs w:val="21"/>
                <w:highlight w:val="none"/>
                <w:lang w:val="en-US" w:eastAsia="zh-CN"/>
              </w:rPr>
              <w:t>0</w:t>
            </w:r>
            <w:r>
              <w:rPr>
                <w:rFonts w:hint="eastAsia" w:ascii="宋体" w:hAnsi="宋体" w:eastAsia="宋体" w:cs="宋体"/>
                <w:color w:val="auto"/>
                <w:kern w:val="1"/>
                <w:sz w:val="21"/>
                <w:szCs w:val="21"/>
                <w:highlight w:val="none"/>
              </w:rPr>
              <w:t>0</w:t>
            </w:r>
            <w:r>
              <w:rPr>
                <w:rFonts w:hint="eastAsia" w:ascii="宋体" w:hAnsi="宋体" w:eastAsia="宋体" w:cs="宋体"/>
                <w:color w:val="auto"/>
                <w:kern w:val="1"/>
                <w:sz w:val="21"/>
                <w:szCs w:val="21"/>
                <w:highlight w:val="none"/>
                <w:lang w:val="zh-CN"/>
              </w:rPr>
              <w:t>平方米的房屋建筑工程设计业绩的，每项得</w:t>
            </w:r>
            <w:r>
              <w:rPr>
                <w:rFonts w:hint="eastAsia" w:ascii="宋体" w:hAnsi="宋体" w:eastAsia="宋体" w:cs="宋体"/>
                <w:color w:val="auto"/>
                <w:kern w:val="1"/>
                <w:sz w:val="21"/>
                <w:szCs w:val="21"/>
                <w:highlight w:val="none"/>
              </w:rPr>
              <w:t>5</w:t>
            </w:r>
            <w:r>
              <w:rPr>
                <w:rFonts w:hint="eastAsia" w:ascii="宋体" w:hAnsi="宋体" w:eastAsia="宋体" w:cs="宋体"/>
                <w:color w:val="auto"/>
                <w:kern w:val="1"/>
                <w:sz w:val="21"/>
                <w:szCs w:val="21"/>
                <w:highlight w:val="none"/>
                <w:lang w:val="zh-CN"/>
              </w:rPr>
              <w:t>分，本小项最高得</w:t>
            </w:r>
            <w:r>
              <w:rPr>
                <w:rFonts w:hint="eastAsia" w:ascii="宋体" w:hAnsi="宋体" w:eastAsia="宋体" w:cs="宋体"/>
                <w:color w:val="auto"/>
                <w:kern w:val="1"/>
                <w:sz w:val="21"/>
                <w:szCs w:val="21"/>
                <w:highlight w:val="none"/>
              </w:rPr>
              <w:t>10</w:t>
            </w:r>
            <w:r>
              <w:rPr>
                <w:rFonts w:hint="eastAsia" w:ascii="宋体" w:hAnsi="宋体" w:eastAsia="宋体" w:cs="宋体"/>
                <w:color w:val="auto"/>
                <w:kern w:val="1"/>
                <w:sz w:val="21"/>
                <w:szCs w:val="21"/>
                <w:highlight w:val="none"/>
                <w:lang w:val="zh-CN"/>
              </w:rPr>
              <w:t>分。</w:t>
            </w:r>
          </w:p>
          <w:p w14:paraId="2A0E65F3">
            <w:pPr>
              <w:pStyle w:val="43"/>
              <w:spacing w:line="300" w:lineRule="auto"/>
              <w:rPr>
                <w:rFonts w:hint="eastAsia" w:ascii="宋体" w:hAnsi="宋体" w:eastAsia="宋体" w:cs="宋体"/>
                <w:bCs/>
                <w:color w:val="auto"/>
                <w:sz w:val="21"/>
                <w:szCs w:val="21"/>
                <w:highlight w:val="none"/>
                <w:lang w:eastAsia="zh-CN"/>
              </w:rPr>
            </w:pPr>
            <w:r>
              <w:rPr>
                <w:rFonts w:hint="eastAsia" w:ascii="宋体" w:hAnsi="宋体" w:eastAsia="宋体" w:cs="宋体"/>
                <w:color w:val="auto"/>
                <w:kern w:val="1"/>
                <w:sz w:val="21"/>
                <w:szCs w:val="21"/>
                <w:highlight w:val="none"/>
                <w:lang w:val="zh-CN"/>
              </w:rPr>
              <w:t>注：本大项最高得</w:t>
            </w:r>
            <w:r>
              <w:rPr>
                <w:rFonts w:hint="eastAsia" w:ascii="宋体" w:hAnsi="宋体" w:eastAsia="宋体" w:cs="宋体"/>
                <w:color w:val="auto"/>
                <w:kern w:val="1"/>
                <w:sz w:val="21"/>
                <w:szCs w:val="21"/>
                <w:highlight w:val="none"/>
              </w:rPr>
              <w:t>15</w:t>
            </w:r>
            <w:r>
              <w:rPr>
                <w:rFonts w:hint="eastAsia" w:ascii="宋体" w:hAnsi="宋体" w:eastAsia="宋体" w:cs="宋体"/>
                <w:color w:val="auto"/>
                <w:kern w:val="1"/>
                <w:sz w:val="21"/>
                <w:szCs w:val="21"/>
                <w:highlight w:val="none"/>
                <w:lang w:val="zh-CN"/>
              </w:rPr>
              <w:t>分。</w:t>
            </w:r>
          </w:p>
        </w:tc>
      </w:tr>
      <w:tr w14:paraId="23BE1BD7">
        <w:tblPrEx>
          <w:tblCellMar>
            <w:top w:w="0" w:type="dxa"/>
            <w:left w:w="0" w:type="dxa"/>
            <w:bottom w:w="0" w:type="dxa"/>
            <w:right w:w="0" w:type="dxa"/>
          </w:tblCellMar>
        </w:tblPrEx>
        <w:trPr>
          <w:trHeight w:val="454" w:hRule="atLeast"/>
          <w:jc w:val="center"/>
        </w:trPr>
        <w:tc>
          <w:tcPr>
            <w:tcW w:w="625" w:type="dxa"/>
            <w:vMerge w:val="continue"/>
            <w:tcBorders>
              <w:left w:val="single" w:color="auto" w:sz="4" w:space="0"/>
              <w:right w:val="single" w:color="000000" w:sz="4" w:space="0"/>
            </w:tcBorders>
            <w:vAlign w:val="center"/>
          </w:tcPr>
          <w:p w14:paraId="5F155F62">
            <w:pPr>
              <w:pStyle w:val="43"/>
              <w:spacing w:line="300" w:lineRule="auto"/>
              <w:jc w:val="center"/>
              <w:rPr>
                <w:rFonts w:ascii="宋体" w:hAnsi="宋体" w:eastAsia="宋体" w:cs="宋体"/>
                <w:color w:val="auto"/>
                <w:sz w:val="21"/>
                <w:szCs w:val="21"/>
                <w:highlight w:val="none"/>
                <w:lang w:eastAsia="zh-CN"/>
              </w:rPr>
            </w:pPr>
          </w:p>
        </w:tc>
        <w:tc>
          <w:tcPr>
            <w:tcW w:w="905" w:type="dxa"/>
            <w:vMerge w:val="continue"/>
            <w:tcBorders>
              <w:left w:val="single" w:color="000000" w:sz="4" w:space="0"/>
              <w:right w:val="single" w:color="auto" w:sz="4" w:space="0"/>
            </w:tcBorders>
            <w:vAlign w:val="center"/>
          </w:tcPr>
          <w:p w14:paraId="5C9476EF">
            <w:pPr>
              <w:pStyle w:val="43"/>
              <w:spacing w:line="300" w:lineRule="auto"/>
              <w:jc w:val="center"/>
              <w:rPr>
                <w:rFonts w:ascii="宋体" w:hAnsi="宋体" w:eastAsia="宋体" w:cs="宋体"/>
                <w:color w:val="auto"/>
                <w:sz w:val="21"/>
                <w:szCs w:val="21"/>
                <w:highlight w:val="none"/>
                <w:lang w:eastAsia="zh-CN"/>
              </w:rPr>
            </w:pPr>
          </w:p>
        </w:tc>
        <w:tc>
          <w:tcPr>
            <w:tcW w:w="1966" w:type="dxa"/>
            <w:tcBorders>
              <w:top w:val="single" w:color="auto" w:sz="4" w:space="0"/>
              <w:left w:val="single" w:color="auto" w:sz="4" w:space="0"/>
              <w:bottom w:val="single" w:color="auto" w:sz="4" w:space="0"/>
              <w:right w:val="single" w:color="auto" w:sz="4" w:space="0"/>
            </w:tcBorders>
            <w:vAlign w:val="center"/>
          </w:tcPr>
          <w:p w14:paraId="29CB51FD">
            <w:pPr>
              <w:spacing w:line="300" w:lineRule="auto"/>
              <w:jc w:val="center"/>
              <w:rPr>
                <w:rFonts w:hint="eastAsia" w:ascii="宋体" w:hAnsi="宋体" w:eastAsia="宋体" w:cs="宋体"/>
                <w:bCs/>
                <w:color w:val="auto"/>
                <w:kern w:val="1"/>
                <w:sz w:val="21"/>
                <w:szCs w:val="21"/>
                <w:highlight w:val="none"/>
                <w:lang w:eastAsia="zh-CN"/>
              </w:rPr>
            </w:pPr>
            <w:r>
              <w:rPr>
                <w:rFonts w:hint="eastAsia" w:ascii="宋体" w:hAnsi="宋体" w:eastAsia="宋体" w:cs="宋体"/>
                <w:bCs/>
                <w:color w:val="auto"/>
                <w:kern w:val="1"/>
                <w:sz w:val="21"/>
                <w:szCs w:val="21"/>
                <w:highlight w:val="none"/>
                <w:lang w:eastAsia="zh-CN"/>
              </w:rPr>
              <w:t>项目团队人员</w:t>
            </w:r>
            <w:r>
              <w:rPr>
                <w:rFonts w:hint="eastAsia" w:ascii="宋体" w:hAnsi="宋体" w:eastAsia="宋体" w:cs="宋体"/>
                <w:bCs/>
                <w:color w:val="auto"/>
                <w:kern w:val="1"/>
                <w:sz w:val="21"/>
                <w:szCs w:val="21"/>
                <w:highlight w:val="none"/>
              </w:rPr>
              <w:t>（</w:t>
            </w:r>
            <w:r>
              <w:rPr>
                <w:rFonts w:hint="eastAsia" w:ascii="宋体" w:hAnsi="宋体" w:eastAsia="宋体" w:cs="宋体"/>
                <w:bCs/>
                <w:color w:val="auto"/>
                <w:kern w:val="1"/>
                <w:sz w:val="21"/>
                <w:szCs w:val="21"/>
                <w:highlight w:val="none"/>
                <w:lang w:val="en-US" w:eastAsia="zh-CN"/>
              </w:rPr>
              <w:t>15</w:t>
            </w:r>
            <w:r>
              <w:rPr>
                <w:rFonts w:hint="eastAsia" w:ascii="宋体" w:hAnsi="宋体" w:eastAsia="宋体" w:cs="宋体"/>
                <w:bCs/>
                <w:color w:val="auto"/>
                <w:kern w:val="1"/>
                <w:sz w:val="21"/>
                <w:szCs w:val="21"/>
                <w:highlight w:val="none"/>
              </w:rPr>
              <w:t>分）</w:t>
            </w:r>
          </w:p>
        </w:tc>
        <w:tc>
          <w:tcPr>
            <w:tcW w:w="6568" w:type="dxa"/>
            <w:tcBorders>
              <w:top w:val="single" w:color="auto" w:sz="4" w:space="0"/>
              <w:left w:val="single" w:color="auto" w:sz="4" w:space="0"/>
              <w:bottom w:val="single" w:color="auto" w:sz="4" w:space="0"/>
              <w:right w:val="single" w:color="auto" w:sz="4" w:space="0"/>
            </w:tcBorders>
            <w:vAlign w:val="center"/>
          </w:tcPr>
          <w:p w14:paraId="1B6A2BED">
            <w:pPr>
              <w:autoSpaceDE w:val="0"/>
              <w:autoSpaceDN w:val="0"/>
              <w:adjustRightInd w:val="0"/>
              <w:spacing w:before="24" w:beforeLines="10" w:after="24" w:afterLines="10" w:line="360" w:lineRule="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在满足招标文件《设计服务人员配备要求表》要求的基础上：</w:t>
            </w:r>
          </w:p>
          <w:p w14:paraId="3242484B">
            <w:pPr>
              <w:autoSpaceDE w:val="0"/>
              <w:autoSpaceDN w:val="0"/>
              <w:adjustRightInd w:val="0"/>
              <w:spacing w:before="24" w:beforeLines="10" w:after="24" w:afterLines="10"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1"/>
                <w:sz w:val="21"/>
                <w:szCs w:val="21"/>
                <w:highlight w:val="none"/>
              </w:rPr>
              <w:t>（1）</w:t>
            </w:r>
            <w:r>
              <w:rPr>
                <w:rFonts w:hint="eastAsia" w:ascii="宋体" w:hAnsi="宋体" w:eastAsia="宋体" w:cs="宋体"/>
                <w:color w:val="auto"/>
                <w:kern w:val="0"/>
                <w:sz w:val="21"/>
                <w:szCs w:val="21"/>
                <w:highlight w:val="none"/>
                <w:lang w:val="zh-CN"/>
              </w:rPr>
              <w:t>给排水专业</w:t>
            </w:r>
            <w:r>
              <w:rPr>
                <w:rFonts w:hint="eastAsia" w:ascii="宋体" w:hAnsi="宋体" w:eastAsia="宋体" w:cs="宋体"/>
                <w:color w:val="auto"/>
                <w:sz w:val="21"/>
                <w:szCs w:val="21"/>
                <w:highlight w:val="none"/>
                <w:lang w:val="zh-CN"/>
              </w:rPr>
              <w:t>负责人：具有</w:t>
            </w:r>
            <w:r>
              <w:rPr>
                <w:rFonts w:hint="eastAsia" w:ascii="宋体" w:hAnsi="宋体" w:eastAsia="宋体" w:cs="宋体"/>
                <w:color w:val="auto"/>
                <w:sz w:val="21"/>
                <w:szCs w:val="21"/>
                <w:highlight w:val="none"/>
              </w:rPr>
              <w:t>注册公用设备工程师（给水排水</w:t>
            </w:r>
            <w:r>
              <w:rPr>
                <w:rFonts w:hint="eastAsia" w:ascii="宋体" w:hAnsi="宋体" w:eastAsia="宋体" w:cs="宋体"/>
                <w:color w:val="auto"/>
                <w:kern w:val="1"/>
                <w:sz w:val="21"/>
                <w:szCs w:val="21"/>
                <w:highlight w:val="none"/>
              </w:rPr>
              <w:t>）的，得</w:t>
            </w:r>
            <w:r>
              <w:rPr>
                <w:rFonts w:hint="eastAsia" w:ascii="宋体" w:hAnsi="宋体" w:eastAsia="宋体" w:cs="宋体"/>
                <w:color w:val="auto"/>
                <w:kern w:val="1"/>
                <w:sz w:val="21"/>
                <w:szCs w:val="21"/>
                <w:highlight w:val="none"/>
                <w:lang w:eastAsia="zh-CN"/>
              </w:rPr>
              <w:t>4</w:t>
            </w:r>
            <w:r>
              <w:rPr>
                <w:rFonts w:hint="eastAsia" w:ascii="宋体" w:hAnsi="宋体" w:eastAsia="宋体" w:cs="宋体"/>
                <w:color w:val="auto"/>
                <w:kern w:val="1"/>
                <w:sz w:val="21"/>
                <w:szCs w:val="21"/>
                <w:highlight w:val="none"/>
              </w:rPr>
              <w:t>分；</w:t>
            </w:r>
            <w:r>
              <w:rPr>
                <w:rFonts w:hint="eastAsia" w:ascii="宋体" w:hAnsi="宋体" w:eastAsia="宋体" w:cs="宋体"/>
                <w:color w:val="auto"/>
                <w:sz w:val="21"/>
                <w:szCs w:val="21"/>
                <w:highlight w:val="none"/>
              </w:rPr>
              <w:t>其他不得分。</w:t>
            </w:r>
          </w:p>
          <w:p w14:paraId="595CEED8">
            <w:pPr>
              <w:autoSpaceDE w:val="0"/>
              <w:autoSpaceDN w:val="0"/>
              <w:adjustRightInd w:val="0"/>
              <w:spacing w:before="24" w:beforeLines="10" w:after="24" w:afterLines="10"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1"/>
                <w:sz w:val="21"/>
                <w:szCs w:val="21"/>
                <w:highlight w:val="none"/>
                <w:lang w:val="zh-CN"/>
              </w:rPr>
              <w:t>（</w:t>
            </w:r>
            <w:r>
              <w:rPr>
                <w:rFonts w:hint="eastAsia" w:ascii="宋体" w:hAnsi="宋体" w:eastAsia="宋体" w:cs="宋体"/>
                <w:color w:val="auto"/>
                <w:kern w:val="1"/>
                <w:sz w:val="21"/>
                <w:szCs w:val="21"/>
                <w:highlight w:val="none"/>
              </w:rPr>
              <w:t>2</w:t>
            </w:r>
            <w:r>
              <w:rPr>
                <w:rFonts w:hint="eastAsia" w:ascii="宋体" w:hAnsi="宋体" w:eastAsia="宋体" w:cs="宋体"/>
                <w:color w:val="auto"/>
                <w:kern w:val="1"/>
                <w:sz w:val="21"/>
                <w:szCs w:val="21"/>
                <w:highlight w:val="none"/>
                <w:lang w:val="zh-CN"/>
              </w:rPr>
              <w:t>）</w:t>
            </w:r>
            <w:r>
              <w:rPr>
                <w:rFonts w:hint="eastAsia" w:ascii="宋体" w:hAnsi="宋体" w:eastAsia="宋体" w:cs="宋体"/>
                <w:color w:val="auto"/>
                <w:kern w:val="0"/>
                <w:sz w:val="21"/>
                <w:szCs w:val="21"/>
                <w:highlight w:val="none"/>
              </w:rPr>
              <w:t>暖通空调专业负责人：</w:t>
            </w:r>
            <w:r>
              <w:rPr>
                <w:rFonts w:hint="eastAsia" w:ascii="宋体" w:hAnsi="宋体" w:eastAsia="宋体" w:cs="宋体"/>
                <w:color w:val="auto"/>
                <w:sz w:val="21"/>
                <w:szCs w:val="21"/>
                <w:highlight w:val="none"/>
                <w:lang w:val="zh-CN"/>
              </w:rPr>
              <w:t>具有注册公用设备工程师（暖通空调）</w:t>
            </w:r>
            <w:r>
              <w:rPr>
                <w:rFonts w:hint="eastAsia" w:ascii="宋体" w:hAnsi="宋体" w:eastAsia="宋体" w:cs="宋体"/>
                <w:color w:val="auto"/>
                <w:kern w:val="1"/>
                <w:sz w:val="21"/>
                <w:szCs w:val="21"/>
                <w:highlight w:val="none"/>
              </w:rPr>
              <w:t>的，得</w:t>
            </w:r>
            <w:r>
              <w:rPr>
                <w:rFonts w:hint="eastAsia" w:ascii="宋体" w:hAnsi="宋体" w:eastAsia="宋体" w:cs="宋体"/>
                <w:color w:val="auto"/>
                <w:kern w:val="1"/>
                <w:sz w:val="21"/>
                <w:szCs w:val="21"/>
                <w:highlight w:val="none"/>
                <w:lang w:eastAsia="zh-CN"/>
              </w:rPr>
              <w:t>4</w:t>
            </w:r>
            <w:r>
              <w:rPr>
                <w:rFonts w:hint="eastAsia" w:ascii="宋体" w:hAnsi="宋体" w:eastAsia="宋体" w:cs="宋体"/>
                <w:color w:val="auto"/>
                <w:kern w:val="1"/>
                <w:sz w:val="21"/>
                <w:szCs w:val="21"/>
                <w:highlight w:val="none"/>
              </w:rPr>
              <w:t>分；</w:t>
            </w:r>
            <w:r>
              <w:rPr>
                <w:rFonts w:hint="eastAsia" w:ascii="宋体" w:hAnsi="宋体" w:eastAsia="宋体" w:cs="宋体"/>
                <w:color w:val="auto"/>
                <w:sz w:val="21"/>
                <w:szCs w:val="21"/>
                <w:highlight w:val="none"/>
              </w:rPr>
              <w:t>其他不得分。</w:t>
            </w:r>
          </w:p>
          <w:p w14:paraId="09F8163F">
            <w:pPr>
              <w:autoSpaceDE w:val="0"/>
              <w:autoSpaceDN w:val="0"/>
              <w:adjustRightInd w:val="0"/>
              <w:spacing w:before="24" w:beforeLines="10" w:after="24" w:afterLines="10" w:line="360" w:lineRule="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w:t>
            </w:r>
            <w:r>
              <w:rPr>
                <w:rFonts w:hint="eastAsia" w:ascii="宋体" w:hAnsi="宋体" w:eastAsia="宋体" w:cs="宋体"/>
                <w:color w:val="auto"/>
                <w:kern w:val="1"/>
                <w:sz w:val="21"/>
                <w:szCs w:val="21"/>
                <w:highlight w:val="none"/>
              </w:rPr>
              <w:t>3</w:t>
            </w:r>
            <w:r>
              <w:rPr>
                <w:rFonts w:hint="eastAsia" w:ascii="宋体" w:hAnsi="宋体" w:eastAsia="宋体" w:cs="宋体"/>
                <w:color w:val="auto"/>
                <w:kern w:val="1"/>
                <w:sz w:val="21"/>
                <w:szCs w:val="21"/>
                <w:highlight w:val="none"/>
                <w:lang w:val="zh-CN"/>
              </w:rPr>
              <w:t>）电气专业负责人：具有注册电气工程师</w:t>
            </w:r>
            <w:r>
              <w:rPr>
                <w:rFonts w:hint="eastAsia" w:ascii="宋体" w:hAnsi="宋体" w:eastAsia="宋体" w:cs="宋体"/>
                <w:color w:val="auto"/>
                <w:kern w:val="1"/>
                <w:sz w:val="21"/>
                <w:szCs w:val="21"/>
                <w:highlight w:val="none"/>
              </w:rPr>
              <w:t>的</w:t>
            </w:r>
            <w:r>
              <w:rPr>
                <w:rFonts w:hint="eastAsia" w:ascii="宋体" w:hAnsi="宋体" w:eastAsia="宋体" w:cs="宋体"/>
                <w:color w:val="auto"/>
                <w:kern w:val="1"/>
                <w:sz w:val="21"/>
                <w:szCs w:val="21"/>
                <w:highlight w:val="none"/>
                <w:lang w:val="zh-CN"/>
              </w:rPr>
              <w:t>，得</w:t>
            </w:r>
            <w:r>
              <w:rPr>
                <w:rFonts w:hint="eastAsia" w:ascii="宋体" w:hAnsi="宋体" w:eastAsia="宋体" w:cs="宋体"/>
                <w:color w:val="auto"/>
                <w:kern w:val="1"/>
                <w:sz w:val="21"/>
                <w:szCs w:val="21"/>
                <w:highlight w:val="none"/>
                <w:lang w:eastAsia="zh-CN"/>
              </w:rPr>
              <w:t>4</w:t>
            </w:r>
            <w:r>
              <w:rPr>
                <w:rFonts w:hint="eastAsia" w:ascii="宋体" w:hAnsi="宋体" w:eastAsia="宋体" w:cs="宋体"/>
                <w:color w:val="auto"/>
                <w:kern w:val="1"/>
                <w:sz w:val="21"/>
                <w:szCs w:val="21"/>
                <w:highlight w:val="none"/>
              </w:rPr>
              <w:t>分；其他不得分。</w:t>
            </w:r>
          </w:p>
          <w:p w14:paraId="35F5B43F">
            <w:pPr>
              <w:autoSpaceDE w:val="0"/>
              <w:autoSpaceDN w:val="0"/>
              <w:adjustRightInd w:val="0"/>
              <w:spacing w:before="24" w:beforeLines="10" w:after="24" w:afterLines="10" w:line="360" w:lineRule="auto"/>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lang w:val="zh-CN"/>
              </w:rPr>
              <w:t>（</w:t>
            </w:r>
            <w:r>
              <w:rPr>
                <w:rFonts w:hint="eastAsia" w:ascii="宋体" w:hAnsi="宋体" w:eastAsia="宋体" w:cs="宋体"/>
                <w:color w:val="auto"/>
                <w:kern w:val="1"/>
                <w:sz w:val="21"/>
                <w:szCs w:val="21"/>
                <w:highlight w:val="none"/>
              </w:rPr>
              <w:t>4</w:t>
            </w:r>
            <w:r>
              <w:rPr>
                <w:rFonts w:hint="eastAsia" w:ascii="宋体" w:hAnsi="宋体" w:eastAsia="宋体" w:cs="宋体"/>
                <w:color w:val="auto"/>
                <w:kern w:val="1"/>
                <w:sz w:val="21"/>
                <w:szCs w:val="21"/>
                <w:highlight w:val="none"/>
                <w:lang w:val="zh-CN"/>
              </w:rPr>
              <w:t>）设计造价专业负责人：具有注册一级造价工程师</w:t>
            </w:r>
            <w:r>
              <w:rPr>
                <w:rFonts w:hint="eastAsia" w:ascii="宋体" w:hAnsi="宋体" w:eastAsia="宋体" w:cs="宋体"/>
                <w:color w:val="auto"/>
                <w:kern w:val="1"/>
                <w:sz w:val="21"/>
                <w:szCs w:val="21"/>
                <w:highlight w:val="none"/>
              </w:rPr>
              <w:t>的</w:t>
            </w:r>
            <w:r>
              <w:rPr>
                <w:rFonts w:hint="eastAsia" w:ascii="宋体" w:hAnsi="宋体" w:eastAsia="宋体" w:cs="宋体"/>
                <w:color w:val="auto"/>
                <w:kern w:val="1"/>
                <w:sz w:val="21"/>
                <w:szCs w:val="21"/>
                <w:highlight w:val="none"/>
                <w:lang w:val="zh-CN"/>
              </w:rPr>
              <w:t>，得</w:t>
            </w:r>
            <w:r>
              <w:rPr>
                <w:rFonts w:hint="eastAsia" w:ascii="宋体" w:hAnsi="宋体" w:eastAsia="宋体" w:cs="宋体"/>
                <w:color w:val="auto"/>
                <w:kern w:val="1"/>
                <w:sz w:val="21"/>
                <w:szCs w:val="21"/>
                <w:highlight w:val="none"/>
                <w:lang w:eastAsia="zh-CN"/>
              </w:rPr>
              <w:t>3</w:t>
            </w:r>
            <w:r>
              <w:rPr>
                <w:rFonts w:hint="eastAsia" w:ascii="宋体" w:hAnsi="宋体" w:eastAsia="宋体" w:cs="宋体"/>
                <w:color w:val="auto"/>
                <w:kern w:val="1"/>
                <w:sz w:val="21"/>
                <w:szCs w:val="21"/>
                <w:highlight w:val="none"/>
              </w:rPr>
              <w:t>分；其他不得分。</w:t>
            </w:r>
          </w:p>
          <w:p w14:paraId="0881C50B">
            <w:pPr>
              <w:pStyle w:val="43"/>
              <w:spacing w:line="300" w:lineRule="auto"/>
              <w:rPr>
                <w:rFonts w:hint="eastAsia" w:ascii="宋体" w:hAnsi="宋体" w:eastAsia="宋体" w:cs="宋体"/>
                <w:bCs/>
                <w:color w:val="auto"/>
                <w:sz w:val="21"/>
                <w:szCs w:val="21"/>
                <w:highlight w:val="none"/>
                <w:lang w:eastAsia="zh-CN"/>
              </w:rPr>
            </w:pPr>
            <w:r>
              <w:rPr>
                <w:rFonts w:hint="eastAsia" w:ascii="宋体" w:hAnsi="宋体" w:eastAsia="宋体" w:cs="宋体"/>
                <w:color w:val="auto"/>
                <w:kern w:val="1"/>
                <w:sz w:val="21"/>
                <w:szCs w:val="21"/>
                <w:highlight w:val="none"/>
                <w:lang w:val="zh-CN"/>
              </w:rPr>
              <w:t>注：本大项最高得</w:t>
            </w:r>
            <w:r>
              <w:rPr>
                <w:rFonts w:hint="eastAsia" w:ascii="宋体" w:hAnsi="宋体" w:eastAsia="宋体" w:cs="宋体"/>
                <w:color w:val="auto"/>
                <w:kern w:val="1"/>
                <w:sz w:val="21"/>
                <w:szCs w:val="21"/>
                <w:highlight w:val="none"/>
              </w:rPr>
              <w:t>15</w:t>
            </w:r>
            <w:r>
              <w:rPr>
                <w:rFonts w:hint="eastAsia" w:ascii="宋体" w:hAnsi="宋体" w:eastAsia="宋体" w:cs="宋体"/>
                <w:color w:val="auto"/>
                <w:kern w:val="1"/>
                <w:sz w:val="21"/>
                <w:szCs w:val="21"/>
                <w:highlight w:val="none"/>
                <w:lang w:val="zh-CN"/>
              </w:rPr>
              <w:t>分。</w:t>
            </w:r>
          </w:p>
        </w:tc>
      </w:tr>
      <w:tr w14:paraId="693A9564">
        <w:tblPrEx>
          <w:tblCellMar>
            <w:top w:w="0" w:type="dxa"/>
            <w:left w:w="0" w:type="dxa"/>
            <w:bottom w:w="0" w:type="dxa"/>
            <w:right w:w="0" w:type="dxa"/>
          </w:tblCellMar>
        </w:tblPrEx>
        <w:trPr>
          <w:trHeight w:val="454" w:hRule="atLeast"/>
          <w:jc w:val="center"/>
        </w:trPr>
        <w:tc>
          <w:tcPr>
            <w:tcW w:w="625" w:type="dxa"/>
            <w:vMerge w:val="restart"/>
            <w:tcBorders>
              <w:top w:val="single" w:color="000000" w:sz="4" w:space="0"/>
              <w:left w:val="single" w:color="000000" w:sz="4" w:space="0"/>
              <w:right w:val="single" w:color="000000" w:sz="4" w:space="0"/>
            </w:tcBorders>
            <w:vAlign w:val="center"/>
          </w:tcPr>
          <w:p w14:paraId="1D6393FF">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r>
              <w:rPr>
                <w:rFonts w:ascii="宋体" w:hAnsi="宋体" w:eastAsia="宋体" w:cs="宋体"/>
                <w:color w:val="auto"/>
                <w:sz w:val="21"/>
                <w:szCs w:val="21"/>
                <w:highlight w:val="none"/>
              </w:rPr>
              <w:t>（</w:t>
            </w:r>
            <w:r>
              <w:rPr>
                <w:rFonts w:hint="eastAsia" w:ascii="宋体" w:hAnsi="宋体" w:eastAsia="宋体" w:cs="宋体"/>
                <w:color w:val="auto"/>
                <w:sz w:val="21"/>
                <w:szCs w:val="21"/>
                <w:highlight w:val="none"/>
              </w:rPr>
              <w:t>2</w:t>
            </w:r>
            <w:r>
              <w:rPr>
                <w:rFonts w:ascii="宋体" w:hAnsi="宋体" w:eastAsia="宋体" w:cs="宋体"/>
                <w:color w:val="auto"/>
                <w:sz w:val="21"/>
                <w:szCs w:val="21"/>
                <w:highlight w:val="none"/>
              </w:rPr>
              <w:t>）</w:t>
            </w:r>
          </w:p>
        </w:tc>
        <w:tc>
          <w:tcPr>
            <w:tcW w:w="905" w:type="dxa"/>
            <w:vMerge w:val="restart"/>
            <w:tcBorders>
              <w:top w:val="single" w:color="000000" w:sz="4" w:space="0"/>
              <w:left w:val="single" w:color="000000" w:sz="4" w:space="0"/>
              <w:right w:val="single" w:color="000000" w:sz="4" w:space="0"/>
            </w:tcBorders>
            <w:vAlign w:val="center"/>
          </w:tcPr>
          <w:p w14:paraId="107CA031">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技术文件（设计方案评分标准）（100分）</w:t>
            </w:r>
          </w:p>
        </w:tc>
        <w:tc>
          <w:tcPr>
            <w:tcW w:w="1966" w:type="dxa"/>
            <w:tcBorders>
              <w:top w:val="single" w:color="000000" w:sz="4" w:space="0"/>
              <w:left w:val="single" w:color="000000" w:sz="4" w:space="0"/>
              <w:bottom w:val="single" w:color="000000" w:sz="4" w:space="0"/>
              <w:right w:val="single" w:color="000000" w:sz="4" w:space="0"/>
            </w:tcBorders>
            <w:vAlign w:val="center"/>
          </w:tcPr>
          <w:p w14:paraId="3E8673BE">
            <w:pPr>
              <w:wordWrap w:val="0"/>
              <w:adjustRightInd w:val="0"/>
              <w:spacing w:before="24" w:beforeLines="10" w:after="24" w:afterLines="10" w:line="360"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rPr>
              <w:t>规划设计</w:t>
            </w: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lang w:val="en-US" w:eastAsia="zh-CN" w:bidi="ar"/>
              </w:rPr>
              <w:t>30</w:t>
            </w:r>
            <w:r>
              <w:rPr>
                <w:rFonts w:hint="eastAsia" w:ascii="宋体" w:hAnsi="宋体" w:eastAsia="宋体" w:cs="宋体"/>
                <w:color w:val="auto"/>
                <w:sz w:val="21"/>
                <w:szCs w:val="21"/>
                <w:highlight w:val="none"/>
                <w:lang w:bidi="ar"/>
              </w:rPr>
              <w:t>分）</w:t>
            </w:r>
          </w:p>
        </w:tc>
        <w:tc>
          <w:tcPr>
            <w:tcW w:w="6568" w:type="dxa"/>
            <w:tcBorders>
              <w:top w:val="single" w:color="000000" w:sz="4" w:space="0"/>
              <w:left w:val="single" w:color="000000" w:sz="4" w:space="0"/>
              <w:bottom w:val="single" w:color="000000" w:sz="4" w:space="0"/>
              <w:right w:val="single" w:color="000000" w:sz="4" w:space="0"/>
            </w:tcBorders>
            <w:vAlign w:val="center"/>
          </w:tcPr>
          <w:p w14:paraId="5A2B370D">
            <w:pPr>
              <w:wordWrap w:val="0"/>
              <w:adjustRightInd w:val="0"/>
              <w:spacing w:before="24" w:beforeLines="10" w:after="24" w:afterLines="1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设计任务书，符合规划设计条件，主要功能区布置合理；因地制宜、充分考虑地域环境条件，减少对周围环境的损害；建筑环境与空间造型和谐统一，充分协调好周边建筑景观的关系。符合适用、经济、绿色和美观原则，能结合地理、气候、文化反映出项目的个性特点。</w:t>
            </w:r>
          </w:p>
          <w:p w14:paraId="4449AB87">
            <w:pPr>
              <w:wordWrap w:val="0"/>
              <w:adjustRightInd w:val="0"/>
              <w:spacing w:before="24" w:beforeLines="10" w:after="24" w:afterLines="10"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优得[30-20)分；中得[20-10)分，差得[10-0)分，无此部分内容得0分。</w:t>
            </w:r>
          </w:p>
        </w:tc>
      </w:tr>
      <w:tr w14:paraId="27E4CFFE">
        <w:tblPrEx>
          <w:tblCellMar>
            <w:top w:w="0" w:type="dxa"/>
            <w:left w:w="0" w:type="dxa"/>
            <w:bottom w:w="0" w:type="dxa"/>
            <w:right w:w="0" w:type="dxa"/>
          </w:tblCellMar>
        </w:tblPrEx>
        <w:trPr>
          <w:trHeight w:val="454" w:hRule="atLeast"/>
          <w:jc w:val="center"/>
        </w:trPr>
        <w:tc>
          <w:tcPr>
            <w:tcW w:w="625" w:type="dxa"/>
            <w:vMerge w:val="continue"/>
            <w:tcBorders>
              <w:left w:val="single" w:color="000000" w:sz="4" w:space="0"/>
              <w:right w:val="single" w:color="000000" w:sz="4" w:space="0"/>
            </w:tcBorders>
            <w:vAlign w:val="center"/>
          </w:tcPr>
          <w:p w14:paraId="6430E963">
            <w:pPr>
              <w:pStyle w:val="43"/>
              <w:spacing w:line="300" w:lineRule="auto"/>
              <w:jc w:val="center"/>
              <w:rPr>
                <w:rFonts w:ascii="宋体" w:hAnsi="宋体" w:eastAsia="宋体" w:cs="宋体"/>
                <w:color w:val="auto"/>
                <w:sz w:val="21"/>
                <w:szCs w:val="21"/>
                <w:highlight w:val="none"/>
                <w:lang w:eastAsia="zh-CN"/>
              </w:rPr>
            </w:pPr>
          </w:p>
        </w:tc>
        <w:tc>
          <w:tcPr>
            <w:tcW w:w="905" w:type="dxa"/>
            <w:vMerge w:val="continue"/>
            <w:tcBorders>
              <w:left w:val="single" w:color="000000" w:sz="4" w:space="0"/>
              <w:right w:val="single" w:color="000000" w:sz="4" w:space="0"/>
            </w:tcBorders>
            <w:vAlign w:val="center"/>
          </w:tcPr>
          <w:p w14:paraId="4A6876A3">
            <w:pPr>
              <w:pStyle w:val="43"/>
              <w:spacing w:line="300" w:lineRule="auto"/>
              <w:jc w:val="center"/>
              <w:rPr>
                <w:rFonts w:ascii="宋体" w:hAnsi="宋体" w:eastAsia="宋体" w:cs="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465129B1">
            <w:pPr>
              <w:wordWrap w:val="0"/>
              <w:adjustRightInd w:val="0"/>
              <w:spacing w:before="24" w:beforeLines="10" w:after="24" w:afterLines="10" w:line="360"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rPr>
              <w:t>建筑外观</w:t>
            </w: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lang w:val="en-US" w:eastAsia="zh-CN" w:bidi="ar"/>
              </w:rPr>
              <w:t>25</w:t>
            </w:r>
            <w:r>
              <w:rPr>
                <w:rFonts w:hint="eastAsia" w:ascii="宋体" w:hAnsi="宋体" w:eastAsia="宋体" w:cs="宋体"/>
                <w:color w:val="auto"/>
                <w:sz w:val="21"/>
                <w:szCs w:val="21"/>
                <w:highlight w:val="none"/>
                <w:lang w:bidi="ar"/>
              </w:rPr>
              <w:t>分）</w:t>
            </w:r>
          </w:p>
        </w:tc>
        <w:tc>
          <w:tcPr>
            <w:tcW w:w="6568" w:type="dxa"/>
            <w:tcBorders>
              <w:top w:val="single" w:color="000000" w:sz="4" w:space="0"/>
              <w:left w:val="single" w:color="000000" w:sz="4" w:space="0"/>
              <w:bottom w:val="single" w:color="000000" w:sz="4" w:space="0"/>
              <w:right w:val="single" w:color="000000" w:sz="4" w:space="0"/>
            </w:tcBorders>
            <w:vAlign w:val="center"/>
          </w:tcPr>
          <w:p w14:paraId="52C8EFC6">
            <w:pPr>
              <w:wordWrap w:val="0"/>
              <w:adjustRightInd w:val="0"/>
              <w:spacing w:before="24" w:beforeLines="10" w:after="24" w:afterLines="1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建筑形式识别性高、细腻、精致、简洁，视觉效果良好。建筑外观与城市文化及周边环境充分协调；体现本区域特征；色彩搭配明快，充分考虑立面材质选用；经济型与美观度控制合理。</w:t>
            </w:r>
          </w:p>
          <w:p w14:paraId="61B742D5">
            <w:pPr>
              <w:wordWrap w:val="0"/>
              <w:adjustRightInd w:val="0"/>
              <w:spacing w:before="24" w:beforeLines="10" w:after="24" w:afterLines="10" w:line="360"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rPr>
              <w:t>优得[25-17)分；中得[17-8)分，差得[8-0)分，无此部分内容得0分。</w:t>
            </w:r>
          </w:p>
        </w:tc>
      </w:tr>
      <w:tr w14:paraId="55268A7F">
        <w:tblPrEx>
          <w:tblCellMar>
            <w:top w:w="0" w:type="dxa"/>
            <w:left w:w="0" w:type="dxa"/>
            <w:bottom w:w="0" w:type="dxa"/>
            <w:right w:w="0" w:type="dxa"/>
          </w:tblCellMar>
        </w:tblPrEx>
        <w:trPr>
          <w:trHeight w:val="454" w:hRule="atLeast"/>
          <w:jc w:val="center"/>
        </w:trPr>
        <w:tc>
          <w:tcPr>
            <w:tcW w:w="625" w:type="dxa"/>
            <w:vMerge w:val="continue"/>
            <w:tcBorders>
              <w:top w:val="single" w:color="000000" w:sz="4" w:space="0"/>
              <w:left w:val="single" w:color="000000" w:sz="4" w:space="0"/>
              <w:right w:val="single" w:color="000000" w:sz="4" w:space="0"/>
            </w:tcBorders>
            <w:vAlign w:val="center"/>
          </w:tcPr>
          <w:p w14:paraId="48081172">
            <w:pPr>
              <w:pStyle w:val="43"/>
              <w:spacing w:line="300" w:lineRule="auto"/>
              <w:jc w:val="center"/>
              <w:rPr>
                <w:rFonts w:ascii="宋体" w:hAnsi="宋体" w:eastAsia="宋体" w:cs="宋体"/>
                <w:color w:val="auto"/>
                <w:sz w:val="21"/>
                <w:szCs w:val="21"/>
                <w:highlight w:val="none"/>
                <w:lang w:eastAsia="zh-CN"/>
              </w:rPr>
            </w:pPr>
          </w:p>
        </w:tc>
        <w:tc>
          <w:tcPr>
            <w:tcW w:w="905" w:type="dxa"/>
            <w:vMerge w:val="continue"/>
            <w:tcBorders>
              <w:top w:val="single" w:color="000000" w:sz="4" w:space="0"/>
              <w:left w:val="single" w:color="000000" w:sz="4" w:space="0"/>
              <w:right w:val="single" w:color="000000" w:sz="4" w:space="0"/>
            </w:tcBorders>
            <w:vAlign w:val="center"/>
          </w:tcPr>
          <w:p w14:paraId="1E1D9751">
            <w:pPr>
              <w:pStyle w:val="43"/>
              <w:spacing w:line="300" w:lineRule="auto"/>
              <w:jc w:val="center"/>
              <w:rPr>
                <w:rFonts w:ascii="宋体" w:hAnsi="宋体" w:eastAsia="宋体" w:cs="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3775A816">
            <w:pPr>
              <w:wordWrap w:val="0"/>
              <w:adjustRightInd w:val="0"/>
              <w:spacing w:before="24" w:beforeLines="10" w:after="24" w:afterLines="10" w:line="360"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rPr>
              <w:t>使用功能</w:t>
            </w: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lang w:val="en-US" w:eastAsia="zh-CN" w:bidi="ar"/>
              </w:rPr>
              <w:t>25</w:t>
            </w:r>
            <w:r>
              <w:rPr>
                <w:rFonts w:hint="eastAsia" w:ascii="宋体" w:hAnsi="宋体" w:eastAsia="宋体" w:cs="宋体"/>
                <w:color w:val="auto"/>
                <w:sz w:val="21"/>
                <w:szCs w:val="21"/>
                <w:highlight w:val="none"/>
                <w:lang w:bidi="ar"/>
              </w:rPr>
              <w:t>分）</w:t>
            </w:r>
          </w:p>
        </w:tc>
        <w:tc>
          <w:tcPr>
            <w:tcW w:w="6568" w:type="dxa"/>
            <w:tcBorders>
              <w:top w:val="single" w:color="000000" w:sz="4" w:space="0"/>
              <w:left w:val="single" w:color="000000" w:sz="4" w:space="0"/>
              <w:bottom w:val="single" w:color="000000" w:sz="4" w:space="0"/>
              <w:right w:val="single" w:color="000000" w:sz="4" w:space="0"/>
            </w:tcBorders>
            <w:vAlign w:val="center"/>
          </w:tcPr>
          <w:p w14:paraId="7444D8F9">
            <w:pPr>
              <w:wordWrap w:val="0"/>
              <w:adjustRightInd w:val="0"/>
              <w:spacing w:before="24" w:beforeLines="10" w:after="24" w:afterLines="1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设计任务书，空间布局合理，噪声隔绝，避免视线干扰，房屋散热，空气流通，朝向和开窗合理。从使用者的角度考虑单元设计，具有预见性和适应性，舒适实用，功能齐全、满足使用要求，有充分的可实施性和多功能使用的灵活性。</w:t>
            </w:r>
          </w:p>
          <w:p w14:paraId="49AA7B85">
            <w:pPr>
              <w:wordWrap w:val="0"/>
              <w:adjustRightInd w:val="0"/>
              <w:spacing w:before="24" w:beforeLines="10" w:after="24" w:afterLines="10" w:line="360"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rPr>
              <w:t>优得[25-17)分；中得[17-8)分，差得[8-0)分，无此部分内容得0分</w:t>
            </w:r>
            <w:r>
              <w:rPr>
                <w:rFonts w:hint="eastAsia" w:ascii="宋体" w:hAnsi="宋体" w:eastAsia="宋体" w:cs="宋体"/>
                <w:color w:val="auto"/>
                <w:sz w:val="21"/>
                <w:szCs w:val="21"/>
                <w:highlight w:val="none"/>
                <w:lang w:val="zh-CN"/>
              </w:rPr>
              <w:t>。</w:t>
            </w:r>
          </w:p>
        </w:tc>
      </w:tr>
      <w:tr w14:paraId="3732FBA5">
        <w:tblPrEx>
          <w:tblCellMar>
            <w:top w:w="0" w:type="dxa"/>
            <w:left w:w="0" w:type="dxa"/>
            <w:bottom w:w="0" w:type="dxa"/>
            <w:right w:w="0" w:type="dxa"/>
          </w:tblCellMar>
        </w:tblPrEx>
        <w:trPr>
          <w:trHeight w:val="454" w:hRule="atLeast"/>
          <w:jc w:val="center"/>
        </w:trPr>
        <w:tc>
          <w:tcPr>
            <w:tcW w:w="625" w:type="dxa"/>
            <w:vMerge w:val="continue"/>
            <w:tcBorders>
              <w:top w:val="single" w:color="000000" w:sz="4" w:space="0"/>
              <w:left w:val="single" w:color="000000" w:sz="4" w:space="0"/>
              <w:right w:val="single" w:color="000000" w:sz="4" w:space="0"/>
            </w:tcBorders>
            <w:vAlign w:val="center"/>
          </w:tcPr>
          <w:p w14:paraId="6FA3027D">
            <w:pPr>
              <w:pStyle w:val="43"/>
              <w:spacing w:line="300" w:lineRule="auto"/>
              <w:jc w:val="center"/>
              <w:rPr>
                <w:rFonts w:ascii="宋体" w:hAnsi="宋体" w:eastAsia="宋体" w:cs="宋体"/>
                <w:color w:val="auto"/>
                <w:sz w:val="21"/>
                <w:szCs w:val="21"/>
                <w:highlight w:val="none"/>
                <w:lang w:eastAsia="zh-CN"/>
              </w:rPr>
            </w:pPr>
          </w:p>
        </w:tc>
        <w:tc>
          <w:tcPr>
            <w:tcW w:w="905" w:type="dxa"/>
            <w:vMerge w:val="continue"/>
            <w:tcBorders>
              <w:top w:val="single" w:color="000000" w:sz="4" w:space="0"/>
              <w:left w:val="single" w:color="000000" w:sz="4" w:space="0"/>
              <w:right w:val="single" w:color="000000" w:sz="4" w:space="0"/>
            </w:tcBorders>
            <w:vAlign w:val="center"/>
          </w:tcPr>
          <w:p w14:paraId="3DE5B168">
            <w:pPr>
              <w:pStyle w:val="43"/>
              <w:spacing w:line="300" w:lineRule="auto"/>
              <w:jc w:val="center"/>
              <w:rPr>
                <w:rFonts w:ascii="宋体" w:hAnsi="宋体" w:eastAsia="宋体" w:cs="宋体"/>
                <w:color w:val="auto"/>
                <w:sz w:val="21"/>
                <w:szCs w:val="21"/>
                <w:highlight w:val="none"/>
                <w:lang w:eastAsia="zh-CN"/>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0874AC26">
            <w:pPr>
              <w:wordWrap w:val="0"/>
              <w:adjustRightInd w:val="0"/>
              <w:spacing w:before="24" w:beforeLines="10" w:after="24" w:afterLines="10" w:line="360"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rPr>
              <w:t>交通设计</w:t>
            </w: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lang w:val="en-US" w:eastAsia="zh-CN" w:bidi="ar"/>
              </w:rPr>
              <w:t>20</w:t>
            </w:r>
            <w:r>
              <w:rPr>
                <w:rFonts w:hint="eastAsia" w:ascii="宋体" w:hAnsi="宋体" w:eastAsia="宋体" w:cs="宋体"/>
                <w:color w:val="auto"/>
                <w:sz w:val="21"/>
                <w:szCs w:val="21"/>
                <w:highlight w:val="none"/>
                <w:lang w:bidi="ar"/>
              </w:rPr>
              <w:t>分）</w:t>
            </w:r>
          </w:p>
        </w:tc>
        <w:tc>
          <w:tcPr>
            <w:tcW w:w="6568" w:type="dxa"/>
            <w:tcBorders>
              <w:top w:val="single" w:color="000000" w:sz="4" w:space="0"/>
              <w:left w:val="single" w:color="000000" w:sz="4" w:space="0"/>
              <w:bottom w:val="single" w:color="000000" w:sz="4" w:space="0"/>
              <w:right w:val="single" w:color="000000" w:sz="4" w:space="0"/>
            </w:tcBorders>
            <w:vAlign w:val="center"/>
          </w:tcPr>
          <w:p w14:paraId="35BEAC03">
            <w:pPr>
              <w:wordWrap w:val="0"/>
              <w:adjustRightInd w:val="0"/>
              <w:spacing w:before="24" w:beforeLines="10" w:after="24" w:afterLines="1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交通流线清晰，停车体系完善，连接方便，避免交通阻隔和绕行，减少无效路程，可快速疏通人流，提高交通效率。</w:t>
            </w:r>
          </w:p>
          <w:p w14:paraId="58D2538D">
            <w:pPr>
              <w:wordWrap w:val="0"/>
              <w:adjustRightInd w:val="0"/>
              <w:spacing w:before="24" w:beforeLines="10" w:after="24" w:afterLines="10" w:line="360"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val="zh-CN"/>
              </w:rPr>
              <w:t>优得</w:t>
            </w:r>
            <w:r>
              <w:rPr>
                <w:rFonts w:hint="eastAsia" w:ascii="宋体" w:hAnsi="宋体" w:eastAsia="宋体" w:cs="宋体"/>
                <w:color w:val="auto"/>
                <w:sz w:val="21"/>
                <w:szCs w:val="21"/>
                <w:highlight w:val="none"/>
              </w:rPr>
              <w:t>[20-14)</w:t>
            </w:r>
            <w:r>
              <w:rPr>
                <w:rFonts w:hint="eastAsia" w:ascii="宋体" w:hAnsi="宋体" w:eastAsia="宋体" w:cs="宋体"/>
                <w:color w:val="auto"/>
                <w:sz w:val="21"/>
                <w:szCs w:val="21"/>
                <w:highlight w:val="none"/>
                <w:lang w:val="zh-CN"/>
              </w:rPr>
              <w:t>分；</w:t>
            </w:r>
            <w:r>
              <w:rPr>
                <w:rFonts w:hint="eastAsia" w:ascii="宋体" w:hAnsi="宋体" w:eastAsia="宋体" w:cs="宋体"/>
                <w:color w:val="auto"/>
                <w:sz w:val="21"/>
                <w:szCs w:val="21"/>
                <w:highlight w:val="none"/>
              </w:rPr>
              <w:t>中</w:t>
            </w:r>
            <w:r>
              <w:rPr>
                <w:rFonts w:hint="eastAsia" w:ascii="宋体" w:hAnsi="宋体" w:eastAsia="宋体" w:cs="宋体"/>
                <w:color w:val="auto"/>
                <w:sz w:val="21"/>
                <w:szCs w:val="21"/>
                <w:highlight w:val="none"/>
                <w:lang w:val="zh-CN"/>
              </w:rPr>
              <w:t>得</w:t>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val="zh-CN"/>
              </w:rPr>
              <w:t>分，</w:t>
            </w:r>
            <w:r>
              <w:rPr>
                <w:rFonts w:hint="eastAsia" w:ascii="宋体" w:hAnsi="宋体" w:eastAsia="宋体" w:cs="宋体"/>
                <w:color w:val="auto"/>
                <w:sz w:val="21"/>
                <w:szCs w:val="21"/>
                <w:highlight w:val="none"/>
              </w:rPr>
              <w:t>差</w:t>
            </w:r>
            <w:r>
              <w:rPr>
                <w:rFonts w:hint="eastAsia" w:ascii="宋体" w:hAnsi="宋体" w:eastAsia="宋体" w:cs="宋体"/>
                <w:color w:val="auto"/>
                <w:sz w:val="21"/>
                <w:szCs w:val="21"/>
                <w:highlight w:val="none"/>
                <w:lang w:val="zh-CN"/>
              </w:rPr>
              <w:t>得</w:t>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lang w:val="zh-CN"/>
              </w:rPr>
              <w:t>分，无此部分内容得0分。</w:t>
            </w:r>
          </w:p>
        </w:tc>
      </w:tr>
      <w:tr w14:paraId="61D428D0">
        <w:tblPrEx>
          <w:tblCellMar>
            <w:top w:w="0" w:type="dxa"/>
            <w:left w:w="0" w:type="dxa"/>
            <w:bottom w:w="0" w:type="dxa"/>
            <w:right w:w="0" w:type="dxa"/>
          </w:tblCellMar>
        </w:tblPrEx>
        <w:trPr>
          <w:trHeight w:val="454" w:hRule="atLeast"/>
          <w:jc w:val="center"/>
        </w:trPr>
        <w:tc>
          <w:tcPr>
            <w:tcW w:w="625" w:type="dxa"/>
            <w:tcBorders>
              <w:top w:val="single" w:color="000000" w:sz="4" w:space="0"/>
              <w:left w:val="single" w:color="000000" w:sz="4" w:space="0"/>
              <w:right w:val="single" w:color="000000" w:sz="4" w:space="0"/>
            </w:tcBorders>
            <w:vAlign w:val="center"/>
          </w:tcPr>
          <w:p w14:paraId="1CDB90E4">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2.2.4（3）</w:t>
            </w:r>
          </w:p>
        </w:tc>
        <w:tc>
          <w:tcPr>
            <w:tcW w:w="905" w:type="dxa"/>
            <w:tcBorders>
              <w:top w:val="single" w:color="000000" w:sz="4" w:space="0"/>
              <w:left w:val="single" w:color="000000" w:sz="4" w:space="0"/>
              <w:right w:val="single" w:color="000000" w:sz="4" w:space="0"/>
            </w:tcBorders>
            <w:vAlign w:val="center"/>
          </w:tcPr>
          <w:p w14:paraId="08D0A04A">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投标报价评分标准（100分）</w:t>
            </w:r>
          </w:p>
        </w:tc>
        <w:tc>
          <w:tcPr>
            <w:tcW w:w="1966" w:type="dxa"/>
            <w:tcBorders>
              <w:top w:val="single" w:color="auto" w:sz="4" w:space="0"/>
              <w:left w:val="single" w:color="000000" w:sz="4" w:space="0"/>
              <w:bottom w:val="single" w:color="000000" w:sz="4" w:space="0"/>
              <w:right w:val="single" w:color="000000" w:sz="4" w:space="0"/>
            </w:tcBorders>
            <w:vAlign w:val="center"/>
          </w:tcPr>
          <w:p w14:paraId="30A6970A">
            <w:pPr>
              <w:pStyle w:val="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偏差率</w:t>
            </w:r>
          </w:p>
        </w:tc>
        <w:tc>
          <w:tcPr>
            <w:tcW w:w="6568" w:type="dxa"/>
            <w:tcBorders>
              <w:top w:val="single" w:color="auto" w:sz="4" w:space="0"/>
              <w:left w:val="single" w:color="000000" w:sz="4" w:space="0"/>
              <w:bottom w:val="single" w:color="000000" w:sz="4" w:space="0"/>
              <w:right w:val="single" w:color="000000" w:sz="4" w:space="0"/>
            </w:tcBorders>
            <w:vAlign w:val="center"/>
          </w:tcPr>
          <w:p w14:paraId="435DF15E">
            <w:pPr>
              <w:pStyle w:val="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以评标基准价作为计算各有效投标总价得分的基础，当有效投标总价等于评标基准价时得100分；投标有效投标总价与评标基准价相比，每上偏1 %扣1</w:t>
            </w:r>
            <w:r>
              <w:rPr>
                <w:rFonts w:hint="eastAsia" w:ascii="宋体" w:hAnsi="宋体" w:eastAsia="宋体" w:cs="宋体"/>
                <w:color w:val="auto"/>
                <w:sz w:val="21"/>
                <w:szCs w:val="21"/>
                <w:highlight w:val="none"/>
                <w:lang w:val="en-GB"/>
              </w:rPr>
              <w:t>.5</w:t>
            </w:r>
            <w:r>
              <w:rPr>
                <w:rFonts w:hint="eastAsia" w:ascii="宋体" w:hAnsi="宋体" w:eastAsia="宋体" w:cs="宋体"/>
                <w:color w:val="auto"/>
                <w:sz w:val="21"/>
                <w:szCs w:val="21"/>
                <w:highlight w:val="none"/>
              </w:rPr>
              <w:t>分，每下偏 1 %扣</w:t>
            </w:r>
            <w:r>
              <w:rPr>
                <w:rFonts w:hint="eastAsia" w:ascii="宋体" w:hAnsi="宋体" w:eastAsia="宋体" w:cs="宋体"/>
                <w:color w:val="auto"/>
                <w:sz w:val="21"/>
                <w:szCs w:val="21"/>
                <w:highlight w:val="none"/>
                <w:lang w:val="en-GB"/>
              </w:rPr>
              <w:t>1.0</w:t>
            </w:r>
            <w:r>
              <w:rPr>
                <w:rFonts w:hint="eastAsia" w:ascii="宋体" w:hAnsi="宋体" w:eastAsia="宋体" w:cs="宋体"/>
                <w:color w:val="auto"/>
                <w:sz w:val="21"/>
                <w:szCs w:val="21"/>
                <w:highlight w:val="none"/>
              </w:rPr>
              <w:t>分。最多扣100分。</w:t>
            </w:r>
          </w:p>
        </w:tc>
      </w:tr>
      <w:tr w14:paraId="25BC0648">
        <w:tblPrEx>
          <w:tblCellMar>
            <w:top w:w="0" w:type="dxa"/>
            <w:left w:w="0" w:type="dxa"/>
            <w:bottom w:w="0" w:type="dxa"/>
            <w:right w:w="0" w:type="dxa"/>
          </w:tblCellMar>
        </w:tblPrEx>
        <w:trPr>
          <w:trHeight w:val="454" w:hRule="atLeast"/>
          <w:jc w:val="center"/>
        </w:trPr>
        <w:tc>
          <w:tcPr>
            <w:tcW w:w="625" w:type="dxa"/>
            <w:tcBorders>
              <w:top w:val="single" w:color="000000" w:sz="4" w:space="0"/>
              <w:left w:val="single" w:color="000000" w:sz="4" w:space="0"/>
              <w:bottom w:val="single" w:color="000000" w:sz="4" w:space="0"/>
              <w:right w:val="single" w:color="000000" w:sz="4" w:space="0"/>
            </w:tcBorders>
            <w:vAlign w:val="center"/>
          </w:tcPr>
          <w:p w14:paraId="732FA3EA">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r>
              <w:rPr>
                <w:rFonts w:ascii="宋体" w:hAnsi="宋体" w:eastAsia="宋体" w:cs="宋体"/>
                <w:color w:val="auto"/>
                <w:sz w:val="21"/>
                <w:szCs w:val="21"/>
                <w:highlight w:val="none"/>
              </w:rPr>
              <w:t>（</w:t>
            </w:r>
            <w:r>
              <w:rPr>
                <w:rFonts w:hint="eastAsia" w:ascii="宋体" w:hAnsi="宋体" w:eastAsia="宋体" w:cs="宋体"/>
                <w:color w:val="auto"/>
                <w:sz w:val="21"/>
                <w:szCs w:val="21"/>
                <w:highlight w:val="none"/>
              </w:rPr>
              <w:t>4</w:t>
            </w:r>
            <w:r>
              <w:rPr>
                <w:rFonts w:ascii="宋体" w:hAnsi="宋体" w:eastAsia="宋体" w:cs="宋体"/>
                <w:color w:val="auto"/>
                <w:sz w:val="21"/>
                <w:szCs w:val="21"/>
                <w:highlight w:val="none"/>
              </w:rPr>
              <w:t>）</w:t>
            </w:r>
          </w:p>
        </w:tc>
        <w:tc>
          <w:tcPr>
            <w:tcW w:w="905" w:type="dxa"/>
            <w:tcBorders>
              <w:top w:val="single" w:color="000000" w:sz="4" w:space="0"/>
              <w:left w:val="single" w:color="000000" w:sz="4" w:space="0"/>
              <w:bottom w:val="single" w:color="000000" w:sz="4" w:space="0"/>
              <w:right w:val="single" w:color="000000" w:sz="4" w:space="0"/>
            </w:tcBorders>
            <w:vAlign w:val="center"/>
          </w:tcPr>
          <w:p w14:paraId="276AEFE0">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其他因素评分标准</w:t>
            </w:r>
          </w:p>
        </w:tc>
        <w:tc>
          <w:tcPr>
            <w:tcW w:w="1966" w:type="dxa"/>
            <w:tcBorders>
              <w:top w:val="single" w:color="000000" w:sz="4" w:space="0"/>
              <w:left w:val="single" w:color="000000" w:sz="4" w:space="0"/>
              <w:bottom w:val="single" w:color="000000" w:sz="4" w:space="0"/>
              <w:right w:val="single" w:color="000000" w:sz="4" w:space="0"/>
            </w:tcBorders>
            <w:vAlign w:val="center"/>
          </w:tcPr>
          <w:p w14:paraId="0D94665C">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6568" w:type="dxa"/>
            <w:tcBorders>
              <w:top w:val="single" w:color="000000" w:sz="4" w:space="0"/>
              <w:left w:val="single" w:color="000000" w:sz="4" w:space="0"/>
              <w:bottom w:val="single" w:color="000000" w:sz="4" w:space="0"/>
              <w:right w:val="single" w:color="000000" w:sz="4" w:space="0"/>
            </w:tcBorders>
            <w:vAlign w:val="center"/>
          </w:tcPr>
          <w:p w14:paraId="729178E0">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r>
      <w:tr w14:paraId="59D51FF4">
        <w:tblPrEx>
          <w:tblCellMar>
            <w:top w:w="0" w:type="dxa"/>
            <w:left w:w="0" w:type="dxa"/>
            <w:bottom w:w="0" w:type="dxa"/>
            <w:right w:w="0" w:type="dxa"/>
          </w:tblCellMar>
        </w:tblPrEx>
        <w:trPr>
          <w:trHeight w:val="454" w:hRule="atLeast"/>
          <w:jc w:val="center"/>
        </w:trPr>
        <w:tc>
          <w:tcPr>
            <w:tcW w:w="625" w:type="dxa"/>
            <w:tcBorders>
              <w:top w:val="single" w:color="000000" w:sz="4" w:space="0"/>
              <w:left w:val="single" w:color="000000" w:sz="4" w:space="0"/>
              <w:bottom w:val="single" w:color="000000" w:sz="4" w:space="0"/>
              <w:right w:val="single" w:color="000000" w:sz="4" w:space="0"/>
            </w:tcBorders>
            <w:vAlign w:val="center"/>
          </w:tcPr>
          <w:p w14:paraId="07062399">
            <w:pPr>
              <w:pStyle w:val="43"/>
              <w:spacing w:line="30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2871" w:type="dxa"/>
            <w:gridSpan w:val="2"/>
            <w:tcBorders>
              <w:top w:val="single" w:color="000000" w:sz="4" w:space="0"/>
              <w:left w:val="single" w:color="000000" w:sz="4" w:space="0"/>
              <w:bottom w:val="single" w:color="000000" w:sz="4" w:space="0"/>
              <w:right w:val="single" w:color="000000" w:sz="4" w:space="0"/>
            </w:tcBorders>
            <w:vAlign w:val="center"/>
          </w:tcPr>
          <w:p w14:paraId="18579AB1">
            <w:pPr>
              <w:pStyle w:val="43"/>
              <w:spacing w:line="300" w:lineRule="auto"/>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详细评审</w:t>
            </w:r>
          </w:p>
        </w:tc>
        <w:tc>
          <w:tcPr>
            <w:tcW w:w="6568" w:type="dxa"/>
            <w:tcBorders>
              <w:top w:val="single" w:color="000000" w:sz="4" w:space="0"/>
              <w:left w:val="single" w:color="000000" w:sz="4" w:space="0"/>
              <w:bottom w:val="single" w:color="000000" w:sz="4" w:space="0"/>
              <w:right w:val="single" w:color="000000" w:sz="4" w:space="0"/>
            </w:tcBorders>
            <w:vAlign w:val="center"/>
          </w:tcPr>
          <w:p w14:paraId="16574E4D">
            <w:pPr>
              <w:pStyle w:val="43"/>
              <w:spacing w:line="300" w:lineRule="auto"/>
              <w:jc w:val="both"/>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3.2.1</w:t>
            </w:r>
            <w:r>
              <w:rPr>
                <w:rFonts w:hint="eastAsia" w:ascii="宋体" w:hAnsi="宋体" w:eastAsia="宋体" w:cs="宋体"/>
                <w:color w:val="auto"/>
                <w:sz w:val="21"/>
                <w:szCs w:val="21"/>
                <w:highlight w:val="none"/>
                <w:lang w:eastAsia="zh-CN"/>
              </w:rPr>
              <w:t>评标委员会按本章第</w:t>
            </w:r>
            <w:r>
              <w:rPr>
                <w:rFonts w:ascii="宋体" w:hAnsi="宋体" w:eastAsia="宋体" w:cs="宋体"/>
                <w:color w:val="auto"/>
                <w:sz w:val="21"/>
                <w:szCs w:val="21"/>
                <w:highlight w:val="none"/>
                <w:lang w:eastAsia="zh-CN"/>
              </w:rPr>
              <w:t xml:space="preserve"> 2.2</w:t>
            </w:r>
            <w:r>
              <w:rPr>
                <w:rFonts w:hint="eastAsia" w:ascii="宋体" w:hAnsi="宋体" w:eastAsia="宋体" w:cs="宋体"/>
                <w:color w:val="auto"/>
                <w:sz w:val="21"/>
                <w:szCs w:val="21"/>
                <w:highlight w:val="none"/>
                <w:lang w:eastAsia="zh-CN"/>
              </w:rPr>
              <w:t>款规定的量化因素和分值进行打分，并计算出综合评估得分。</w:t>
            </w:r>
          </w:p>
          <w:p w14:paraId="7B8C5760">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eastAsia="zh-CN"/>
              </w:rPr>
              <w:t>）按本章第</w:t>
            </w:r>
            <w:r>
              <w:rPr>
                <w:rFonts w:ascii="宋体" w:hAnsi="宋体" w:eastAsia="宋体" w:cs="宋体"/>
                <w:color w:val="auto"/>
                <w:sz w:val="21"/>
                <w:szCs w:val="21"/>
                <w:highlight w:val="none"/>
                <w:lang w:eastAsia="zh-CN"/>
              </w:rPr>
              <w:t>2.2.4</w:t>
            </w: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eastAsia="zh-CN"/>
              </w:rPr>
              <w:t>）目规定的评审因素和分值对通过形式、资格、响应性评审（商务文件）的投标人的投标文件进行商务文件（资信业绩）评分计算出得分；</w:t>
            </w:r>
          </w:p>
          <w:p w14:paraId="6B4DDCFD">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lang w:eastAsia="zh-CN"/>
              </w:rPr>
              <w:t>）按本章第</w:t>
            </w:r>
            <w:r>
              <w:rPr>
                <w:rFonts w:ascii="宋体" w:hAnsi="宋体" w:eastAsia="宋体" w:cs="宋体"/>
                <w:color w:val="auto"/>
                <w:sz w:val="21"/>
                <w:szCs w:val="21"/>
                <w:highlight w:val="none"/>
                <w:lang w:eastAsia="zh-CN"/>
              </w:rPr>
              <w:t>2.2.4</w:t>
            </w: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lang w:eastAsia="zh-CN"/>
              </w:rPr>
              <w:t>）目规定的评审因素和分值对通过响应性评审（技术文件）的投标人的投标文件进行技术文件（设计方案</w:t>
            </w:r>
            <w:r>
              <w:rPr>
                <w:rFonts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eastAsia="zh-CN"/>
              </w:rPr>
              <w:t>评分计算出得分；</w:t>
            </w:r>
          </w:p>
          <w:p w14:paraId="515A126C">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lang w:eastAsia="zh-CN"/>
              </w:rPr>
              <w:t>）评标委员会揭晓投标人身份。</w:t>
            </w:r>
          </w:p>
          <w:p w14:paraId="4EBA7AB4">
            <w:pPr>
              <w:pStyle w:val="43"/>
              <w:spacing w:line="300" w:lineRule="auto"/>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lang w:eastAsia="zh-CN"/>
              </w:rPr>
              <w:t>）评标委员会按照只有通过初步评审的投标人的投标文件方可进入下一阶段评审的评审原则，在揭晓投标人身份后，根据初步评审结果，否决未通过初步评审的投标人的投标，取消其得分，且不再进入得分汇总阶段。</w:t>
            </w:r>
          </w:p>
          <w:p w14:paraId="04B7B348">
            <w:pPr>
              <w:pStyle w:val="43"/>
              <w:spacing w:line="300" w:lineRule="auto"/>
              <w:jc w:val="both"/>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3.2.2</w:t>
            </w:r>
            <w:r>
              <w:rPr>
                <w:rFonts w:hint="eastAsia" w:ascii="宋体" w:hAnsi="宋体" w:eastAsia="宋体" w:cs="宋体"/>
                <w:color w:val="auto"/>
                <w:sz w:val="21"/>
                <w:szCs w:val="21"/>
                <w:highlight w:val="none"/>
                <w:lang w:eastAsia="zh-CN"/>
              </w:rPr>
              <w:t>评分分值计算保留小数点后两位，小数点后第三位“四舍五入”。</w:t>
            </w:r>
          </w:p>
          <w:p w14:paraId="41A79072">
            <w:pPr>
              <w:pStyle w:val="43"/>
              <w:spacing w:line="300" w:lineRule="auto"/>
              <w:jc w:val="both"/>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3.2.3</w:t>
            </w:r>
            <w:r>
              <w:rPr>
                <w:rFonts w:hint="eastAsia" w:ascii="宋体" w:hAnsi="宋体" w:eastAsia="宋体" w:cs="宋体"/>
                <w:color w:val="auto"/>
                <w:sz w:val="21"/>
                <w:szCs w:val="21"/>
                <w:highlight w:val="none"/>
                <w:lang w:eastAsia="zh-CN"/>
              </w:rPr>
              <w:t>权重分配：商务文件（资信业绩部分）权重为3</w:t>
            </w:r>
            <w:r>
              <w:rPr>
                <w:rFonts w:ascii="宋体" w:hAnsi="宋体" w:eastAsia="宋体" w:cs="宋体"/>
                <w:color w:val="auto"/>
                <w:sz w:val="21"/>
                <w:szCs w:val="21"/>
                <w:highlight w:val="none"/>
                <w:lang w:eastAsia="zh-CN"/>
              </w:rPr>
              <w:t>0</w:t>
            </w:r>
            <w:r>
              <w:rPr>
                <w:rFonts w:hint="eastAsia" w:ascii="宋体" w:hAnsi="宋体" w:eastAsia="宋体" w:cs="宋体"/>
                <w:color w:val="auto"/>
                <w:sz w:val="21"/>
                <w:szCs w:val="21"/>
                <w:highlight w:val="none"/>
                <w:lang w:eastAsia="zh-CN"/>
              </w:rPr>
              <w:t>％、技术文件（设计方案部分）权重为6</w:t>
            </w:r>
            <w:r>
              <w:rPr>
                <w:rFonts w:ascii="宋体" w:hAnsi="宋体" w:eastAsia="宋体" w:cs="宋体"/>
                <w:color w:val="auto"/>
                <w:sz w:val="21"/>
                <w:szCs w:val="21"/>
                <w:highlight w:val="none"/>
                <w:lang w:eastAsia="zh-CN"/>
              </w:rPr>
              <w:t>0</w:t>
            </w:r>
            <w:r>
              <w:rPr>
                <w:rFonts w:hint="eastAsia" w:ascii="宋体" w:hAnsi="宋体" w:eastAsia="宋体" w:cs="宋体"/>
                <w:color w:val="auto"/>
                <w:sz w:val="21"/>
                <w:szCs w:val="21"/>
                <w:highlight w:val="none"/>
                <w:lang w:eastAsia="zh-CN"/>
              </w:rPr>
              <w:t>%、报价文件权重为10%</w:t>
            </w:r>
          </w:p>
          <w:p w14:paraId="61FA83E2">
            <w:pPr>
              <w:pStyle w:val="18"/>
              <w:spacing w:line="30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投标人的综合得分（满分</w:t>
            </w:r>
            <w:r>
              <w:rPr>
                <w:rFonts w:ascii="宋体" w:hAnsi="宋体" w:eastAsia="宋体"/>
                <w:color w:val="auto"/>
                <w:sz w:val="21"/>
                <w:szCs w:val="21"/>
                <w:highlight w:val="none"/>
              </w:rPr>
              <w:t>100</w:t>
            </w:r>
            <w:r>
              <w:rPr>
                <w:rFonts w:hint="eastAsia" w:ascii="宋体" w:hAnsi="宋体" w:eastAsia="宋体"/>
                <w:color w:val="auto"/>
                <w:sz w:val="21"/>
                <w:szCs w:val="21"/>
                <w:highlight w:val="none"/>
              </w:rPr>
              <w:t>分）</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商务文件得分×3</w:t>
            </w:r>
            <w:r>
              <w:rPr>
                <w:rFonts w:ascii="宋体" w:hAnsi="宋体" w:eastAsia="宋体"/>
                <w:color w:val="auto"/>
                <w:sz w:val="21"/>
                <w:szCs w:val="21"/>
                <w:highlight w:val="none"/>
              </w:rPr>
              <w:t>0</w:t>
            </w:r>
            <w:r>
              <w:rPr>
                <w:rFonts w:hint="eastAsia" w:ascii="宋体" w:hAnsi="宋体" w:eastAsia="宋体"/>
                <w:color w:val="auto"/>
                <w:sz w:val="21"/>
                <w:szCs w:val="21"/>
                <w:highlight w:val="none"/>
              </w:rPr>
              <w:t>％</w:t>
            </w:r>
            <w:r>
              <w:rPr>
                <w:rFonts w:ascii="宋体" w:hAnsi="宋体" w:eastAsia="宋体"/>
                <w:color w:val="auto"/>
                <w:sz w:val="21"/>
                <w:szCs w:val="21"/>
                <w:highlight w:val="none"/>
              </w:rPr>
              <w:t>+</w:t>
            </w:r>
            <w:r>
              <w:rPr>
                <w:rFonts w:hint="eastAsia" w:ascii="宋体" w:hAnsi="宋体" w:eastAsia="宋体"/>
                <w:color w:val="auto"/>
                <w:sz w:val="21"/>
                <w:szCs w:val="21"/>
                <w:highlight w:val="none"/>
              </w:rPr>
              <w:t>技术文件得分×</w:t>
            </w:r>
            <w:r>
              <w:rPr>
                <w:rFonts w:ascii="宋体" w:hAnsi="宋体" w:eastAsia="宋体"/>
                <w:color w:val="auto"/>
                <w:sz w:val="21"/>
                <w:szCs w:val="21"/>
                <w:highlight w:val="none"/>
                <w:lang w:val="en-GB"/>
              </w:rPr>
              <w:t>6</w:t>
            </w:r>
            <w:r>
              <w:rPr>
                <w:rFonts w:ascii="宋体" w:hAnsi="宋体" w:eastAsia="宋体"/>
                <w:color w:val="auto"/>
                <w:sz w:val="21"/>
                <w:szCs w:val="21"/>
                <w:highlight w:val="none"/>
              </w:rPr>
              <w:t>0</w:t>
            </w:r>
            <w:r>
              <w:rPr>
                <w:rFonts w:hint="eastAsia" w:ascii="宋体" w:hAnsi="宋体" w:eastAsia="宋体"/>
                <w:color w:val="auto"/>
                <w:sz w:val="21"/>
                <w:szCs w:val="21"/>
                <w:highlight w:val="none"/>
              </w:rPr>
              <w:t>％</w:t>
            </w:r>
            <w:r>
              <w:rPr>
                <w:rFonts w:ascii="宋体" w:hAnsi="宋体" w:eastAsia="宋体"/>
                <w:color w:val="auto"/>
                <w:sz w:val="21"/>
                <w:szCs w:val="21"/>
                <w:highlight w:val="none"/>
                <w:lang w:val="en-GB"/>
              </w:rPr>
              <w:t>+</w:t>
            </w:r>
            <w:r>
              <w:rPr>
                <w:rFonts w:hint="eastAsia" w:ascii="宋体" w:hAnsi="宋体" w:eastAsia="宋体"/>
                <w:color w:val="auto"/>
                <w:sz w:val="21"/>
                <w:szCs w:val="21"/>
                <w:highlight w:val="none"/>
              </w:rPr>
              <w:t>报价文件得分×1</w:t>
            </w:r>
            <w:r>
              <w:rPr>
                <w:rFonts w:ascii="宋体" w:hAnsi="宋体" w:eastAsia="宋体"/>
                <w:color w:val="auto"/>
                <w:sz w:val="21"/>
                <w:szCs w:val="21"/>
                <w:highlight w:val="none"/>
              </w:rPr>
              <w:t>0</w:t>
            </w:r>
            <w:r>
              <w:rPr>
                <w:rFonts w:hint="eastAsia" w:ascii="宋体" w:hAnsi="宋体" w:eastAsia="宋体"/>
                <w:color w:val="auto"/>
                <w:sz w:val="21"/>
                <w:szCs w:val="21"/>
                <w:highlight w:val="none"/>
              </w:rPr>
              <w:t>％</w:t>
            </w:r>
          </w:p>
        </w:tc>
      </w:tr>
    </w:tbl>
    <w:p w14:paraId="6FC5A911">
      <w:pPr>
        <w:spacing w:line="360" w:lineRule="auto"/>
        <w:ind w:firstLine="361" w:firstLineChars="200"/>
        <w:rPr>
          <w:rFonts w:ascii="宋体" w:hAnsi="宋体" w:cs="宋体"/>
          <w:color w:val="auto"/>
          <w:sz w:val="24"/>
          <w:szCs w:val="24"/>
          <w:highlight w:val="none"/>
        </w:rPr>
      </w:pPr>
      <w:bookmarkStart w:id="42" w:name="_Hlk106266746"/>
      <w:r>
        <w:rPr>
          <w:rFonts w:hint="eastAsia" w:ascii="宋体" w:hAnsi="宋体" w:eastAsia="宋体"/>
          <w:b/>
          <w:bCs/>
          <w:color w:val="auto"/>
          <w:sz w:val="18"/>
          <w:szCs w:val="18"/>
          <w:highlight w:val="none"/>
          <w:lang w:eastAsia="zh-CN"/>
        </w:rPr>
        <w:t>注：</w:t>
      </w:r>
      <w:bookmarkEnd w:id="42"/>
      <w:r>
        <w:rPr>
          <w:rFonts w:hint="eastAsia" w:ascii="宋体" w:hAnsi="宋体" w:cs="宋体"/>
          <w:b/>
          <w:bCs/>
          <w:color w:val="auto"/>
          <w:sz w:val="24"/>
          <w:szCs w:val="24"/>
          <w:highlight w:val="none"/>
        </w:rPr>
        <w:t>注：1.企业类似业绩要求：</w:t>
      </w:r>
    </w:p>
    <w:p w14:paraId="1142C5B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设计业绩须同时提供合同关键页、初步设计批复（或初步设计复函、或工程规划许可证、或施工图审查合格证明文件、或全国（或各省）建筑市场监管公共服务平台中施工图审查信息的截图、或经该项目业主盖章确认的设计履行的证明）等证明文件，证明文件以清晰扫描件方式提供并加盖投标人电子印章。</w:t>
      </w:r>
    </w:p>
    <w:p w14:paraId="0675717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业绩时间：以初步设计批复（或初步设计复函、或工程规划许可证、或施工图审查合格证明文件、或全国（或各省）建筑市场监管公共服务平台中施工图审查信息的截图、或经该项目业主盖章确认的设计履行的证明）载明时间为准。</w:t>
      </w:r>
    </w:p>
    <w:p w14:paraId="3547B1D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总建筑面积：以合同内容（或初步设计批复、或初步设计复函、或工程规划许可证、或施工图审查合格证明文件、或全国（或各省）建筑市场监管公共服务平台的截图）作为证明材料，如均不能证明，可提供经该项目业主盖章确认的可证明业绩总建筑面积的其他证明文件。</w:t>
      </w:r>
    </w:p>
    <w:p w14:paraId="3C88688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（3）不符合上述条件或未提供上述资料的不得分。</w:t>
      </w:r>
    </w:p>
    <w:p w14:paraId="7D729D40">
      <w:pPr>
        <w:spacing w:line="360" w:lineRule="auto"/>
        <w:ind w:firstLine="480"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2.企业业绩获奖要求：</w:t>
      </w:r>
    </w:p>
    <w:p w14:paraId="7F07A58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设计奖项是指：国家级奖项是指由住建部颁发的全国优秀工程勘察设计奖、中国勘察设计协会颁发的全国优秀工程勘察设计行业奖或行业优秀勘察设计奖、国务院颁发的国家科学技术奖、住建部的华夏建设科学技术奖励委员会颁发的华夏建设科学技术奖。省级（或直辖市）奖项指由省级（或直辖市）建设行政主管部门或工程勘察设计行业协会颁发的省级（或直辖市）优秀勘察设计奖、省级（或直辖市）人民政府颁发的省（或直辖市）科学技术奖；市级（含副省级）奖项指由市级（含副省级）建设行政主管部门或工程勘察设计行业协会颁发的市级（含副省级）优秀勘察设计奖、市级（含副省级）人民政府颁发的市（含副省级）科学技术奖。</w:t>
      </w:r>
    </w:p>
    <w:p w14:paraId="290A8F9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（2）对同一工程项目按最高奖项计取，不重复计取。时间以获奖证书上的颁发日期为准。</w:t>
      </w:r>
    </w:p>
    <w:p w14:paraId="73D43E3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（3）获奖业绩需提供项目获奖证书清晰扫描件并加盖投标人电子印章作为评审依据。</w:t>
      </w:r>
    </w:p>
    <w:p w14:paraId="4E4A67E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（4）不符合上述条件或未提供上述资料的不得分。</w:t>
      </w:r>
    </w:p>
    <w:p w14:paraId="1A09ED99">
      <w:pPr>
        <w:spacing w:line="360" w:lineRule="auto"/>
        <w:ind w:firstLine="480"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3.项目负责人资料要求</w:t>
      </w:r>
    </w:p>
    <w:p w14:paraId="444A3E4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（1）需提供项目负责人的职称证原件清晰扫描件并加盖投标人电子印章。</w:t>
      </w:r>
    </w:p>
    <w:p w14:paraId="1C7C597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（2）项目负责人为投标人正式员工，须提供投标截止日近</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个月（202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-2025年6月</w:t>
      </w:r>
      <w:r>
        <w:rPr>
          <w:rFonts w:hint="eastAsia" w:ascii="宋体" w:hAnsi="宋体" w:cs="宋体"/>
          <w:color w:val="auto"/>
          <w:sz w:val="24"/>
          <w:szCs w:val="24"/>
          <w:highlight w:val="none"/>
        </w:rPr>
        <w:t>）的在投标单位（不含投标人企业的子公司，但包括投标人企业非独立法人的分支机构）</w:t>
      </w:r>
      <w:r>
        <w:rPr>
          <w:rFonts w:hint="eastAsia" w:ascii="宋体" w:hAnsi="宋体" w:eastAsia="宋体" w:cs="宋体"/>
          <w:color w:val="auto"/>
          <w:sz w:val="24"/>
          <w:szCs w:val="24"/>
          <w:highlight w:val="none"/>
          <w:lang w:val="en-US" w:eastAsia="zh-CN"/>
        </w:rPr>
        <w:t>任何一个月的</w:t>
      </w:r>
      <w:r>
        <w:rPr>
          <w:rFonts w:hint="eastAsia" w:ascii="宋体" w:hAnsi="宋体" w:cs="宋体"/>
          <w:color w:val="auto"/>
          <w:sz w:val="24"/>
          <w:szCs w:val="24"/>
          <w:highlight w:val="none"/>
        </w:rPr>
        <w:t>缴纳的有效社保证明文件扫描件并加盖投标人电子印章。</w:t>
      </w:r>
    </w:p>
    <w:p w14:paraId="3389C1D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项目负责人业绩需提供合同关键页、初步设计批复（或初步设计复函、或工程规划许可证、或施工图审查合格证明文件、或全国（或各省）建筑市场监管公共服务平台中施工图审查信息的截图、或经该项目业主盖章确认的设计履行的证明）作为业绩证明文件。</w:t>
      </w:r>
    </w:p>
    <w:p w14:paraId="3DD2190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业绩时间：以初步设计批复（或初步设计复函、或工程规划许可证、或施工图审查合格证明文件、或全国（或各省）建筑市场监管公共服务平台中施工图审查信息的截图、或经该项目业主盖章确认的设计履行的证明）载明时间为准。</w:t>
      </w:r>
    </w:p>
    <w:p w14:paraId="448FF94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项目负责人的名字及任职：以合同（或初步设计批复、或初步设计复函、或施工图审查合格证明文件、或全国（或各省）建筑市场监管公共服务平台的截图）作为证明材料，如均不能证明，可提供经该项目业主盖章确认的其他证明文件。</w:t>
      </w:r>
    </w:p>
    <w:p w14:paraId="7584360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总建筑面积：以合同内容（或初步设计批复、</w:t>
      </w:r>
      <w:r>
        <w:rPr>
          <w:rFonts w:hint="eastAsia" w:ascii="宋体" w:hAnsi="宋体" w:cs="宋体"/>
          <w:color w:val="auto"/>
          <w:kern w:val="0"/>
          <w:sz w:val="24"/>
          <w:szCs w:val="24"/>
          <w:highlight w:val="none"/>
        </w:rPr>
        <w:t>或初步设计复函、</w:t>
      </w:r>
      <w:r>
        <w:rPr>
          <w:rFonts w:hint="eastAsia" w:ascii="宋体" w:hAnsi="宋体" w:cs="宋体"/>
          <w:color w:val="auto"/>
          <w:sz w:val="24"/>
          <w:szCs w:val="24"/>
          <w:highlight w:val="none"/>
        </w:rPr>
        <w:t>或工程规划许可证、或施工图审查合格证明文件、或全国（或各省）建筑市场监管公共服务平台的截图）作为证明材料，如均不能证明，可提供经该项目业主盖章确认的可证明业绩总建筑面积的其他证明文件。</w:t>
      </w:r>
    </w:p>
    <w:p w14:paraId="2882DFD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（5）不符合上述条件或未提供上述资料的不得分。</w:t>
      </w:r>
    </w:p>
    <w:p w14:paraId="62ED6B02">
      <w:pPr>
        <w:spacing w:line="360" w:lineRule="auto"/>
        <w:ind w:firstLine="480"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4.设计服务人员情况资料要求</w:t>
      </w:r>
    </w:p>
    <w:p w14:paraId="31C49266">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）人员岗位不能互相兼任。所有人员均为投标人正式员工，须提供投标截止日近</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个月（202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-2025年6月</w:t>
      </w:r>
      <w:r>
        <w:rPr>
          <w:rFonts w:hint="eastAsia" w:ascii="宋体" w:hAnsi="宋体" w:cs="宋体"/>
          <w:color w:val="auto"/>
          <w:sz w:val="24"/>
          <w:szCs w:val="24"/>
          <w:highlight w:val="none"/>
        </w:rPr>
        <w:t>）的在投标单位（不含投标人企业的子公司，但包括投标人企业非独立法人的分支机构）</w:t>
      </w:r>
      <w:r>
        <w:rPr>
          <w:rFonts w:hint="eastAsia" w:ascii="宋体" w:hAnsi="宋体" w:eastAsia="宋体" w:cs="宋体"/>
          <w:color w:val="auto"/>
          <w:sz w:val="24"/>
          <w:szCs w:val="24"/>
          <w:highlight w:val="none"/>
          <w:lang w:val="en-US" w:eastAsia="zh-CN"/>
        </w:rPr>
        <w:t>任何一个月的</w:t>
      </w:r>
      <w:r>
        <w:rPr>
          <w:rFonts w:hint="eastAsia" w:ascii="宋体" w:hAnsi="宋体" w:cs="宋体"/>
          <w:color w:val="auto"/>
          <w:sz w:val="24"/>
          <w:szCs w:val="24"/>
          <w:highlight w:val="none"/>
        </w:rPr>
        <w:t>缴纳的有效社保证明文件扫描件并加盖投标人电子印章。</w:t>
      </w:r>
    </w:p>
    <w:p w14:paraId="35796FDB">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kern w:val="0"/>
          <w:sz w:val="24"/>
          <w:szCs w:val="24"/>
          <w:highlight w:val="none"/>
          <w:lang w:val="en-US" w:eastAsia="zh-CN"/>
        </w:rPr>
        <w:t>项目</w:t>
      </w:r>
      <w:r>
        <w:rPr>
          <w:rFonts w:hint="eastAsia" w:ascii="宋体" w:hAnsi="宋体" w:cs="宋体"/>
          <w:color w:val="auto"/>
          <w:kern w:val="0"/>
          <w:sz w:val="24"/>
          <w:szCs w:val="24"/>
          <w:highlight w:val="none"/>
          <w:lang w:val="zh-CN"/>
        </w:rPr>
        <w:t>负责人需提供任职单位盖章出具的任职证明、毕业证、</w:t>
      </w:r>
      <w:r>
        <w:rPr>
          <w:rFonts w:hint="eastAsia" w:ascii="宋体" w:hAnsi="宋体" w:cs="宋体"/>
          <w:color w:val="auto"/>
          <w:sz w:val="24"/>
          <w:szCs w:val="24"/>
          <w:highlight w:val="none"/>
        </w:rPr>
        <w:t>职称证书</w:t>
      </w:r>
      <w:r>
        <w:rPr>
          <w:rFonts w:hint="eastAsia" w:ascii="宋体" w:hAnsi="宋体" w:cs="宋体"/>
          <w:color w:val="auto"/>
          <w:kern w:val="0"/>
          <w:sz w:val="24"/>
          <w:szCs w:val="24"/>
          <w:highlight w:val="none"/>
          <w:lang w:val="zh-CN"/>
        </w:rPr>
        <w:t>原件扫描件</w:t>
      </w:r>
      <w:r>
        <w:rPr>
          <w:rFonts w:hint="eastAsia" w:ascii="宋体" w:hAnsi="宋体" w:cs="宋体"/>
          <w:color w:val="auto"/>
          <w:sz w:val="24"/>
          <w:szCs w:val="24"/>
          <w:highlight w:val="none"/>
        </w:rPr>
        <w:t>并加盖投标人电子印章。</w:t>
      </w:r>
      <w:r>
        <w:rPr>
          <w:rFonts w:hint="eastAsia" w:ascii="宋体" w:hAnsi="宋体" w:cs="宋体"/>
          <w:color w:val="auto"/>
          <w:kern w:val="0"/>
          <w:sz w:val="24"/>
          <w:szCs w:val="24"/>
          <w:highlight w:val="none"/>
          <w:lang w:val="zh-CN"/>
        </w:rPr>
        <w:t>设计经历时间以毕业时间起算（以大专或以上学历毕业时间起算。）。</w:t>
      </w:r>
    </w:p>
    <w:p w14:paraId="1888B5E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cs="宋体"/>
          <w:color w:val="auto"/>
          <w:sz w:val="24"/>
          <w:szCs w:val="24"/>
          <w:highlight w:val="none"/>
          <w:lang w:val="zh-CN"/>
        </w:rPr>
        <w:t>各专业负责人及驻场设计代表总负责人需提供</w:t>
      </w:r>
      <w:r>
        <w:rPr>
          <w:rFonts w:hint="eastAsia" w:ascii="宋体" w:hAnsi="宋体" w:cs="宋体"/>
          <w:color w:val="auto"/>
          <w:sz w:val="24"/>
          <w:szCs w:val="24"/>
          <w:highlight w:val="none"/>
        </w:rPr>
        <w:t>职称证书、相关注册证书（如需）、毕业证（如需）清晰扫描件并加盖投标人电子印章。工作经历或设计经历</w:t>
      </w:r>
      <w:r>
        <w:rPr>
          <w:rFonts w:hint="eastAsia" w:ascii="宋体" w:hAnsi="宋体" w:cs="宋体"/>
          <w:color w:val="auto"/>
          <w:kern w:val="0"/>
          <w:sz w:val="24"/>
          <w:szCs w:val="24"/>
          <w:highlight w:val="none"/>
          <w:lang w:val="zh-CN"/>
        </w:rPr>
        <w:t>以毕业时间起算（以大专或以上学历毕业时间起算。）。</w:t>
      </w:r>
    </w:p>
    <w:p w14:paraId="1225A2D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册一级造价工程师资格指根据住房城乡建设部、交通运输部、水利部、人力资源社会保障部发布的《造价工程师职业资格制度规定》《造价工程师职业资格考试实施办法》（建人〔2018〕]67号）取得的一级造价工程师职业资格，并经注册且在有效期内。根据原人事部、原建设部发布的《造价工程师执业资格制度暂行规定》（人发〔1996〕77号）取得的造价工程师执业资格，并经注册且在有效期内，等同于注册一级造价工程师。香港专业人士参与投标的，香港专业人士的备案业务范围依据《广东省住房和城乡建设厅关于印发香港工程建设咨询企业和专业人士在粤港澳大湾区内地城市开业执业试点管理暂行办法的通知》（粤建规范〔2020〕1号）确定。</w:t>
      </w:r>
    </w:p>
    <w:p w14:paraId="4234FE5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（5）不符合上述条件或未提供上述资料的不得分。</w:t>
      </w:r>
    </w:p>
    <w:p w14:paraId="4CDB4792">
      <w:pPr>
        <w:spacing w:line="360" w:lineRule="auto"/>
        <w:ind w:firstLine="482" w:firstLineChars="200"/>
        <w:rPr>
          <w:rFonts w:hint="eastAsia" w:ascii="宋体" w:hAnsi="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5</w:t>
      </w:r>
      <w:r>
        <w:rPr>
          <w:rFonts w:hint="eastAsia" w:ascii="宋体" w:hAnsi="宋体" w:cs="宋体"/>
          <w:b/>
          <w:bCs/>
          <w:color w:val="auto"/>
          <w:sz w:val="24"/>
          <w:szCs w:val="24"/>
          <w:highlight w:val="none"/>
        </w:rPr>
        <w:t>.投标人的得分为各评委评分的算术平均值（若分数出现小数点时，保留小数点后二位，第三位小数四舍五入）</w:t>
      </w:r>
    </w:p>
    <w:p w14:paraId="06966C47">
      <w:pPr>
        <w:spacing w:line="360" w:lineRule="auto"/>
        <w:rPr>
          <w:rFonts w:hint="eastAsia" w:ascii="宋体" w:hAnsi="宋体" w:cs="宋体"/>
          <w:b/>
          <w:bCs/>
          <w:color w:val="auto"/>
          <w:sz w:val="24"/>
          <w:szCs w:val="24"/>
          <w:highlight w:val="none"/>
        </w:rPr>
      </w:pPr>
    </w:p>
    <w:p w14:paraId="21A395B6">
      <w:pPr>
        <w:widowControl/>
        <w:spacing w:line="300" w:lineRule="auto"/>
        <w:rPr>
          <w:rFonts w:ascii="宋体" w:hAnsi="宋体" w:cs="宋体"/>
          <w:color w:val="auto"/>
          <w:sz w:val="21"/>
          <w:szCs w:val="20"/>
          <w:highlight w:val="none"/>
          <w:lang w:eastAsia="zh-CN"/>
        </w:rPr>
      </w:pPr>
    </w:p>
    <w:p w14:paraId="6265E24A">
      <w:pPr>
        <w:pStyle w:val="3"/>
        <w:spacing w:line="360" w:lineRule="auto"/>
        <w:ind w:left="0"/>
        <w:rPr>
          <w:rFonts w:ascii="宋体" w:hAnsi="宋体" w:eastAsia="宋体"/>
          <w:color w:val="auto"/>
          <w:highlight w:val="none"/>
          <w:lang w:eastAsia="zh-CN"/>
        </w:rPr>
      </w:pPr>
      <w:r>
        <w:rPr>
          <w:rFonts w:hint="eastAsia" w:ascii="宋体" w:hAnsi="宋体" w:eastAsia="宋体"/>
          <w:b w:val="0"/>
          <w:bCs w:val="0"/>
          <w:color w:val="auto"/>
          <w:sz w:val="21"/>
          <w:szCs w:val="21"/>
          <w:highlight w:val="none"/>
          <w:lang w:eastAsia="zh-CN"/>
        </w:rPr>
        <w:br w:type="page"/>
      </w:r>
      <w:r>
        <w:rPr>
          <w:rFonts w:hint="eastAsia" w:ascii="宋体" w:hAnsi="宋体" w:eastAsia="宋体"/>
          <w:color w:val="auto"/>
          <w:highlight w:val="none"/>
          <w:lang w:eastAsia="zh-CN"/>
        </w:rPr>
        <w:t>1</w:t>
      </w:r>
      <w:r>
        <w:rPr>
          <w:rFonts w:ascii="宋体" w:hAnsi="宋体" w:eastAsia="宋体"/>
          <w:color w:val="auto"/>
          <w:highlight w:val="none"/>
          <w:lang w:eastAsia="zh-CN"/>
        </w:rPr>
        <w:t>. 评</w:t>
      </w:r>
      <w:r>
        <w:rPr>
          <w:rFonts w:hint="eastAsia" w:ascii="宋体" w:hAnsi="宋体" w:eastAsia="宋体"/>
          <w:color w:val="auto"/>
          <w:highlight w:val="none"/>
          <w:lang w:eastAsia="zh-CN"/>
        </w:rPr>
        <w:t>标办法</w:t>
      </w:r>
    </w:p>
    <w:bookmarkEnd w:id="38"/>
    <w:bookmarkEnd w:id="39"/>
    <w:p w14:paraId="34B97359">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本次评标采用综合评</w:t>
      </w:r>
      <w:r>
        <w:rPr>
          <w:rFonts w:hint="eastAsia"/>
          <w:color w:val="auto"/>
          <w:sz w:val="24"/>
          <w:szCs w:val="24"/>
          <w:highlight w:val="none"/>
          <w:lang w:val="en-US" w:eastAsia="zh-CN"/>
        </w:rPr>
        <w:t>估</w:t>
      </w:r>
      <w:r>
        <w:rPr>
          <w:color w:val="auto"/>
          <w:sz w:val="24"/>
          <w:szCs w:val="24"/>
          <w:highlight w:val="none"/>
          <w:lang w:eastAsia="zh-CN"/>
        </w:rPr>
        <w:t>法。评标委员会对满足招标文件实质性要求的投标文件，按照本章第 2.2款规定的评分标准进行打分，并按得分由高到低顺序推荐中标候选人，或根据招标人授权直接确定中标人，但投标报价低于其成本的除外。综合评分相等时，以投标报价低的优先；投标报价也相等的，以设计方案得分高的优先；如果设计方案得分也相等，按照评标办法前附表的规定确定中标候选人顺序。</w:t>
      </w:r>
      <w:bookmarkStart w:id="43" w:name="_Toc25137995"/>
    </w:p>
    <w:p w14:paraId="60BE2E6E">
      <w:pPr>
        <w:pStyle w:val="3"/>
        <w:spacing w:line="360" w:lineRule="auto"/>
        <w:ind w:left="0"/>
        <w:rPr>
          <w:rFonts w:ascii="宋体" w:hAnsi="宋体" w:eastAsia="宋体"/>
          <w:color w:val="auto"/>
          <w:highlight w:val="none"/>
          <w:lang w:eastAsia="zh-CN"/>
        </w:rPr>
      </w:pPr>
      <w:bookmarkStart w:id="44" w:name="_Toc25152745"/>
      <w:r>
        <w:rPr>
          <w:rFonts w:ascii="宋体" w:hAnsi="宋体" w:eastAsia="宋体"/>
          <w:color w:val="auto"/>
          <w:highlight w:val="none"/>
          <w:lang w:eastAsia="zh-CN"/>
        </w:rPr>
        <w:t>2. 评审标准</w:t>
      </w:r>
      <w:bookmarkEnd w:id="43"/>
      <w:bookmarkEnd w:id="44"/>
    </w:p>
    <w:p w14:paraId="5CE0C7F2">
      <w:pPr>
        <w:pStyle w:val="4"/>
        <w:spacing w:line="360" w:lineRule="auto"/>
        <w:ind w:left="0"/>
        <w:rPr>
          <w:b/>
          <w:bCs/>
          <w:color w:val="auto"/>
          <w:highlight w:val="none"/>
          <w:lang w:eastAsia="zh-CN"/>
        </w:rPr>
      </w:pPr>
      <w:r>
        <w:rPr>
          <w:b/>
          <w:bCs/>
          <w:color w:val="auto"/>
          <w:highlight w:val="none"/>
          <w:lang w:eastAsia="zh-CN"/>
        </w:rPr>
        <w:t>2.1初步评审标准</w:t>
      </w:r>
    </w:p>
    <w:p w14:paraId="72D69453">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2.1.1形式评审标准：见评标办法前附表。</w:t>
      </w:r>
    </w:p>
    <w:p w14:paraId="111459E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2.1.2资格评审标准：见评标办法前附表。</w:t>
      </w:r>
    </w:p>
    <w:p w14:paraId="28FCDA0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2.1.3响应性评审标准：见评标办法前附表。</w:t>
      </w:r>
    </w:p>
    <w:p w14:paraId="01AD82EA">
      <w:pPr>
        <w:pStyle w:val="4"/>
        <w:spacing w:line="360" w:lineRule="auto"/>
        <w:ind w:left="0"/>
        <w:rPr>
          <w:b/>
          <w:bCs/>
          <w:color w:val="auto"/>
          <w:highlight w:val="none"/>
          <w:lang w:eastAsia="zh-CN"/>
        </w:rPr>
      </w:pPr>
      <w:r>
        <w:rPr>
          <w:b/>
          <w:bCs/>
          <w:color w:val="auto"/>
          <w:highlight w:val="none"/>
          <w:lang w:eastAsia="zh-CN"/>
        </w:rPr>
        <w:t>2.2分值构成与评分标准</w:t>
      </w:r>
    </w:p>
    <w:p w14:paraId="0010E5F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2.2.1 分值构成</w:t>
      </w:r>
    </w:p>
    <w:p w14:paraId="3178E911">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w:t>
      </w:r>
      <w:r>
        <w:rPr>
          <w:rFonts w:hint="eastAsia"/>
          <w:color w:val="auto"/>
          <w:sz w:val="24"/>
          <w:szCs w:val="24"/>
          <w:highlight w:val="none"/>
          <w:lang w:eastAsia="zh-CN"/>
        </w:rPr>
        <w:t>商务文件（资信业绩）</w:t>
      </w:r>
      <w:r>
        <w:rPr>
          <w:color w:val="auto"/>
          <w:sz w:val="24"/>
          <w:szCs w:val="24"/>
          <w:highlight w:val="none"/>
          <w:lang w:eastAsia="zh-CN"/>
        </w:rPr>
        <w:t>部分：见评标办法前附表；</w:t>
      </w:r>
    </w:p>
    <w:p w14:paraId="705715BE">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w:t>
      </w:r>
      <w:r>
        <w:rPr>
          <w:rFonts w:hint="eastAsia"/>
          <w:color w:val="auto"/>
          <w:sz w:val="24"/>
          <w:szCs w:val="24"/>
          <w:highlight w:val="none"/>
          <w:u w:val="single"/>
          <w:lang w:eastAsia="zh-CN"/>
        </w:rPr>
        <w:t>技术文件（设计方案</w:t>
      </w:r>
      <w:r>
        <w:rPr>
          <w:color w:val="auto"/>
          <w:sz w:val="24"/>
          <w:szCs w:val="24"/>
          <w:highlight w:val="none"/>
          <w:u w:val="single"/>
          <w:lang w:eastAsia="zh-CN"/>
        </w:rPr>
        <w:t>)</w:t>
      </w:r>
      <w:r>
        <w:rPr>
          <w:color w:val="auto"/>
          <w:sz w:val="24"/>
          <w:szCs w:val="24"/>
          <w:highlight w:val="none"/>
          <w:lang w:eastAsia="zh-CN"/>
        </w:rPr>
        <w:t>部分：见评标办法前附表；</w:t>
      </w:r>
    </w:p>
    <w:p w14:paraId="06001168">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（3）投标报价：见评标办法前附表；</w:t>
      </w:r>
    </w:p>
    <w:p w14:paraId="49C530EF">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（4）其他评分因素：见评标办法前附表。</w:t>
      </w:r>
    </w:p>
    <w:p w14:paraId="465091D4">
      <w:pPr>
        <w:pStyle w:val="8"/>
        <w:spacing w:line="360" w:lineRule="auto"/>
        <w:ind w:left="0" w:firstLine="480" w:firstLineChars="200"/>
        <w:rPr>
          <w:color w:val="auto"/>
          <w:sz w:val="24"/>
          <w:szCs w:val="24"/>
          <w:highlight w:val="none"/>
          <w:u w:val="single"/>
          <w:lang w:eastAsia="zh-CN"/>
        </w:rPr>
      </w:pPr>
      <w:r>
        <w:rPr>
          <w:color w:val="auto"/>
          <w:sz w:val="24"/>
          <w:szCs w:val="24"/>
          <w:highlight w:val="none"/>
          <w:u w:val="single"/>
          <w:lang w:eastAsia="zh-CN"/>
        </w:rPr>
        <w:t>2.2.2评标基准价计算</w:t>
      </w:r>
    </w:p>
    <w:p w14:paraId="6586A447">
      <w:pPr>
        <w:pStyle w:val="8"/>
        <w:spacing w:line="360" w:lineRule="auto"/>
        <w:ind w:left="0" w:firstLine="480" w:firstLineChars="200"/>
        <w:rPr>
          <w:color w:val="auto"/>
          <w:sz w:val="24"/>
          <w:szCs w:val="24"/>
          <w:highlight w:val="none"/>
          <w:u w:val="single"/>
          <w:lang w:eastAsia="zh-CN"/>
        </w:rPr>
      </w:pPr>
      <w:r>
        <w:rPr>
          <w:color w:val="auto"/>
          <w:sz w:val="24"/>
          <w:szCs w:val="24"/>
          <w:highlight w:val="none"/>
          <w:u w:val="single"/>
          <w:lang w:eastAsia="zh-CN"/>
        </w:rPr>
        <w:t>评标基准价计算方法：见评标办法前附表。</w:t>
      </w:r>
    </w:p>
    <w:p w14:paraId="15876EE5">
      <w:pPr>
        <w:pStyle w:val="8"/>
        <w:spacing w:line="360" w:lineRule="auto"/>
        <w:ind w:left="0" w:firstLine="480" w:firstLineChars="200"/>
        <w:rPr>
          <w:color w:val="auto"/>
          <w:sz w:val="24"/>
          <w:szCs w:val="24"/>
          <w:highlight w:val="none"/>
          <w:u w:val="single"/>
          <w:lang w:eastAsia="zh-CN"/>
        </w:rPr>
      </w:pPr>
      <w:r>
        <w:rPr>
          <w:color w:val="auto"/>
          <w:sz w:val="24"/>
          <w:szCs w:val="24"/>
          <w:highlight w:val="none"/>
          <w:u w:val="single"/>
          <w:lang w:eastAsia="zh-CN"/>
        </w:rPr>
        <w:t>2.2.3投标报价的偏差率计算</w:t>
      </w:r>
    </w:p>
    <w:p w14:paraId="58E44687">
      <w:pPr>
        <w:pStyle w:val="8"/>
        <w:spacing w:line="360" w:lineRule="auto"/>
        <w:ind w:left="0" w:firstLine="480" w:firstLineChars="200"/>
        <w:rPr>
          <w:color w:val="auto"/>
          <w:sz w:val="24"/>
          <w:szCs w:val="24"/>
          <w:highlight w:val="none"/>
          <w:u w:val="single"/>
          <w:lang w:eastAsia="zh-CN"/>
        </w:rPr>
      </w:pPr>
      <w:r>
        <w:rPr>
          <w:color w:val="auto"/>
          <w:sz w:val="24"/>
          <w:szCs w:val="24"/>
          <w:highlight w:val="none"/>
          <w:u w:val="single"/>
          <w:lang w:eastAsia="zh-CN"/>
        </w:rPr>
        <w:t>投标报价的偏差率计算公式：见评标办法前附表。</w:t>
      </w:r>
    </w:p>
    <w:p w14:paraId="5F1441A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2.2.4评分标准</w:t>
      </w:r>
    </w:p>
    <w:p w14:paraId="4D7E3C4F">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w:t>
      </w:r>
      <w:r>
        <w:rPr>
          <w:rFonts w:hint="eastAsia"/>
          <w:color w:val="auto"/>
          <w:sz w:val="24"/>
          <w:szCs w:val="24"/>
          <w:highlight w:val="none"/>
          <w:lang w:eastAsia="zh-CN"/>
        </w:rPr>
        <w:t>商务文件（资信业绩）</w:t>
      </w:r>
      <w:r>
        <w:rPr>
          <w:color w:val="auto"/>
          <w:sz w:val="24"/>
          <w:szCs w:val="24"/>
          <w:highlight w:val="none"/>
          <w:lang w:eastAsia="zh-CN"/>
        </w:rPr>
        <w:t>评分标准：见评标办法前附表；</w:t>
      </w:r>
    </w:p>
    <w:p w14:paraId="5038E7B0">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w:t>
      </w:r>
      <w:r>
        <w:rPr>
          <w:rFonts w:hint="eastAsia"/>
          <w:color w:val="auto"/>
          <w:sz w:val="24"/>
          <w:szCs w:val="24"/>
          <w:highlight w:val="none"/>
          <w:u w:val="single"/>
          <w:lang w:eastAsia="zh-CN"/>
        </w:rPr>
        <w:t>技术文件（设计方案</w:t>
      </w:r>
      <w:r>
        <w:rPr>
          <w:color w:val="auto"/>
          <w:sz w:val="24"/>
          <w:szCs w:val="24"/>
          <w:highlight w:val="none"/>
          <w:u w:val="single"/>
          <w:lang w:eastAsia="zh-CN"/>
        </w:rPr>
        <w:t>)</w:t>
      </w:r>
      <w:r>
        <w:rPr>
          <w:color w:val="auto"/>
          <w:sz w:val="24"/>
          <w:szCs w:val="24"/>
          <w:highlight w:val="none"/>
          <w:lang w:eastAsia="zh-CN"/>
        </w:rPr>
        <w:t>评分标准：见评标办法前附表；</w:t>
      </w:r>
    </w:p>
    <w:p w14:paraId="28316D9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（3）投标报价评分标准：见评标办法前附表；</w:t>
      </w:r>
    </w:p>
    <w:p w14:paraId="3229B44A">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（4）其他因素评分标准：见评标办法前附表。</w:t>
      </w:r>
      <w:bookmarkStart w:id="45" w:name="_Toc25137996"/>
    </w:p>
    <w:p w14:paraId="19BE3FE9">
      <w:pPr>
        <w:pStyle w:val="3"/>
        <w:spacing w:line="360" w:lineRule="auto"/>
        <w:ind w:left="0"/>
        <w:rPr>
          <w:rFonts w:ascii="宋体" w:hAnsi="宋体" w:eastAsia="宋体"/>
          <w:color w:val="auto"/>
          <w:highlight w:val="none"/>
          <w:lang w:eastAsia="zh-CN"/>
        </w:rPr>
      </w:pPr>
      <w:bookmarkStart w:id="46" w:name="_Toc25152746"/>
      <w:r>
        <w:rPr>
          <w:rFonts w:ascii="宋体" w:hAnsi="宋体" w:eastAsia="宋体"/>
          <w:color w:val="auto"/>
          <w:highlight w:val="none"/>
          <w:lang w:eastAsia="zh-CN"/>
        </w:rPr>
        <w:t>3. 评标程序</w:t>
      </w:r>
      <w:bookmarkEnd w:id="45"/>
      <w:bookmarkEnd w:id="46"/>
    </w:p>
    <w:p w14:paraId="7EF29A21">
      <w:pPr>
        <w:pStyle w:val="4"/>
        <w:spacing w:line="360" w:lineRule="auto"/>
        <w:ind w:left="0"/>
        <w:rPr>
          <w:b/>
          <w:bCs/>
          <w:color w:val="auto"/>
          <w:highlight w:val="none"/>
          <w:lang w:eastAsia="zh-CN"/>
        </w:rPr>
      </w:pPr>
      <w:r>
        <w:rPr>
          <w:b/>
          <w:bCs/>
          <w:color w:val="auto"/>
          <w:highlight w:val="none"/>
          <w:lang w:eastAsia="zh-CN"/>
        </w:rPr>
        <w:t>3.1 初步评审</w:t>
      </w:r>
    </w:p>
    <w:p w14:paraId="516BEFF8">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3.1.1评标委员会可以要求投标人提交第二章“投标人须知”规定的有关证明和证件的原件，以便核验。评标委员会依据本章第 2.1款规定的标准对投标文件进行初步评审。有一项不符合评审标准的，评标委员会应当否决其投标。</w:t>
      </w:r>
    </w:p>
    <w:p w14:paraId="473F25B1">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3.1.2投标人有以下情形之一的，评标委员会应当否决其投标：</w:t>
      </w:r>
    </w:p>
    <w:p w14:paraId="54E2E222">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（1）投标文件没有对招标文件的实质性要求和条件作出响应，或者对招标文件的偏差超出招标文件规定的偏差范围或最高项数；</w:t>
      </w:r>
    </w:p>
    <w:p w14:paraId="0F4ACA6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（2）有串通投标、弄虚作假、行贿等违法行为。</w:t>
      </w:r>
    </w:p>
    <w:p w14:paraId="673D35E3">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3.1.3投标报价有算术错误及其他错误的，评标委员会按以下原则要求投标人对投标报价进行修正，并要求投标人书面澄清确认。投标人拒不澄清确认的，评标委员会应当否决其投标：</w:t>
      </w:r>
    </w:p>
    <w:p w14:paraId="1AF8B68A">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（1）投标文件中的大写金额与小写金额不一致的，以大写金额为准；</w:t>
      </w:r>
    </w:p>
    <w:p w14:paraId="4686FCBE">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（2）总价金额与单价金额不一致的，以单价金额为准，但单价金额小数点有明显错误的除外。</w:t>
      </w:r>
    </w:p>
    <w:p w14:paraId="30CA04D2">
      <w:pPr>
        <w:pStyle w:val="4"/>
        <w:spacing w:line="360" w:lineRule="auto"/>
        <w:ind w:left="0"/>
        <w:rPr>
          <w:b/>
          <w:bCs/>
          <w:color w:val="auto"/>
          <w:highlight w:val="none"/>
          <w:lang w:eastAsia="zh-CN"/>
        </w:rPr>
      </w:pPr>
      <w:r>
        <w:rPr>
          <w:b/>
          <w:bCs/>
          <w:color w:val="auto"/>
          <w:highlight w:val="none"/>
          <w:lang w:eastAsia="zh-CN"/>
        </w:rPr>
        <w:t>3.2 详细评审</w:t>
      </w:r>
    </w:p>
    <w:p w14:paraId="15CAB8E9">
      <w:pPr>
        <w:pStyle w:val="8"/>
        <w:spacing w:line="360" w:lineRule="auto"/>
        <w:ind w:left="0" w:firstLine="480" w:firstLineChars="200"/>
        <w:rPr>
          <w:color w:val="auto"/>
          <w:sz w:val="24"/>
          <w:szCs w:val="24"/>
          <w:highlight w:val="none"/>
          <w:u w:val="single"/>
          <w:lang w:eastAsia="zh-CN"/>
        </w:rPr>
      </w:pPr>
      <w:r>
        <w:rPr>
          <w:color w:val="auto"/>
          <w:sz w:val="24"/>
          <w:szCs w:val="24"/>
          <w:highlight w:val="none"/>
          <w:u w:val="single"/>
          <w:lang w:eastAsia="zh-CN"/>
        </w:rPr>
        <w:t>3.2.1</w:t>
      </w:r>
      <w:r>
        <w:rPr>
          <w:rFonts w:hint="eastAsia" w:cs="宋体"/>
          <w:color w:val="auto"/>
          <w:sz w:val="24"/>
          <w:szCs w:val="24"/>
          <w:highlight w:val="none"/>
          <w:u w:val="single"/>
          <w:lang w:eastAsia="zh-CN"/>
        </w:rPr>
        <w:t>评标委员会按本章第</w:t>
      </w:r>
      <w:r>
        <w:rPr>
          <w:color w:val="auto"/>
          <w:sz w:val="24"/>
          <w:szCs w:val="24"/>
          <w:highlight w:val="none"/>
          <w:u w:val="single"/>
          <w:lang w:eastAsia="zh-CN"/>
        </w:rPr>
        <w:t xml:space="preserve"> 2.2</w:t>
      </w:r>
      <w:r>
        <w:rPr>
          <w:rFonts w:hint="eastAsia" w:cs="宋体"/>
          <w:color w:val="auto"/>
          <w:sz w:val="24"/>
          <w:szCs w:val="24"/>
          <w:highlight w:val="none"/>
          <w:u w:val="single"/>
          <w:lang w:eastAsia="zh-CN"/>
        </w:rPr>
        <w:t>款规定的量化因素和分值进行打分，并计算出综合评</w:t>
      </w:r>
      <w:r>
        <w:rPr>
          <w:rFonts w:hint="eastAsia" w:cs="宋体"/>
          <w:color w:val="auto"/>
          <w:sz w:val="24"/>
          <w:szCs w:val="24"/>
          <w:highlight w:val="none"/>
          <w:u w:val="single"/>
          <w:lang w:val="en-US" w:eastAsia="zh-CN"/>
        </w:rPr>
        <w:t>估</w:t>
      </w:r>
      <w:r>
        <w:rPr>
          <w:rFonts w:hint="eastAsia" w:cs="宋体"/>
          <w:color w:val="auto"/>
          <w:sz w:val="24"/>
          <w:szCs w:val="24"/>
          <w:highlight w:val="none"/>
          <w:u w:val="single"/>
          <w:lang w:eastAsia="zh-CN"/>
        </w:rPr>
        <w:t>得分。</w:t>
      </w:r>
    </w:p>
    <w:p w14:paraId="6527C6EC">
      <w:pPr>
        <w:pStyle w:val="8"/>
        <w:spacing w:line="360" w:lineRule="auto"/>
        <w:ind w:left="0" w:firstLine="480" w:firstLineChars="200"/>
        <w:rPr>
          <w:color w:val="auto"/>
          <w:sz w:val="24"/>
          <w:szCs w:val="24"/>
          <w:highlight w:val="none"/>
          <w:u w:val="single"/>
          <w:lang w:eastAsia="zh-CN"/>
        </w:rPr>
      </w:pPr>
      <w:r>
        <w:rPr>
          <w:rFonts w:hint="eastAsia" w:cs="宋体"/>
          <w:color w:val="auto"/>
          <w:sz w:val="24"/>
          <w:szCs w:val="24"/>
          <w:highlight w:val="none"/>
          <w:u w:val="single"/>
          <w:lang w:eastAsia="zh-CN"/>
        </w:rPr>
        <w:t>（</w:t>
      </w:r>
      <w:r>
        <w:rPr>
          <w:color w:val="auto"/>
          <w:sz w:val="24"/>
          <w:szCs w:val="24"/>
          <w:highlight w:val="none"/>
          <w:u w:val="single"/>
          <w:lang w:eastAsia="zh-CN"/>
        </w:rPr>
        <w:t>1</w:t>
      </w:r>
      <w:r>
        <w:rPr>
          <w:rFonts w:hint="eastAsia" w:cs="宋体"/>
          <w:color w:val="auto"/>
          <w:sz w:val="24"/>
          <w:szCs w:val="24"/>
          <w:highlight w:val="none"/>
          <w:u w:val="single"/>
          <w:lang w:eastAsia="zh-CN"/>
        </w:rPr>
        <w:t>）按本章第</w:t>
      </w:r>
      <w:r>
        <w:rPr>
          <w:rFonts w:cs="宋体"/>
          <w:color w:val="auto"/>
          <w:sz w:val="24"/>
          <w:szCs w:val="24"/>
          <w:highlight w:val="none"/>
          <w:u w:val="single"/>
          <w:lang w:eastAsia="zh-CN"/>
        </w:rPr>
        <w:t>2.2.4</w:t>
      </w:r>
      <w:r>
        <w:rPr>
          <w:rFonts w:hint="eastAsia" w:cs="宋体"/>
          <w:color w:val="auto"/>
          <w:sz w:val="24"/>
          <w:szCs w:val="24"/>
          <w:highlight w:val="none"/>
          <w:u w:val="single"/>
          <w:lang w:eastAsia="zh-CN"/>
        </w:rPr>
        <w:t>（</w:t>
      </w:r>
      <w:r>
        <w:rPr>
          <w:rFonts w:cs="宋体"/>
          <w:color w:val="auto"/>
          <w:sz w:val="24"/>
          <w:szCs w:val="24"/>
          <w:highlight w:val="none"/>
          <w:u w:val="single"/>
          <w:lang w:eastAsia="zh-CN"/>
        </w:rPr>
        <w:t>1</w:t>
      </w:r>
      <w:r>
        <w:rPr>
          <w:rFonts w:hint="eastAsia" w:cs="宋体"/>
          <w:color w:val="auto"/>
          <w:sz w:val="24"/>
          <w:szCs w:val="24"/>
          <w:highlight w:val="none"/>
          <w:u w:val="single"/>
          <w:lang w:eastAsia="zh-CN"/>
        </w:rPr>
        <w:t>）目规定的评审因素和分值对通过形式、资格、响应性评审（商务文件）的投标人的投标文件进行商务文件（资信业绩）评分计算出得分；</w:t>
      </w:r>
    </w:p>
    <w:p w14:paraId="005D86FE">
      <w:pPr>
        <w:pStyle w:val="8"/>
        <w:spacing w:line="360" w:lineRule="auto"/>
        <w:ind w:left="0" w:firstLine="480" w:firstLineChars="200"/>
        <w:rPr>
          <w:color w:val="auto"/>
          <w:sz w:val="24"/>
          <w:szCs w:val="24"/>
          <w:highlight w:val="none"/>
          <w:u w:val="single"/>
          <w:lang w:eastAsia="zh-CN"/>
        </w:rPr>
      </w:pPr>
      <w:r>
        <w:rPr>
          <w:rFonts w:hint="eastAsia" w:cs="宋体"/>
          <w:color w:val="auto"/>
          <w:sz w:val="24"/>
          <w:szCs w:val="24"/>
          <w:highlight w:val="none"/>
          <w:u w:val="single"/>
          <w:lang w:eastAsia="zh-CN"/>
        </w:rPr>
        <w:t>（</w:t>
      </w:r>
      <w:r>
        <w:rPr>
          <w:color w:val="auto"/>
          <w:sz w:val="24"/>
          <w:szCs w:val="24"/>
          <w:highlight w:val="none"/>
          <w:u w:val="single"/>
          <w:lang w:eastAsia="zh-CN"/>
        </w:rPr>
        <w:t>2</w:t>
      </w:r>
      <w:r>
        <w:rPr>
          <w:rFonts w:hint="eastAsia" w:cs="宋体"/>
          <w:color w:val="auto"/>
          <w:sz w:val="24"/>
          <w:szCs w:val="24"/>
          <w:highlight w:val="none"/>
          <w:u w:val="single"/>
          <w:lang w:eastAsia="zh-CN"/>
        </w:rPr>
        <w:t>）按本章第</w:t>
      </w:r>
      <w:r>
        <w:rPr>
          <w:rFonts w:cs="宋体"/>
          <w:color w:val="auto"/>
          <w:sz w:val="24"/>
          <w:szCs w:val="24"/>
          <w:highlight w:val="none"/>
          <w:u w:val="single"/>
          <w:lang w:eastAsia="zh-CN"/>
        </w:rPr>
        <w:t>2.2.4</w:t>
      </w:r>
      <w:r>
        <w:rPr>
          <w:rFonts w:hint="eastAsia" w:cs="宋体"/>
          <w:color w:val="auto"/>
          <w:sz w:val="24"/>
          <w:szCs w:val="24"/>
          <w:highlight w:val="none"/>
          <w:u w:val="single"/>
          <w:lang w:eastAsia="zh-CN"/>
        </w:rPr>
        <w:t>（</w:t>
      </w:r>
      <w:r>
        <w:rPr>
          <w:rFonts w:cs="宋体"/>
          <w:color w:val="auto"/>
          <w:sz w:val="24"/>
          <w:szCs w:val="24"/>
          <w:highlight w:val="none"/>
          <w:u w:val="single"/>
          <w:lang w:eastAsia="zh-CN"/>
        </w:rPr>
        <w:t>2</w:t>
      </w:r>
      <w:r>
        <w:rPr>
          <w:rFonts w:hint="eastAsia" w:cs="宋体"/>
          <w:color w:val="auto"/>
          <w:sz w:val="24"/>
          <w:szCs w:val="24"/>
          <w:highlight w:val="none"/>
          <w:u w:val="single"/>
          <w:lang w:eastAsia="zh-CN"/>
        </w:rPr>
        <w:t>）目规定的评审因素和分值对通过响应性评审（技术文件）的投标人的投标文件进行技术文件（设计方案</w:t>
      </w:r>
      <w:r>
        <w:rPr>
          <w:rFonts w:cs="宋体"/>
          <w:color w:val="auto"/>
          <w:sz w:val="24"/>
          <w:szCs w:val="24"/>
          <w:highlight w:val="none"/>
          <w:u w:val="single"/>
          <w:lang w:eastAsia="zh-CN"/>
        </w:rPr>
        <w:t>)</w:t>
      </w:r>
      <w:r>
        <w:rPr>
          <w:rFonts w:hint="eastAsia" w:cs="宋体"/>
          <w:color w:val="auto"/>
          <w:sz w:val="24"/>
          <w:szCs w:val="24"/>
          <w:highlight w:val="none"/>
          <w:u w:val="single"/>
          <w:lang w:eastAsia="zh-CN"/>
        </w:rPr>
        <w:t>评分计算出得分；</w:t>
      </w:r>
    </w:p>
    <w:p w14:paraId="005547D2">
      <w:pPr>
        <w:pStyle w:val="8"/>
        <w:spacing w:line="360" w:lineRule="auto"/>
        <w:ind w:left="0" w:firstLine="480" w:firstLineChars="200"/>
        <w:rPr>
          <w:rFonts w:cs="宋体"/>
          <w:color w:val="auto"/>
          <w:sz w:val="24"/>
          <w:szCs w:val="24"/>
          <w:highlight w:val="none"/>
          <w:u w:val="single"/>
          <w:lang w:eastAsia="zh-CN"/>
        </w:rPr>
      </w:pPr>
      <w:r>
        <w:rPr>
          <w:rFonts w:hint="eastAsia" w:cs="宋体"/>
          <w:color w:val="auto"/>
          <w:sz w:val="24"/>
          <w:szCs w:val="24"/>
          <w:highlight w:val="none"/>
          <w:u w:val="single"/>
          <w:lang w:eastAsia="zh-CN"/>
        </w:rPr>
        <w:t>（</w:t>
      </w:r>
      <w:r>
        <w:rPr>
          <w:color w:val="auto"/>
          <w:sz w:val="24"/>
          <w:szCs w:val="24"/>
          <w:highlight w:val="none"/>
          <w:u w:val="single"/>
          <w:lang w:eastAsia="zh-CN"/>
        </w:rPr>
        <w:t>3</w:t>
      </w:r>
      <w:r>
        <w:rPr>
          <w:rFonts w:hint="eastAsia" w:cs="宋体"/>
          <w:color w:val="auto"/>
          <w:sz w:val="24"/>
          <w:szCs w:val="24"/>
          <w:highlight w:val="none"/>
          <w:u w:val="single"/>
          <w:lang w:eastAsia="zh-CN"/>
        </w:rPr>
        <w:t>）评标委员会揭晓投标人身份。</w:t>
      </w:r>
    </w:p>
    <w:p w14:paraId="196592EA">
      <w:pPr>
        <w:pStyle w:val="8"/>
        <w:spacing w:line="360" w:lineRule="auto"/>
        <w:ind w:left="0" w:firstLine="480" w:firstLineChars="200"/>
        <w:rPr>
          <w:rFonts w:cs="宋体"/>
          <w:color w:val="auto"/>
          <w:sz w:val="24"/>
          <w:szCs w:val="24"/>
          <w:highlight w:val="none"/>
          <w:u w:val="single"/>
          <w:lang w:eastAsia="zh-CN"/>
        </w:rPr>
      </w:pPr>
      <w:r>
        <w:rPr>
          <w:rFonts w:hint="eastAsia" w:cs="宋体"/>
          <w:color w:val="auto"/>
          <w:sz w:val="24"/>
          <w:szCs w:val="24"/>
          <w:highlight w:val="none"/>
          <w:u w:val="single"/>
          <w:lang w:eastAsia="zh-CN"/>
        </w:rPr>
        <w:t>（</w:t>
      </w:r>
      <w:r>
        <w:rPr>
          <w:color w:val="auto"/>
          <w:sz w:val="24"/>
          <w:szCs w:val="24"/>
          <w:highlight w:val="none"/>
          <w:u w:val="single"/>
          <w:lang w:eastAsia="zh-CN"/>
        </w:rPr>
        <w:t>4</w:t>
      </w:r>
      <w:r>
        <w:rPr>
          <w:rFonts w:hint="eastAsia" w:cs="宋体"/>
          <w:color w:val="auto"/>
          <w:sz w:val="24"/>
          <w:szCs w:val="24"/>
          <w:highlight w:val="none"/>
          <w:u w:val="single"/>
          <w:lang w:eastAsia="zh-CN"/>
        </w:rPr>
        <w:t>）评标委员会按照只有通过初步评审的投标人的投标文件方可进入下一阶段评审的评审原则，在揭晓投标人身份后，根据初步评审结果，否决未通过初步评审的投标人的投标，取消其得分，且不再进入得分汇总阶段。</w:t>
      </w:r>
    </w:p>
    <w:p w14:paraId="78455D45">
      <w:pPr>
        <w:pStyle w:val="8"/>
        <w:spacing w:line="360" w:lineRule="auto"/>
        <w:ind w:left="0" w:firstLine="480" w:firstLineChars="200"/>
        <w:rPr>
          <w:color w:val="auto"/>
          <w:sz w:val="24"/>
          <w:szCs w:val="24"/>
          <w:highlight w:val="none"/>
          <w:u w:val="single"/>
          <w:lang w:eastAsia="zh-CN"/>
        </w:rPr>
      </w:pPr>
      <w:r>
        <w:rPr>
          <w:color w:val="auto"/>
          <w:sz w:val="24"/>
          <w:szCs w:val="24"/>
          <w:highlight w:val="none"/>
          <w:u w:val="single"/>
          <w:lang w:eastAsia="zh-CN"/>
        </w:rPr>
        <w:t>3.2.2</w:t>
      </w:r>
      <w:r>
        <w:rPr>
          <w:rFonts w:hint="eastAsia" w:cs="宋体"/>
          <w:color w:val="auto"/>
          <w:sz w:val="24"/>
          <w:szCs w:val="24"/>
          <w:highlight w:val="none"/>
          <w:u w:val="single"/>
          <w:lang w:eastAsia="zh-CN"/>
        </w:rPr>
        <w:t>评分分值计算保留小数点后两位，小数点后第三位</w:t>
      </w:r>
      <w:r>
        <w:rPr>
          <w:rFonts w:cs="Calibri"/>
          <w:color w:val="auto"/>
          <w:sz w:val="24"/>
          <w:szCs w:val="24"/>
          <w:highlight w:val="none"/>
          <w:u w:val="single"/>
          <w:lang w:eastAsia="zh-CN"/>
        </w:rPr>
        <w:t>“</w:t>
      </w:r>
      <w:r>
        <w:rPr>
          <w:rFonts w:hint="eastAsia" w:cs="宋体"/>
          <w:color w:val="auto"/>
          <w:sz w:val="24"/>
          <w:szCs w:val="24"/>
          <w:highlight w:val="none"/>
          <w:u w:val="single"/>
          <w:lang w:eastAsia="zh-CN"/>
        </w:rPr>
        <w:t>四舍五入</w:t>
      </w:r>
      <w:r>
        <w:rPr>
          <w:rFonts w:cs="Calibri"/>
          <w:color w:val="auto"/>
          <w:sz w:val="24"/>
          <w:szCs w:val="24"/>
          <w:highlight w:val="none"/>
          <w:u w:val="single"/>
          <w:lang w:eastAsia="zh-CN"/>
        </w:rPr>
        <w:t>”</w:t>
      </w:r>
      <w:r>
        <w:rPr>
          <w:rFonts w:hint="eastAsia" w:cs="宋体"/>
          <w:color w:val="auto"/>
          <w:sz w:val="24"/>
          <w:szCs w:val="24"/>
          <w:highlight w:val="none"/>
          <w:u w:val="single"/>
          <w:lang w:eastAsia="zh-CN"/>
        </w:rPr>
        <w:t>。</w:t>
      </w:r>
    </w:p>
    <w:p w14:paraId="106ED82B">
      <w:pPr>
        <w:pStyle w:val="8"/>
        <w:spacing w:line="360" w:lineRule="auto"/>
        <w:ind w:left="0" w:firstLine="480" w:firstLineChars="200"/>
        <w:rPr>
          <w:color w:val="auto"/>
          <w:sz w:val="24"/>
          <w:szCs w:val="24"/>
          <w:highlight w:val="none"/>
          <w:u w:val="single"/>
          <w:lang w:eastAsia="zh-CN"/>
        </w:rPr>
      </w:pPr>
      <w:r>
        <w:rPr>
          <w:color w:val="auto"/>
          <w:sz w:val="24"/>
          <w:szCs w:val="24"/>
          <w:highlight w:val="none"/>
          <w:u w:val="single"/>
          <w:lang w:eastAsia="zh-CN"/>
        </w:rPr>
        <w:t>3.2.3</w:t>
      </w:r>
      <w:r>
        <w:rPr>
          <w:rFonts w:hint="eastAsia" w:cs="宋体"/>
          <w:color w:val="auto"/>
          <w:sz w:val="24"/>
          <w:szCs w:val="24"/>
          <w:highlight w:val="none"/>
          <w:u w:val="single"/>
          <w:lang w:eastAsia="zh-CN"/>
        </w:rPr>
        <w:t>权重分配：商务文件（资信业绩部分）权重为</w:t>
      </w:r>
      <w:r>
        <w:rPr>
          <w:rFonts w:hint="eastAsia"/>
          <w:color w:val="auto"/>
          <w:sz w:val="24"/>
          <w:szCs w:val="24"/>
          <w:highlight w:val="none"/>
          <w:u w:val="single"/>
          <w:lang w:eastAsia="zh-CN"/>
        </w:rPr>
        <w:t>30</w:t>
      </w:r>
      <w:r>
        <w:rPr>
          <w:rFonts w:hint="eastAsia" w:cs="宋体"/>
          <w:color w:val="auto"/>
          <w:sz w:val="24"/>
          <w:szCs w:val="24"/>
          <w:highlight w:val="none"/>
          <w:u w:val="single"/>
          <w:lang w:eastAsia="zh-CN"/>
        </w:rPr>
        <w:t>％、技术文件（设计方案部分）权重为6</w:t>
      </w:r>
      <w:r>
        <w:rPr>
          <w:color w:val="auto"/>
          <w:sz w:val="24"/>
          <w:szCs w:val="24"/>
          <w:highlight w:val="none"/>
          <w:u w:val="single"/>
          <w:lang w:eastAsia="zh-CN"/>
        </w:rPr>
        <w:t>0</w:t>
      </w:r>
      <w:r>
        <w:rPr>
          <w:rFonts w:hint="eastAsia" w:cs="宋体"/>
          <w:color w:val="auto"/>
          <w:sz w:val="24"/>
          <w:szCs w:val="24"/>
          <w:highlight w:val="none"/>
          <w:u w:val="single"/>
          <w:lang w:eastAsia="zh-CN"/>
        </w:rPr>
        <w:t>％、报价文件权重为10%</w:t>
      </w:r>
    </w:p>
    <w:p w14:paraId="36E3368D">
      <w:pPr>
        <w:pStyle w:val="8"/>
        <w:spacing w:line="360" w:lineRule="auto"/>
        <w:ind w:left="0" w:firstLine="480" w:firstLineChars="200"/>
        <w:rPr>
          <w:color w:val="auto"/>
          <w:sz w:val="24"/>
          <w:szCs w:val="24"/>
          <w:highlight w:val="none"/>
          <w:u w:val="single"/>
          <w:lang w:eastAsia="zh-CN"/>
        </w:rPr>
      </w:pPr>
      <w:r>
        <w:rPr>
          <w:rFonts w:hint="eastAsia" w:cs="宋体"/>
          <w:color w:val="auto"/>
          <w:sz w:val="24"/>
          <w:szCs w:val="24"/>
          <w:highlight w:val="none"/>
          <w:u w:val="single"/>
          <w:lang w:eastAsia="zh-CN"/>
        </w:rPr>
        <w:t>投标人的综合得分（满分</w:t>
      </w:r>
      <w:r>
        <w:rPr>
          <w:rFonts w:cs="宋体"/>
          <w:color w:val="auto"/>
          <w:sz w:val="24"/>
          <w:szCs w:val="24"/>
          <w:highlight w:val="none"/>
          <w:u w:val="single"/>
          <w:lang w:eastAsia="zh-CN"/>
        </w:rPr>
        <w:t>100</w:t>
      </w:r>
      <w:r>
        <w:rPr>
          <w:rFonts w:hint="eastAsia" w:cs="宋体"/>
          <w:color w:val="auto"/>
          <w:sz w:val="24"/>
          <w:szCs w:val="24"/>
          <w:highlight w:val="none"/>
          <w:u w:val="single"/>
          <w:lang w:eastAsia="zh-CN"/>
        </w:rPr>
        <w:t>分）＝商务文件得分×3</w:t>
      </w:r>
      <w:r>
        <w:rPr>
          <w:rFonts w:cs="宋体"/>
          <w:color w:val="auto"/>
          <w:sz w:val="24"/>
          <w:szCs w:val="24"/>
          <w:highlight w:val="none"/>
          <w:u w:val="single"/>
          <w:lang w:eastAsia="zh-CN"/>
        </w:rPr>
        <w:t>0</w:t>
      </w:r>
      <w:r>
        <w:rPr>
          <w:rFonts w:hint="eastAsia" w:cs="宋体"/>
          <w:color w:val="auto"/>
          <w:sz w:val="24"/>
          <w:szCs w:val="24"/>
          <w:highlight w:val="none"/>
          <w:u w:val="single"/>
          <w:lang w:eastAsia="zh-CN"/>
        </w:rPr>
        <w:t>％</w:t>
      </w:r>
      <w:r>
        <w:rPr>
          <w:rFonts w:cs="宋体"/>
          <w:color w:val="auto"/>
          <w:sz w:val="24"/>
          <w:szCs w:val="24"/>
          <w:highlight w:val="none"/>
          <w:u w:val="single"/>
          <w:lang w:eastAsia="zh-CN"/>
        </w:rPr>
        <w:t>+</w:t>
      </w:r>
      <w:r>
        <w:rPr>
          <w:rFonts w:hint="eastAsia" w:cs="宋体"/>
          <w:color w:val="auto"/>
          <w:sz w:val="24"/>
          <w:szCs w:val="24"/>
          <w:highlight w:val="none"/>
          <w:u w:val="single"/>
          <w:lang w:eastAsia="zh-CN"/>
        </w:rPr>
        <w:t>技术文件得分×6</w:t>
      </w:r>
      <w:r>
        <w:rPr>
          <w:rFonts w:cs="宋体"/>
          <w:color w:val="auto"/>
          <w:sz w:val="24"/>
          <w:szCs w:val="24"/>
          <w:highlight w:val="none"/>
          <w:u w:val="single"/>
          <w:lang w:eastAsia="zh-CN"/>
        </w:rPr>
        <w:t>0</w:t>
      </w:r>
      <w:r>
        <w:rPr>
          <w:rFonts w:hint="eastAsia" w:cs="宋体"/>
          <w:color w:val="auto"/>
          <w:sz w:val="24"/>
          <w:szCs w:val="24"/>
          <w:highlight w:val="none"/>
          <w:u w:val="single"/>
          <w:lang w:eastAsia="zh-CN"/>
        </w:rPr>
        <w:t>％+报价</w:t>
      </w:r>
      <w:r>
        <w:rPr>
          <w:rFonts w:hint="eastAsia"/>
          <w:color w:val="auto"/>
          <w:sz w:val="21"/>
          <w:highlight w:val="none"/>
          <w:lang w:eastAsia="zh-CN"/>
        </w:rPr>
        <w:t>文件得分×1</w:t>
      </w:r>
      <w:r>
        <w:rPr>
          <w:color w:val="auto"/>
          <w:sz w:val="21"/>
          <w:highlight w:val="none"/>
          <w:lang w:eastAsia="zh-CN"/>
        </w:rPr>
        <w:t>0</w:t>
      </w:r>
      <w:r>
        <w:rPr>
          <w:rFonts w:hint="eastAsia"/>
          <w:color w:val="auto"/>
          <w:sz w:val="21"/>
          <w:highlight w:val="none"/>
          <w:lang w:eastAsia="zh-CN"/>
        </w:rPr>
        <w:t>％</w:t>
      </w:r>
    </w:p>
    <w:p w14:paraId="70B5215C">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3.2.1评标委员会按本章第 2.2款规定的量化因素和分值进行打分，并计算出综合评估得分。</w:t>
      </w:r>
    </w:p>
    <w:p w14:paraId="08636EA9">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（1）按本章第2.2.4（1）目规定的评审因素和分值对资信业绩部分计算出得分A；</w:t>
      </w:r>
    </w:p>
    <w:p w14:paraId="667BE2AA">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（2）按本章第2.2.4（2）目规定的评审因素和分值对勘察设计方案部分计算出得分B；</w:t>
      </w:r>
    </w:p>
    <w:p w14:paraId="2AEC4F29">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（3）按本章第2.2.4（3）目规定的评审因素和分值对投标报价计算出得分C；</w:t>
      </w:r>
    </w:p>
    <w:p w14:paraId="057976FA">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（4）按本章第2.2.4（4）目规定的评审因素和分值对其他部分计算出得分D。</w:t>
      </w:r>
    </w:p>
    <w:p w14:paraId="5C8EF693">
      <w:pPr>
        <w:pStyle w:val="8"/>
        <w:spacing w:line="360" w:lineRule="auto"/>
        <w:ind w:left="0" w:firstLine="480" w:firstLineChars="200"/>
        <w:rPr>
          <w:strike/>
          <w:color w:val="auto"/>
          <w:sz w:val="24"/>
          <w:szCs w:val="24"/>
          <w:highlight w:val="none"/>
          <w:lang w:eastAsia="zh-CN"/>
        </w:rPr>
      </w:pPr>
      <w:r>
        <w:rPr>
          <w:strike/>
          <w:color w:val="auto"/>
          <w:sz w:val="24"/>
          <w:szCs w:val="24"/>
          <w:highlight w:val="none"/>
          <w:lang w:eastAsia="zh-CN"/>
        </w:rPr>
        <w:t>3.2.2评分分值计算保留小数点后两位，小数点后第三位“四舍五入”。</w:t>
      </w:r>
    </w:p>
    <w:p w14:paraId="6F9838A4">
      <w:pPr>
        <w:pStyle w:val="8"/>
        <w:spacing w:line="360" w:lineRule="auto"/>
        <w:ind w:left="0" w:firstLine="480" w:firstLineChars="200"/>
        <w:rPr>
          <w:color w:val="auto"/>
          <w:sz w:val="24"/>
          <w:szCs w:val="24"/>
          <w:highlight w:val="none"/>
          <w:lang w:eastAsia="zh-CN"/>
        </w:rPr>
      </w:pPr>
      <w:r>
        <w:rPr>
          <w:strike/>
          <w:color w:val="auto"/>
          <w:sz w:val="24"/>
          <w:szCs w:val="24"/>
          <w:highlight w:val="none"/>
          <w:lang w:eastAsia="zh-CN"/>
        </w:rPr>
        <w:t>3.2.3投标人得分=A+B+C+D。</w:t>
      </w:r>
    </w:p>
    <w:p w14:paraId="6E5ADD1D">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3.2.4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14:paraId="108DD97E">
      <w:pPr>
        <w:pStyle w:val="4"/>
        <w:spacing w:line="360" w:lineRule="auto"/>
        <w:ind w:left="0"/>
        <w:rPr>
          <w:b/>
          <w:bCs/>
          <w:color w:val="auto"/>
          <w:highlight w:val="none"/>
          <w:lang w:eastAsia="zh-CN"/>
        </w:rPr>
      </w:pPr>
      <w:r>
        <w:rPr>
          <w:b/>
          <w:bCs/>
          <w:color w:val="auto"/>
          <w:highlight w:val="none"/>
          <w:lang w:eastAsia="zh-CN"/>
        </w:rPr>
        <w:t>3.3  投标文件的澄清</w:t>
      </w:r>
    </w:p>
    <w:p w14:paraId="5F6B6FEC">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4AA4A362">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3.3.2澄清、说明或补正不得超出投标文件的范围且不得改变投标文件的实质性内容，并构成投标文件的组成部分。</w:t>
      </w:r>
    </w:p>
    <w:p w14:paraId="05B0716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3.3.3评标委员会对投标人提交的澄清、说明或补正有疑问的，可以要求投标人进一步澄清、说明或补正，直至满足评标委员会的要求。</w:t>
      </w:r>
    </w:p>
    <w:p w14:paraId="141044EA">
      <w:pPr>
        <w:pStyle w:val="4"/>
        <w:spacing w:line="360" w:lineRule="auto"/>
        <w:ind w:left="0"/>
        <w:rPr>
          <w:b/>
          <w:bCs/>
          <w:color w:val="auto"/>
          <w:highlight w:val="none"/>
          <w:lang w:eastAsia="zh-CN"/>
        </w:rPr>
      </w:pPr>
      <w:r>
        <w:rPr>
          <w:b/>
          <w:bCs/>
          <w:color w:val="auto"/>
          <w:highlight w:val="none"/>
          <w:lang w:eastAsia="zh-CN"/>
        </w:rPr>
        <w:t>3.4 评标结果</w:t>
      </w:r>
    </w:p>
    <w:p w14:paraId="52E22237">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3.4.1除第二章“投标人须知”前附表授权直接确定中标人外，评标委员会按照得分由高到低的顺序推荐中标候选人，并标明排序。</w:t>
      </w:r>
    </w:p>
    <w:p w14:paraId="31C9CE2B">
      <w:pPr>
        <w:pStyle w:val="8"/>
        <w:spacing w:line="360" w:lineRule="auto"/>
        <w:ind w:left="0" w:firstLine="480" w:firstLineChars="200"/>
        <w:rPr>
          <w:color w:val="auto"/>
          <w:sz w:val="24"/>
          <w:szCs w:val="24"/>
          <w:highlight w:val="none"/>
          <w:lang w:eastAsia="zh-CN"/>
        </w:rPr>
      </w:pPr>
      <w:r>
        <w:rPr>
          <w:color w:val="auto"/>
          <w:sz w:val="24"/>
          <w:szCs w:val="24"/>
          <w:highlight w:val="none"/>
          <w:lang w:eastAsia="zh-CN"/>
        </w:rPr>
        <w:t>3.4.2评标委员会完成评标后，应当向招标人提交书面评标报告和中标候选人名单。</w:t>
      </w:r>
      <w:bookmarkStart w:id="47" w:name="_Toc25137997"/>
    </w:p>
    <w:p w14:paraId="72645A9A">
      <w:pPr>
        <w:pStyle w:val="2"/>
        <w:jc w:val="center"/>
        <w:rPr>
          <w:rFonts w:ascii="宋体" w:hAnsi="宋体" w:eastAsia="宋体"/>
          <w:color w:val="auto"/>
          <w:highlight w:val="none"/>
          <w:lang w:eastAsia="zh-CN"/>
        </w:rPr>
      </w:pPr>
      <w:r>
        <w:rPr>
          <w:rFonts w:ascii="宋体" w:hAnsi="宋体" w:eastAsia="宋体"/>
          <w:color w:val="auto"/>
          <w:highlight w:val="none"/>
          <w:lang w:eastAsia="zh-CN"/>
        </w:rPr>
        <w:br w:type="page"/>
      </w:r>
      <w:bookmarkStart w:id="48" w:name="_Toc25152747"/>
      <w:r>
        <w:rPr>
          <w:rFonts w:ascii="宋体" w:hAnsi="宋体" w:eastAsia="宋体"/>
          <w:color w:val="auto"/>
          <w:highlight w:val="none"/>
          <w:lang w:eastAsia="zh-CN"/>
        </w:rPr>
        <w:t>第四章</w:t>
      </w:r>
      <w:r>
        <w:rPr>
          <w:rFonts w:hint="eastAsia" w:ascii="宋体" w:hAnsi="宋体" w:eastAsia="宋体"/>
          <w:color w:val="auto"/>
          <w:highlight w:val="none"/>
          <w:lang w:eastAsia="zh-CN"/>
        </w:rPr>
        <w:t xml:space="preserve">  </w:t>
      </w:r>
      <w:r>
        <w:rPr>
          <w:rFonts w:ascii="宋体" w:hAnsi="宋体" w:eastAsia="宋体"/>
          <w:color w:val="auto"/>
          <w:highlight w:val="none"/>
          <w:lang w:eastAsia="zh-CN"/>
        </w:rPr>
        <w:t>合同条款及格式</w:t>
      </w:r>
      <w:bookmarkEnd w:id="47"/>
      <w:bookmarkEnd w:id="48"/>
    </w:p>
    <w:p w14:paraId="1E61333B">
      <w:pPr>
        <w:pStyle w:val="8"/>
        <w:ind w:left="0"/>
        <w:jc w:val="center"/>
        <w:rPr>
          <w:color w:val="auto"/>
          <w:spacing w:val="-1"/>
          <w:highlight w:val="none"/>
          <w:lang w:eastAsia="zh-CN"/>
        </w:rPr>
      </w:pPr>
    </w:p>
    <w:p w14:paraId="48C2DFB9">
      <w:pPr>
        <w:jc w:val="center"/>
        <w:rPr>
          <w:rFonts w:hint="eastAsia" w:ascii="宋体" w:hAnsi="宋体" w:cs="宋体"/>
          <w:b/>
          <w:sz w:val="36"/>
          <w:szCs w:val="36"/>
          <w:u w:val="thick"/>
        </w:rPr>
      </w:pPr>
    </w:p>
    <w:p w14:paraId="1427D5D4">
      <w:pPr>
        <w:jc w:val="center"/>
        <w:rPr>
          <w:rFonts w:hint="eastAsia" w:ascii="宋体" w:hAnsi="宋体" w:cs="宋体"/>
          <w:b/>
          <w:sz w:val="36"/>
          <w:szCs w:val="36"/>
          <w:u w:val="thick"/>
        </w:rPr>
      </w:pPr>
    </w:p>
    <w:p w14:paraId="3CCABC88">
      <w:pPr>
        <w:pStyle w:val="8"/>
      </w:pPr>
    </w:p>
    <w:p w14:paraId="44BEE5E4">
      <w:pPr>
        <w:jc w:val="center"/>
        <w:rPr>
          <w:rFonts w:hint="eastAsia" w:ascii="宋体" w:hAnsi="宋体" w:cs="宋体"/>
          <w:b/>
          <w:sz w:val="36"/>
          <w:szCs w:val="36"/>
          <w:u w:val="thick"/>
        </w:rPr>
      </w:pPr>
    </w:p>
    <w:p w14:paraId="540A6827">
      <w:pPr>
        <w:jc w:val="center"/>
        <w:rPr>
          <w:rFonts w:hint="eastAsia" w:ascii="宋体" w:hAnsi="宋体" w:cs="宋体"/>
          <w:b/>
          <w:sz w:val="36"/>
          <w:szCs w:val="36"/>
          <w:u w:val="thick"/>
        </w:rPr>
      </w:pPr>
    </w:p>
    <w:p w14:paraId="7901C71F">
      <w:pPr>
        <w:pStyle w:val="8"/>
      </w:pPr>
    </w:p>
    <w:p w14:paraId="767E2170">
      <w:pPr>
        <w:jc w:val="center"/>
        <w:rPr>
          <w:rFonts w:hint="eastAsia" w:ascii="宋体" w:hAnsi="宋体" w:cs="宋体"/>
          <w:b/>
          <w:bCs/>
          <w:sz w:val="52"/>
          <w:szCs w:val="52"/>
        </w:rPr>
      </w:pPr>
      <w:r>
        <w:rPr>
          <w:rFonts w:hint="eastAsia" w:ascii="宋体" w:hAnsi="宋体" w:cs="宋体"/>
          <w:b/>
          <w:bCs/>
          <w:sz w:val="52"/>
          <w:szCs w:val="52"/>
        </w:rPr>
        <w:t>前锋水乡首开区提升改造建设方案设计项目合同</w:t>
      </w:r>
    </w:p>
    <w:p w14:paraId="18BF0F17">
      <w:pPr>
        <w:pStyle w:val="8"/>
        <w:jc w:val="center"/>
      </w:pPr>
      <w:r>
        <w:rPr>
          <w:rFonts w:hint="eastAsia" w:ascii="宋体" w:hAnsi="宋体" w:cs="宋体"/>
          <w:b/>
          <w:bCs/>
          <w:sz w:val="52"/>
          <w:szCs w:val="52"/>
        </w:rPr>
        <w:t>（样本）</w:t>
      </w:r>
    </w:p>
    <w:p w14:paraId="074B3462">
      <w:pPr>
        <w:spacing w:line="360" w:lineRule="auto"/>
        <w:rPr>
          <w:rFonts w:hint="eastAsia" w:ascii="宋体" w:hAnsi="宋体" w:cs="宋体"/>
          <w:sz w:val="24"/>
        </w:rPr>
      </w:pPr>
    </w:p>
    <w:p w14:paraId="31449F54">
      <w:pPr>
        <w:spacing w:line="360" w:lineRule="auto"/>
        <w:rPr>
          <w:rFonts w:hint="eastAsia" w:ascii="宋体" w:hAnsi="宋体" w:cs="宋体"/>
          <w:sz w:val="24"/>
        </w:rPr>
      </w:pPr>
    </w:p>
    <w:p w14:paraId="4F960C78">
      <w:pPr>
        <w:spacing w:line="360" w:lineRule="auto"/>
        <w:rPr>
          <w:rFonts w:hint="eastAsia" w:ascii="宋体" w:hAnsi="宋体" w:cs="宋体"/>
          <w:sz w:val="24"/>
        </w:rPr>
      </w:pPr>
    </w:p>
    <w:p w14:paraId="2BF91932">
      <w:pPr>
        <w:spacing w:line="360" w:lineRule="auto"/>
        <w:rPr>
          <w:rFonts w:hint="eastAsia" w:ascii="宋体" w:hAnsi="宋体" w:cs="宋体"/>
          <w:sz w:val="24"/>
        </w:rPr>
      </w:pPr>
    </w:p>
    <w:p w14:paraId="36786F01">
      <w:pPr>
        <w:spacing w:line="360" w:lineRule="auto"/>
        <w:rPr>
          <w:rFonts w:hint="eastAsia" w:ascii="宋体" w:hAnsi="宋体" w:cs="宋体"/>
          <w:sz w:val="24"/>
        </w:rPr>
      </w:pPr>
    </w:p>
    <w:p w14:paraId="10B8E524">
      <w:pPr>
        <w:spacing w:line="360" w:lineRule="auto"/>
        <w:rPr>
          <w:rFonts w:hint="eastAsia" w:ascii="宋体" w:hAnsi="宋体" w:cs="宋体"/>
          <w:sz w:val="24"/>
        </w:rPr>
      </w:pPr>
    </w:p>
    <w:p w14:paraId="5E2F82AE">
      <w:pPr>
        <w:spacing w:line="360" w:lineRule="auto"/>
        <w:rPr>
          <w:rFonts w:hint="eastAsia" w:ascii="宋体" w:hAnsi="宋体" w:cs="宋体"/>
          <w:sz w:val="24"/>
        </w:rPr>
      </w:pPr>
    </w:p>
    <w:p w14:paraId="5DBAEDFA">
      <w:pPr>
        <w:spacing w:line="360" w:lineRule="auto"/>
        <w:rPr>
          <w:rFonts w:hint="eastAsia" w:ascii="宋体" w:hAnsi="宋体" w:cs="宋体"/>
          <w:sz w:val="24"/>
        </w:rPr>
      </w:pPr>
    </w:p>
    <w:p w14:paraId="46F5A7A3">
      <w:pPr>
        <w:spacing w:line="360" w:lineRule="auto"/>
        <w:rPr>
          <w:rFonts w:hint="eastAsia" w:ascii="宋体" w:hAnsi="宋体" w:cs="宋体"/>
          <w:sz w:val="24"/>
        </w:rPr>
      </w:pPr>
    </w:p>
    <w:p w14:paraId="5DC37D59">
      <w:pPr>
        <w:spacing w:line="360" w:lineRule="auto"/>
        <w:rPr>
          <w:rFonts w:hint="eastAsia" w:ascii="宋体" w:hAnsi="宋体" w:cs="宋体"/>
          <w:sz w:val="24"/>
        </w:rPr>
      </w:pPr>
    </w:p>
    <w:p w14:paraId="6F9B2D85">
      <w:pPr>
        <w:spacing w:line="360" w:lineRule="auto"/>
        <w:rPr>
          <w:rFonts w:hint="eastAsia" w:ascii="宋体" w:hAnsi="宋体" w:cs="宋体"/>
          <w:sz w:val="24"/>
        </w:rPr>
      </w:pPr>
    </w:p>
    <w:p w14:paraId="065768DC">
      <w:pPr>
        <w:adjustRightInd w:val="0"/>
        <w:snapToGrid w:val="0"/>
        <w:spacing w:line="480" w:lineRule="auto"/>
        <w:ind w:left="909" w:leftChars="413"/>
        <w:jc w:val="left"/>
        <w:rPr>
          <w:rFonts w:hint="eastAsia" w:ascii="宋体" w:hAnsi="宋体" w:cs="宋体"/>
          <w:sz w:val="28"/>
          <w:szCs w:val="28"/>
          <w:u w:val="single"/>
        </w:rPr>
      </w:pPr>
      <w:r>
        <w:rPr>
          <w:rFonts w:hint="eastAsia" w:ascii="宋体" w:hAnsi="宋体" w:cs="宋体"/>
          <w:spacing w:val="47"/>
          <w:kern w:val="0"/>
          <w:sz w:val="28"/>
          <w:szCs w:val="28"/>
          <w:fitText w:val="2529" w:id="1594653597"/>
        </w:rPr>
        <w:t>发包人（甲方</w:t>
      </w:r>
      <w:r>
        <w:rPr>
          <w:rFonts w:hint="eastAsia" w:ascii="宋体" w:hAnsi="宋体" w:cs="宋体"/>
          <w:spacing w:val="2"/>
          <w:kern w:val="0"/>
          <w:sz w:val="28"/>
          <w:szCs w:val="28"/>
          <w:fitText w:val="2529" w:id="1594653597"/>
        </w:rPr>
        <w:t>）</w:t>
      </w:r>
      <w:r>
        <w:rPr>
          <w:rFonts w:hint="eastAsia" w:ascii="宋体" w:hAnsi="宋体" w:cs="宋体"/>
          <w:sz w:val="28"/>
          <w:szCs w:val="28"/>
        </w:rPr>
        <w:t>：</w:t>
      </w:r>
      <w:r>
        <w:rPr>
          <w:rFonts w:hint="eastAsia" w:ascii="宋体" w:hAnsi="宋体" w:cs="宋体"/>
          <w:sz w:val="28"/>
          <w:szCs w:val="28"/>
          <w:u w:val="single"/>
        </w:rPr>
        <w:t>广州南沙科技投资有限公司</w:t>
      </w:r>
    </w:p>
    <w:p w14:paraId="7C3409E2">
      <w:pPr>
        <w:adjustRightInd w:val="0"/>
        <w:snapToGrid w:val="0"/>
        <w:spacing w:line="480" w:lineRule="auto"/>
        <w:ind w:left="909" w:leftChars="413"/>
        <w:jc w:val="left"/>
        <w:rPr>
          <w:rFonts w:hint="eastAsia" w:ascii="宋体" w:hAnsi="宋体" w:cs="宋体"/>
          <w:sz w:val="28"/>
          <w:szCs w:val="28"/>
        </w:rPr>
      </w:pPr>
      <w:r>
        <w:rPr>
          <w:rFonts w:hint="eastAsia" w:ascii="宋体" w:hAnsi="宋体" w:cs="宋体"/>
          <w:spacing w:val="47"/>
          <w:kern w:val="0"/>
          <w:sz w:val="28"/>
          <w:szCs w:val="28"/>
          <w:fitText w:val="2529" w:id="812123195"/>
        </w:rPr>
        <w:t>承包人（乙方</w:t>
      </w:r>
      <w:r>
        <w:rPr>
          <w:rFonts w:hint="eastAsia" w:ascii="宋体" w:hAnsi="宋体" w:cs="宋体"/>
          <w:spacing w:val="2"/>
          <w:kern w:val="0"/>
          <w:sz w:val="28"/>
          <w:szCs w:val="28"/>
          <w:fitText w:val="2529" w:id="812123195"/>
        </w:rPr>
        <w:t>）</w:t>
      </w:r>
      <w:r>
        <w:rPr>
          <w:rFonts w:hint="eastAsia" w:ascii="宋体" w:hAnsi="宋体" w:cs="宋体"/>
          <w:sz w:val="28"/>
          <w:szCs w:val="28"/>
        </w:rPr>
        <w:t>：</w:t>
      </w:r>
      <w:r>
        <w:rPr>
          <w:rFonts w:hint="eastAsia" w:ascii="宋体" w:hAnsi="宋体" w:cs="宋体"/>
          <w:sz w:val="28"/>
          <w:szCs w:val="28"/>
          <w:u w:val="single"/>
        </w:rPr>
        <w:t xml:space="preserve">                          </w:t>
      </w:r>
    </w:p>
    <w:p w14:paraId="1DA18606">
      <w:pPr>
        <w:adjustRightInd w:val="0"/>
        <w:snapToGrid w:val="0"/>
        <w:spacing w:line="480" w:lineRule="auto"/>
        <w:ind w:left="909" w:leftChars="413"/>
        <w:jc w:val="center"/>
        <w:rPr>
          <w:rFonts w:hint="eastAsia" w:ascii="宋体" w:hAnsi="宋体" w:cs="宋体"/>
          <w:sz w:val="28"/>
        </w:rPr>
      </w:pPr>
      <w:r>
        <w:rPr>
          <w:rFonts w:hint="eastAsia" w:ascii="宋体" w:hAnsi="宋体" w:cs="宋体"/>
          <w:sz w:val="28"/>
        </w:rPr>
        <w:t>签订日期：2025年 月  日</w:t>
      </w:r>
    </w:p>
    <w:p w14:paraId="5468BE41">
      <w:pPr>
        <w:widowControl/>
        <w:jc w:val="left"/>
        <w:rPr>
          <w:rFonts w:hint="eastAsia" w:ascii="宋体" w:hAnsi="宋体" w:cs="宋体"/>
          <w:sz w:val="28"/>
        </w:rPr>
      </w:pPr>
      <w:r>
        <w:rPr>
          <w:rFonts w:hint="eastAsia" w:ascii="宋体" w:hAnsi="宋体" w:cs="宋体"/>
          <w:sz w:val="28"/>
        </w:rPr>
        <w:br w:type="page"/>
      </w:r>
    </w:p>
    <w:p w14:paraId="16A97EF6">
      <w:pPr>
        <w:widowControl/>
        <w:jc w:val="left"/>
        <w:rPr>
          <w:rFonts w:hint="eastAsia" w:ascii="宋体" w:hAnsi="宋体" w:cs="宋体"/>
          <w:bCs/>
          <w:snapToGrid w:val="0"/>
          <w:kern w:val="0"/>
          <w:szCs w:val="21"/>
        </w:rPr>
        <w:sectPr>
          <w:headerReference r:id="rId5" w:type="first"/>
          <w:footerReference r:id="rId7" w:type="first"/>
          <w:footerReference r:id="rId6" w:type="default"/>
          <w:pgSz w:w="11907" w:h="16840"/>
          <w:pgMar w:top="1134" w:right="1417" w:bottom="1134" w:left="1417" w:header="851" w:footer="680" w:gutter="0"/>
          <w:pgNumType w:start="0"/>
          <w:cols w:space="720" w:num="1"/>
          <w:titlePg/>
          <w:docGrid w:type="lines" w:linePitch="312" w:charSpace="0"/>
        </w:sectPr>
      </w:pPr>
      <w:bookmarkStart w:id="49" w:name="_Toc115711396"/>
    </w:p>
    <w:bookmarkEnd w:id="49"/>
    <w:p w14:paraId="5AD35410">
      <w:pPr>
        <w:widowControl/>
        <w:jc w:val="center"/>
        <w:outlineLvl w:val="0"/>
        <w:rPr>
          <w:rFonts w:hint="eastAsia" w:ascii="宋体" w:hAnsi="宋体" w:cs="宋体"/>
          <w:b/>
          <w:bCs/>
          <w:snapToGrid w:val="0"/>
          <w:kern w:val="0"/>
          <w:sz w:val="36"/>
          <w:szCs w:val="36"/>
        </w:rPr>
      </w:pPr>
      <w:bookmarkStart w:id="50" w:name="_Toc122759214"/>
      <w:bookmarkStart w:id="51" w:name="_Toc115711029"/>
      <w:bookmarkStart w:id="52" w:name="_Toc114119681"/>
      <w:bookmarkStart w:id="53" w:name="_Toc82141020"/>
      <w:r>
        <w:rPr>
          <w:rFonts w:hint="eastAsia" w:ascii="宋体" w:hAnsi="宋体" w:cs="宋体"/>
          <w:b/>
          <w:bCs/>
          <w:snapToGrid w:val="0"/>
          <w:kern w:val="0"/>
          <w:sz w:val="36"/>
          <w:szCs w:val="36"/>
        </w:rPr>
        <w:t>第一篇  合同协议书</w:t>
      </w:r>
      <w:bookmarkEnd w:id="50"/>
      <w:bookmarkEnd w:id="51"/>
      <w:bookmarkEnd w:id="52"/>
      <w:bookmarkEnd w:id="53"/>
    </w:p>
    <w:p w14:paraId="0C94FEB6">
      <w:pPr>
        <w:adjustRightInd w:val="0"/>
        <w:snapToGrid w:val="0"/>
        <w:spacing w:line="400" w:lineRule="exact"/>
        <w:jc w:val="center"/>
        <w:rPr>
          <w:rFonts w:hint="eastAsia" w:ascii="宋体" w:hAnsi="宋体" w:cs="宋体"/>
          <w:b/>
          <w:bCs/>
          <w:snapToGrid w:val="0"/>
          <w:kern w:val="0"/>
          <w:sz w:val="44"/>
          <w:szCs w:val="44"/>
        </w:rPr>
      </w:pPr>
    </w:p>
    <w:p w14:paraId="4920D54F">
      <w:pPr>
        <w:adjustRightInd w:val="0"/>
        <w:snapToGrid w:val="0"/>
        <w:spacing w:line="360" w:lineRule="auto"/>
        <w:ind w:firstLine="440" w:firstLineChars="200"/>
        <w:jc w:val="left"/>
        <w:rPr>
          <w:rFonts w:hint="eastAsia" w:ascii="宋体" w:hAnsi="宋体" w:cs="宋体"/>
          <w:bCs/>
          <w:snapToGrid w:val="0"/>
          <w:kern w:val="0"/>
          <w:szCs w:val="21"/>
          <w:u w:val="single" w:color="000000"/>
        </w:rPr>
      </w:pPr>
      <w:r>
        <w:rPr>
          <w:rFonts w:hint="eastAsia" w:ascii="宋体" w:hAnsi="宋体" w:cs="宋体"/>
          <w:bCs/>
          <w:snapToGrid w:val="0"/>
          <w:kern w:val="0"/>
          <w:szCs w:val="21"/>
        </w:rPr>
        <w:t>依照《中华人民共和国民法典》《中华人民共和国建筑法》及其他有关法律、行政法规、部门规章、地方性法规和规章，以及国家和广东省、广州市及南沙区人民政府及有关主管部门关于本项目的有关文件，遵循平等、自愿、公平和诚实信用的原则，合同双方</w:t>
      </w:r>
      <w:r>
        <w:rPr>
          <w:rFonts w:hint="eastAsia" w:ascii="宋体" w:hAnsi="宋体" w:cs="宋体"/>
          <w:szCs w:val="21"/>
        </w:rPr>
        <w:t>就</w:t>
      </w:r>
      <w:r>
        <w:rPr>
          <w:rFonts w:hint="eastAsia" w:ascii="宋体" w:hAnsi="宋体" w:cs="宋体"/>
          <w:b/>
          <w:bCs/>
          <w:snapToGrid w:val="0"/>
          <w:kern w:val="0"/>
          <w:szCs w:val="21"/>
          <w:u w:val="single" w:color="000000"/>
        </w:rPr>
        <w:t>前锋水乡首开区提升改造建设项目</w:t>
      </w:r>
      <w:r>
        <w:rPr>
          <w:rFonts w:hint="eastAsia" w:ascii="宋体" w:hAnsi="宋体" w:cs="宋体"/>
          <w:szCs w:val="21"/>
        </w:rPr>
        <w:t>（以下称本工程）</w:t>
      </w:r>
      <w:r>
        <w:rPr>
          <w:rFonts w:hint="eastAsia" w:ascii="宋体" w:hAnsi="宋体" w:cs="宋体"/>
          <w:b/>
          <w:bCs/>
          <w:snapToGrid w:val="0"/>
          <w:kern w:val="0"/>
          <w:szCs w:val="21"/>
          <w:u w:val="single" w:color="000000"/>
        </w:rPr>
        <w:t>方案设计</w:t>
      </w:r>
      <w:r>
        <w:rPr>
          <w:rFonts w:hint="eastAsia" w:ascii="宋体" w:hAnsi="宋体" w:cs="宋体"/>
          <w:bCs/>
          <w:snapToGrid w:val="0"/>
          <w:kern w:val="0"/>
          <w:szCs w:val="21"/>
        </w:rPr>
        <w:t>事宜协商一致，订立本合同。</w:t>
      </w:r>
    </w:p>
    <w:p w14:paraId="740E4AD7">
      <w:pPr>
        <w:adjustRightInd w:val="0"/>
        <w:snapToGrid w:val="0"/>
        <w:spacing w:line="360" w:lineRule="auto"/>
        <w:ind w:firstLine="440" w:firstLineChars="200"/>
        <w:rPr>
          <w:rFonts w:hint="eastAsia" w:ascii="宋体" w:hAnsi="宋体" w:cs="宋体"/>
          <w:b/>
          <w:bCs/>
          <w:snapToGrid w:val="0"/>
          <w:kern w:val="0"/>
          <w:szCs w:val="21"/>
        </w:rPr>
      </w:pPr>
      <w:r>
        <w:rPr>
          <w:rFonts w:hint="eastAsia" w:ascii="宋体" w:hAnsi="宋体" w:cs="宋体"/>
          <w:b/>
          <w:bCs/>
          <w:snapToGrid w:val="0"/>
          <w:kern w:val="0"/>
          <w:szCs w:val="21"/>
        </w:rPr>
        <w:t>1.工程概况</w:t>
      </w:r>
    </w:p>
    <w:p w14:paraId="06408EA3">
      <w:pPr>
        <w:adjustRightInd w:val="0"/>
        <w:snapToGrid w:val="0"/>
        <w:spacing w:line="360" w:lineRule="auto"/>
        <w:ind w:firstLine="440" w:firstLineChars="200"/>
        <w:rPr>
          <w:rFonts w:hint="eastAsia" w:ascii="宋体" w:hAnsi="宋体" w:cs="宋体"/>
          <w:bCs/>
          <w:snapToGrid w:val="0"/>
          <w:kern w:val="0"/>
          <w:szCs w:val="21"/>
          <w:u w:val="single" w:color="000000"/>
        </w:rPr>
      </w:pPr>
      <w:r>
        <w:rPr>
          <w:rFonts w:hint="eastAsia" w:ascii="宋体" w:hAnsi="宋体" w:cs="宋体"/>
          <w:bCs/>
          <w:snapToGrid w:val="0"/>
          <w:kern w:val="0"/>
          <w:szCs w:val="21"/>
        </w:rPr>
        <w:t>1.1工程名称：</w:t>
      </w:r>
      <w:r>
        <w:rPr>
          <w:rFonts w:hint="eastAsia" w:ascii="宋体" w:hAnsi="宋体" w:cs="宋体"/>
          <w:bCs/>
          <w:snapToGrid w:val="0"/>
          <w:kern w:val="0"/>
          <w:szCs w:val="21"/>
          <w:u w:val="single" w:color="000000"/>
        </w:rPr>
        <w:t>前锋水乡首开区提升改造建设方案设计项目</w:t>
      </w:r>
    </w:p>
    <w:p w14:paraId="466BDAD4">
      <w:pPr>
        <w:adjustRightInd w:val="0"/>
        <w:snapToGrid w:val="0"/>
        <w:spacing w:line="360" w:lineRule="auto"/>
        <w:ind w:firstLine="440" w:firstLineChars="200"/>
        <w:jc w:val="left"/>
        <w:rPr>
          <w:rFonts w:hint="eastAsia" w:ascii="宋体" w:hAnsi="宋体" w:cs="宋体"/>
          <w:bCs/>
          <w:snapToGrid w:val="0"/>
          <w:kern w:val="0"/>
          <w:szCs w:val="21"/>
        </w:rPr>
      </w:pPr>
      <w:r>
        <w:rPr>
          <w:rFonts w:hint="eastAsia" w:ascii="宋体" w:hAnsi="宋体" w:cs="宋体"/>
          <w:bCs/>
          <w:snapToGrid w:val="0"/>
          <w:kern w:val="0"/>
          <w:szCs w:val="21"/>
        </w:rPr>
        <w:t>1.2工程地点：广州市南沙</w:t>
      </w:r>
      <w:r>
        <w:rPr>
          <w:rFonts w:hint="eastAsia" w:ascii="宋体" w:hAnsi="宋体" w:cs="宋体"/>
          <w:bCs/>
          <w:snapToGrid w:val="0"/>
          <w:kern w:val="0"/>
          <w:szCs w:val="21"/>
          <w:u w:val="single" w:color="000000"/>
        </w:rPr>
        <w:t>区</w:t>
      </w:r>
    </w:p>
    <w:p w14:paraId="6A74D065">
      <w:pPr>
        <w:adjustRightInd w:val="0"/>
        <w:snapToGrid w:val="0"/>
        <w:spacing w:line="360" w:lineRule="auto"/>
        <w:ind w:firstLine="440" w:firstLineChars="200"/>
        <w:rPr>
          <w:rFonts w:hint="eastAsia" w:ascii="宋体" w:hAnsi="宋体" w:cs="宋体"/>
          <w:bCs/>
          <w:snapToGrid w:val="0"/>
          <w:kern w:val="0"/>
          <w:szCs w:val="21"/>
          <w:u w:val="single"/>
        </w:rPr>
      </w:pPr>
      <w:r>
        <w:rPr>
          <w:rFonts w:hint="eastAsia" w:ascii="宋体" w:hAnsi="宋体" w:cs="宋体"/>
          <w:bCs/>
          <w:snapToGrid w:val="0"/>
          <w:kern w:val="0"/>
          <w:szCs w:val="21"/>
        </w:rPr>
        <w:t>1.3资金来源：</w:t>
      </w:r>
      <w:r>
        <w:rPr>
          <w:rFonts w:hint="eastAsia" w:ascii="宋体" w:hAnsi="宋体" w:cs="宋体"/>
          <w:bCs/>
          <w:snapToGrid w:val="0"/>
          <w:kern w:val="0"/>
          <w:szCs w:val="21"/>
          <w:lang w:val="en-US" w:eastAsia="zh-CN"/>
        </w:rPr>
        <w:t>发包人自筹</w:t>
      </w:r>
    </w:p>
    <w:p w14:paraId="52DD959B">
      <w:pPr>
        <w:spacing w:line="360" w:lineRule="auto"/>
        <w:ind w:firstLine="440" w:firstLineChars="200"/>
        <w:jc w:val="left"/>
        <w:rPr>
          <w:rFonts w:hint="eastAsia" w:ascii="宋体" w:hAnsi="宋体" w:cs="宋体"/>
          <w:sz w:val="24"/>
          <w:szCs w:val="24"/>
          <w:u w:val="single"/>
        </w:rPr>
      </w:pPr>
      <w:r>
        <w:rPr>
          <w:rFonts w:hint="eastAsia" w:ascii="宋体" w:hAnsi="宋体" w:cs="宋体"/>
          <w:bCs/>
          <w:snapToGrid w:val="0"/>
          <w:kern w:val="0"/>
          <w:szCs w:val="21"/>
        </w:rPr>
        <w:t>1.4工程规模：</w:t>
      </w:r>
      <w:r>
        <w:rPr>
          <w:rFonts w:hint="eastAsia" w:ascii="宋体" w:hAnsi="宋体" w:cs="宋体"/>
          <w:bCs/>
          <w:snapToGrid w:val="0"/>
          <w:kern w:val="0"/>
          <w:szCs w:val="21"/>
          <w:u w:val="single"/>
        </w:rPr>
        <w:t>前锋水乡首开区占地约12公顷(180亩)，物业138栋，总建筑面积约16500平米。充分理解项目区位、交通、自然生态及人文底蕴等资源禀赋及优势，按照“农、文、商、旅”融合的需求结合百千万工程建设，以“钻石水乡、湾区客厅”为定位将项目打造成三产融合的新质乡村综合体，并据此定位展开规划设计。按照初步设计深度要求，完成首开区规划及建筑改造、园林景观、小市政、泛光、环境导视、海绵城市等各专项方案设计(包含二涌区域小市政改造方案及初步设计)，并完成方案设计、建筑单体设计、全套初步设计图纸、现场设计全程把控、项目总结等。</w:t>
      </w:r>
    </w:p>
    <w:p w14:paraId="3CC5999B">
      <w:pPr>
        <w:adjustRightInd w:val="0"/>
        <w:snapToGrid w:val="0"/>
        <w:spacing w:line="360" w:lineRule="auto"/>
        <w:ind w:firstLine="440" w:firstLineChars="200"/>
        <w:rPr>
          <w:rFonts w:hint="eastAsia" w:ascii="宋体" w:hAnsi="宋体" w:cs="宋体"/>
          <w:bCs/>
          <w:snapToGrid w:val="0"/>
          <w:kern w:val="0"/>
          <w:szCs w:val="21"/>
          <w:u w:val="single" w:color="000000"/>
        </w:rPr>
      </w:pPr>
    </w:p>
    <w:p w14:paraId="57AE3C58">
      <w:pPr>
        <w:adjustRightInd w:val="0"/>
        <w:snapToGrid w:val="0"/>
        <w:spacing w:line="360" w:lineRule="auto"/>
        <w:ind w:firstLine="440" w:firstLineChars="200"/>
        <w:rPr>
          <w:rFonts w:hint="eastAsia" w:ascii="宋体" w:hAnsi="宋体" w:cs="宋体"/>
          <w:b/>
          <w:bCs/>
          <w:snapToGrid w:val="0"/>
          <w:kern w:val="0"/>
          <w:szCs w:val="21"/>
        </w:rPr>
      </w:pPr>
      <w:r>
        <w:rPr>
          <w:rFonts w:hint="eastAsia" w:ascii="宋体" w:hAnsi="宋体" w:cs="宋体"/>
          <w:b/>
          <w:bCs/>
          <w:snapToGrid w:val="0"/>
          <w:kern w:val="0"/>
          <w:szCs w:val="21"/>
        </w:rPr>
        <w:t>2.设计工作范围、内容和方式</w:t>
      </w:r>
    </w:p>
    <w:p w14:paraId="229AEF7B">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2.1 设计工作范围和内容（见下表）：</w:t>
      </w:r>
    </w:p>
    <w:tbl>
      <w:tblPr>
        <w:tblStyle w:val="22"/>
        <w:tblW w:w="8505"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2835"/>
        <w:gridCol w:w="3119"/>
      </w:tblGrid>
      <w:tr w14:paraId="7926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51" w:type="dxa"/>
            <w:vAlign w:val="center"/>
          </w:tcPr>
          <w:p w14:paraId="0367EBE0">
            <w:pPr>
              <w:adjustRightInd w:val="0"/>
              <w:snapToGrid w:val="0"/>
              <w:spacing w:line="360" w:lineRule="auto"/>
              <w:jc w:val="center"/>
              <w:rPr>
                <w:rFonts w:hint="eastAsia" w:ascii="宋体" w:hAnsi="宋体" w:cs="宋体"/>
                <w:bCs/>
                <w:snapToGrid w:val="0"/>
                <w:kern w:val="0"/>
                <w:szCs w:val="21"/>
              </w:rPr>
            </w:pPr>
            <w:r>
              <w:rPr>
                <w:rFonts w:hint="eastAsia" w:ascii="宋体" w:hAnsi="宋体" w:cs="宋体"/>
                <w:bCs/>
                <w:snapToGrid w:val="0"/>
                <w:kern w:val="0"/>
                <w:szCs w:val="21"/>
              </w:rPr>
              <w:t>总体方案设计</w:t>
            </w:r>
          </w:p>
        </w:tc>
        <w:tc>
          <w:tcPr>
            <w:tcW w:w="2835" w:type="dxa"/>
            <w:vAlign w:val="center"/>
          </w:tcPr>
          <w:p w14:paraId="51C36698">
            <w:pPr>
              <w:adjustRightInd w:val="0"/>
              <w:snapToGrid w:val="0"/>
              <w:spacing w:line="360" w:lineRule="auto"/>
              <w:jc w:val="center"/>
              <w:rPr>
                <w:rFonts w:hint="eastAsia" w:ascii="宋体" w:hAnsi="宋体" w:cs="宋体"/>
                <w:bCs/>
                <w:snapToGrid w:val="0"/>
                <w:kern w:val="0"/>
                <w:szCs w:val="21"/>
              </w:rPr>
            </w:pPr>
            <w:r>
              <w:rPr>
                <w:rFonts w:hint="eastAsia" w:ascii="宋体" w:hAnsi="宋体" w:cs="宋体"/>
                <w:bCs/>
                <w:snapToGrid w:val="0"/>
                <w:kern w:val="0"/>
                <w:szCs w:val="21"/>
              </w:rPr>
              <w:t>建筑方案设计</w:t>
            </w:r>
          </w:p>
        </w:tc>
        <w:tc>
          <w:tcPr>
            <w:tcW w:w="3119" w:type="dxa"/>
            <w:vAlign w:val="center"/>
          </w:tcPr>
          <w:p w14:paraId="0739F470">
            <w:pPr>
              <w:adjustRightInd w:val="0"/>
              <w:snapToGrid w:val="0"/>
              <w:spacing w:line="360" w:lineRule="auto"/>
              <w:jc w:val="center"/>
              <w:rPr>
                <w:rFonts w:hint="eastAsia" w:ascii="宋体" w:hAnsi="宋体" w:cs="宋体"/>
                <w:bCs/>
                <w:snapToGrid w:val="0"/>
                <w:kern w:val="0"/>
                <w:szCs w:val="21"/>
              </w:rPr>
            </w:pPr>
            <w:r>
              <w:rPr>
                <w:rFonts w:hint="eastAsia" w:ascii="宋体" w:hAnsi="宋体" w:cs="宋体"/>
                <w:bCs/>
                <w:snapToGrid w:val="0"/>
                <w:kern w:val="0"/>
                <w:szCs w:val="21"/>
              </w:rPr>
              <w:t>初步设计及概算编制</w:t>
            </w:r>
          </w:p>
        </w:tc>
      </w:tr>
      <w:tr w14:paraId="1C1A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2551" w:type="dxa"/>
            <w:vAlign w:val="center"/>
          </w:tcPr>
          <w:p w14:paraId="62E2BA69">
            <w:pPr>
              <w:adjustRightInd w:val="0"/>
              <w:snapToGrid w:val="0"/>
              <w:spacing w:line="360" w:lineRule="auto"/>
              <w:jc w:val="center"/>
              <w:rPr>
                <w:rFonts w:hint="eastAsia" w:ascii="宋体" w:hAnsi="宋体" w:cs="宋体"/>
                <w:b/>
                <w:snapToGrid w:val="0"/>
                <w:kern w:val="0"/>
                <w:szCs w:val="21"/>
              </w:rPr>
            </w:pPr>
            <w:r>
              <w:rPr>
                <w:rFonts w:hint="eastAsia" w:ascii="宋体" w:hAnsi="宋体" w:cs="宋体"/>
                <w:b/>
                <w:snapToGrid w:val="0"/>
                <w:kern w:val="0"/>
                <w:szCs w:val="21"/>
              </w:rPr>
              <w:t>√</w:t>
            </w:r>
          </w:p>
        </w:tc>
        <w:tc>
          <w:tcPr>
            <w:tcW w:w="2835" w:type="dxa"/>
            <w:vAlign w:val="center"/>
          </w:tcPr>
          <w:p w14:paraId="503D0FA2">
            <w:pPr>
              <w:adjustRightInd w:val="0"/>
              <w:snapToGrid w:val="0"/>
              <w:spacing w:line="360" w:lineRule="auto"/>
              <w:jc w:val="center"/>
              <w:rPr>
                <w:rFonts w:hint="eastAsia" w:ascii="宋体" w:hAnsi="宋体" w:cs="宋体"/>
                <w:b/>
                <w:snapToGrid w:val="0"/>
                <w:kern w:val="0"/>
                <w:szCs w:val="21"/>
              </w:rPr>
            </w:pPr>
            <w:r>
              <w:rPr>
                <w:rFonts w:hint="eastAsia" w:ascii="宋体" w:hAnsi="宋体" w:cs="宋体"/>
                <w:b/>
                <w:snapToGrid w:val="0"/>
                <w:kern w:val="0"/>
                <w:szCs w:val="21"/>
              </w:rPr>
              <w:t>√</w:t>
            </w:r>
          </w:p>
        </w:tc>
        <w:tc>
          <w:tcPr>
            <w:tcW w:w="3119" w:type="dxa"/>
            <w:vAlign w:val="center"/>
          </w:tcPr>
          <w:p w14:paraId="210CA8FE">
            <w:pPr>
              <w:snapToGrid w:val="0"/>
              <w:spacing w:line="360" w:lineRule="auto"/>
              <w:jc w:val="center"/>
              <w:rPr>
                <w:rFonts w:hint="eastAsia" w:ascii="宋体" w:hAnsi="宋体" w:cs="宋体"/>
                <w:b/>
                <w:szCs w:val="21"/>
              </w:rPr>
            </w:pPr>
            <w:r>
              <w:rPr>
                <w:rFonts w:hint="eastAsia" w:ascii="宋体" w:hAnsi="宋体" w:cs="宋体"/>
                <w:b/>
                <w:snapToGrid w:val="0"/>
                <w:kern w:val="0"/>
                <w:szCs w:val="21"/>
              </w:rPr>
              <w:t>√</w:t>
            </w:r>
          </w:p>
        </w:tc>
      </w:tr>
    </w:tbl>
    <w:p w14:paraId="21DDFAF5">
      <w:pPr>
        <w:adjustRightInd w:val="0"/>
        <w:snapToGrid w:val="0"/>
        <w:spacing w:line="360" w:lineRule="auto"/>
        <w:ind w:firstLine="440" w:firstLineChars="200"/>
        <w:rPr>
          <w:rFonts w:hint="eastAsia" w:ascii="宋体" w:hAnsi="宋体" w:cs="宋体"/>
          <w:b/>
          <w:bCs/>
          <w:snapToGrid w:val="0"/>
          <w:kern w:val="0"/>
          <w:szCs w:val="21"/>
        </w:rPr>
      </w:pPr>
      <w:r>
        <w:rPr>
          <w:rFonts w:hint="eastAsia" w:ascii="宋体" w:hAnsi="宋体" w:cs="宋体"/>
          <w:b/>
          <w:bCs/>
          <w:snapToGrid w:val="0"/>
          <w:kern w:val="0"/>
          <w:szCs w:val="21"/>
        </w:rPr>
        <w:t>（本工程设计工作范围和内容的具体描述详见设计任务书）</w:t>
      </w:r>
    </w:p>
    <w:p w14:paraId="4991A8C0">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2.2</w:t>
      </w:r>
      <w:r>
        <w:rPr>
          <w:rFonts w:hint="eastAsia" w:ascii="宋体" w:hAnsi="宋体" w:cs="宋体"/>
          <w:bCs/>
          <w:snapToGrid w:val="0"/>
          <w:spacing w:val="-4"/>
          <w:kern w:val="0"/>
          <w:szCs w:val="21"/>
        </w:rPr>
        <w:t>开始实施时间：以收到发包人书面通知为准，设计周期按设计任务书及发包人工作计划要求。</w:t>
      </w:r>
    </w:p>
    <w:p w14:paraId="1C90E1A9">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2.3</w:t>
      </w:r>
      <w:r>
        <w:rPr>
          <w:rFonts w:hint="eastAsia" w:ascii="宋体" w:hAnsi="宋体" w:cs="宋体"/>
          <w:bCs/>
          <w:snapToGrid w:val="0"/>
          <w:spacing w:val="-6"/>
          <w:kern w:val="0"/>
          <w:szCs w:val="21"/>
        </w:rPr>
        <w:t>承包人向发包人提交设计成果的时间按本合同条款第二章第8条的约定执行。</w:t>
      </w:r>
    </w:p>
    <w:p w14:paraId="7F647A53">
      <w:pPr>
        <w:adjustRightInd w:val="0"/>
        <w:snapToGrid w:val="0"/>
        <w:spacing w:line="360" w:lineRule="auto"/>
        <w:ind w:firstLine="440" w:firstLineChars="200"/>
        <w:rPr>
          <w:rFonts w:hint="eastAsia" w:ascii="宋体" w:hAnsi="宋体" w:cs="宋体"/>
          <w:bCs/>
          <w:strike/>
          <w:snapToGrid w:val="0"/>
          <w:kern w:val="0"/>
          <w:szCs w:val="21"/>
        </w:rPr>
      </w:pPr>
      <w:r>
        <w:rPr>
          <w:rFonts w:hint="eastAsia" w:ascii="宋体" w:hAnsi="宋体" w:cs="宋体"/>
          <w:bCs/>
          <w:snapToGrid w:val="0"/>
          <w:kern w:val="0"/>
          <w:szCs w:val="21"/>
        </w:rPr>
        <w:t>2.4发包人根据工程实施情况，有权对承包人的承包范围及内容进行适当调整，经发包人以书面形式提前通知承包人后，承包人必须无条件服从。</w:t>
      </w:r>
    </w:p>
    <w:p w14:paraId="6C00ACAC">
      <w:pPr>
        <w:adjustRightInd w:val="0"/>
        <w:snapToGrid w:val="0"/>
        <w:spacing w:line="360" w:lineRule="auto"/>
        <w:ind w:firstLine="440" w:firstLineChars="200"/>
        <w:rPr>
          <w:rFonts w:hint="eastAsia" w:ascii="宋体" w:hAnsi="宋体" w:cs="宋体"/>
          <w:b/>
          <w:bCs/>
          <w:snapToGrid w:val="0"/>
          <w:kern w:val="0"/>
          <w:szCs w:val="21"/>
        </w:rPr>
      </w:pPr>
      <w:r>
        <w:rPr>
          <w:rFonts w:hint="eastAsia" w:ascii="宋体" w:hAnsi="宋体" w:cs="宋体"/>
          <w:b/>
          <w:bCs/>
          <w:snapToGrid w:val="0"/>
          <w:kern w:val="0"/>
          <w:szCs w:val="21"/>
        </w:rPr>
        <w:t>3.合同价款：本项目</w:t>
      </w:r>
      <w:r>
        <w:rPr>
          <w:rFonts w:hint="eastAsia" w:ascii="宋体" w:hAnsi="宋体" w:cs="宋体"/>
          <w:b/>
          <w:snapToGrid w:val="0"/>
          <w:kern w:val="0"/>
          <w:szCs w:val="21"/>
        </w:rPr>
        <w:t>设计</w:t>
      </w:r>
      <w:r>
        <w:rPr>
          <w:rFonts w:hint="eastAsia" w:ascii="宋体" w:hAnsi="宋体" w:cs="宋体"/>
          <w:b/>
          <w:bCs/>
          <w:snapToGrid w:val="0"/>
          <w:kern w:val="0"/>
          <w:szCs w:val="21"/>
        </w:rPr>
        <w:t>费合同暂定价为：</w:t>
      </w:r>
      <w:r>
        <w:rPr>
          <w:rFonts w:hint="eastAsia" w:ascii="宋体" w:hAnsi="宋体" w:cs="宋体"/>
          <w:b/>
          <w:bCs/>
          <w:snapToGrid w:val="0"/>
          <w:kern w:val="0"/>
          <w:szCs w:val="21"/>
          <w:u w:val="single"/>
        </w:rPr>
        <w:t>人民币</w:t>
      </w:r>
      <w:r>
        <w:rPr>
          <w:rFonts w:hint="eastAsia" w:ascii="宋体" w:hAnsi="宋体" w:cs="宋体"/>
          <w:b/>
          <w:bCs/>
          <w:snapToGrid w:val="0"/>
          <w:spacing w:val="4"/>
          <w:kern w:val="0"/>
          <w:szCs w:val="21"/>
          <w:u w:val="single"/>
        </w:rPr>
        <w:t>￥</w:t>
      </w:r>
      <w:r>
        <w:rPr>
          <w:rFonts w:hint="eastAsia" w:ascii="宋体" w:hAnsi="宋体" w:cs="宋体"/>
          <w:b/>
          <w:bCs/>
          <w:snapToGrid w:val="0"/>
          <w:kern w:val="0"/>
          <w:szCs w:val="21"/>
          <w:u w:val="single"/>
        </w:rPr>
        <w:t xml:space="preserve">               </w:t>
      </w:r>
      <w:r>
        <w:rPr>
          <w:rFonts w:hint="eastAsia" w:ascii="宋体" w:hAnsi="宋体" w:cs="宋体"/>
          <w:b/>
          <w:bCs/>
          <w:snapToGrid w:val="0"/>
          <w:kern w:val="0"/>
          <w:szCs w:val="21"/>
        </w:rPr>
        <w:t>万元（大写：            ），</w:t>
      </w:r>
      <w:r>
        <w:rPr>
          <w:rFonts w:hint="eastAsia" w:ascii="宋体" w:hAnsi="宋体" w:cs="宋体"/>
          <w:szCs w:val="21"/>
        </w:rPr>
        <w:t>中标费率为</w:t>
      </w:r>
      <w:r>
        <w:rPr>
          <w:rFonts w:hint="eastAsia" w:ascii="宋体" w:hAnsi="宋体" w:cs="宋体"/>
          <w:szCs w:val="21"/>
          <w:u w:val="single"/>
        </w:rPr>
        <w:t xml:space="preserve">     </w:t>
      </w:r>
      <w:r>
        <w:rPr>
          <w:rFonts w:hint="eastAsia" w:ascii="宋体" w:hAnsi="宋体" w:cs="宋体"/>
          <w:b/>
          <w:bCs/>
          <w:szCs w:val="21"/>
          <w:u w:val="single"/>
        </w:rPr>
        <w:t xml:space="preserve">% </w:t>
      </w:r>
      <w:r>
        <w:rPr>
          <w:rFonts w:hint="eastAsia" w:ascii="宋体" w:hAnsi="宋体" w:cs="宋体"/>
          <w:szCs w:val="21"/>
        </w:rPr>
        <w:t>（中标费率=设计费中标价/工程估算建安费&lt;即</w:t>
      </w:r>
      <w:r>
        <w:rPr>
          <w:rFonts w:hint="eastAsia" w:ascii="宋体" w:hAnsi="宋体" w:cs="宋体"/>
          <w:szCs w:val="21"/>
          <w:u w:val="single"/>
        </w:rPr>
        <w:t xml:space="preserve">     万元</w:t>
      </w:r>
      <w:r>
        <w:rPr>
          <w:rFonts w:hint="eastAsia" w:ascii="宋体" w:hAnsi="宋体" w:cs="宋体"/>
          <w:szCs w:val="21"/>
        </w:rPr>
        <w:t>&gt;），</w:t>
      </w:r>
      <w:r>
        <w:rPr>
          <w:rFonts w:hint="eastAsia" w:ascii="宋体" w:hAnsi="宋体" w:cs="宋体"/>
          <w:b/>
          <w:bCs/>
          <w:snapToGrid w:val="0"/>
          <w:kern w:val="0"/>
          <w:szCs w:val="21"/>
        </w:rPr>
        <w:t>最终设计费以发包人委托的概算审核单位审定的概算价</w:t>
      </w:r>
      <w:ins w:id="0" w:author="admin" w:date="2025-07-10T14:17:51Z">
        <w:r>
          <w:rPr>
            <w:rFonts w:hint="eastAsia" w:ascii="宋体" w:hAnsi="宋体" w:eastAsia="宋体" w:cs="宋体"/>
            <w:b/>
            <w:bCs/>
            <w:snapToGrid w:val="0"/>
            <w:kern w:val="0"/>
            <w:szCs w:val="21"/>
            <w:lang w:val="en-US" w:eastAsia="zh-CN"/>
          </w:rPr>
          <w:t>建安费</w:t>
        </w:r>
      </w:ins>
      <w:ins w:id="1" w:author="admin" w:date="2025-07-10T14:17:52Z">
        <w:r>
          <w:rPr>
            <w:rFonts w:hint="eastAsia" w:ascii="宋体" w:hAnsi="宋体" w:eastAsia="宋体" w:cs="宋体"/>
            <w:b/>
            <w:bCs/>
            <w:snapToGrid w:val="0"/>
            <w:kern w:val="0"/>
            <w:szCs w:val="21"/>
            <w:lang w:val="en-US" w:eastAsia="zh-CN"/>
          </w:rPr>
          <w:t>为</w:t>
        </w:r>
      </w:ins>
      <w:ins w:id="2" w:author="admin" w:date="2025-07-10T14:17:54Z">
        <w:r>
          <w:rPr>
            <w:rFonts w:hint="eastAsia" w:ascii="宋体" w:hAnsi="宋体" w:eastAsia="宋体" w:cs="宋体"/>
            <w:b/>
            <w:bCs/>
            <w:snapToGrid w:val="0"/>
            <w:kern w:val="0"/>
            <w:szCs w:val="21"/>
            <w:lang w:val="en-US" w:eastAsia="zh-CN"/>
          </w:rPr>
          <w:t>基数</w:t>
        </w:r>
      </w:ins>
      <w:ins w:id="3" w:author="admin" w:date="2025-07-10T14:17:55Z">
        <w:r>
          <w:rPr>
            <w:rFonts w:hint="eastAsia" w:ascii="宋体" w:hAnsi="宋体" w:eastAsia="宋体" w:cs="宋体"/>
            <w:b/>
            <w:bCs/>
            <w:snapToGrid w:val="0"/>
            <w:kern w:val="0"/>
            <w:szCs w:val="21"/>
            <w:lang w:val="en-US" w:eastAsia="zh-CN"/>
          </w:rPr>
          <w:t>并</w:t>
        </w:r>
      </w:ins>
      <w:ins w:id="4" w:author="admin" w:date="2025-07-10T14:17:59Z">
        <w:r>
          <w:rPr>
            <w:rFonts w:hint="eastAsia" w:ascii="宋体" w:hAnsi="宋体" w:eastAsia="宋体" w:cs="宋体"/>
            <w:b/>
            <w:bCs/>
            <w:snapToGrid w:val="0"/>
            <w:kern w:val="0"/>
            <w:szCs w:val="21"/>
            <w:lang w:val="en-US" w:eastAsia="zh-CN"/>
          </w:rPr>
          <w:t>结合</w:t>
        </w:r>
      </w:ins>
      <w:ins w:id="5" w:author="admin" w:date="2025-07-10T14:19:21Z">
        <w:r>
          <w:rPr>
            <w:rFonts w:hint="eastAsia" w:ascii="宋体" w:hAnsi="宋体" w:eastAsia="宋体" w:cs="宋体"/>
            <w:b/>
            <w:bCs/>
            <w:snapToGrid w:val="0"/>
            <w:kern w:val="0"/>
            <w:szCs w:val="21"/>
            <w:lang w:val="en-US" w:eastAsia="zh-CN"/>
          </w:rPr>
          <w:t>中标</w:t>
        </w:r>
      </w:ins>
      <w:ins w:id="6" w:author="admin" w:date="2025-07-10T14:19:23Z">
        <w:r>
          <w:rPr>
            <w:rFonts w:hint="eastAsia" w:ascii="宋体" w:hAnsi="宋体" w:eastAsia="宋体" w:cs="宋体"/>
            <w:b/>
            <w:bCs/>
            <w:snapToGrid w:val="0"/>
            <w:kern w:val="0"/>
            <w:szCs w:val="21"/>
            <w:lang w:val="en-US" w:eastAsia="zh-CN"/>
          </w:rPr>
          <w:t>费率</w:t>
        </w:r>
      </w:ins>
      <w:ins w:id="7" w:author="admin" w:date="2025-07-10T14:18:09Z">
        <w:bookmarkStart w:id="83" w:name="_GoBack"/>
        <w:bookmarkEnd w:id="83"/>
        <w:r>
          <w:rPr>
            <w:rFonts w:hint="eastAsia" w:ascii="宋体" w:hAnsi="宋体" w:eastAsia="宋体" w:cs="宋体"/>
            <w:b/>
            <w:bCs/>
            <w:snapToGrid w:val="0"/>
            <w:kern w:val="0"/>
            <w:szCs w:val="21"/>
            <w:lang w:val="en-US" w:eastAsia="zh-CN"/>
          </w:rPr>
          <w:t>计取</w:t>
        </w:r>
      </w:ins>
      <w:del w:id="8" w:author="admin" w:date="2025-07-10T14:17:48Z">
        <w:r>
          <w:rPr>
            <w:rFonts w:hint="eastAsia" w:ascii="宋体" w:hAnsi="宋体" w:cs="宋体"/>
            <w:b/>
            <w:bCs/>
            <w:snapToGrid w:val="0"/>
            <w:kern w:val="0"/>
            <w:szCs w:val="21"/>
          </w:rPr>
          <w:delText>为准</w:delText>
        </w:r>
      </w:del>
      <w:r>
        <w:rPr>
          <w:rFonts w:hint="eastAsia" w:ascii="宋体" w:hAnsi="宋体" w:cs="宋体"/>
          <w:b/>
          <w:bCs/>
          <w:snapToGrid w:val="0"/>
          <w:kern w:val="0"/>
          <w:szCs w:val="21"/>
        </w:rPr>
        <w:t>。</w:t>
      </w:r>
    </w:p>
    <w:p w14:paraId="7FA1E912">
      <w:pPr>
        <w:pStyle w:val="6"/>
        <w:adjustRightInd w:val="0"/>
        <w:snapToGrid w:val="0"/>
        <w:spacing w:line="360" w:lineRule="auto"/>
        <w:ind w:firstLine="440" w:firstLineChars="200"/>
        <w:jc w:val="both"/>
        <w:rPr>
          <w:rFonts w:hint="eastAsia" w:ascii="宋体" w:hAnsi="宋体" w:cs="宋体"/>
          <w:szCs w:val="21"/>
        </w:rPr>
      </w:pPr>
      <w:r>
        <w:rPr>
          <w:rFonts w:hint="eastAsia" w:ascii="宋体" w:hAnsi="宋体" w:cs="宋体"/>
          <w:szCs w:val="21"/>
        </w:rPr>
        <w:t>因资金管理的需要，发包人有权根据资金来源不同对合同价款的概算审核、支付流程及支付方式等进行调整，承包人须配合。</w:t>
      </w:r>
    </w:p>
    <w:p w14:paraId="21E7C357">
      <w:pPr>
        <w:pStyle w:val="6"/>
        <w:adjustRightInd w:val="0"/>
        <w:snapToGrid w:val="0"/>
        <w:spacing w:line="360" w:lineRule="auto"/>
        <w:ind w:firstLine="440" w:firstLineChars="200"/>
        <w:jc w:val="both"/>
        <w:rPr>
          <w:rFonts w:hint="eastAsia" w:ascii="宋体" w:hAnsi="宋体" w:cs="宋体"/>
          <w:b/>
          <w:bCs/>
          <w:snapToGrid w:val="0"/>
          <w:kern w:val="0"/>
          <w:szCs w:val="21"/>
        </w:rPr>
      </w:pPr>
      <w:r>
        <w:rPr>
          <w:rFonts w:hint="eastAsia" w:ascii="宋体" w:hAnsi="宋体" w:cs="宋体"/>
          <w:b/>
          <w:bCs/>
          <w:snapToGrid w:val="0"/>
          <w:kern w:val="0"/>
          <w:szCs w:val="21"/>
        </w:rPr>
        <w:t>设计费总额包含但不限于以下费用：根据相关行政主管部门、行业主管部门的审批意见、发包人的设计评审、概算编制、发包人组织的专业人士的意见对设计成果文件进行的修改完善费用（含相应的建筑平面图、立面图、剖面图及三维的效果图）；配合报建报批所产生的所有相关费用（除行政事业性收费由发包人负责缴纳外），如</w:t>
      </w:r>
      <w:r>
        <w:rPr>
          <w:rFonts w:hint="eastAsia" w:ascii="宋体" w:hAnsi="宋体" w:cs="宋体"/>
          <w:b/>
          <w:bCs/>
          <w:snapToGrid w:val="0"/>
          <w:kern w:val="0"/>
          <w:szCs w:val="21"/>
          <w:u w:val="single"/>
        </w:rPr>
        <w:t>公示费</w:t>
      </w:r>
      <w:r>
        <w:rPr>
          <w:rFonts w:hint="eastAsia" w:ascii="宋体" w:hAnsi="宋体" w:cs="宋体"/>
          <w:b/>
          <w:bCs/>
          <w:snapToGrid w:val="0"/>
          <w:kern w:val="0"/>
          <w:szCs w:val="21"/>
        </w:rPr>
        <w:t>、修详通、报建通编制、建设方案联审决策至初步设计等各阶段的汇报文件和送审文件晒制、加晒加印图纸资料费用；驻场服务费用（包括交通费、餐费等相关费用）、专家费（含建设方案联审决策及所有图纸涉及到专家评审的费用）、坐标转换费（经纬度转换）、套打地形图费、审查费（不含施工图设计审查费）等。发</w:t>
      </w:r>
      <w:r>
        <w:rPr>
          <w:rFonts w:hint="eastAsia" w:ascii="宋体" w:hAnsi="宋体" w:cs="宋体"/>
          <w:b/>
          <w:bCs/>
          <w:snapToGrid w:val="0"/>
          <w:spacing w:val="-2"/>
          <w:kern w:val="0"/>
          <w:szCs w:val="21"/>
        </w:rPr>
        <w:t>包人不再支付合同费用外的任何其它费用。</w:t>
      </w:r>
    </w:p>
    <w:p w14:paraId="1F29D43F">
      <w:pPr>
        <w:adjustRightInd w:val="0"/>
        <w:snapToGrid w:val="0"/>
        <w:spacing w:line="360" w:lineRule="auto"/>
        <w:ind w:firstLine="440" w:firstLineChars="200"/>
        <w:rPr>
          <w:rFonts w:hint="eastAsia" w:ascii="宋体" w:hAnsi="宋体" w:cs="宋体"/>
          <w:b/>
          <w:bCs/>
          <w:snapToGrid w:val="0"/>
          <w:kern w:val="0"/>
          <w:szCs w:val="21"/>
        </w:rPr>
      </w:pPr>
      <w:r>
        <w:rPr>
          <w:rFonts w:hint="eastAsia" w:ascii="宋体" w:hAnsi="宋体" w:cs="宋体"/>
          <w:b/>
          <w:bCs/>
          <w:snapToGrid w:val="0"/>
          <w:kern w:val="0"/>
          <w:szCs w:val="21"/>
        </w:rPr>
        <w:t>4.组成合同的文件</w:t>
      </w:r>
    </w:p>
    <w:p w14:paraId="1B8306B6">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
          <w:bCs/>
          <w:snapToGrid w:val="0"/>
          <w:kern w:val="0"/>
          <w:szCs w:val="21"/>
        </w:rPr>
        <w:t>4.1</w:t>
      </w:r>
      <w:r>
        <w:rPr>
          <w:rFonts w:hint="eastAsia" w:ascii="宋体" w:hAnsi="宋体" w:cs="宋体"/>
          <w:bCs/>
          <w:snapToGrid w:val="0"/>
          <w:kern w:val="0"/>
          <w:szCs w:val="21"/>
        </w:rPr>
        <w:t>下列文件应被认为是组成本合同的一部分，并互为补充和解释，如各文件存在冲突之处，以如下排列次序在前者优先适用：</w:t>
      </w:r>
    </w:p>
    <w:p w14:paraId="1C2F33E7">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（1）本合同履行期间各方签订的补充合同（协议）或修正文件；</w:t>
      </w:r>
    </w:p>
    <w:p w14:paraId="52C05161">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（2）本合同协议书；</w:t>
      </w:r>
    </w:p>
    <w:p w14:paraId="374C45E4">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（3）本合同专用条款；</w:t>
      </w:r>
    </w:p>
    <w:p w14:paraId="64B05D02">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（4）国家及广东省、广州市及南沙区的标准、规范及有关技术文件；</w:t>
      </w:r>
    </w:p>
    <w:p w14:paraId="306EE323">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（5）组成本合同的其他文件（含招标文件、投标书、招标答疑会纪要、设计任务书等）。</w:t>
      </w:r>
    </w:p>
    <w:p w14:paraId="48B7A39E">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snapToGrid w:val="0"/>
          <w:kern w:val="0"/>
          <w:szCs w:val="21"/>
        </w:rPr>
        <w:t>通过上述顺序解释仍无法明确的事项，各方协商解决；如协商不成，由</w:t>
      </w:r>
      <w:r>
        <w:rPr>
          <w:rFonts w:hint="eastAsia" w:ascii="宋体" w:hAnsi="宋体" w:cs="宋体"/>
          <w:bCs/>
          <w:snapToGrid w:val="0"/>
          <w:kern w:val="0"/>
          <w:szCs w:val="21"/>
        </w:rPr>
        <w:t>发包人</w:t>
      </w:r>
      <w:r>
        <w:rPr>
          <w:rFonts w:hint="eastAsia" w:ascii="宋体" w:hAnsi="宋体" w:cs="宋体"/>
          <w:snapToGrid w:val="0"/>
          <w:kern w:val="0"/>
          <w:szCs w:val="21"/>
        </w:rPr>
        <w:t>按照公平合理和有利于本合同工程建设的原则作出决定。如</w:t>
      </w:r>
      <w:r>
        <w:rPr>
          <w:rFonts w:hint="eastAsia" w:ascii="宋体" w:hAnsi="宋体" w:cs="宋体"/>
          <w:bCs/>
          <w:snapToGrid w:val="0"/>
          <w:kern w:val="0"/>
          <w:szCs w:val="21"/>
        </w:rPr>
        <w:t>承包人</w:t>
      </w:r>
      <w:r>
        <w:rPr>
          <w:rFonts w:hint="eastAsia" w:ascii="宋体" w:hAnsi="宋体" w:cs="宋体"/>
          <w:snapToGrid w:val="0"/>
          <w:kern w:val="0"/>
          <w:szCs w:val="21"/>
        </w:rPr>
        <w:t>对此决定不服的，应在接到</w:t>
      </w:r>
      <w:r>
        <w:rPr>
          <w:rFonts w:hint="eastAsia" w:ascii="宋体" w:hAnsi="宋体" w:cs="宋体"/>
          <w:bCs/>
          <w:snapToGrid w:val="0"/>
          <w:kern w:val="0"/>
          <w:szCs w:val="21"/>
        </w:rPr>
        <w:t>发包人</w:t>
      </w:r>
      <w:r>
        <w:rPr>
          <w:rFonts w:hint="eastAsia" w:ascii="宋体" w:hAnsi="宋体" w:cs="宋体"/>
          <w:snapToGrid w:val="0"/>
          <w:kern w:val="0"/>
          <w:szCs w:val="21"/>
        </w:rPr>
        <w:t>决定之日起三日内提出书面异议；如期满不提出书面异议的，视为同意</w:t>
      </w:r>
      <w:r>
        <w:rPr>
          <w:rFonts w:hint="eastAsia" w:ascii="宋体" w:hAnsi="宋体" w:cs="宋体"/>
          <w:bCs/>
          <w:snapToGrid w:val="0"/>
          <w:kern w:val="0"/>
          <w:szCs w:val="21"/>
        </w:rPr>
        <w:t>发包人</w:t>
      </w:r>
      <w:r>
        <w:rPr>
          <w:rFonts w:hint="eastAsia" w:ascii="宋体" w:hAnsi="宋体" w:cs="宋体"/>
          <w:snapToGrid w:val="0"/>
          <w:kern w:val="0"/>
          <w:szCs w:val="21"/>
        </w:rPr>
        <w:t>的决定。</w:t>
      </w:r>
    </w:p>
    <w:p w14:paraId="33F5A355">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
          <w:bCs/>
          <w:snapToGrid w:val="0"/>
          <w:kern w:val="0"/>
          <w:szCs w:val="21"/>
        </w:rPr>
        <w:t>4.2</w:t>
      </w:r>
      <w:r>
        <w:rPr>
          <w:rFonts w:hint="eastAsia" w:ascii="宋体" w:hAnsi="宋体" w:cs="宋体"/>
          <w:bCs/>
          <w:snapToGrid w:val="0"/>
          <w:kern w:val="0"/>
          <w:szCs w:val="21"/>
        </w:rPr>
        <w:t>在本合同履行过程中，经各方法定代表人或其委托代理人签字认可的来往电报、信函、传真、会议纪要、有关对本合同补充的书面协议以及经各方共同确认的文件等，均视同本合同的组成部分，与本合同具有同等法律效力。</w:t>
      </w:r>
    </w:p>
    <w:p w14:paraId="22EDBB36">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
          <w:snapToGrid w:val="0"/>
          <w:kern w:val="0"/>
          <w:szCs w:val="21"/>
        </w:rPr>
        <w:t>5.</w:t>
      </w:r>
      <w:r>
        <w:rPr>
          <w:rFonts w:hint="eastAsia" w:ascii="宋体" w:hAnsi="宋体" w:cs="宋体"/>
          <w:bCs/>
          <w:snapToGrid w:val="0"/>
          <w:kern w:val="0"/>
          <w:szCs w:val="21"/>
        </w:rPr>
        <w:t>承包人必须自行完成设计项目，未取得发包人书面同意，不得委托或分包他人完成，凡参与本项目的设计人员必须具备中级以上职称，且在承包人名下连续购买社保二年以上。否则按合同条款的有关约定承担违约责任。</w:t>
      </w:r>
    </w:p>
    <w:p w14:paraId="28F3A7BE">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
          <w:snapToGrid w:val="0"/>
          <w:kern w:val="0"/>
          <w:szCs w:val="21"/>
        </w:rPr>
        <w:t>6.</w:t>
      </w:r>
      <w:r>
        <w:rPr>
          <w:rFonts w:hint="eastAsia" w:ascii="宋体" w:hAnsi="宋体" w:cs="宋体"/>
          <w:bCs/>
          <w:snapToGrid w:val="0"/>
          <w:kern w:val="0"/>
          <w:szCs w:val="21"/>
        </w:rPr>
        <w:t>发包人如有需要，可要求承包人对设计项目的设计事宜作出详细的说明或解释</w:t>
      </w:r>
    </w:p>
    <w:p w14:paraId="01B19DAF">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
          <w:snapToGrid w:val="0"/>
          <w:kern w:val="0"/>
          <w:szCs w:val="21"/>
        </w:rPr>
        <w:t>7.</w:t>
      </w:r>
      <w:r>
        <w:rPr>
          <w:rFonts w:hint="eastAsia" w:ascii="宋体" w:hAnsi="宋体" w:cs="宋体"/>
          <w:bCs/>
          <w:snapToGrid w:val="0"/>
          <w:kern w:val="0"/>
          <w:szCs w:val="21"/>
        </w:rPr>
        <w:t>承包人应在收到发包人通知之日起5日内以书面形式向发包人提交其法定代表人、项目负责人的姓名、身份证复印件、职务、职称、联系方式（包括办公电话、手机、传真号码）、通信地址等信息作为合同附件。</w:t>
      </w:r>
    </w:p>
    <w:p w14:paraId="014636EA">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
          <w:snapToGrid w:val="0"/>
          <w:kern w:val="0"/>
          <w:szCs w:val="21"/>
        </w:rPr>
        <w:t>8.</w:t>
      </w:r>
      <w:r>
        <w:rPr>
          <w:rFonts w:hint="eastAsia" w:ascii="宋体" w:hAnsi="宋体" w:cs="宋体"/>
          <w:bCs/>
          <w:snapToGrid w:val="0"/>
          <w:kern w:val="0"/>
          <w:szCs w:val="21"/>
        </w:rPr>
        <w:t>在本合同有效期内，承包人的单位名称变更的，应及时以书面形式通知发包人并附上变更登记资料；承包人法定代表人变更的，应在变更后15日内向发包人提交新法定代表人的姓名、身份证复印件、职务、职称、联系电话、通信地址等信息。</w:t>
      </w:r>
    </w:p>
    <w:p w14:paraId="1DA0CD13">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
          <w:snapToGrid w:val="0"/>
          <w:kern w:val="0"/>
          <w:szCs w:val="21"/>
        </w:rPr>
        <w:t>9.</w:t>
      </w:r>
      <w:r>
        <w:rPr>
          <w:rFonts w:hint="eastAsia" w:ascii="宋体" w:hAnsi="宋体" w:cs="宋体"/>
          <w:bCs/>
          <w:snapToGrid w:val="0"/>
          <w:kern w:val="0"/>
          <w:szCs w:val="21"/>
        </w:rPr>
        <w:t>在本合同有效期内，未经发包人同意，承包人私自更换项目负责人的，除按合同条款的有关约定承担违约责任外，还应在更换后7日内将新项目负责人的姓名、职务、职称、联系电话、通信地址等信息提交给发包人。</w:t>
      </w:r>
    </w:p>
    <w:p w14:paraId="6AE4FBC1">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
          <w:bCs/>
          <w:snapToGrid w:val="0"/>
          <w:kern w:val="0"/>
          <w:szCs w:val="21"/>
        </w:rPr>
        <w:t>10.</w:t>
      </w:r>
      <w:r>
        <w:rPr>
          <w:rFonts w:hint="eastAsia" w:ascii="宋体" w:hAnsi="宋体" w:cs="宋体"/>
          <w:bCs/>
          <w:snapToGrid w:val="0"/>
          <w:kern w:val="0"/>
          <w:szCs w:val="21"/>
        </w:rPr>
        <w:t>本合同协议书中有关词语定义与合同条款中分别赋予它们的定义相同。</w:t>
      </w:r>
    </w:p>
    <w:p w14:paraId="20264E35">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
          <w:bCs/>
          <w:snapToGrid w:val="0"/>
          <w:kern w:val="0"/>
          <w:szCs w:val="21"/>
        </w:rPr>
        <w:t>11.</w:t>
      </w:r>
      <w:r>
        <w:rPr>
          <w:rFonts w:hint="eastAsia" w:ascii="宋体" w:hAnsi="宋体" w:cs="宋体"/>
          <w:bCs/>
          <w:snapToGrid w:val="0"/>
          <w:kern w:val="0"/>
          <w:szCs w:val="21"/>
        </w:rPr>
        <w:t>承包人向发包人承诺按照本合同约定履行义务。</w:t>
      </w:r>
    </w:p>
    <w:p w14:paraId="1D539B78">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
          <w:bCs/>
          <w:snapToGrid w:val="0"/>
          <w:kern w:val="0"/>
          <w:szCs w:val="21"/>
        </w:rPr>
        <w:t>12.</w:t>
      </w:r>
      <w:r>
        <w:rPr>
          <w:rFonts w:hint="eastAsia" w:ascii="宋体" w:hAnsi="宋体" w:cs="宋体"/>
          <w:bCs/>
          <w:snapToGrid w:val="0"/>
          <w:kern w:val="0"/>
          <w:szCs w:val="21"/>
        </w:rPr>
        <w:t>发包人向承包人承诺按照本合同约定履行义务。</w:t>
      </w:r>
    </w:p>
    <w:p w14:paraId="7BF17F60">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
          <w:bCs/>
          <w:snapToGrid w:val="0"/>
          <w:kern w:val="0"/>
          <w:szCs w:val="21"/>
        </w:rPr>
        <w:t>13.</w:t>
      </w:r>
      <w:r>
        <w:rPr>
          <w:rFonts w:hint="eastAsia" w:ascii="宋体" w:hAnsi="宋体" w:cs="宋体"/>
          <w:bCs/>
          <w:snapToGrid w:val="0"/>
          <w:kern w:val="0"/>
          <w:szCs w:val="21"/>
        </w:rPr>
        <w:t>承包人须按招标文件要求的时间和方式提供履约担保。</w:t>
      </w:r>
    </w:p>
    <w:p w14:paraId="09C2EB47">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
          <w:bCs/>
          <w:snapToGrid w:val="0"/>
          <w:kern w:val="0"/>
          <w:szCs w:val="21"/>
        </w:rPr>
        <w:t>14.</w:t>
      </w:r>
      <w:r>
        <w:rPr>
          <w:rFonts w:hint="eastAsia" w:ascii="宋体" w:hAnsi="宋体" w:cs="宋体"/>
          <w:bCs/>
          <w:snapToGrid w:val="0"/>
          <w:kern w:val="0"/>
          <w:szCs w:val="21"/>
        </w:rPr>
        <w:t>承包人有义务配合发包人制定材料设备短名单以及技术需求书，明确装修及设备标准。</w:t>
      </w:r>
    </w:p>
    <w:p w14:paraId="5B49F589">
      <w:pPr>
        <w:adjustRightInd w:val="0"/>
        <w:snapToGrid w:val="0"/>
        <w:spacing w:line="360" w:lineRule="auto"/>
        <w:ind w:firstLine="440" w:firstLineChars="200"/>
        <w:rPr>
          <w:rFonts w:hint="eastAsia" w:ascii="宋体" w:hAnsi="宋体" w:cs="宋体"/>
          <w:szCs w:val="21"/>
          <w:lang w:val="zh-CN"/>
        </w:rPr>
      </w:pPr>
      <w:r>
        <w:rPr>
          <w:rFonts w:hint="eastAsia" w:ascii="宋体" w:hAnsi="宋体" w:cs="宋体"/>
          <w:b/>
          <w:szCs w:val="21"/>
        </w:rPr>
        <w:t>15.</w:t>
      </w:r>
      <w:r>
        <w:rPr>
          <w:rFonts w:hint="eastAsia" w:ascii="宋体" w:hAnsi="宋体" w:cs="宋体"/>
          <w:szCs w:val="21"/>
          <w:lang w:val="zh-CN"/>
        </w:rPr>
        <w:t>本合同一式</w:t>
      </w:r>
      <w:r>
        <w:rPr>
          <w:rFonts w:hint="eastAsia" w:ascii="宋体" w:hAnsi="宋体" w:cs="宋体"/>
          <w:b/>
          <w:bCs/>
          <w:szCs w:val="21"/>
          <w:u w:val="single"/>
        </w:rPr>
        <w:t>8</w:t>
      </w:r>
      <w:r>
        <w:rPr>
          <w:rFonts w:hint="eastAsia" w:ascii="宋体" w:hAnsi="宋体" w:cs="宋体"/>
          <w:szCs w:val="21"/>
          <w:lang w:val="zh-CN"/>
        </w:rPr>
        <w:t>份，合同双方各执</w:t>
      </w:r>
      <w:r>
        <w:rPr>
          <w:rFonts w:hint="eastAsia" w:ascii="宋体" w:hAnsi="宋体" w:cs="宋体"/>
          <w:b/>
          <w:bCs/>
          <w:szCs w:val="21"/>
          <w:u w:val="single"/>
        </w:rPr>
        <w:t>4</w:t>
      </w:r>
      <w:r>
        <w:rPr>
          <w:rFonts w:hint="eastAsia" w:ascii="宋体" w:hAnsi="宋体" w:cs="宋体"/>
          <w:szCs w:val="21"/>
          <w:lang w:val="zh-CN"/>
        </w:rPr>
        <w:t>份，具有同等效力。</w:t>
      </w:r>
    </w:p>
    <w:p w14:paraId="52CA54AF">
      <w:pPr>
        <w:adjustRightInd w:val="0"/>
        <w:snapToGrid w:val="0"/>
        <w:spacing w:line="360" w:lineRule="auto"/>
        <w:ind w:firstLine="440" w:firstLineChars="200"/>
        <w:rPr>
          <w:rFonts w:hint="eastAsia" w:ascii="宋体" w:hAnsi="宋体" w:cs="宋体"/>
          <w:szCs w:val="21"/>
          <w:lang w:val="zh-CN"/>
        </w:rPr>
      </w:pPr>
      <w:r>
        <w:rPr>
          <w:rFonts w:hint="eastAsia" w:ascii="宋体" w:hAnsi="宋体" w:cs="宋体"/>
          <w:b/>
          <w:szCs w:val="21"/>
        </w:rPr>
        <w:t>16.</w:t>
      </w:r>
      <w:r>
        <w:rPr>
          <w:rFonts w:hint="eastAsia" w:ascii="宋体" w:hAnsi="宋体" w:cs="宋体"/>
          <w:szCs w:val="21"/>
          <w:lang w:val="zh-CN"/>
        </w:rPr>
        <w:t>本合同自各方法定代表人或其委托代理人签字盖章（公章或合同专用章）之日起生效。本合同有效期至各方的责任、义务履行完毕时终止。</w:t>
      </w:r>
    </w:p>
    <w:p w14:paraId="439AFB63">
      <w:pPr>
        <w:adjustRightInd w:val="0"/>
        <w:snapToGrid w:val="0"/>
        <w:spacing w:line="360" w:lineRule="auto"/>
        <w:ind w:firstLine="440" w:firstLineChars="200"/>
        <w:rPr>
          <w:rFonts w:hint="eastAsia" w:ascii="宋体" w:hAnsi="宋体" w:cs="宋体"/>
          <w:szCs w:val="21"/>
          <w:lang w:val="zh-CN"/>
        </w:rPr>
      </w:pPr>
    </w:p>
    <w:p w14:paraId="4C309030">
      <w:pPr>
        <w:adjustRightInd w:val="0"/>
        <w:snapToGrid w:val="0"/>
        <w:spacing w:line="360" w:lineRule="auto"/>
        <w:ind w:firstLine="440" w:firstLineChars="200"/>
        <w:rPr>
          <w:rFonts w:hint="eastAsia" w:ascii="宋体" w:hAnsi="宋体" w:cs="宋体"/>
          <w:b/>
          <w:snapToGrid w:val="0"/>
          <w:kern w:val="0"/>
          <w:szCs w:val="21"/>
        </w:rPr>
      </w:pPr>
      <w:r>
        <w:rPr>
          <w:rFonts w:hint="eastAsia" w:ascii="宋体" w:hAnsi="宋体" w:cs="宋体"/>
          <w:b/>
          <w:snapToGrid w:val="0"/>
          <w:kern w:val="0"/>
          <w:szCs w:val="21"/>
        </w:rPr>
        <w:t>附件1：拟投入设计人员表</w:t>
      </w:r>
    </w:p>
    <w:p w14:paraId="78EB9548">
      <w:pPr>
        <w:adjustRightInd w:val="0"/>
        <w:snapToGrid w:val="0"/>
        <w:spacing w:line="360" w:lineRule="auto"/>
        <w:ind w:firstLine="440" w:firstLineChars="200"/>
        <w:rPr>
          <w:rFonts w:hint="eastAsia" w:ascii="宋体" w:hAnsi="宋体" w:cs="宋体"/>
          <w:b/>
          <w:snapToGrid w:val="0"/>
          <w:kern w:val="0"/>
          <w:szCs w:val="21"/>
        </w:rPr>
      </w:pPr>
      <w:r>
        <w:rPr>
          <w:rFonts w:hint="eastAsia" w:ascii="宋体" w:hAnsi="宋体" w:cs="宋体"/>
          <w:b/>
          <w:snapToGrid w:val="0"/>
          <w:kern w:val="0"/>
          <w:szCs w:val="21"/>
        </w:rPr>
        <w:t>附件2：中标通知书</w:t>
      </w:r>
    </w:p>
    <w:p w14:paraId="7E190603">
      <w:pPr>
        <w:adjustRightInd w:val="0"/>
        <w:snapToGrid w:val="0"/>
        <w:spacing w:line="360" w:lineRule="auto"/>
        <w:ind w:firstLine="440" w:firstLineChars="200"/>
        <w:rPr>
          <w:rFonts w:hint="eastAsia" w:ascii="宋体" w:hAnsi="宋体" w:cs="宋体"/>
          <w:szCs w:val="21"/>
          <w:lang w:val="zh-CN"/>
        </w:rPr>
      </w:pPr>
      <w:r>
        <w:rPr>
          <w:rFonts w:hint="eastAsia" w:ascii="宋体" w:hAnsi="宋体" w:cs="宋体"/>
          <w:b/>
          <w:snapToGrid w:val="0"/>
          <w:kern w:val="0"/>
          <w:szCs w:val="21"/>
        </w:rPr>
        <w:t>附件3：设计任务书</w:t>
      </w:r>
    </w:p>
    <w:p w14:paraId="2AF8B475">
      <w:pPr>
        <w:adjustRightInd w:val="0"/>
        <w:snapToGrid w:val="0"/>
        <w:spacing w:line="360" w:lineRule="auto"/>
        <w:ind w:firstLine="440" w:firstLineChars="200"/>
        <w:rPr>
          <w:rFonts w:hint="eastAsia" w:ascii="宋体" w:hAnsi="宋体" w:cs="宋体"/>
          <w:bCs/>
          <w:szCs w:val="21"/>
          <w:lang w:val="zh-CN"/>
        </w:rPr>
      </w:pPr>
    </w:p>
    <w:p w14:paraId="33F1DBC5">
      <w:pPr>
        <w:adjustRightInd w:val="0"/>
        <w:snapToGrid w:val="0"/>
        <w:spacing w:line="360" w:lineRule="auto"/>
        <w:ind w:firstLine="440" w:firstLineChars="200"/>
        <w:rPr>
          <w:rFonts w:hint="eastAsia" w:ascii="宋体" w:hAnsi="宋体" w:cs="宋体"/>
          <w:bCs/>
          <w:szCs w:val="21"/>
          <w:lang w:val="zh-CN"/>
        </w:rPr>
      </w:pPr>
    </w:p>
    <w:p w14:paraId="34CB05D6">
      <w:pPr>
        <w:adjustRightInd w:val="0"/>
        <w:snapToGrid w:val="0"/>
        <w:spacing w:line="360" w:lineRule="auto"/>
        <w:ind w:firstLine="440" w:firstLineChars="200"/>
        <w:rPr>
          <w:rFonts w:hint="eastAsia" w:ascii="宋体" w:hAnsi="宋体" w:cs="宋体"/>
          <w:bCs/>
          <w:szCs w:val="21"/>
          <w:lang w:val="zh-CN"/>
        </w:rPr>
      </w:pPr>
    </w:p>
    <w:p w14:paraId="5E4FBFF7">
      <w:pPr>
        <w:adjustRightInd w:val="0"/>
        <w:snapToGrid w:val="0"/>
        <w:spacing w:line="360" w:lineRule="auto"/>
        <w:ind w:firstLine="440" w:firstLineChars="200"/>
        <w:rPr>
          <w:rFonts w:hint="eastAsia" w:ascii="宋体" w:hAnsi="宋体" w:cs="宋体"/>
          <w:bCs/>
          <w:szCs w:val="21"/>
          <w:lang w:val="zh-CN"/>
        </w:rPr>
      </w:pPr>
    </w:p>
    <w:tbl>
      <w:tblPr>
        <w:tblStyle w:val="52"/>
        <w:tblW w:w="9640" w:type="dxa"/>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8"/>
        <w:gridCol w:w="284"/>
        <w:gridCol w:w="4678"/>
      </w:tblGrid>
      <w:tr w14:paraId="7FCB3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678" w:type="dxa"/>
            <w:vAlign w:val="center"/>
          </w:tcPr>
          <w:p w14:paraId="75D9272F">
            <w:pPr>
              <w:widowControl/>
              <w:rPr>
                <w:rFonts w:hint="eastAsia" w:ascii="宋体" w:hAnsi="宋体" w:cs="宋体"/>
                <w:kern w:val="0"/>
                <w:sz w:val="24"/>
                <w:szCs w:val="24"/>
              </w:rPr>
            </w:pPr>
            <w:r>
              <w:rPr>
                <w:rFonts w:hint="eastAsia" w:ascii="宋体" w:hAnsi="宋体" w:cs="宋体"/>
                <w:kern w:val="0"/>
                <w:sz w:val="24"/>
                <w:szCs w:val="24"/>
              </w:rPr>
              <w:br w:type="page"/>
            </w:r>
            <w:r>
              <w:rPr>
                <w:rFonts w:hint="eastAsia" w:ascii="宋体" w:hAnsi="宋体" w:cs="宋体"/>
                <w:snapToGrid w:val="0"/>
                <w:kern w:val="0"/>
                <w:sz w:val="24"/>
                <w:szCs w:val="24"/>
              </w:rPr>
              <w:t>发包人（甲方）：</w:t>
            </w:r>
          </w:p>
        </w:tc>
        <w:tc>
          <w:tcPr>
            <w:tcW w:w="284" w:type="dxa"/>
            <w:vAlign w:val="center"/>
          </w:tcPr>
          <w:p w14:paraId="33E6BBAE">
            <w:pPr>
              <w:widowControl/>
              <w:rPr>
                <w:rFonts w:hint="eastAsia" w:ascii="宋体" w:hAnsi="宋体" w:cs="宋体"/>
                <w:snapToGrid w:val="0"/>
                <w:kern w:val="0"/>
                <w:sz w:val="24"/>
                <w:szCs w:val="24"/>
              </w:rPr>
            </w:pPr>
          </w:p>
        </w:tc>
        <w:tc>
          <w:tcPr>
            <w:tcW w:w="4678" w:type="dxa"/>
            <w:vAlign w:val="center"/>
          </w:tcPr>
          <w:p w14:paraId="47FE0150">
            <w:pPr>
              <w:widowControl/>
              <w:rPr>
                <w:rFonts w:hint="eastAsia" w:ascii="宋体" w:hAnsi="宋体" w:cs="宋体"/>
                <w:kern w:val="0"/>
                <w:sz w:val="24"/>
                <w:szCs w:val="24"/>
                <w:lang w:val="zh-CN"/>
              </w:rPr>
            </w:pPr>
            <w:r>
              <w:rPr>
                <w:rFonts w:hint="eastAsia" w:ascii="宋体" w:hAnsi="宋体" w:cs="宋体"/>
                <w:snapToGrid w:val="0"/>
                <w:kern w:val="0"/>
                <w:sz w:val="24"/>
                <w:szCs w:val="24"/>
              </w:rPr>
              <w:t>承包人（乙方）：</w:t>
            </w:r>
          </w:p>
        </w:tc>
      </w:tr>
      <w:tr w14:paraId="41DC0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4678" w:type="dxa"/>
            <w:vAlign w:val="center"/>
          </w:tcPr>
          <w:p w14:paraId="7A4CEF5A">
            <w:pPr>
              <w:widowControl/>
              <w:jc w:val="left"/>
              <w:rPr>
                <w:rFonts w:hint="eastAsia" w:ascii="宋体" w:hAnsi="宋体" w:cs="宋体"/>
                <w:kern w:val="0"/>
                <w:sz w:val="24"/>
                <w:szCs w:val="24"/>
              </w:rPr>
            </w:pPr>
            <w:r>
              <w:rPr>
                <w:rFonts w:hint="eastAsia" w:ascii="宋体" w:hAnsi="宋体" w:cs="宋体"/>
                <w:b/>
                <w:snapToGrid w:val="0"/>
                <w:kern w:val="0"/>
                <w:sz w:val="24"/>
                <w:szCs w:val="24"/>
                <w:u w:val="single"/>
              </w:rPr>
              <w:t>广州南沙科技投资有限公司</w:t>
            </w:r>
          </w:p>
        </w:tc>
        <w:tc>
          <w:tcPr>
            <w:tcW w:w="284" w:type="dxa"/>
            <w:vAlign w:val="center"/>
          </w:tcPr>
          <w:p w14:paraId="405737D0">
            <w:pPr>
              <w:widowControl/>
              <w:jc w:val="center"/>
              <w:rPr>
                <w:rFonts w:hint="eastAsia" w:ascii="宋体" w:hAnsi="宋体" w:cs="宋体"/>
                <w:b/>
                <w:snapToGrid w:val="0"/>
                <w:kern w:val="0"/>
                <w:sz w:val="24"/>
                <w:szCs w:val="24"/>
                <w:u w:val="single"/>
              </w:rPr>
            </w:pPr>
          </w:p>
        </w:tc>
        <w:tc>
          <w:tcPr>
            <w:tcW w:w="4678" w:type="dxa"/>
            <w:vAlign w:val="center"/>
          </w:tcPr>
          <w:p w14:paraId="0D981DF8">
            <w:pPr>
              <w:widowControl/>
              <w:jc w:val="left"/>
              <w:rPr>
                <w:rFonts w:hint="eastAsia" w:ascii="宋体" w:hAnsi="宋体" w:cs="宋体"/>
                <w:kern w:val="0"/>
                <w:sz w:val="24"/>
                <w:szCs w:val="24"/>
                <w:lang w:val="zh-CN"/>
              </w:rPr>
            </w:pPr>
          </w:p>
        </w:tc>
      </w:tr>
      <w:tr w14:paraId="14A1C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6" w:hRule="atLeast"/>
        </w:trPr>
        <w:tc>
          <w:tcPr>
            <w:tcW w:w="4678" w:type="dxa"/>
            <w:vAlign w:val="center"/>
          </w:tcPr>
          <w:p w14:paraId="0B523EE5">
            <w:pPr>
              <w:widowControl/>
              <w:jc w:val="left"/>
              <w:rPr>
                <w:rFonts w:hint="eastAsia" w:ascii="宋体" w:hAnsi="宋体" w:cs="宋体"/>
                <w:kern w:val="0"/>
                <w:sz w:val="24"/>
                <w:szCs w:val="24"/>
              </w:rPr>
            </w:pPr>
            <w:r>
              <w:rPr>
                <w:rFonts w:hint="eastAsia" w:ascii="宋体" w:hAnsi="宋体" w:cs="宋体"/>
                <w:kern w:val="0"/>
                <w:sz w:val="24"/>
                <w:szCs w:val="24"/>
                <w:lang w:val="zh-CN"/>
              </w:rPr>
              <w:t>法定代表人</w:t>
            </w:r>
            <w:r>
              <w:rPr>
                <w:rFonts w:hint="eastAsia" w:ascii="宋体" w:hAnsi="宋体" w:cs="宋体"/>
                <w:kern w:val="0"/>
                <w:sz w:val="24"/>
                <w:szCs w:val="24"/>
              </w:rPr>
              <w:t>：</w:t>
            </w:r>
          </w:p>
          <w:p w14:paraId="7FB9E755">
            <w:pPr>
              <w:widowControl/>
              <w:jc w:val="left"/>
              <w:rPr>
                <w:rFonts w:hint="eastAsia" w:ascii="宋体" w:hAnsi="宋体" w:cs="宋体"/>
                <w:kern w:val="0"/>
                <w:sz w:val="24"/>
                <w:szCs w:val="24"/>
              </w:rPr>
            </w:pPr>
            <w:r>
              <w:rPr>
                <w:rFonts w:hint="eastAsia" w:ascii="宋体" w:hAnsi="宋体" w:cs="宋体"/>
                <w:kern w:val="0"/>
                <w:sz w:val="24"/>
                <w:szCs w:val="24"/>
                <w:lang w:val="zh-CN"/>
              </w:rPr>
              <w:t>或委托代理人</w:t>
            </w:r>
            <w:r>
              <w:rPr>
                <w:rFonts w:hint="eastAsia" w:ascii="宋体" w:hAnsi="宋体" w:cs="宋体"/>
                <w:kern w:val="0"/>
                <w:sz w:val="24"/>
                <w:szCs w:val="24"/>
              </w:rPr>
              <w:t>：</w:t>
            </w:r>
          </w:p>
        </w:tc>
        <w:tc>
          <w:tcPr>
            <w:tcW w:w="284" w:type="dxa"/>
            <w:vAlign w:val="center"/>
          </w:tcPr>
          <w:p w14:paraId="0A7B4A45">
            <w:pPr>
              <w:widowControl/>
              <w:jc w:val="center"/>
              <w:rPr>
                <w:rFonts w:hint="eastAsia" w:ascii="宋体" w:hAnsi="宋体" w:cs="宋体"/>
                <w:kern w:val="0"/>
                <w:sz w:val="24"/>
                <w:szCs w:val="24"/>
              </w:rPr>
            </w:pPr>
          </w:p>
        </w:tc>
        <w:tc>
          <w:tcPr>
            <w:tcW w:w="4678" w:type="dxa"/>
            <w:vAlign w:val="center"/>
          </w:tcPr>
          <w:p w14:paraId="77F030CB">
            <w:pPr>
              <w:widowControl/>
              <w:jc w:val="left"/>
              <w:rPr>
                <w:rFonts w:hint="eastAsia" w:ascii="宋体" w:hAnsi="宋体" w:cs="宋体"/>
                <w:kern w:val="0"/>
                <w:sz w:val="24"/>
                <w:szCs w:val="24"/>
              </w:rPr>
            </w:pPr>
            <w:r>
              <w:rPr>
                <w:rFonts w:hint="eastAsia" w:ascii="宋体" w:hAnsi="宋体" w:cs="宋体"/>
                <w:kern w:val="0"/>
                <w:sz w:val="24"/>
                <w:szCs w:val="24"/>
                <w:lang w:val="zh-CN"/>
              </w:rPr>
              <w:t>法定代表人</w:t>
            </w:r>
            <w:r>
              <w:rPr>
                <w:rFonts w:hint="eastAsia" w:ascii="宋体" w:hAnsi="宋体" w:cs="宋体"/>
                <w:kern w:val="0"/>
                <w:sz w:val="24"/>
                <w:szCs w:val="24"/>
              </w:rPr>
              <w:t>：</w:t>
            </w:r>
          </w:p>
          <w:p w14:paraId="75E4C136">
            <w:pPr>
              <w:widowControl/>
              <w:jc w:val="left"/>
              <w:rPr>
                <w:rFonts w:hint="eastAsia" w:ascii="宋体" w:hAnsi="宋体" w:cs="宋体"/>
                <w:kern w:val="0"/>
                <w:sz w:val="24"/>
                <w:szCs w:val="24"/>
              </w:rPr>
            </w:pPr>
            <w:r>
              <w:rPr>
                <w:rFonts w:hint="eastAsia" w:ascii="宋体" w:hAnsi="宋体" w:cs="宋体"/>
                <w:kern w:val="0"/>
                <w:sz w:val="24"/>
                <w:szCs w:val="24"/>
                <w:lang w:val="zh-CN"/>
              </w:rPr>
              <w:t>或委托代理人</w:t>
            </w:r>
            <w:r>
              <w:rPr>
                <w:rFonts w:hint="eastAsia" w:ascii="宋体" w:hAnsi="宋体" w:cs="宋体"/>
                <w:kern w:val="0"/>
                <w:sz w:val="24"/>
                <w:szCs w:val="24"/>
              </w:rPr>
              <w:t>：</w:t>
            </w:r>
          </w:p>
        </w:tc>
      </w:tr>
      <w:tr w14:paraId="1F834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trPr>
        <w:tc>
          <w:tcPr>
            <w:tcW w:w="4678" w:type="dxa"/>
            <w:vAlign w:val="center"/>
          </w:tcPr>
          <w:p w14:paraId="29875C9D">
            <w:pPr>
              <w:widowControl/>
              <w:jc w:val="left"/>
              <w:rPr>
                <w:rFonts w:hint="eastAsia" w:ascii="宋体" w:hAnsi="宋体" w:cs="宋体"/>
                <w:snapToGrid w:val="0"/>
                <w:kern w:val="0"/>
                <w:sz w:val="24"/>
                <w:szCs w:val="24"/>
              </w:rPr>
            </w:pPr>
            <w:r>
              <w:rPr>
                <w:rFonts w:hint="eastAsia" w:ascii="宋体" w:hAnsi="宋体" w:cs="宋体"/>
                <w:snapToGrid w:val="0"/>
                <w:kern w:val="0"/>
                <w:sz w:val="24"/>
                <w:szCs w:val="24"/>
              </w:rPr>
              <w:t xml:space="preserve">地址：  </w:t>
            </w:r>
          </w:p>
        </w:tc>
        <w:tc>
          <w:tcPr>
            <w:tcW w:w="284" w:type="dxa"/>
            <w:vAlign w:val="center"/>
          </w:tcPr>
          <w:p w14:paraId="3E0CF06D">
            <w:pPr>
              <w:widowControl/>
              <w:jc w:val="center"/>
              <w:rPr>
                <w:rFonts w:hint="eastAsia" w:ascii="宋体" w:hAnsi="宋体" w:cs="宋体"/>
                <w:snapToGrid w:val="0"/>
                <w:kern w:val="0"/>
                <w:sz w:val="24"/>
                <w:szCs w:val="24"/>
              </w:rPr>
            </w:pPr>
          </w:p>
        </w:tc>
        <w:tc>
          <w:tcPr>
            <w:tcW w:w="4678" w:type="dxa"/>
            <w:vAlign w:val="center"/>
          </w:tcPr>
          <w:p w14:paraId="23C2E088">
            <w:pPr>
              <w:widowControl/>
              <w:jc w:val="left"/>
              <w:rPr>
                <w:rFonts w:hint="eastAsia" w:ascii="宋体" w:hAnsi="宋体" w:cs="宋体"/>
                <w:snapToGrid w:val="0"/>
                <w:kern w:val="0"/>
                <w:sz w:val="24"/>
                <w:szCs w:val="24"/>
              </w:rPr>
            </w:pPr>
            <w:r>
              <w:rPr>
                <w:rFonts w:hint="eastAsia" w:ascii="宋体" w:hAnsi="宋体" w:cs="宋体"/>
                <w:snapToGrid w:val="0"/>
                <w:kern w:val="0"/>
                <w:sz w:val="24"/>
                <w:szCs w:val="24"/>
              </w:rPr>
              <w:t>地址：</w:t>
            </w:r>
          </w:p>
        </w:tc>
      </w:tr>
      <w:tr w14:paraId="69494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4678" w:type="dxa"/>
            <w:vAlign w:val="center"/>
          </w:tcPr>
          <w:p w14:paraId="7F72389D">
            <w:pPr>
              <w:widowControl/>
              <w:jc w:val="left"/>
              <w:rPr>
                <w:rFonts w:hint="eastAsia" w:ascii="宋体" w:hAnsi="宋体" w:cs="宋体"/>
                <w:snapToGrid w:val="0"/>
                <w:kern w:val="0"/>
                <w:sz w:val="24"/>
                <w:szCs w:val="24"/>
              </w:rPr>
            </w:pPr>
            <w:r>
              <w:rPr>
                <w:rFonts w:hint="eastAsia" w:ascii="宋体" w:hAnsi="宋体" w:cs="宋体"/>
                <w:snapToGrid w:val="0"/>
                <w:kern w:val="0"/>
                <w:sz w:val="24"/>
                <w:szCs w:val="24"/>
              </w:rPr>
              <w:t>统一社会信用代码：</w:t>
            </w:r>
          </w:p>
        </w:tc>
        <w:tc>
          <w:tcPr>
            <w:tcW w:w="284" w:type="dxa"/>
            <w:vAlign w:val="center"/>
          </w:tcPr>
          <w:p w14:paraId="4B899B46">
            <w:pPr>
              <w:widowControl/>
              <w:jc w:val="center"/>
              <w:rPr>
                <w:rFonts w:hint="eastAsia" w:ascii="宋体" w:hAnsi="宋体" w:cs="宋体"/>
                <w:kern w:val="0"/>
                <w:sz w:val="24"/>
                <w:szCs w:val="24"/>
                <w:lang w:val="zh-CN"/>
              </w:rPr>
            </w:pPr>
          </w:p>
        </w:tc>
        <w:tc>
          <w:tcPr>
            <w:tcW w:w="4678" w:type="dxa"/>
            <w:vAlign w:val="center"/>
          </w:tcPr>
          <w:p w14:paraId="554E5308">
            <w:pPr>
              <w:widowControl/>
              <w:ind w:left="1200" w:hanging="1200" w:hangingChars="500"/>
              <w:jc w:val="left"/>
              <w:rPr>
                <w:rFonts w:hint="eastAsia" w:ascii="宋体" w:hAnsi="宋体" w:cs="宋体"/>
                <w:snapToGrid w:val="0"/>
                <w:kern w:val="0"/>
                <w:sz w:val="24"/>
                <w:szCs w:val="24"/>
              </w:rPr>
            </w:pPr>
            <w:r>
              <w:rPr>
                <w:rFonts w:hint="eastAsia" w:ascii="宋体" w:hAnsi="宋体" w:cs="宋体"/>
                <w:snapToGrid w:val="0"/>
                <w:kern w:val="0"/>
                <w:sz w:val="24"/>
                <w:szCs w:val="24"/>
              </w:rPr>
              <w:t>统一社会信用代码：</w:t>
            </w:r>
          </w:p>
        </w:tc>
      </w:tr>
      <w:tr w14:paraId="68853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4678" w:type="dxa"/>
            <w:vAlign w:val="center"/>
          </w:tcPr>
          <w:p w14:paraId="7320C3B6">
            <w:pPr>
              <w:widowControl/>
              <w:jc w:val="left"/>
              <w:rPr>
                <w:rFonts w:hint="eastAsia" w:ascii="宋体" w:hAnsi="宋体" w:cs="宋体"/>
                <w:snapToGrid w:val="0"/>
                <w:kern w:val="0"/>
                <w:sz w:val="24"/>
                <w:szCs w:val="24"/>
              </w:rPr>
            </w:pPr>
          </w:p>
        </w:tc>
        <w:tc>
          <w:tcPr>
            <w:tcW w:w="284" w:type="dxa"/>
            <w:vAlign w:val="center"/>
          </w:tcPr>
          <w:p w14:paraId="54BBE675">
            <w:pPr>
              <w:widowControl/>
              <w:jc w:val="center"/>
              <w:rPr>
                <w:rFonts w:hint="eastAsia" w:ascii="宋体" w:hAnsi="宋体" w:cs="宋体"/>
                <w:kern w:val="0"/>
                <w:sz w:val="24"/>
                <w:szCs w:val="24"/>
                <w:lang w:val="zh-CN"/>
              </w:rPr>
            </w:pPr>
          </w:p>
        </w:tc>
        <w:tc>
          <w:tcPr>
            <w:tcW w:w="4678" w:type="dxa"/>
            <w:vAlign w:val="center"/>
          </w:tcPr>
          <w:p w14:paraId="73C66569">
            <w:pPr>
              <w:widowControl/>
              <w:ind w:left="1200" w:hanging="1200" w:hangingChars="500"/>
              <w:jc w:val="left"/>
              <w:rPr>
                <w:rFonts w:hint="eastAsia" w:ascii="宋体" w:hAnsi="宋体" w:cs="宋体"/>
                <w:snapToGrid w:val="0"/>
                <w:kern w:val="0"/>
                <w:sz w:val="24"/>
                <w:szCs w:val="24"/>
              </w:rPr>
            </w:pPr>
            <w:r>
              <w:rPr>
                <w:rFonts w:hint="eastAsia" w:ascii="宋体" w:hAnsi="宋体" w:cs="宋体"/>
                <w:snapToGrid w:val="0"/>
                <w:kern w:val="0"/>
                <w:sz w:val="24"/>
                <w:szCs w:val="24"/>
              </w:rPr>
              <w:t>开户银行：</w:t>
            </w:r>
          </w:p>
        </w:tc>
      </w:tr>
      <w:tr w14:paraId="01C89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4678" w:type="dxa"/>
            <w:vAlign w:val="center"/>
          </w:tcPr>
          <w:p w14:paraId="16146CD6">
            <w:pPr>
              <w:widowControl/>
              <w:jc w:val="left"/>
              <w:rPr>
                <w:rFonts w:hint="eastAsia" w:ascii="宋体" w:hAnsi="宋体" w:cs="宋体"/>
                <w:snapToGrid w:val="0"/>
                <w:kern w:val="0"/>
                <w:sz w:val="24"/>
                <w:szCs w:val="24"/>
              </w:rPr>
            </w:pPr>
          </w:p>
        </w:tc>
        <w:tc>
          <w:tcPr>
            <w:tcW w:w="284" w:type="dxa"/>
            <w:vAlign w:val="center"/>
          </w:tcPr>
          <w:p w14:paraId="0C6834C6">
            <w:pPr>
              <w:widowControl/>
              <w:jc w:val="center"/>
              <w:rPr>
                <w:rFonts w:hint="eastAsia" w:ascii="宋体" w:hAnsi="宋体" w:cs="宋体"/>
                <w:kern w:val="0"/>
                <w:sz w:val="24"/>
                <w:szCs w:val="24"/>
                <w:lang w:val="zh-CN"/>
              </w:rPr>
            </w:pPr>
          </w:p>
        </w:tc>
        <w:tc>
          <w:tcPr>
            <w:tcW w:w="4678" w:type="dxa"/>
            <w:vAlign w:val="center"/>
          </w:tcPr>
          <w:p w14:paraId="6CB03A03">
            <w:pPr>
              <w:widowControl/>
              <w:ind w:left="1200" w:hanging="1200" w:hangingChars="500"/>
              <w:jc w:val="left"/>
              <w:rPr>
                <w:rFonts w:hint="eastAsia" w:ascii="宋体" w:hAnsi="宋体" w:cs="宋体"/>
                <w:snapToGrid w:val="0"/>
                <w:kern w:val="0"/>
                <w:sz w:val="24"/>
                <w:szCs w:val="24"/>
              </w:rPr>
            </w:pPr>
            <w:r>
              <w:rPr>
                <w:rFonts w:hint="eastAsia" w:ascii="宋体" w:hAnsi="宋体" w:cs="宋体"/>
                <w:snapToGrid w:val="0"/>
                <w:kern w:val="0"/>
                <w:sz w:val="24"/>
                <w:szCs w:val="24"/>
              </w:rPr>
              <w:t>银行账号：</w:t>
            </w:r>
          </w:p>
        </w:tc>
      </w:tr>
      <w:tr w14:paraId="63852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4678" w:type="dxa"/>
            <w:vAlign w:val="center"/>
          </w:tcPr>
          <w:p w14:paraId="761D78C0">
            <w:pPr>
              <w:widowControl/>
              <w:jc w:val="left"/>
              <w:rPr>
                <w:rFonts w:hint="eastAsia" w:ascii="宋体" w:hAnsi="宋体" w:cs="宋体"/>
                <w:kern w:val="0"/>
                <w:sz w:val="24"/>
                <w:szCs w:val="24"/>
              </w:rPr>
            </w:pPr>
            <w:r>
              <w:rPr>
                <w:rFonts w:hint="eastAsia" w:ascii="宋体" w:hAnsi="宋体" w:cs="宋体"/>
                <w:snapToGrid w:val="0"/>
                <w:kern w:val="0"/>
                <w:sz w:val="24"/>
                <w:szCs w:val="24"/>
              </w:rPr>
              <w:t>电话：</w:t>
            </w:r>
          </w:p>
        </w:tc>
        <w:tc>
          <w:tcPr>
            <w:tcW w:w="284" w:type="dxa"/>
            <w:vAlign w:val="center"/>
          </w:tcPr>
          <w:p w14:paraId="089B2402">
            <w:pPr>
              <w:widowControl/>
              <w:jc w:val="center"/>
              <w:rPr>
                <w:rFonts w:hint="eastAsia" w:ascii="宋体" w:hAnsi="宋体" w:cs="宋体"/>
                <w:kern w:val="0"/>
                <w:sz w:val="24"/>
                <w:szCs w:val="24"/>
                <w:lang w:val="zh-CN"/>
              </w:rPr>
            </w:pPr>
          </w:p>
        </w:tc>
        <w:tc>
          <w:tcPr>
            <w:tcW w:w="4678" w:type="dxa"/>
            <w:vAlign w:val="center"/>
          </w:tcPr>
          <w:p w14:paraId="190D60C8">
            <w:pPr>
              <w:widowControl/>
              <w:jc w:val="left"/>
              <w:rPr>
                <w:rFonts w:hint="eastAsia" w:ascii="宋体" w:hAnsi="宋体" w:cs="宋体"/>
                <w:kern w:val="0"/>
                <w:sz w:val="24"/>
                <w:szCs w:val="24"/>
                <w:lang w:val="zh-CN"/>
              </w:rPr>
            </w:pPr>
            <w:r>
              <w:rPr>
                <w:rFonts w:hint="eastAsia" w:ascii="宋体" w:hAnsi="宋体" w:cs="宋体"/>
                <w:snapToGrid w:val="0"/>
                <w:kern w:val="0"/>
                <w:sz w:val="24"/>
                <w:szCs w:val="24"/>
              </w:rPr>
              <w:t>电话：</w:t>
            </w:r>
          </w:p>
        </w:tc>
      </w:tr>
      <w:tr w14:paraId="16E68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640" w:type="dxa"/>
            <w:gridSpan w:val="3"/>
            <w:vAlign w:val="center"/>
          </w:tcPr>
          <w:p w14:paraId="4BF61173">
            <w:pPr>
              <w:widowControl/>
              <w:ind w:left="157" w:leftChars="-292" w:hanging="799" w:hangingChars="333"/>
              <w:jc w:val="center"/>
              <w:rPr>
                <w:rFonts w:hint="eastAsia" w:ascii="宋体" w:hAnsi="宋体" w:cs="宋体"/>
                <w:snapToGrid w:val="0"/>
                <w:kern w:val="0"/>
                <w:sz w:val="24"/>
                <w:szCs w:val="24"/>
              </w:rPr>
            </w:pPr>
          </w:p>
          <w:p w14:paraId="6EAE2C66">
            <w:pPr>
              <w:widowControl/>
              <w:ind w:left="157" w:leftChars="-292" w:hanging="799" w:hangingChars="333"/>
              <w:jc w:val="center"/>
              <w:rPr>
                <w:rFonts w:hint="eastAsia" w:ascii="宋体" w:hAnsi="宋体" w:cs="宋体"/>
                <w:snapToGrid w:val="0"/>
                <w:kern w:val="0"/>
                <w:sz w:val="24"/>
                <w:szCs w:val="24"/>
              </w:rPr>
            </w:pPr>
            <w:r>
              <w:rPr>
                <w:rFonts w:hint="eastAsia" w:ascii="宋体" w:hAnsi="宋体" w:cs="宋体"/>
                <w:snapToGrid w:val="0"/>
                <w:kern w:val="0"/>
                <w:sz w:val="24"/>
                <w:szCs w:val="24"/>
              </w:rPr>
              <w:t>签订时间：2025年 月 日</w:t>
            </w:r>
          </w:p>
          <w:p w14:paraId="5781E023">
            <w:pPr>
              <w:widowControl/>
              <w:jc w:val="center"/>
              <w:rPr>
                <w:rFonts w:hint="eastAsia" w:ascii="宋体" w:hAnsi="宋体" w:cs="宋体"/>
                <w:snapToGrid w:val="0"/>
                <w:kern w:val="0"/>
                <w:szCs w:val="21"/>
              </w:rPr>
            </w:pPr>
          </w:p>
        </w:tc>
      </w:tr>
    </w:tbl>
    <w:p w14:paraId="21D4008D">
      <w:pPr>
        <w:rPr>
          <w:rFonts w:hint="eastAsia" w:ascii="宋体" w:hAnsi="宋体" w:cs="宋体"/>
        </w:rPr>
      </w:pPr>
      <w:r>
        <w:rPr>
          <w:rFonts w:hint="eastAsia" w:ascii="宋体" w:hAnsi="宋体" w:cs="宋体"/>
        </w:rPr>
        <w:br w:type="page"/>
      </w:r>
    </w:p>
    <w:p w14:paraId="5BC84FB4">
      <w:pPr>
        <w:widowControl/>
        <w:jc w:val="left"/>
        <w:rPr>
          <w:rFonts w:hint="eastAsia" w:ascii="宋体" w:hAnsi="宋体" w:cs="宋体"/>
          <w:b/>
          <w:bCs/>
          <w:snapToGrid w:val="0"/>
          <w:kern w:val="0"/>
          <w:sz w:val="36"/>
          <w:szCs w:val="36"/>
        </w:rPr>
      </w:pPr>
    </w:p>
    <w:p w14:paraId="5BCBD680">
      <w:pPr>
        <w:adjustRightInd w:val="0"/>
        <w:snapToGrid w:val="0"/>
        <w:spacing w:line="440" w:lineRule="exact"/>
        <w:jc w:val="center"/>
        <w:rPr>
          <w:rFonts w:hint="eastAsia" w:ascii="宋体" w:hAnsi="宋体" w:cs="宋体"/>
          <w:b/>
          <w:bCs/>
          <w:snapToGrid w:val="0"/>
          <w:kern w:val="0"/>
          <w:sz w:val="36"/>
          <w:szCs w:val="36"/>
        </w:rPr>
      </w:pPr>
      <w:r>
        <w:rPr>
          <w:rFonts w:hint="eastAsia" w:ascii="宋体" w:hAnsi="宋体" w:cs="宋体"/>
          <w:b/>
          <w:bCs/>
          <w:snapToGrid w:val="0"/>
          <w:kern w:val="0"/>
          <w:sz w:val="36"/>
          <w:szCs w:val="36"/>
        </w:rPr>
        <w:t>第二篇  合同专用条款</w:t>
      </w:r>
    </w:p>
    <w:p w14:paraId="44A85A88">
      <w:pPr>
        <w:adjustRightInd w:val="0"/>
        <w:snapToGrid w:val="0"/>
        <w:spacing w:line="440" w:lineRule="exact"/>
        <w:jc w:val="center"/>
        <w:rPr>
          <w:rFonts w:hint="eastAsia" w:ascii="宋体" w:hAnsi="宋体" w:cs="宋体"/>
          <w:b/>
          <w:bCs/>
          <w:snapToGrid w:val="0"/>
          <w:kern w:val="0"/>
          <w:sz w:val="36"/>
          <w:szCs w:val="36"/>
        </w:rPr>
      </w:pPr>
    </w:p>
    <w:p w14:paraId="3A0AC6F9">
      <w:pPr>
        <w:adjustRightInd w:val="0"/>
        <w:snapToGrid w:val="0"/>
        <w:spacing w:line="360" w:lineRule="auto"/>
        <w:jc w:val="center"/>
        <w:rPr>
          <w:rFonts w:hint="eastAsia" w:ascii="宋体" w:hAnsi="宋体" w:cs="宋体"/>
          <w:b/>
          <w:snapToGrid w:val="0"/>
          <w:kern w:val="0"/>
          <w:sz w:val="30"/>
          <w:szCs w:val="30"/>
        </w:rPr>
      </w:pPr>
      <w:r>
        <w:rPr>
          <w:rFonts w:hint="eastAsia" w:ascii="宋体" w:hAnsi="宋体" w:cs="宋体"/>
          <w:b/>
          <w:snapToGrid w:val="0"/>
          <w:kern w:val="0"/>
          <w:sz w:val="30"/>
          <w:szCs w:val="30"/>
        </w:rPr>
        <w:t>总  则</w:t>
      </w:r>
    </w:p>
    <w:p w14:paraId="3FB67F1D">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1.根据项目设计管理相关规定和本项目管理实际，本合同工程将实行社会化、专业化的管理模式。</w:t>
      </w:r>
    </w:p>
    <w:p w14:paraId="6B4617FB">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Cs/>
          <w:snapToGrid w:val="0"/>
          <w:kern w:val="0"/>
          <w:szCs w:val="21"/>
        </w:rPr>
        <w:t>2.承包</w:t>
      </w:r>
      <w:r>
        <w:rPr>
          <w:rFonts w:hint="eastAsia" w:ascii="宋体" w:hAnsi="宋体" w:cs="宋体"/>
          <w:snapToGrid w:val="0"/>
          <w:kern w:val="0"/>
          <w:szCs w:val="21"/>
        </w:rPr>
        <w:t>人承诺遵守发包人所制订的针对本合同工程管理的各项制度、规定，这些管理制度、规定必须符合下列原则：</w:t>
      </w:r>
    </w:p>
    <w:p w14:paraId="53CB50B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（1）符合国家、广东省、广州市及南沙区的有关法律法规、规范和标准；</w:t>
      </w:r>
    </w:p>
    <w:p w14:paraId="5CD6BEA0">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（2）符合对本合同工程进行有效管理的基本精神和要求；</w:t>
      </w:r>
    </w:p>
    <w:p w14:paraId="76024333">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（3）为确保设计质量、进度、效果所必须响应业主所要求的积极服务、诚信履约、经济合理，。</w:t>
      </w:r>
    </w:p>
    <w:p w14:paraId="3467563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（4）不是针对某一特定的设计人。</w:t>
      </w:r>
    </w:p>
    <w:p w14:paraId="2E56C0BB">
      <w:pPr>
        <w:adjustRightInd w:val="0"/>
        <w:snapToGrid w:val="0"/>
        <w:spacing w:line="360" w:lineRule="auto"/>
        <w:ind w:firstLine="440" w:firstLineChars="200"/>
        <w:rPr>
          <w:rFonts w:hint="eastAsia" w:ascii="宋体" w:hAnsi="宋体" w:cs="宋体"/>
          <w:snapToGrid w:val="0"/>
          <w:kern w:val="0"/>
          <w:szCs w:val="21"/>
        </w:rPr>
      </w:pPr>
    </w:p>
    <w:p w14:paraId="0B2F10E8">
      <w:pPr>
        <w:adjustRightInd w:val="0"/>
        <w:snapToGrid w:val="0"/>
        <w:spacing w:line="360" w:lineRule="auto"/>
        <w:jc w:val="center"/>
        <w:outlineLvl w:val="0"/>
        <w:rPr>
          <w:rFonts w:hint="eastAsia" w:ascii="宋体" w:hAnsi="宋体" w:cs="宋体"/>
          <w:b/>
          <w:snapToGrid w:val="0"/>
          <w:kern w:val="0"/>
          <w:sz w:val="28"/>
          <w:szCs w:val="28"/>
        </w:rPr>
      </w:pPr>
      <w:r>
        <w:rPr>
          <w:rFonts w:hint="eastAsia" w:ascii="宋体" w:hAnsi="宋体" w:cs="宋体"/>
          <w:b/>
          <w:snapToGrid w:val="0"/>
          <w:kern w:val="0"/>
          <w:sz w:val="28"/>
          <w:szCs w:val="28"/>
        </w:rPr>
        <w:t>第一章 一般规定</w:t>
      </w:r>
    </w:p>
    <w:p w14:paraId="7489F43B">
      <w:pPr>
        <w:adjustRightInd w:val="0"/>
        <w:snapToGrid w:val="0"/>
        <w:spacing w:line="360" w:lineRule="auto"/>
        <w:ind w:firstLine="440" w:firstLineChars="200"/>
        <w:outlineLvl w:val="1"/>
        <w:rPr>
          <w:rFonts w:hint="eastAsia" w:ascii="宋体" w:hAnsi="宋体" w:cs="宋体"/>
          <w:snapToGrid w:val="0"/>
          <w:kern w:val="0"/>
          <w:szCs w:val="21"/>
        </w:rPr>
      </w:pPr>
      <w:r>
        <w:rPr>
          <w:rFonts w:hint="eastAsia" w:ascii="宋体" w:hAnsi="宋体" w:cs="宋体"/>
          <w:b/>
          <w:bCs/>
          <w:snapToGrid w:val="0"/>
          <w:kern w:val="0"/>
          <w:szCs w:val="21"/>
        </w:rPr>
        <w:t>1.词语定义</w:t>
      </w:r>
    </w:p>
    <w:p w14:paraId="2F158B5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1.1</w:t>
      </w:r>
      <w:r>
        <w:rPr>
          <w:rFonts w:hint="eastAsia" w:ascii="宋体" w:hAnsi="宋体" w:cs="宋体"/>
          <w:snapToGrid w:val="0"/>
          <w:kern w:val="0"/>
          <w:szCs w:val="21"/>
        </w:rPr>
        <w:t>发包人：指具有本合同工程设计发包主体资格的当事人。</w:t>
      </w:r>
    </w:p>
    <w:p w14:paraId="55BC99D7">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1.2</w:t>
      </w:r>
      <w:r>
        <w:rPr>
          <w:rFonts w:hint="eastAsia" w:ascii="宋体" w:hAnsi="宋体" w:cs="宋体"/>
          <w:snapToGrid w:val="0"/>
          <w:kern w:val="0"/>
          <w:szCs w:val="21"/>
        </w:rPr>
        <w:t>承包人：指在本合同中约定，被发包人接受的具有工程设计资格的当事人以及取得该当事人资格的合法继承人。</w:t>
      </w:r>
    </w:p>
    <w:p w14:paraId="292A8593">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1.3</w:t>
      </w:r>
      <w:r>
        <w:rPr>
          <w:rFonts w:hint="eastAsia" w:ascii="宋体" w:hAnsi="宋体" w:cs="宋体"/>
          <w:snapToGrid w:val="0"/>
          <w:kern w:val="0"/>
          <w:szCs w:val="21"/>
        </w:rPr>
        <w:t>专业设计单位：指与发包人直接签订设计合同且具有专项工程设计承包主体资格的当事人以及取得该当事人资格的合法继承人；或者按照本合同约定与承包人签订设计分包合同且具有专项工程设计承包主体资格的当事人以及取得该当事人资格的合法继承人，即承包人分包单位。</w:t>
      </w:r>
    </w:p>
    <w:p w14:paraId="0B1822D8">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1.4</w:t>
      </w:r>
      <w:r>
        <w:rPr>
          <w:rFonts w:hint="eastAsia" w:ascii="宋体" w:hAnsi="宋体" w:cs="宋体"/>
          <w:snapToGrid w:val="0"/>
          <w:kern w:val="0"/>
          <w:szCs w:val="21"/>
        </w:rPr>
        <w:t>设计成果文件：指由承包人提交并通过有权审核单位或政府相关部门的审查，且经发包人及政府相关部门批准后，能满足投资与质量控制要求和作为下阶段设计依据或能指导施工实施的各阶段设计图纸、文件、计算书及说明书（含设计变更）、效果图、政府报批所需的</w:t>
      </w:r>
      <w:r>
        <w:rPr>
          <w:rFonts w:hint="eastAsia" w:ascii="宋体" w:hAnsi="宋体" w:cs="宋体"/>
          <w:snapToGrid w:val="0"/>
          <w:kern w:val="0"/>
          <w:szCs w:val="21"/>
          <w:u w:val="single"/>
        </w:rPr>
        <w:t>模型</w:t>
      </w:r>
      <w:r>
        <w:rPr>
          <w:rFonts w:hint="eastAsia" w:ascii="宋体" w:hAnsi="宋体" w:cs="宋体"/>
          <w:snapToGrid w:val="0"/>
          <w:kern w:val="0"/>
          <w:szCs w:val="21"/>
        </w:rPr>
        <w:t>及存有AutoCAD 2004软件生成的电子格式文件的光盘、工程估算、概算、配合发包人招标工作而提供的技术规格书等技术资料。</w:t>
      </w:r>
    </w:p>
    <w:p w14:paraId="09EE665B">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1.5</w:t>
      </w:r>
      <w:r>
        <w:rPr>
          <w:rFonts w:hint="eastAsia" w:ascii="宋体" w:hAnsi="宋体" w:cs="宋体"/>
          <w:snapToGrid w:val="0"/>
          <w:kern w:val="0"/>
          <w:szCs w:val="21"/>
        </w:rPr>
        <w:t>工程投资估算：指以方案设计为基础编制而成，且编制深度达到国家有关的编制规定，并经发包人委托的第三方或按政府规定的评审通过的工程造价文件。</w:t>
      </w:r>
    </w:p>
    <w:p w14:paraId="62059A8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1.6</w:t>
      </w:r>
      <w:r>
        <w:rPr>
          <w:rFonts w:hint="eastAsia" w:ascii="宋体" w:hAnsi="宋体" w:cs="宋体"/>
          <w:snapToGrid w:val="0"/>
          <w:kern w:val="0"/>
          <w:szCs w:val="21"/>
        </w:rPr>
        <w:t>工程设计概算：指以初步设计为基础根据发包人关于本项目工程概算文件编制的指引文件的相关要求编制而成，且编制深度达到国家有关的编制规定，并经发包人委托的施工图审查单位审核及甲方委托的审核部门批准的工程造价文件。</w:t>
      </w:r>
    </w:p>
    <w:p w14:paraId="1975CB2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1.7</w:t>
      </w:r>
      <w:r>
        <w:rPr>
          <w:rFonts w:hint="eastAsia" w:ascii="宋体" w:hAnsi="宋体" w:cs="宋体"/>
          <w:snapToGrid w:val="0"/>
          <w:kern w:val="0"/>
          <w:szCs w:val="21"/>
        </w:rPr>
        <w:t>施工图预算及清单编制、变更造价管理：指以通过建设单位确认的施工图为基础根据发包人关于本项目工程量清单计价的相关要求编制而成，且编制深度达到国家有关的编制规定，并符合南沙区财政投资评审中心审查通过的工程造价文件。每份设计变更须附相应的设计预算并须注册造价师审定以满足造价过程控制的要求。</w:t>
      </w:r>
    </w:p>
    <w:p w14:paraId="3CD6218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1.8</w:t>
      </w:r>
      <w:r>
        <w:rPr>
          <w:rFonts w:hint="eastAsia" w:ascii="宋体" w:hAnsi="宋体" w:cs="宋体"/>
          <w:snapToGrid w:val="0"/>
          <w:kern w:val="0"/>
          <w:szCs w:val="21"/>
        </w:rPr>
        <w:t>合同价款：指本合同中约定，由发包人用以支付承包人按照合同约定完成设计范围内工程设计及服务的款项。</w:t>
      </w:r>
    </w:p>
    <w:p w14:paraId="1A16CFC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1.9</w:t>
      </w:r>
      <w:r>
        <w:rPr>
          <w:rFonts w:hint="eastAsia" w:ascii="宋体" w:hAnsi="宋体" w:cs="宋体"/>
          <w:snapToGrid w:val="0"/>
          <w:kern w:val="0"/>
          <w:szCs w:val="21"/>
        </w:rPr>
        <w:t>追加合同价款：指在合同履行中发生需要增加合同价款的情况，经发包人根据合同约定书面确认增加的合同价款。</w:t>
      </w:r>
    </w:p>
    <w:p w14:paraId="0A4E1BE0">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1.10</w:t>
      </w:r>
      <w:r>
        <w:rPr>
          <w:rFonts w:hint="eastAsia" w:ascii="宋体" w:hAnsi="宋体" w:cs="宋体"/>
          <w:snapToGrid w:val="0"/>
          <w:kern w:val="0"/>
          <w:szCs w:val="21"/>
        </w:rPr>
        <w:t>设计周期：指在本合同中约定，按总日历天数（包括法定节假日）计算的提交设计成果文件的天数。</w:t>
      </w:r>
    </w:p>
    <w:p w14:paraId="611B6782">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1.11</w:t>
      </w:r>
      <w:r>
        <w:rPr>
          <w:rFonts w:hint="eastAsia" w:ascii="宋体" w:hAnsi="宋体" w:cs="宋体"/>
          <w:snapToGrid w:val="0"/>
          <w:kern w:val="0"/>
          <w:szCs w:val="21"/>
        </w:rPr>
        <w:t>设计服务：本合同为方案设计及初步设计合同，包括本项目红线内及红线外所有相关专业的方案设计及初步设计工作，具体服务内容</w:t>
      </w:r>
      <w:r>
        <w:rPr>
          <w:rFonts w:hint="eastAsia" w:ascii="宋体" w:hAnsi="宋体" w:cs="宋体"/>
          <w:bCs/>
          <w:snapToGrid w:val="0"/>
          <w:kern w:val="0"/>
          <w:szCs w:val="21"/>
        </w:rPr>
        <w:t>详见</w:t>
      </w:r>
      <w:r>
        <w:rPr>
          <w:rFonts w:hint="eastAsia" w:ascii="宋体" w:hAnsi="宋体" w:cs="宋体"/>
          <w:b/>
          <w:bCs/>
          <w:snapToGrid w:val="0"/>
          <w:kern w:val="0"/>
          <w:szCs w:val="21"/>
        </w:rPr>
        <w:t>设计任务书。</w:t>
      </w:r>
    </w:p>
    <w:p w14:paraId="084DE7B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 xml:space="preserve">1.12 </w:t>
      </w:r>
      <w:r>
        <w:rPr>
          <w:rFonts w:hint="eastAsia" w:ascii="宋体" w:hAnsi="宋体" w:cs="宋体"/>
          <w:snapToGrid w:val="0"/>
          <w:kern w:val="0"/>
          <w:szCs w:val="21"/>
        </w:rPr>
        <w:t>完整性：指承包人每批次交付的文件是合同及附件中规定的全部文件，并保证与提交人自己保留的该部分文件完全一致。（其中设计变更须附变更造价）</w:t>
      </w:r>
    </w:p>
    <w:p w14:paraId="192380DA">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1.13</w:t>
      </w:r>
      <w:r>
        <w:rPr>
          <w:rFonts w:hint="eastAsia" w:ascii="宋体" w:hAnsi="宋体" w:cs="宋体"/>
          <w:snapToGrid w:val="0"/>
          <w:kern w:val="0"/>
          <w:szCs w:val="21"/>
        </w:rPr>
        <w:t>有效性：指承包人每批次交付的文件均符合合同约定并符合现行相关规范和标准规定的要求。并应完成相应的评审、报建程序，并同步提供相应的第三方评估、评审成果作为支撑附件。</w:t>
      </w:r>
    </w:p>
    <w:p w14:paraId="40C8A509">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1.14</w:t>
      </w:r>
      <w:r>
        <w:rPr>
          <w:rFonts w:hint="eastAsia" w:ascii="宋体" w:hAnsi="宋体" w:cs="宋体"/>
          <w:snapToGrid w:val="0"/>
          <w:kern w:val="0"/>
          <w:szCs w:val="21"/>
        </w:rPr>
        <w:t xml:space="preserve"> 正确性：指承包人每批次交付的设计成果文件均符本合同的有关约定，同时保证设计输入的基础资料完整、正确，设计方法、计算方法与结果、技术参数的选用正确、合理，构造合理，图面表达清楚、文字叙述准确，各专业设计协调统一。</w:t>
      </w:r>
    </w:p>
    <w:p w14:paraId="5C6DD6EA">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1.15</w:t>
      </w:r>
      <w:r>
        <w:rPr>
          <w:rFonts w:hint="eastAsia" w:ascii="宋体" w:hAnsi="宋体" w:cs="宋体"/>
          <w:snapToGrid w:val="0"/>
          <w:kern w:val="0"/>
          <w:szCs w:val="21"/>
        </w:rPr>
        <w:t>经济合理性：指承包人提交的设计成果文件是在符合有效性要求的基础上，采用方案经济比选、价值工程等评价手段产生确定的。</w:t>
      </w:r>
    </w:p>
    <w:p w14:paraId="3FA427C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1.16</w:t>
      </w:r>
      <w:r>
        <w:rPr>
          <w:rFonts w:hint="eastAsia" w:ascii="宋体" w:hAnsi="宋体" w:cs="宋体"/>
          <w:snapToGrid w:val="0"/>
          <w:kern w:val="0"/>
          <w:szCs w:val="21"/>
        </w:rPr>
        <w:t xml:space="preserve">可靠性：指根据承包人的设计成果文件明示的条件情况投入的设备，所采用的工艺、工法满足技术控制指标要求，之后所形成的已完工程及投入使用的系统、生产工艺满足合同约定且能够在设计年限内充分、正常地实现其设计功能。 </w:t>
      </w:r>
    </w:p>
    <w:p w14:paraId="52D0F04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1.17</w:t>
      </w:r>
      <w:r>
        <w:rPr>
          <w:rFonts w:hint="eastAsia" w:ascii="宋体" w:hAnsi="宋体" w:cs="宋体"/>
          <w:snapToGrid w:val="0"/>
          <w:kern w:val="0"/>
          <w:szCs w:val="21"/>
        </w:rPr>
        <w:t xml:space="preserve"> 先进性：指承包人的设计成果文件</w:t>
      </w:r>
      <w:r>
        <w:rPr>
          <w:rFonts w:hint="eastAsia" w:ascii="宋体" w:hAnsi="宋体" w:cs="宋体"/>
          <w:szCs w:val="21"/>
        </w:rPr>
        <w:t>采用国际上先进和适用的施工</w:t>
      </w:r>
      <w:r>
        <w:rPr>
          <w:rFonts w:hint="eastAsia" w:ascii="宋体" w:hAnsi="宋体" w:cs="宋体"/>
          <w:snapToGrid w:val="0"/>
          <w:kern w:val="0"/>
          <w:szCs w:val="21"/>
        </w:rPr>
        <w:t>方案、技术、工艺、工法、设备</w:t>
      </w:r>
      <w:r>
        <w:rPr>
          <w:rFonts w:hint="eastAsia" w:ascii="宋体" w:hAnsi="宋体" w:cs="宋体"/>
          <w:szCs w:val="21"/>
        </w:rPr>
        <w:t>，或所采用的施工</w:t>
      </w:r>
      <w:r>
        <w:rPr>
          <w:rFonts w:hint="eastAsia" w:ascii="宋体" w:hAnsi="宋体" w:cs="宋体"/>
          <w:snapToGrid w:val="0"/>
          <w:kern w:val="0"/>
          <w:szCs w:val="21"/>
        </w:rPr>
        <w:t>方案、技术、工艺、工法、设备为国内最优。</w:t>
      </w:r>
    </w:p>
    <w:p w14:paraId="3DDBDB6E">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
          <w:snapToGrid w:val="0"/>
          <w:kern w:val="0"/>
          <w:szCs w:val="21"/>
        </w:rPr>
        <w:t>1.18</w:t>
      </w:r>
      <w:r>
        <w:rPr>
          <w:rFonts w:hint="eastAsia" w:ascii="宋体" w:hAnsi="宋体" w:cs="宋体"/>
          <w:bCs/>
          <w:snapToGrid w:val="0"/>
          <w:kern w:val="0"/>
          <w:szCs w:val="21"/>
        </w:rPr>
        <w:t>系统性：总体性，设计的思路与原则清晰，业主要求、规划条件相应完整全面，建筑与结构的技术路线清晰，结构安全稳妥，不遗漏。涉及专业分包深化设计的要求明确。</w:t>
      </w:r>
    </w:p>
    <w:p w14:paraId="536146B6">
      <w:pPr>
        <w:adjustRightInd w:val="0"/>
        <w:snapToGrid w:val="0"/>
        <w:spacing w:line="360" w:lineRule="auto"/>
        <w:ind w:firstLine="440" w:firstLineChars="200"/>
        <w:rPr>
          <w:rFonts w:hint="eastAsia" w:ascii="宋体" w:hAnsi="宋体" w:cs="宋体"/>
          <w:b/>
          <w:bCs/>
          <w:szCs w:val="21"/>
        </w:rPr>
      </w:pPr>
      <w:r>
        <w:rPr>
          <w:rFonts w:hint="eastAsia" w:ascii="宋体" w:hAnsi="宋体" w:cs="宋体"/>
          <w:b/>
          <w:snapToGrid w:val="0"/>
          <w:kern w:val="0"/>
          <w:szCs w:val="21"/>
        </w:rPr>
        <w:t>1.19</w:t>
      </w:r>
      <w:r>
        <w:rPr>
          <w:rFonts w:hint="eastAsia" w:ascii="宋体" w:hAnsi="宋体" w:cs="宋体"/>
          <w:snapToGrid w:val="0"/>
          <w:kern w:val="0"/>
          <w:szCs w:val="21"/>
        </w:rPr>
        <w:t>清晰：是指每次交付的设计成果文件中的图样、线条、术语、符号、尺寸标准、文字说明等清楚准确。</w:t>
      </w:r>
    </w:p>
    <w:p w14:paraId="317E8B8A">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1.20</w:t>
      </w:r>
      <w:r>
        <w:rPr>
          <w:rFonts w:hint="eastAsia" w:ascii="宋体" w:hAnsi="宋体" w:cs="宋体"/>
          <w:snapToGrid w:val="0"/>
          <w:kern w:val="0"/>
          <w:szCs w:val="21"/>
        </w:rPr>
        <w:t>违约责任：指合同任何一方不履行或不完全履行合同约定的义务或者履行义务不符合合同约定所应承担的责任。</w:t>
      </w:r>
    </w:p>
    <w:p w14:paraId="4822B698">
      <w:pPr>
        <w:pStyle w:val="18"/>
        <w:adjustRightInd w:val="0"/>
        <w:snapToGrid w:val="0"/>
        <w:spacing w:before="0" w:beforeAutospacing="0" w:after="0" w:afterAutospacing="0" w:line="360" w:lineRule="auto"/>
        <w:ind w:firstLine="420" w:firstLineChars="200"/>
        <w:jc w:val="both"/>
        <w:rPr>
          <w:rFonts w:hint="eastAsia" w:cs="宋体"/>
          <w:snapToGrid w:val="0"/>
          <w:sz w:val="21"/>
          <w:szCs w:val="21"/>
        </w:rPr>
      </w:pPr>
      <w:r>
        <w:rPr>
          <w:rFonts w:hint="eastAsia" w:cs="宋体"/>
          <w:snapToGrid w:val="0"/>
          <w:sz w:val="21"/>
          <w:szCs w:val="21"/>
        </w:rPr>
        <w:t>（1）一般违约责任：指虽然违反本合同的约定，但其违约行为不对本合同的履行造成严重影响而应承担的责任。</w:t>
      </w:r>
    </w:p>
    <w:p w14:paraId="33832589">
      <w:pPr>
        <w:pStyle w:val="18"/>
        <w:adjustRightInd w:val="0"/>
        <w:snapToGrid w:val="0"/>
        <w:spacing w:before="0" w:beforeAutospacing="0" w:after="0" w:afterAutospacing="0" w:line="360" w:lineRule="auto"/>
        <w:ind w:firstLine="420" w:firstLineChars="200"/>
        <w:jc w:val="both"/>
        <w:rPr>
          <w:rFonts w:hint="eastAsia" w:cs="宋体"/>
          <w:snapToGrid w:val="0"/>
          <w:sz w:val="21"/>
          <w:szCs w:val="21"/>
        </w:rPr>
      </w:pPr>
      <w:r>
        <w:rPr>
          <w:rFonts w:hint="eastAsia" w:cs="宋体"/>
          <w:snapToGrid w:val="0"/>
          <w:sz w:val="21"/>
          <w:szCs w:val="21"/>
        </w:rPr>
        <w:t>（2）严重违约责任。指违反本合同的约定且其违约行为足以对本合同的履行造成严重或实质性的影响而应承担的责任。</w:t>
      </w:r>
    </w:p>
    <w:p w14:paraId="633CA0D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1.21</w:t>
      </w:r>
      <w:r>
        <w:rPr>
          <w:rFonts w:hint="eastAsia" w:ascii="宋体" w:hAnsi="宋体" w:cs="宋体"/>
          <w:snapToGrid w:val="0"/>
          <w:kern w:val="0"/>
          <w:szCs w:val="21"/>
        </w:rPr>
        <w:t>索赔：指在合同履行过程中，对于并非自己的过错，而由对方造成的实际损失，根据合同的约定，向对方提出经济补偿或其它形式的补偿要求。</w:t>
      </w:r>
    </w:p>
    <w:p w14:paraId="26EA27B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1.22</w:t>
      </w:r>
      <w:r>
        <w:rPr>
          <w:rFonts w:hint="eastAsia" w:ascii="宋体" w:hAnsi="宋体" w:cs="宋体"/>
          <w:snapToGrid w:val="0"/>
          <w:kern w:val="0"/>
          <w:szCs w:val="21"/>
        </w:rPr>
        <w:t>通知、同意、指令、证明和决定：指经发包人认可或按公开、规范的程序授权的驻场代表、设计负责人分别签字或盖章的书面通知、同意、指令、证明和决定。</w:t>
      </w:r>
    </w:p>
    <w:p w14:paraId="2F4BF54B">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1.23</w:t>
      </w:r>
      <w:r>
        <w:rPr>
          <w:rFonts w:hint="eastAsia" w:ascii="宋体" w:hAnsi="宋体" w:cs="宋体"/>
          <w:snapToGrid w:val="0"/>
          <w:kern w:val="0"/>
          <w:szCs w:val="21"/>
        </w:rPr>
        <w:t>书面材料：指合同书、信件和数据电文（电报、电传、传真、电子数据交换、电子邮件）等可以有形地表现所载内容的文件。</w:t>
      </w:r>
    </w:p>
    <w:p w14:paraId="7F018B33">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1.24</w:t>
      </w:r>
      <w:r>
        <w:rPr>
          <w:rFonts w:hint="eastAsia" w:ascii="宋体" w:hAnsi="宋体" w:cs="宋体"/>
          <w:snapToGrid w:val="0"/>
          <w:kern w:val="0"/>
          <w:szCs w:val="21"/>
        </w:rPr>
        <w:t>天或月：规定按天计算时间的均指日历天，开始当天不计入，从次日开始计算；时限的最后一天是休息日或其他法定节假日的，以休息日或其他法定节假日结束后的次日为时限的最后一天；时限最后一天的截止时间为当日24时。月指日历月。</w:t>
      </w:r>
    </w:p>
    <w:p w14:paraId="1DF855D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1.25</w:t>
      </w:r>
      <w:r>
        <w:rPr>
          <w:rFonts w:hint="eastAsia" w:ascii="宋体" w:hAnsi="宋体" w:cs="宋体"/>
          <w:snapToGrid w:val="0"/>
          <w:kern w:val="0"/>
          <w:szCs w:val="21"/>
        </w:rPr>
        <w:t>中国或国家：指中华人民共和国。</w:t>
      </w:r>
    </w:p>
    <w:p w14:paraId="53DDC0D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1.26</w:t>
      </w:r>
      <w:r>
        <w:rPr>
          <w:rFonts w:hint="eastAsia" w:ascii="宋体" w:hAnsi="宋体" w:cs="宋体"/>
          <w:snapToGrid w:val="0"/>
          <w:kern w:val="0"/>
          <w:szCs w:val="21"/>
        </w:rPr>
        <w:t>国内：指中华人民共和国大陆境内。</w:t>
      </w:r>
    </w:p>
    <w:p w14:paraId="0F928B88">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
          <w:bCs/>
          <w:snapToGrid w:val="0"/>
          <w:kern w:val="0"/>
          <w:szCs w:val="21"/>
        </w:rPr>
        <w:t>1.27</w:t>
      </w:r>
      <w:r>
        <w:rPr>
          <w:rFonts w:hint="eastAsia" w:ascii="宋体" w:hAnsi="宋体" w:cs="宋体"/>
          <w:bCs/>
          <w:snapToGrid w:val="0"/>
          <w:kern w:val="0"/>
          <w:szCs w:val="21"/>
        </w:rPr>
        <w:t>元：指人民币元。</w:t>
      </w:r>
    </w:p>
    <w:p w14:paraId="51E6D08A">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bCs/>
          <w:snapToGrid w:val="0"/>
          <w:kern w:val="0"/>
          <w:szCs w:val="21"/>
        </w:rPr>
        <w:t>1.28</w:t>
      </w:r>
      <w:r>
        <w:rPr>
          <w:rFonts w:hint="eastAsia" w:ascii="宋体" w:hAnsi="宋体" w:cs="宋体"/>
          <w:snapToGrid w:val="0"/>
          <w:kern w:val="0"/>
          <w:szCs w:val="21"/>
        </w:rPr>
        <w:t>设计变更材料电子版可先行提供，正式的设计文件必须以蓝图附电子文件的形式提交，且须经设计院内审通过。</w:t>
      </w:r>
    </w:p>
    <w:p w14:paraId="3F71DD03">
      <w:pPr>
        <w:adjustRightInd w:val="0"/>
        <w:snapToGrid w:val="0"/>
        <w:spacing w:line="360" w:lineRule="auto"/>
        <w:ind w:firstLine="440" w:firstLineChars="200"/>
        <w:outlineLvl w:val="1"/>
        <w:rPr>
          <w:rFonts w:hint="eastAsia" w:ascii="宋体" w:hAnsi="宋体" w:cs="宋体"/>
          <w:b/>
          <w:bCs/>
          <w:snapToGrid w:val="0"/>
          <w:kern w:val="0"/>
          <w:szCs w:val="21"/>
        </w:rPr>
      </w:pPr>
      <w:r>
        <w:rPr>
          <w:rFonts w:hint="eastAsia" w:ascii="宋体" w:hAnsi="宋体" w:cs="宋体"/>
          <w:b/>
          <w:bCs/>
          <w:snapToGrid w:val="0"/>
          <w:kern w:val="0"/>
          <w:szCs w:val="21"/>
        </w:rPr>
        <w:t>2.语言文字和适用法律、标准及规范</w:t>
      </w:r>
    </w:p>
    <w:p w14:paraId="65FF3E8A">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2.1</w:t>
      </w:r>
      <w:r>
        <w:rPr>
          <w:rFonts w:hint="eastAsia" w:ascii="宋体" w:hAnsi="宋体" w:cs="宋体"/>
          <w:snapToGrid w:val="0"/>
          <w:kern w:val="0"/>
          <w:szCs w:val="21"/>
        </w:rPr>
        <w:t>语言文字：本合同及其补充协议、来往文件、本合同工程的所有设计文件和资料等均使用中文书写、解释和说明。使用其他文字书写的均不具有法律约束力，但如翻译成中文并经签字（盖章）确认的，则均具有法律约束力。</w:t>
      </w:r>
    </w:p>
    <w:p w14:paraId="23930D5B">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2.2</w:t>
      </w:r>
      <w:r>
        <w:rPr>
          <w:rFonts w:hint="eastAsia" w:ascii="宋体" w:hAnsi="宋体" w:cs="宋体"/>
          <w:snapToGrid w:val="0"/>
          <w:kern w:val="0"/>
          <w:szCs w:val="21"/>
        </w:rPr>
        <w:t>适用法律、标准及规范。承包人交付的设计成果文件应符合中国的有关法律、法规、规章的规定和相关的工程设计技术规范、规定及标准的要求。设计中如遇国家和地方无相应规范、标准、依据的，由承包人提出建议，由发包人报送有关主管部门审查确认所采用的标准、规定、依据或其解释。</w:t>
      </w:r>
    </w:p>
    <w:p w14:paraId="2178A386">
      <w:pPr>
        <w:adjustRightInd w:val="0"/>
        <w:snapToGrid w:val="0"/>
        <w:spacing w:line="360" w:lineRule="auto"/>
        <w:ind w:firstLine="440" w:firstLineChars="200"/>
        <w:outlineLvl w:val="1"/>
        <w:rPr>
          <w:rFonts w:hint="eastAsia" w:ascii="宋体" w:hAnsi="宋体" w:cs="宋体"/>
          <w:b/>
          <w:snapToGrid w:val="0"/>
          <w:kern w:val="0"/>
          <w:szCs w:val="21"/>
        </w:rPr>
      </w:pPr>
      <w:r>
        <w:rPr>
          <w:rFonts w:hint="eastAsia" w:ascii="宋体" w:hAnsi="宋体" w:cs="宋体"/>
          <w:b/>
          <w:snapToGrid w:val="0"/>
          <w:kern w:val="0"/>
          <w:szCs w:val="21"/>
        </w:rPr>
        <w:t>3.本合同签订依据</w:t>
      </w:r>
    </w:p>
    <w:p w14:paraId="2A3FD13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（1）中华人民共和国合同法；</w:t>
      </w:r>
    </w:p>
    <w:p w14:paraId="6E54D7AA">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（2）中华人民共和国建筑法；</w:t>
      </w:r>
    </w:p>
    <w:p w14:paraId="3038A5F4">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（3）中华人民共和国城乡规划法；</w:t>
      </w:r>
    </w:p>
    <w:p w14:paraId="6823B45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（4）建设工程质量管理条例；</w:t>
      </w:r>
    </w:p>
    <w:p w14:paraId="117C57D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（5）《建筑工程设计文件编制深度规定》（2016年版）；</w:t>
      </w:r>
    </w:p>
    <w:p w14:paraId="1DE4F9C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Cs/>
          <w:snapToGrid w:val="0"/>
          <w:kern w:val="0"/>
          <w:szCs w:val="21"/>
        </w:rPr>
        <w:t>（6）《市政公用工程设计文件编制深度规定》（建质〔2013〕57号）；</w:t>
      </w:r>
    </w:p>
    <w:p w14:paraId="4288B8E0">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snapToGrid w:val="0"/>
          <w:kern w:val="0"/>
          <w:szCs w:val="21"/>
        </w:rPr>
        <w:t>（7）建设项目批准文件（包括但不限于立项批复文件、可行性研究批复文件、规划部门认可的用地红线和地形图、规划建设主管部门对本合同约定项目的规划设计要点）；</w:t>
      </w:r>
    </w:p>
    <w:p w14:paraId="67CA87E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（8）设计任务书，业主需求书（含业主建筑功能要求，专业性规范）；</w:t>
      </w:r>
    </w:p>
    <w:p w14:paraId="69EABFA2">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（9）本合同约定的项目基础资料，包括用地红线坐标(表)、场地标高、现有市政设施图的资料（绿化、道路、管线、建构筑物等）、地质勘察资料等；</w:t>
      </w:r>
    </w:p>
    <w:p w14:paraId="3FEA1484">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（10）设计和建设过程中的政府审批意见，政府或发包人委托或组织的评审机构（会议）提出的或发包人发出的阶段性书面意见，来往的与权利义务有关的各类书面文件、会议纪要等；</w:t>
      </w:r>
    </w:p>
    <w:p w14:paraId="344AF1A2">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上述法律法规及有关文件应是现行有效的，如国家或有关部门对上述法律法规及有关文件进行修改或补充并提出新的要求，均应按新的要求执行，必要时另行签订补充合同。</w:t>
      </w:r>
    </w:p>
    <w:p w14:paraId="5A481C17">
      <w:pPr>
        <w:adjustRightInd w:val="0"/>
        <w:snapToGrid w:val="0"/>
        <w:spacing w:line="360" w:lineRule="auto"/>
        <w:ind w:firstLine="570"/>
        <w:rPr>
          <w:rFonts w:hint="eastAsia" w:ascii="宋体" w:hAnsi="宋体" w:cs="宋体"/>
          <w:snapToGrid w:val="0"/>
          <w:kern w:val="0"/>
          <w:szCs w:val="21"/>
        </w:rPr>
      </w:pPr>
    </w:p>
    <w:p w14:paraId="44923BBD">
      <w:pPr>
        <w:adjustRightInd w:val="0"/>
        <w:snapToGrid w:val="0"/>
        <w:spacing w:line="360" w:lineRule="auto"/>
        <w:jc w:val="center"/>
        <w:outlineLvl w:val="0"/>
        <w:rPr>
          <w:rFonts w:hint="eastAsia" w:ascii="宋体" w:hAnsi="宋体" w:cs="宋体"/>
          <w:b/>
          <w:snapToGrid w:val="0"/>
          <w:kern w:val="0"/>
          <w:sz w:val="28"/>
          <w:szCs w:val="28"/>
        </w:rPr>
      </w:pPr>
      <w:r>
        <w:rPr>
          <w:rFonts w:hint="eastAsia" w:ascii="宋体" w:hAnsi="宋体" w:cs="宋体"/>
          <w:b/>
          <w:snapToGrid w:val="0"/>
          <w:kern w:val="0"/>
          <w:sz w:val="28"/>
          <w:szCs w:val="28"/>
        </w:rPr>
        <w:t>第二章 设计工作内容</w:t>
      </w:r>
    </w:p>
    <w:p w14:paraId="2950A30E">
      <w:pPr>
        <w:adjustRightInd w:val="0"/>
        <w:snapToGrid w:val="0"/>
        <w:spacing w:line="360" w:lineRule="auto"/>
        <w:ind w:firstLine="440" w:firstLineChars="200"/>
        <w:outlineLvl w:val="1"/>
        <w:rPr>
          <w:rFonts w:hint="eastAsia" w:ascii="宋体" w:hAnsi="宋体" w:cs="宋体"/>
          <w:snapToGrid w:val="0"/>
          <w:kern w:val="0"/>
          <w:szCs w:val="21"/>
        </w:rPr>
      </w:pPr>
      <w:r>
        <w:rPr>
          <w:rFonts w:hint="eastAsia" w:ascii="宋体" w:hAnsi="宋体" w:cs="宋体"/>
          <w:b/>
          <w:snapToGrid w:val="0"/>
          <w:kern w:val="0"/>
          <w:szCs w:val="21"/>
        </w:rPr>
        <w:t>4.设计范围</w:t>
      </w:r>
    </w:p>
    <w:p w14:paraId="0F93769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4.1</w:t>
      </w:r>
      <w:r>
        <w:rPr>
          <w:rFonts w:hint="eastAsia" w:ascii="宋体" w:hAnsi="宋体" w:cs="宋体"/>
          <w:snapToGrid w:val="0"/>
          <w:kern w:val="0"/>
          <w:szCs w:val="21"/>
        </w:rPr>
        <w:t xml:space="preserve"> 工程设计范围（包括但不限于）：</w:t>
      </w:r>
    </w:p>
    <w:p w14:paraId="1D3F71E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（1）总体设计及专业设计</w:t>
      </w:r>
    </w:p>
    <w:p w14:paraId="293545DB">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（2）相关评审与报建</w:t>
      </w:r>
    </w:p>
    <w:p w14:paraId="07181CD2">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（4）材料设备短名单</w:t>
      </w:r>
    </w:p>
    <w:p w14:paraId="7E567C54">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（5）技术需求书</w:t>
      </w:r>
    </w:p>
    <w:p w14:paraId="1991A54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（6）概算清单编制</w:t>
      </w:r>
    </w:p>
    <w:p w14:paraId="57AC0C8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（7）需二次装修及深化设计的专业清单</w:t>
      </w:r>
    </w:p>
    <w:p w14:paraId="65FB7D1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（8）装配式建筑的实施具体要求详见《广州市住房和城乡建设局关于加强设计阶段落实装配式建筑实施要求的通知》（穗建技[2020]79号），若有最新文件时即执行最新文件。</w:t>
      </w:r>
    </w:p>
    <w:p w14:paraId="7EA25AC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9）设计配合与服务：在业主授权范围内，负责办理项目的修规报建、建筑方案报建、初步设计审查备案、各专业报建、建设工程规划许可证、临水临电、临时排水、永久排水、外水外电等等涉及项目的等各专项报批报建和验收工作。</w:t>
      </w:r>
    </w:p>
    <w:p w14:paraId="321040A2">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（10）其他未尽事宜详见设计任务书。</w:t>
      </w:r>
    </w:p>
    <w:p w14:paraId="271853A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4.2</w:t>
      </w:r>
      <w:r>
        <w:rPr>
          <w:rFonts w:hint="eastAsia" w:ascii="宋体" w:hAnsi="宋体" w:cs="宋体"/>
          <w:snapToGrid w:val="0"/>
          <w:kern w:val="0"/>
          <w:szCs w:val="21"/>
        </w:rPr>
        <w:t xml:space="preserve"> 工程设计内容：</w:t>
      </w:r>
    </w:p>
    <w:p w14:paraId="4C97AC3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4.2.1</w:t>
      </w:r>
      <w:r>
        <w:rPr>
          <w:rFonts w:hint="eastAsia" w:ascii="宋体" w:hAnsi="宋体" w:cs="宋体"/>
          <w:snapToGrid w:val="0"/>
          <w:kern w:val="0"/>
          <w:szCs w:val="21"/>
        </w:rPr>
        <w:t>工程设计内容详见协议书2.1条款</w:t>
      </w:r>
    </w:p>
    <w:p w14:paraId="26356303">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4.2.2</w:t>
      </w:r>
      <w:r>
        <w:rPr>
          <w:rFonts w:hint="eastAsia" w:ascii="宋体" w:hAnsi="宋体" w:cs="宋体"/>
          <w:snapToGrid w:val="0"/>
          <w:kern w:val="0"/>
          <w:szCs w:val="21"/>
        </w:rPr>
        <w:t>发包人变更委托设计项目、规模、条件或因提交的资料错误，或所提交资料作较大修改，以致造成设计人设计需返工、设计规模调整的，协商一致后，按程序上报并通过后</w:t>
      </w:r>
      <w:r>
        <w:rPr>
          <w:rFonts w:hint="eastAsia" w:ascii="宋体" w:hAnsi="宋体" w:cs="宋体"/>
          <w:snapToGrid w:val="0"/>
          <w:kern w:val="0"/>
          <w:szCs w:val="21"/>
          <w:highlight w:val="none"/>
        </w:rPr>
        <w:t>，</w:t>
      </w:r>
      <w:r>
        <w:rPr>
          <w:rFonts w:hint="eastAsia" w:ascii="宋体" w:hAnsi="宋体" w:cs="宋体"/>
          <w:snapToGrid w:val="0"/>
          <w:kern w:val="0"/>
          <w:szCs w:val="21"/>
          <w:highlight w:val="none"/>
          <w:lang w:val="en-US" w:eastAsia="zh-CN"/>
        </w:rPr>
        <w:t>协商一致</w:t>
      </w:r>
      <w:r>
        <w:rPr>
          <w:rFonts w:hint="eastAsia" w:ascii="宋体" w:hAnsi="宋体" w:cs="宋体"/>
          <w:snapToGrid w:val="0"/>
          <w:kern w:val="0"/>
          <w:szCs w:val="21"/>
          <w:highlight w:val="none"/>
        </w:rPr>
        <w:t>调</w:t>
      </w:r>
      <w:r>
        <w:rPr>
          <w:rFonts w:hint="eastAsia" w:ascii="宋体" w:hAnsi="宋体" w:cs="宋体"/>
          <w:snapToGrid w:val="0"/>
          <w:kern w:val="0"/>
          <w:szCs w:val="21"/>
        </w:rPr>
        <w:t>整设计费。</w:t>
      </w:r>
    </w:p>
    <w:p w14:paraId="046C0A07">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4.3 工程设计的总体要求</w:t>
      </w:r>
    </w:p>
    <w:p w14:paraId="0E6EB150">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承包人交付的设计成果文件应符合国家现行的有关法律、行政法规和相关的工程设计技术规范、规定及标准，必须执行国家规定的工程建设标准强制性条文要求，遵守设计工作程序以及确定投资的有关指标、定额和费用标准的规定，控制好设计的每一环节。</w:t>
      </w:r>
    </w:p>
    <w:p w14:paraId="2254B8FB">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（2）承包人应在设计成果文件中明确列出本合同工程设计涉及到的详细的设计规范、规定及标准（名称、编号与版本）。根据发包人要求，并推行BIM、绿色建筑与节能、装配式建筑。</w:t>
      </w:r>
    </w:p>
    <w:p w14:paraId="57B7646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承包人应认真贯彻执行ISO9001质量管理体系，确保设计质量。承包人对其承担的本合同约定的设计工作的设计成果文件的正确性、完整性、有效性、经济合理性、可靠性、清晰性负责，发包人或政府相关部门对其的审查及审核并不减轻承包人的相关责任。</w:t>
      </w:r>
    </w:p>
    <w:p w14:paraId="0BD900AA">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如在项目运作中遇国家或地区颁布新的标准、规定和依据，按新标准、规定和依据执行。设计中如遇国家和地区无相应规范、标准和依据的，由承包人提出建议，由发包人报送有关主管部门审查确认或解释所采用的标准、规定和依据。</w:t>
      </w:r>
    </w:p>
    <w:p w14:paraId="4A3EF6A3">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（5）承包人根据本合同约定进行设计、资料管理、技术管理、现场配合等工作时，必须同时遵守档案馆的相关设计、技术、图文、图档、工程的各项管理办法、规定和细则。</w:t>
      </w:r>
    </w:p>
    <w:p w14:paraId="2F36454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（6）承包人应积极配合政府行政部门或行业主管部门的各项审批、发包人的审核及图纸会审，对审查过程中发现的设计质量问题，应及时解决并按规定出具修改图纸，</w:t>
      </w:r>
      <w:r>
        <w:rPr>
          <w:rFonts w:hint="eastAsia" w:ascii="宋体" w:hAnsi="宋体" w:cs="宋体"/>
          <w:bCs/>
          <w:snapToGrid w:val="0"/>
          <w:kern w:val="0"/>
          <w:szCs w:val="21"/>
        </w:rPr>
        <w:t>逾期未提供图纸，或提供图纸不符合要求的按合同条款的有关约定承担违约责任</w:t>
      </w:r>
      <w:r>
        <w:rPr>
          <w:rFonts w:hint="eastAsia" w:ascii="宋体" w:hAnsi="宋体" w:cs="宋体"/>
          <w:snapToGrid w:val="0"/>
          <w:kern w:val="0"/>
          <w:szCs w:val="21"/>
        </w:rPr>
        <w:t>。</w:t>
      </w:r>
    </w:p>
    <w:p w14:paraId="0144D9A7">
      <w:pPr>
        <w:adjustRightInd w:val="0"/>
        <w:snapToGrid w:val="0"/>
        <w:spacing w:line="360" w:lineRule="auto"/>
        <w:ind w:firstLine="440" w:firstLineChars="200"/>
        <w:rPr>
          <w:rFonts w:hint="eastAsia" w:ascii="宋体" w:hAnsi="宋体" w:cs="宋体"/>
          <w:snapToGrid w:val="0"/>
          <w:kern w:val="0"/>
          <w:szCs w:val="21"/>
          <w:u w:val="single"/>
        </w:rPr>
      </w:pPr>
      <w:r>
        <w:rPr>
          <w:rFonts w:hint="eastAsia" w:ascii="宋体" w:hAnsi="宋体" w:cs="宋体"/>
          <w:snapToGrid w:val="0"/>
          <w:kern w:val="0"/>
          <w:szCs w:val="21"/>
        </w:rPr>
        <w:t>（7）承包人应对发包人提供的文件、资料进行认真研究，对本合同工程的特点和不确定因素进行认真考虑，并提出合理建议和评价，对影响设计稳定的重大问题要进行多方案比较选择，尤其是对本合同项目的整体设计方案、主要基础形式、主体结构选型、建筑装修方案、大宗建材选用、主要设备选型等对建成使用和工程投资有重大影响的因素须进行经济技术多方案比选和性价比分析。</w:t>
      </w:r>
    </w:p>
    <w:p w14:paraId="465089E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（8）承包人的设计成果文件应尽可能减少施工难度，为施工创造方便合理的施工条件；应尽量减少施工对城市交通、市民生活以及水利的干扰，并尽可能减少对施工工期的影响。</w:t>
      </w:r>
    </w:p>
    <w:p w14:paraId="1F70D25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（9）在交付项目的部分或全部设计文件后，如获悉有更好的新工艺、新技术、新材料、新设备等适用于本合同工程，承包人应向发包人推荐并提供科学的评估。</w:t>
      </w:r>
    </w:p>
    <w:p w14:paraId="5F3DAED4">
      <w:pPr>
        <w:adjustRightInd w:val="0"/>
        <w:snapToGrid w:val="0"/>
        <w:spacing w:line="360" w:lineRule="auto"/>
        <w:ind w:firstLine="440" w:firstLineChars="200"/>
        <w:rPr>
          <w:rFonts w:hint="eastAsia" w:ascii="宋体" w:hAnsi="宋体" w:cs="宋体"/>
          <w:b/>
          <w:snapToGrid w:val="0"/>
          <w:kern w:val="0"/>
          <w:szCs w:val="21"/>
        </w:rPr>
      </w:pPr>
      <w:r>
        <w:rPr>
          <w:rFonts w:hint="eastAsia" w:ascii="宋体" w:hAnsi="宋体" w:cs="宋体"/>
          <w:b/>
          <w:snapToGrid w:val="0"/>
          <w:kern w:val="0"/>
          <w:szCs w:val="21"/>
        </w:rPr>
        <w:t>4.4方案深化设计阶段的主要工作及要求</w:t>
      </w:r>
    </w:p>
    <w:p w14:paraId="4C6A63B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4.4.1</w:t>
      </w:r>
      <w:r>
        <w:rPr>
          <w:rFonts w:hint="eastAsia" w:ascii="宋体" w:hAnsi="宋体" w:cs="宋体"/>
          <w:snapToGrid w:val="0"/>
          <w:kern w:val="0"/>
          <w:szCs w:val="21"/>
        </w:rPr>
        <w:t>方案深化设计阶段的主要工作</w:t>
      </w:r>
    </w:p>
    <w:p w14:paraId="6F8CB0C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（1）提交方案深化设计成果文件</w:t>
      </w:r>
    </w:p>
    <w:p w14:paraId="599E40E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方案深化设计成果文件应为发包人最终确定设计方案的深化设计文件，文件的内容应按照发包人的要求、有权审核部门的审批意见、招标设计方案的技术文件和投标文件、建设部《建筑工程设计文件编制深度规定》（2016年版）方案设计阶段规定的要求进行编制，包括如下设计文件（包括但不限于）：</w:t>
      </w:r>
    </w:p>
    <w:p w14:paraId="6674572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1）封面（写明方案的名称、方案编制单位、编制时间）；</w:t>
      </w:r>
    </w:p>
    <w:p w14:paraId="14AAC7F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2）扉页（方案编制单位行政及技术负责人、具体编制总负责人签名）；</w:t>
      </w:r>
    </w:p>
    <w:p w14:paraId="6427F6C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3）方案深化设计文件目录；</w:t>
      </w:r>
    </w:p>
    <w:p w14:paraId="2BF64CE3">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4）方案深化设计说明书</w:t>
      </w:r>
      <w:r>
        <w:rPr>
          <w:rFonts w:hint="eastAsia" w:ascii="宋体" w:hAnsi="宋体" w:cs="宋体"/>
          <w:szCs w:val="21"/>
        </w:rPr>
        <w:t>（包含总平面、建筑、结构、给水（高质水及回用水）、排水（雨水及污水）、电气、采暖通风及空调和投资估算等专业)、设计图纸、投资估算、透视图（效果图）、结构及主要设备选型（含经济技术分析）、勘探要求等</w:t>
      </w:r>
      <w:r>
        <w:rPr>
          <w:rFonts w:hint="eastAsia" w:ascii="宋体" w:hAnsi="宋体" w:cs="宋体"/>
          <w:snapToGrid w:val="0"/>
          <w:kern w:val="0"/>
          <w:szCs w:val="21"/>
        </w:rPr>
        <w:t>；</w:t>
      </w:r>
    </w:p>
    <w:p w14:paraId="2E225359">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5）方案深化设计图纸（A3图）；</w:t>
      </w:r>
    </w:p>
    <w:p w14:paraId="15AF094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6）透视图；</w:t>
      </w:r>
    </w:p>
    <w:p w14:paraId="6D1497F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7）效果图。</w:t>
      </w:r>
    </w:p>
    <w:p w14:paraId="62EA65A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承包人应向发包人提交方案设计成果文件图纸及文本文件</w:t>
      </w:r>
      <w:r>
        <w:rPr>
          <w:rFonts w:hint="eastAsia" w:ascii="宋体" w:hAnsi="宋体" w:cs="宋体"/>
          <w:snapToGrid w:val="0"/>
          <w:kern w:val="0"/>
          <w:szCs w:val="21"/>
          <w:u w:val="single"/>
        </w:rPr>
        <w:t xml:space="preserve"> 20 </w:t>
      </w:r>
      <w:r>
        <w:rPr>
          <w:rFonts w:hint="eastAsia" w:ascii="宋体" w:hAnsi="宋体" w:cs="宋体"/>
          <w:snapToGrid w:val="0"/>
          <w:kern w:val="0"/>
          <w:szCs w:val="21"/>
        </w:rPr>
        <w:t>套、电子文档光盘</w:t>
      </w:r>
      <w:r>
        <w:rPr>
          <w:rFonts w:hint="eastAsia" w:ascii="宋体" w:hAnsi="宋体" w:cs="宋体"/>
          <w:snapToGrid w:val="0"/>
          <w:kern w:val="0"/>
          <w:szCs w:val="21"/>
          <w:u w:val="single"/>
        </w:rPr>
        <w:t xml:space="preserve"> 2 </w:t>
      </w:r>
      <w:r>
        <w:rPr>
          <w:rFonts w:hint="eastAsia" w:ascii="宋体" w:hAnsi="宋体" w:cs="宋体"/>
          <w:snapToGrid w:val="0"/>
          <w:kern w:val="0"/>
          <w:szCs w:val="21"/>
        </w:rPr>
        <w:t>套。</w:t>
      </w:r>
    </w:p>
    <w:p w14:paraId="1EDD5BB2">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（2）按照广州市及南沙区城市规划局的规划报建要求，提供规划报建所需相关设计成果文件（包括但不限于以下内容）：</w:t>
      </w:r>
    </w:p>
    <w:p w14:paraId="30D49F1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1）总平面规划图（比例</w:t>
      </w:r>
      <w:r>
        <w:rPr>
          <w:rFonts w:hint="eastAsia" w:ascii="宋体" w:hAnsi="宋体" w:cs="宋体"/>
          <w:snapToGrid w:val="0"/>
          <w:kern w:val="0"/>
          <w:szCs w:val="21"/>
          <w:u w:val="single"/>
        </w:rPr>
        <w:t xml:space="preserve"> 1：500～1000 </w:t>
      </w:r>
      <w:r>
        <w:rPr>
          <w:rFonts w:hint="eastAsia" w:ascii="宋体" w:hAnsi="宋体" w:cs="宋体"/>
          <w:snapToGrid w:val="0"/>
          <w:kern w:val="0"/>
          <w:szCs w:val="21"/>
        </w:rPr>
        <w:t>，包括各项技术经济指标）；</w:t>
      </w:r>
    </w:p>
    <w:p w14:paraId="46532700">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2）绿地规划图（比例</w:t>
      </w:r>
      <w:r>
        <w:rPr>
          <w:rFonts w:hint="eastAsia" w:ascii="宋体" w:hAnsi="宋体" w:cs="宋体"/>
          <w:snapToGrid w:val="0"/>
          <w:kern w:val="0"/>
          <w:szCs w:val="21"/>
          <w:u w:val="single"/>
        </w:rPr>
        <w:t xml:space="preserve"> 1：500～1000 </w:t>
      </w:r>
      <w:r>
        <w:rPr>
          <w:rFonts w:hint="eastAsia" w:ascii="宋体" w:hAnsi="宋体" w:cs="宋体"/>
          <w:snapToGrid w:val="0"/>
          <w:kern w:val="0"/>
          <w:szCs w:val="21"/>
        </w:rPr>
        <w:t>）；</w:t>
      </w:r>
    </w:p>
    <w:p w14:paraId="631A3524">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3）道路交通系统规划图（比例</w:t>
      </w:r>
      <w:r>
        <w:rPr>
          <w:rFonts w:hint="eastAsia" w:ascii="宋体" w:hAnsi="宋体" w:cs="宋体"/>
          <w:snapToGrid w:val="0"/>
          <w:kern w:val="0"/>
          <w:szCs w:val="21"/>
          <w:u w:val="single"/>
        </w:rPr>
        <w:t xml:space="preserve"> 1：500～1000 </w:t>
      </w:r>
      <w:r>
        <w:rPr>
          <w:rFonts w:hint="eastAsia" w:ascii="宋体" w:hAnsi="宋体" w:cs="宋体"/>
          <w:snapToGrid w:val="0"/>
          <w:kern w:val="0"/>
          <w:szCs w:val="21"/>
        </w:rPr>
        <w:t>）；</w:t>
      </w:r>
    </w:p>
    <w:p w14:paraId="7249FF63">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4）用地竖向规划图（比例</w:t>
      </w:r>
      <w:r>
        <w:rPr>
          <w:rFonts w:hint="eastAsia" w:ascii="宋体" w:hAnsi="宋体" w:cs="宋体"/>
          <w:snapToGrid w:val="0"/>
          <w:kern w:val="0"/>
          <w:szCs w:val="21"/>
          <w:u w:val="single"/>
        </w:rPr>
        <w:t xml:space="preserve"> 1：500～1000 </w:t>
      </w:r>
      <w:r>
        <w:rPr>
          <w:rFonts w:hint="eastAsia" w:ascii="宋体" w:hAnsi="宋体" w:cs="宋体"/>
          <w:snapToGrid w:val="0"/>
          <w:kern w:val="0"/>
          <w:szCs w:val="21"/>
        </w:rPr>
        <w:t>）；</w:t>
      </w:r>
    </w:p>
    <w:p w14:paraId="315D8EE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6）规划方案说明书；</w:t>
      </w:r>
    </w:p>
    <w:p w14:paraId="3346A2A8">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承包人应向发包人提交规划报建所需的设计成果文件图纸及文本文件</w:t>
      </w:r>
      <w:r>
        <w:rPr>
          <w:rFonts w:hint="eastAsia" w:ascii="宋体" w:hAnsi="宋体" w:cs="宋体"/>
          <w:snapToGrid w:val="0"/>
          <w:kern w:val="0"/>
          <w:szCs w:val="21"/>
          <w:u w:val="single"/>
        </w:rPr>
        <w:t>8</w:t>
      </w:r>
      <w:r>
        <w:rPr>
          <w:rFonts w:hint="eastAsia" w:ascii="宋体" w:hAnsi="宋体" w:cs="宋体"/>
          <w:snapToGrid w:val="0"/>
          <w:kern w:val="0"/>
          <w:szCs w:val="21"/>
        </w:rPr>
        <w:t>套、电子文档光盘</w:t>
      </w:r>
      <w:r>
        <w:rPr>
          <w:rFonts w:hint="eastAsia" w:ascii="宋体" w:hAnsi="宋体" w:cs="宋体"/>
          <w:snapToGrid w:val="0"/>
          <w:kern w:val="0"/>
          <w:szCs w:val="21"/>
          <w:u w:val="single"/>
        </w:rPr>
        <w:t xml:space="preserve"> 2 </w:t>
      </w:r>
      <w:r>
        <w:rPr>
          <w:rFonts w:hint="eastAsia" w:ascii="宋体" w:hAnsi="宋体" w:cs="宋体"/>
          <w:snapToGrid w:val="0"/>
          <w:kern w:val="0"/>
          <w:szCs w:val="21"/>
        </w:rPr>
        <w:t>套、工作模型</w:t>
      </w:r>
      <w:r>
        <w:rPr>
          <w:rFonts w:hint="eastAsia" w:ascii="宋体" w:hAnsi="宋体" w:cs="宋体"/>
          <w:snapToGrid w:val="0"/>
          <w:kern w:val="0"/>
          <w:szCs w:val="21"/>
          <w:u w:val="single"/>
        </w:rPr>
        <w:t xml:space="preserve"> 1 </w:t>
      </w:r>
      <w:r>
        <w:rPr>
          <w:rFonts w:hint="eastAsia" w:ascii="宋体" w:hAnsi="宋体" w:cs="宋体"/>
          <w:snapToGrid w:val="0"/>
          <w:kern w:val="0"/>
          <w:szCs w:val="21"/>
        </w:rPr>
        <w:t>个（文件需加盖规划报建章、设计单位出图章、注册建筑师章）；并根据相关的审批意见对设计成果文件进行相应修改。</w:t>
      </w:r>
    </w:p>
    <w:p w14:paraId="3994B334">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（3）按照广州市及南沙区相关审批部门的报建要求，提供方案设计报建所需相关设计成果文件并根据相关的审批意见对设计成果文件进行相应修改。相关设计成果文件包括但不限于以下内容：</w:t>
      </w:r>
    </w:p>
    <w:p w14:paraId="15870C5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1）总平面图（比例</w:t>
      </w:r>
      <w:r>
        <w:rPr>
          <w:rFonts w:hint="eastAsia" w:ascii="宋体" w:hAnsi="宋体" w:cs="宋体"/>
          <w:snapToGrid w:val="0"/>
          <w:kern w:val="0"/>
          <w:szCs w:val="21"/>
          <w:u w:val="single"/>
        </w:rPr>
        <w:t xml:space="preserve"> 1：500～1000 </w:t>
      </w:r>
      <w:r>
        <w:rPr>
          <w:rFonts w:hint="eastAsia" w:ascii="宋体" w:hAnsi="宋体" w:cs="宋体"/>
          <w:snapToGrid w:val="0"/>
          <w:kern w:val="0"/>
          <w:szCs w:val="21"/>
        </w:rPr>
        <w:t>，包括各项技术经济指标）；</w:t>
      </w:r>
    </w:p>
    <w:p w14:paraId="689653A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2）建筑平、立、剖面图（比例</w:t>
      </w:r>
      <w:r>
        <w:rPr>
          <w:rFonts w:hint="eastAsia" w:ascii="宋体" w:hAnsi="宋体" w:cs="宋体"/>
          <w:snapToGrid w:val="0"/>
          <w:kern w:val="0"/>
          <w:szCs w:val="21"/>
          <w:u w:val="single"/>
        </w:rPr>
        <w:t xml:space="preserve"> 1：100～150 </w:t>
      </w:r>
      <w:r>
        <w:rPr>
          <w:rFonts w:hint="eastAsia" w:ascii="宋体" w:hAnsi="宋体" w:cs="宋体"/>
          <w:snapToGrid w:val="0"/>
          <w:kern w:val="0"/>
          <w:szCs w:val="21"/>
        </w:rPr>
        <w:t>）；</w:t>
      </w:r>
    </w:p>
    <w:p w14:paraId="3E090CD4">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3）设计说明；</w:t>
      </w:r>
    </w:p>
    <w:p w14:paraId="2A4C1F5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4）工程投资估算（含非标设备、材料、构配件的报价）。</w:t>
      </w:r>
    </w:p>
    <w:p w14:paraId="52E3F487">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承包人应向发包人提交方案设计报建所需要的设计成果文件图纸及文本文件</w:t>
      </w:r>
      <w:r>
        <w:rPr>
          <w:rFonts w:hint="eastAsia" w:ascii="宋体" w:hAnsi="宋体" w:cs="宋体"/>
          <w:snapToGrid w:val="0"/>
          <w:kern w:val="0"/>
          <w:szCs w:val="21"/>
          <w:u w:val="single"/>
        </w:rPr>
        <w:t>8</w:t>
      </w:r>
      <w:r>
        <w:rPr>
          <w:rFonts w:hint="eastAsia" w:ascii="宋体" w:hAnsi="宋体" w:cs="宋体"/>
          <w:snapToGrid w:val="0"/>
          <w:kern w:val="0"/>
          <w:szCs w:val="21"/>
        </w:rPr>
        <w:t>套、电子文档光盘</w:t>
      </w:r>
      <w:r>
        <w:rPr>
          <w:rFonts w:hint="eastAsia" w:ascii="宋体" w:hAnsi="宋体" w:cs="宋体"/>
          <w:snapToGrid w:val="0"/>
          <w:kern w:val="0"/>
          <w:szCs w:val="21"/>
          <w:u w:val="single"/>
        </w:rPr>
        <w:t xml:space="preserve"> 2 </w:t>
      </w:r>
      <w:r>
        <w:rPr>
          <w:rFonts w:hint="eastAsia" w:ascii="宋体" w:hAnsi="宋体" w:cs="宋体"/>
          <w:snapToGrid w:val="0"/>
          <w:kern w:val="0"/>
          <w:szCs w:val="21"/>
        </w:rPr>
        <w:t>套；文件加盖设计单位出图章、注册建筑师章。</w:t>
      </w:r>
    </w:p>
    <w:p w14:paraId="1CE3624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4.4.2</w:t>
      </w:r>
      <w:r>
        <w:rPr>
          <w:rFonts w:hint="eastAsia" w:ascii="宋体" w:hAnsi="宋体" w:cs="宋体"/>
          <w:snapToGrid w:val="0"/>
          <w:kern w:val="0"/>
          <w:szCs w:val="21"/>
        </w:rPr>
        <w:t>方案深化设计阶段的要求</w:t>
      </w:r>
    </w:p>
    <w:p w14:paraId="7DAB4407">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（1）承包人应在招标方案的基础上，按专家意见和发包人要求进行深化完善，达到报建送审方案要求，并根据规划部门提出的设计条件进行调整。</w:t>
      </w:r>
    </w:p>
    <w:p w14:paraId="060F81A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（2）方案深化设计应对建筑、结构、机电系统进行两个以上方案技术经济比较，实施性方案应达到和满足进行初步设计的要求。</w:t>
      </w:r>
    </w:p>
    <w:p w14:paraId="1E66C7F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承包人设计深化方案中应包含节能环保篇，采用节能环保的新技术、新工艺。方案设计应对设计中采用的新技术及节能技术的应用进行三个以上方案技术经济比较，提出比较分析报告和推荐方案，不另计费用。</w:t>
      </w:r>
    </w:p>
    <w:p w14:paraId="35036484">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（4）承包人应根据实施方案提交工程投资估算编制说明、投资估算表、执行的估算指标并附表说明。</w:t>
      </w:r>
    </w:p>
    <w:p w14:paraId="3F10091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（5）结构体系应进行初步的计算，保证结构方案是可行的。</w:t>
      </w:r>
    </w:p>
    <w:p w14:paraId="34F54E7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（6）承包人对各专业采用的新技术应作详细的介绍，以便进行评审和据以进行下一步的设计。</w:t>
      </w:r>
    </w:p>
    <w:p w14:paraId="5BF61A7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（7）在深化方案设计时，承包人应以书面形式明确设计中确有需要进行试验的项目，并在初步设计之前提交给发包人审查确认；经发包人确认后，承包人应及时提供试验方案及相关技术要求。</w:t>
      </w:r>
    </w:p>
    <w:p w14:paraId="5A6FA111">
      <w:pPr>
        <w:adjustRightInd w:val="0"/>
        <w:snapToGrid w:val="0"/>
        <w:spacing w:line="360" w:lineRule="auto"/>
        <w:ind w:firstLine="440" w:firstLineChars="200"/>
        <w:rPr>
          <w:rFonts w:hint="eastAsia" w:ascii="宋体" w:hAnsi="宋体" w:cs="宋体"/>
          <w:b/>
          <w:snapToGrid w:val="0"/>
          <w:kern w:val="0"/>
          <w:szCs w:val="21"/>
        </w:rPr>
      </w:pPr>
      <w:r>
        <w:rPr>
          <w:rFonts w:hint="eastAsia" w:ascii="宋体" w:hAnsi="宋体" w:cs="宋体"/>
          <w:b/>
          <w:snapToGrid w:val="0"/>
          <w:kern w:val="0"/>
          <w:szCs w:val="21"/>
        </w:rPr>
        <w:t>4.5初步设计阶段的主要工作及要求</w:t>
      </w:r>
    </w:p>
    <w:p w14:paraId="5409CCF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4.5.1</w:t>
      </w:r>
      <w:r>
        <w:rPr>
          <w:rFonts w:hint="eastAsia" w:ascii="宋体" w:hAnsi="宋体" w:cs="宋体"/>
          <w:snapToGrid w:val="0"/>
          <w:kern w:val="0"/>
          <w:szCs w:val="21"/>
        </w:rPr>
        <w:t>提交</w:t>
      </w:r>
      <w:r>
        <w:rPr>
          <w:rFonts w:hint="eastAsia" w:ascii="宋体" w:hAnsi="宋体" w:cs="宋体"/>
          <w:snapToGrid w:val="0"/>
          <w:spacing w:val="-4"/>
          <w:kern w:val="0"/>
          <w:szCs w:val="21"/>
        </w:rPr>
        <w:t>初步</w:t>
      </w:r>
      <w:r>
        <w:rPr>
          <w:rFonts w:hint="eastAsia" w:ascii="宋体" w:hAnsi="宋体" w:cs="宋体"/>
          <w:snapToGrid w:val="0"/>
          <w:kern w:val="0"/>
          <w:szCs w:val="21"/>
        </w:rPr>
        <w:t>设计成果文件</w:t>
      </w:r>
    </w:p>
    <w:p w14:paraId="24551697">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初步设计成果文件应按建设部批准的《建筑工程设计文件编制深度规定》（2016版）初步设计阶段的要求进行编制，由总章和各专业设计文件分章编制而成，应包括如下设计成果文件（包括但不限于）：</w:t>
      </w:r>
    </w:p>
    <w:p w14:paraId="775F53B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（1）初步设计方案编制；</w:t>
      </w:r>
    </w:p>
    <w:p w14:paraId="4C382A0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（2）设计说明书（含设计总说明、各专业的设计说明书、结构计算书）；</w:t>
      </w:r>
    </w:p>
    <w:p w14:paraId="55B550A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（3）设计图纸（由各专业设计图纸组成，总图比例</w:t>
      </w:r>
      <w:r>
        <w:rPr>
          <w:rFonts w:hint="eastAsia" w:ascii="宋体" w:hAnsi="宋体" w:cs="宋体"/>
          <w:snapToGrid w:val="0"/>
          <w:kern w:val="0"/>
          <w:szCs w:val="21"/>
          <w:u w:val="single"/>
        </w:rPr>
        <w:t>1：500～1000</w:t>
      </w:r>
      <w:r>
        <w:rPr>
          <w:rFonts w:hint="eastAsia" w:ascii="宋体" w:hAnsi="宋体" w:cs="宋体"/>
          <w:snapToGrid w:val="0"/>
          <w:kern w:val="0"/>
          <w:szCs w:val="21"/>
        </w:rPr>
        <w:t>，其它图比例</w:t>
      </w:r>
      <w:r>
        <w:rPr>
          <w:rFonts w:hint="eastAsia" w:ascii="宋体" w:hAnsi="宋体" w:cs="宋体"/>
          <w:snapToGrid w:val="0"/>
          <w:kern w:val="0"/>
          <w:szCs w:val="21"/>
          <w:u w:val="single"/>
        </w:rPr>
        <w:t>1：100～150</w:t>
      </w:r>
      <w:r>
        <w:rPr>
          <w:rFonts w:hint="eastAsia" w:ascii="宋体" w:hAnsi="宋体" w:cs="宋体"/>
          <w:snapToGrid w:val="0"/>
          <w:kern w:val="0"/>
          <w:szCs w:val="21"/>
        </w:rPr>
        <w:t>）；</w:t>
      </w:r>
    </w:p>
    <w:p w14:paraId="5BBF572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 xml:space="preserve">（4）设计概算（即工程设计概算），概算文件的编制及软件使用需符合发包人的要求； </w:t>
      </w:r>
    </w:p>
    <w:p w14:paraId="74623D6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（5）效果图及透视图；</w:t>
      </w:r>
    </w:p>
    <w:p w14:paraId="57135E66">
      <w:pPr>
        <w:adjustRightInd w:val="0"/>
        <w:snapToGrid w:val="0"/>
        <w:spacing w:line="360" w:lineRule="auto"/>
        <w:ind w:firstLine="440" w:firstLineChars="200"/>
        <w:rPr>
          <w:rFonts w:hint="eastAsia" w:ascii="宋体" w:hAnsi="宋体" w:cs="宋体"/>
          <w:strike/>
          <w:snapToGrid w:val="0"/>
          <w:kern w:val="0"/>
          <w:szCs w:val="21"/>
        </w:rPr>
      </w:pPr>
      <w:r>
        <w:rPr>
          <w:rFonts w:hint="eastAsia" w:ascii="宋体" w:hAnsi="宋体" w:cs="宋体"/>
          <w:snapToGrid w:val="0"/>
          <w:kern w:val="0"/>
          <w:szCs w:val="21"/>
        </w:rPr>
        <w:t>（6）报批模型（比例</w:t>
      </w:r>
      <w:r>
        <w:rPr>
          <w:rFonts w:hint="eastAsia" w:ascii="宋体" w:hAnsi="宋体" w:cs="宋体"/>
          <w:snapToGrid w:val="0"/>
          <w:kern w:val="0"/>
          <w:szCs w:val="21"/>
          <w:u w:val="single"/>
        </w:rPr>
        <w:t xml:space="preserve"> 1:300 </w:t>
      </w:r>
      <w:r>
        <w:rPr>
          <w:rFonts w:hint="eastAsia" w:ascii="宋体" w:hAnsi="宋体" w:cs="宋体"/>
          <w:snapToGrid w:val="0"/>
          <w:kern w:val="0"/>
          <w:szCs w:val="21"/>
        </w:rPr>
        <w:t>）；</w:t>
      </w:r>
    </w:p>
    <w:p w14:paraId="447B5F3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（7）主要材料样板。</w:t>
      </w:r>
    </w:p>
    <w:p w14:paraId="3DFC445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承包人应向发包人提交初步方案设计成果文件图纸及文本文件</w:t>
      </w:r>
      <w:r>
        <w:rPr>
          <w:rFonts w:hint="eastAsia" w:ascii="宋体" w:hAnsi="宋体" w:cs="宋体"/>
          <w:snapToGrid w:val="0"/>
          <w:kern w:val="0"/>
          <w:szCs w:val="21"/>
          <w:u w:val="single"/>
        </w:rPr>
        <w:t>8</w:t>
      </w:r>
      <w:r>
        <w:rPr>
          <w:rFonts w:hint="eastAsia" w:ascii="宋体" w:hAnsi="宋体" w:cs="宋体"/>
          <w:snapToGrid w:val="0"/>
          <w:kern w:val="0"/>
          <w:szCs w:val="21"/>
        </w:rPr>
        <w:t>套、概算</w:t>
      </w:r>
      <w:r>
        <w:rPr>
          <w:rFonts w:hint="eastAsia" w:ascii="宋体" w:hAnsi="宋体" w:cs="宋体"/>
          <w:snapToGrid w:val="0"/>
          <w:kern w:val="0"/>
          <w:szCs w:val="21"/>
          <w:u w:val="single"/>
        </w:rPr>
        <w:t>8</w:t>
      </w:r>
      <w:r>
        <w:rPr>
          <w:rFonts w:hint="eastAsia" w:ascii="宋体" w:hAnsi="宋体" w:cs="宋体"/>
          <w:snapToGrid w:val="0"/>
          <w:kern w:val="0"/>
          <w:szCs w:val="21"/>
        </w:rPr>
        <w:t>份、效果图各一式</w:t>
      </w:r>
      <w:r>
        <w:rPr>
          <w:rFonts w:hint="eastAsia" w:ascii="宋体" w:hAnsi="宋体" w:cs="宋体"/>
          <w:snapToGrid w:val="0"/>
          <w:kern w:val="0"/>
          <w:szCs w:val="21"/>
          <w:u w:val="single"/>
        </w:rPr>
        <w:t xml:space="preserve"> 2 </w:t>
      </w:r>
      <w:r>
        <w:rPr>
          <w:rFonts w:hint="eastAsia" w:ascii="宋体" w:hAnsi="宋体" w:cs="宋体"/>
          <w:snapToGrid w:val="0"/>
          <w:kern w:val="0"/>
          <w:szCs w:val="21"/>
        </w:rPr>
        <w:t>套、电子文档光盘</w:t>
      </w:r>
      <w:r>
        <w:rPr>
          <w:rFonts w:hint="eastAsia" w:ascii="宋体" w:hAnsi="宋体" w:cs="宋体"/>
          <w:snapToGrid w:val="0"/>
          <w:kern w:val="0"/>
          <w:szCs w:val="21"/>
          <w:u w:val="single"/>
        </w:rPr>
        <w:t xml:space="preserve">  2 </w:t>
      </w:r>
      <w:r>
        <w:rPr>
          <w:rFonts w:hint="eastAsia" w:ascii="宋体" w:hAnsi="宋体" w:cs="宋体"/>
          <w:snapToGrid w:val="0"/>
          <w:kern w:val="0"/>
          <w:szCs w:val="21"/>
        </w:rPr>
        <w:t>套、专业报建（市政、消防、绿化）所需设计成果文件各</w:t>
      </w:r>
      <w:r>
        <w:rPr>
          <w:rFonts w:hint="eastAsia" w:ascii="宋体" w:hAnsi="宋体" w:cs="宋体"/>
          <w:snapToGrid w:val="0"/>
          <w:kern w:val="0"/>
          <w:szCs w:val="21"/>
          <w:u w:val="single"/>
        </w:rPr>
        <w:t>8</w:t>
      </w:r>
      <w:r>
        <w:rPr>
          <w:rFonts w:hint="eastAsia" w:ascii="宋体" w:hAnsi="宋体" w:cs="宋体"/>
          <w:snapToGrid w:val="0"/>
          <w:kern w:val="0"/>
          <w:szCs w:val="21"/>
        </w:rPr>
        <w:t>套；文件加盖设计单位出图章、注册建筑师章、注册结构工程师章，各专业负责人、承包人签署。</w:t>
      </w:r>
    </w:p>
    <w:p w14:paraId="0FE6798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4.5.2</w:t>
      </w:r>
      <w:r>
        <w:rPr>
          <w:rFonts w:hint="eastAsia" w:ascii="宋体" w:hAnsi="宋体" w:cs="宋体"/>
          <w:snapToGrid w:val="0"/>
          <w:kern w:val="0"/>
          <w:szCs w:val="21"/>
        </w:rPr>
        <w:t>初步设计阶段的工作要求</w:t>
      </w:r>
    </w:p>
    <w:p w14:paraId="21D0CDD3">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（1）初步设计文件均以各工程子项为编制单位。</w:t>
      </w:r>
    </w:p>
    <w:p w14:paraId="09A5D964">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初步设计阶段须对结构体系、机电设备安装（包括主要设备选型）、室内装修方案、新技术及节能技术的应用进行两个以上方案的综合技术经济比较（其主要内容含于本专业初步设计说明书中），使设计具备先进性、可靠性和经济合理性，并满足以下要求：</w:t>
      </w:r>
    </w:p>
    <w:p w14:paraId="6BCC5A4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1）应符合发包人批准的设计方案和实施性方案；</w:t>
      </w:r>
    </w:p>
    <w:p w14:paraId="7504F80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2）能据以准备各主要设备、材料及饰面材料（送板）；</w:t>
      </w:r>
    </w:p>
    <w:p w14:paraId="0AD122F9">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3）能据以编制、审核工程设计概算；</w:t>
      </w:r>
    </w:p>
    <w:p w14:paraId="7EF3DAE7">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4）能据以进行施工准备；</w:t>
      </w:r>
    </w:p>
    <w:p w14:paraId="4E4D5194">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5）能作为各专业施工图设计的依据。</w:t>
      </w:r>
    </w:p>
    <w:p w14:paraId="010D2AD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（3）初步设计中的结构设计文件，应对结构的选型、布置、截面尺寸、材料用量等予以明确。</w:t>
      </w:r>
    </w:p>
    <w:p w14:paraId="3A3B3858">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（4）承包人须根据发包人的相关规定和要求进行工程设计概算的编制，概算文件中的开项必须齐全完整，造价指标必须准确，须满足工程投资控制的要求。</w:t>
      </w:r>
    </w:p>
    <w:p w14:paraId="1B84D93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如果承包人的概算编制质量不满足发包人要求，发包人有权另行委托造价专业机构编制，所需费用在承包人的设计费中扣除（金额不限于本合同约定的概算编制费金额）；如果因此影响设计进度导致不能按期交付相应阶段设计成果文件的，承包人还应该承担工期违约责任。</w:t>
      </w:r>
    </w:p>
    <w:p w14:paraId="3E81CC9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如果承包人编制的概算超过政府主管部门核准的工程投资估算总额和建筑安装工程费，承包人应调整设计方案，直至满足发包人对造价合理性、可靠性、先进性等全部要求。</w:t>
      </w:r>
    </w:p>
    <w:p w14:paraId="00D5D4C0">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（5）承包人应重点对建筑单体室内外给水、排水、电气、采暖通风、空调、动力等管线进行各专业综合分析,协调并解决其中矛盾, 成果包括室内外管线综合平衡图、场外管线综合总图和相关专业图纸及说明书。</w:t>
      </w:r>
    </w:p>
    <w:p w14:paraId="3BC1A4DF">
      <w:pPr>
        <w:spacing w:line="360" w:lineRule="auto"/>
        <w:ind w:firstLine="440" w:firstLineChars="200"/>
        <w:rPr>
          <w:rFonts w:hint="eastAsia" w:ascii="宋体" w:hAnsi="宋体" w:cs="宋体"/>
          <w:snapToGrid w:val="0"/>
          <w:kern w:val="0"/>
          <w:szCs w:val="21"/>
          <w:u w:val="single"/>
        </w:rPr>
      </w:pPr>
      <w:r>
        <w:rPr>
          <w:rFonts w:hint="eastAsia" w:ascii="宋体" w:hAnsi="宋体" w:cs="宋体"/>
          <w:snapToGrid w:val="0"/>
          <w:kern w:val="0"/>
          <w:szCs w:val="21"/>
        </w:rPr>
        <w:t>（6）承包人必须准确计算建筑单体的建筑面积，完善建设规模及经济指标说明。</w:t>
      </w:r>
    </w:p>
    <w:p w14:paraId="4BAB1B45">
      <w:pPr>
        <w:spacing w:line="360" w:lineRule="auto"/>
        <w:ind w:firstLine="440" w:firstLineChars="200"/>
        <w:rPr>
          <w:rFonts w:hint="eastAsia" w:ascii="宋体" w:hAnsi="宋体" w:cs="宋体"/>
          <w:b/>
          <w:bCs/>
          <w:snapToGrid w:val="0"/>
          <w:kern w:val="0"/>
          <w:szCs w:val="21"/>
        </w:rPr>
      </w:pPr>
      <w:r>
        <w:rPr>
          <w:rFonts w:hint="eastAsia" w:ascii="宋体" w:hAnsi="宋体" w:cs="宋体"/>
          <w:b/>
          <w:bCs/>
          <w:snapToGrid w:val="0"/>
          <w:kern w:val="0"/>
          <w:szCs w:val="21"/>
        </w:rPr>
        <w:t>4.6材料、设备选型的设计配合</w:t>
      </w:r>
    </w:p>
    <w:p w14:paraId="224D5F1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4.6.1</w:t>
      </w:r>
      <w:r>
        <w:rPr>
          <w:rFonts w:hint="eastAsia" w:ascii="宋体" w:hAnsi="宋体" w:cs="宋体"/>
          <w:snapToGrid w:val="0"/>
          <w:kern w:val="0"/>
          <w:szCs w:val="21"/>
        </w:rPr>
        <w:t>设计成果文件中选用的建筑材料、建筑构配件和设备，其质量标准必须符合国家规范、标准要求。</w:t>
      </w:r>
    </w:p>
    <w:p w14:paraId="57D6E5B7">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4.6.2</w:t>
      </w:r>
      <w:r>
        <w:rPr>
          <w:rFonts w:hint="eastAsia" w:ascii="宋体" w:hAnsi="宋体" w:cs="宋体"/>
          <w:snapToGrid w:val="0"/>
          <w:kern w:val="0"/>
          <w:szCs w:val="21"/>
        </w:rPr>
        <w:t>承包人应负责编制设备、材料采购的技术文件，内容包括材料设备短名单，装修与设备标准以及相应的技术要求书，设备、材料采购清单、技术规格书、必要的附图、技术参数表、采购说明和采购时间表等，并包含施工要求、安装说明，同时并对国内规范以外设计文件所涉及的内容提出验收标准。</w:t>
      </w:r>
    </w:p>
    <w:p w14:paraId="0F8F462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4.6.3</w:t>
      </w:r>
      <w:r>
        <w:rPr>
          <w:rFonts w:hint="eastAsia" w:ascii="宋体" w:hAnsi="宋体" w:cs="宋体"/>
          <w:snapToGrid w:val="0"/>
          <w:kern w:val="0"/>
          <w:szCs w:val="21"/>
        </w:rPr>
        <w:t>设计文件对于工艺、技术、材料、设备的选用应该满足施工进度的要求，充分考虑设计的可实施性，重视和吸收施工单位对施工安装提出的意见，并充分考虑国内承建商的施工能力。</w:t>
      </w:r>
    </w:p>
    <w:p w14:paraId="1A484C79">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4.6.4</w:t>
      </w:r>
      <w:r>
        <w:rPr>
          <w:rFonts w:hint="eastAsia" w:ascii="宋体" w:hAnsi="宋体" w:cs="宋体"/>
          <w:snapToGrid w:val="0"/>
          <w:kern w:val="0"/>
          <w:szCs w:val="21"/>
        </w:rPr>
        <w:t>设计所选用的建筑材料及设备（包括各专业采用的材料、设备），应提交进行性能价格的分析比较报告，不应选用不节能或已淘汰的产品；设备的选用必须考虑相关的系统配套，原则上应优先采用国内产品。国内没有的建筑材料和设备或国内材料和设备性能无法达到设计要求或其价格高于进口价格时，才采用进口材料和设备。设计中采用的材料和设备均须按中国、广东省、广州市及南沙区有关法律、行政法规和规章的要求，提供明确的技术资料（包括性能指标、规格、型号等方面的资料）。</w:t>
      </w:r>
    </w:p>
    <w:p w14:paraId="4593058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4.6.5</w:t>
      </w:r>
      <w:r>
        <w:rPr>
          <w:rFonts w:hint="eastAsia" w:ascii="宋体" w:hAnsi="宋体" w:cs="宋体"/>
          <w:snapToGrid w:val="0"/>
          <w:kern w:val="0"/>
          <w:szCs w:val="21"/>
        </w:rPr>
        <w:t>承包人应及时提供工程的各主要建筑材料和设备的生产厂商及价格等资料，供发包人选择时参考。</w:t>
      </w:r>
    </w:p>
    <w:p w14:paraId="4AE4BA9A">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4.6.6</w:t>
      </w:r>
      <w:r>
        <w:rPr>
          <w:rFonts w:hint="eastAsia" w:ascii="宋体" w:hAnsi="宋体" w:cs="宋体"/>
          <w:snapToGrid w:val="0"/>
          <w:kern w:val="0"/>
          <w:szCs w:val="21"/>
        </w:rPr>
        <w:t>承包人的设计文件在对本合同工程设备材料的技术要求进行描述时不得带有倾向性、排它性、指向某一特定厂商品牌或指向某一具有独一性的材料设备。如根据项目的定位、功能等的要求必须选用某种品牌或某一具有独一性的材料、设备时，承包人应事前书面详细报告发包人并获得发包人批准。</w:t>
      </w:r>
    </w:p>
    <w:p w14:paraId="2F8FFC03">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4.6.7</w:t>
      </w:r>
      <w:r>
        <w:rPr>
          <w:rFonts w:hint="eastAsia" w:ascii="宋体" w:hAnsi="宋体" w:cs="宋体"/>
          <w:snapToGrid w:val="0"/>
          <w:kern w:val="0"/>
          <w:szCs w:val="21"/>
        </w:rPr>
        <w:t>对于由发包人拟定的候选建筑材料和设备，在厂商提供符合设计要求的技术资料后，承包人须协助发包人鉴别其优劣并提供相关咨询意见。同时，承包人应派本项目专业负责人参与发包人组织的相关看样定板工作，出具材料和设备选型的相关技术意见。</w:t>
      </w:r>
    </w:p>
    <w:p w14:paraId="5E20B077">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4.6.8</w:t>
      </w:r>
      <w:r>
        <w:rPr>
          <w:rFonts w:hint="eastAsia" w:ascii="宋体" w:hAnsi="宋体" w:cs="宋体"/>
          <w:snapToGrid w:val="0"/>
          <w:kern w:val="0"/>
          <w:szCs w:val="21"/>
        </w:rPr>
        <w:t>由于本合同工程中采用新工艺而导致需要采用的新材料、新设备的，承包人原则上须在项目档次定位的基础上向发包人推荐三家以上可供货的国内或国外厂商名称、以往业绩、产品质量标准、价格资料及样板等，所推荐的三家单位的材料、设备应该在价格水平上处于同一档次。</w:t>
      </w:r>
    </w:p>
    <w:p w14:paraId="2C55F2A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4.6.9</w:t>
      </w:r>
      <w:r>
        <w:rPr>
          <w:rFonts w:hint="eastAsia" w:ascii="宋体" w:hAnsi="宋体" w:cs="宋体"/>
          <w:snapToGrid w:val="0"/>
          <w:kern w:val="0"/>
          <w:szCs w:val="21"/>
        </w:rPr>
        <w:t>承包人应对本合同工程中可能采用的特殊设备和材料进行分析，若在设计过程中需要预先选定相关的材料、设备供应商，以便为设计过程提供必要的技术支持，承包人应提前向发包人提出选定材料设备供应商的建议（包括国产和国外进口的）。</w:t>
      </w:r>
    </w:p>
    <w:p w14:paraId="25689D8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4.6.10</w:t>
      </w:r>
      <w:r>
        <w:rPr>
          <w:rFonts w:hint="eastAsia" w:ascii="宋体" w:hAnsi="宋体" w:cs="宋体"/>
          <w:snapToGrid w:val="0"/>
          <w:kern w:val="0"/>
          <w:szCs w:val="21"/>
        </w:rPr>
        <w:t>承包人应详细了解市场上本合同工程的主要材料和设备生产商的供货能力和供货周期（包括生产时间和运输时间），并据此向发包人提出各种主要材料和设备（包括国产和国外进口的）的提前订货时间的建议。</w:t>
      </w:r>
    </w:p>
    <w:p w14:paraId="6B0A6431">
      <w:pPr>
        <w:adjustRightInd w:val="0"/>
        <w:snapToGrid w:val="0"/>
        <w:spacing w:line="360" w:lineRule="auto"/>
        <w:ind w:firstLine="440" w:firstLineChars="200"/>
        <w:outlineLvl w:val="1"/>
        <w:rPr>
          <w:rFonts w:hint="eastAsia" w:ascii="宋体" w:hAnsi="宋体" w:cs="宋体"/>
          <w:bCs/>
          <w:snapToGrid w:val="0"/>
          <w:kern w:val="0"/>
          <w:szCs w:val="21"/>
        </w:rPr>
      </w:pPr>
      <w:r>
        <w:rPr>
          <w:rFonts w:hint="eastAsia" w:ascii="宋体" w:hAnsi="宋体" w:cs="宋体"/>
          <w:b/>
          <w:bCs/>
          <w:snapToGrid w:val="0"/>
          <w:kern w:val="0"/>
          <w:szCs w:val="21"/>
        </w:rPr>
        <w:t>5.设计服务</w:t>
      </w:r>
    </w:p>
    <w:p w14:paraId="29CD2E8E">
      <w:pPr>
        <w:adjustRightInd w:val="0"/>
        <w:snapToGrid w:val="0"/>
        <w:spacing w:line="360" w:lineRule="auto"/>
        <w:ind w:firstLine="440" w:firstLineChars="200"/>
        <w:rPr>
          <w:rFonts w:hint="eastAsia" w:ascii="宋体" w:hAnsi="宋体" w:cs="宋体"/>
          <w:b/>
          <w:bCs/>
          <w:snapToGrid w:val="0"/>
          <w:kern w:val="0"/>
          <w:szCs w:val="21"/>
        </w:rPr>
      </w:pPr>
      <w:r>
        <w:rPr>
          <w:rFonts w:hint="eastAsia" w:ascii="宋体" w:hAnsi="宋体" w:cs="宋体"/>
          <w:snapToGrid w:val="0"/>
          <w:kern w:val="0"/>
          <w:szCs w:val="21"/>
        </w:rPr>
        <w:t>承包人的服务应符合国际通用的ISO9001质量管理体系对于工程设计所规定的标准及质量要求。承包人应及时地提供服务，满足发包人在时间上的要求。</w:t>
      </w:r>
    </w:p>
    <w:p w14:paraId="68765308">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5.1</w:t>
      </w:r>
      <w:r>
        <w:rPr>
          <w:rFonts w:hint="eastAsia" w:ascii="宋体" w:hAnsi="宋体" w:cs="宋体"/>
          <w:snapToGrid w:val="0"/>
          <w:kern w:val="0"/>
          <w:szCs w:val="21"/>
        </w:rPr>
        <w:t>驻场设计</w:t>
      </w:r>
    </w:p>
    <w:p w14:paraId="56AB20A0">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5.1.1</w:t>
      </w:r>
      <w:r>
        <w:rPr>
          <w:rFonts w:hint="eastAsia" w:ascii="宋体" w:hAnsi="宋体" w:cs="宋体"/>
          <w:snapToGrid w:val="0"/>
          <w:kern w:val="0"/>
          <w:szCs w:val="21"/>
        </w:rPr>
        <w:t>为便于发包人与承包人及时沟通及协调，以保证承包人的设计成果文件能更好地体现发包人的建设意图，必要时，承包人应根据发包人的要求，在指定的地点投入本合同约定的专业人员（要求中级以上职称）、设备及设施，实施本合同工程的设计工作。</w:t>
      </w:r>
    </w:p>
    <w:p w14:paraId="2DAAE11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5.1.2</w:t>
      </w:r>
      <w:r>
        <w:rPr>
          <w:rFonts w:hint="eastAsia" w:ascii="宋体" w:hAnsi="宋体" w:cs="宋体"/>
          <w:snapToGrid w:val="0"/>
          <w:kern w:val="0"/>
          <w:szCs w:val="21"/>
        </w:rPr>
        <w:t>承包人驻场设计人员应满足发包人进度的相关要求，并全部统一纳入发包人的统一管理，按发包人办公需要登记工作时间（同发包人单位的作息时间规定），必要时，发包人有权要求承包人驻场设计人员只为本合同工程服务，不得再参与其他工作。</w:t>
      </w:r>
    </w:p>
    <w:p w14:paraId="48A2448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5.1.3</w:t>
      </w:r>
      <w:r>
        <w:rPr>
          <w:rFonts w:hint="eastAsia" w:ascii="宋体" w:hAnsi="宋体" w:cs="宋体"/>
          <w:snapToGrid w:val="0"/>
          <w:kern w:val="0"/>
          <w:szCs w:val="21"/>
        </w:rPr>
        <w:t>承包人现场指导和配合投入的名单应满足发包人的相关要求，按合同的《项目设计工作配合人员承诺表》执行。</w:t>
      </w:r>
    </w:p>
    <w:p w14:paraId="57A4EA0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 xml:space="preserve">5.1.4 </w:t>
      </w:r>
      <w:r>
        <w:rPr>
          <w:rFonts w:hint="eastAsia" w:ascii="宋体" w:hAnsi="宋体" w:cs="宋体"/>
          <w:snapToGrid w:val="0"/>
          <w:kern w:val="0"/>
          <w:szCs w:val="21"/>
        </w:rPr>
        <w:t>承包人应保证驻场人员的稳定性，原则上在驻场期间不得更换，确须更换的应向发包人提出书面报告且征得同意后方可更换。</w:t>
      </w:r>
    </w:p>
    <w:p w14:paraId="7D5F24BB">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5.1.5</w:t>
      </w:r>
      <w:r>
        <w:rPr>
          <w:rFonts w:hint="eastAsia" w:ascii="宋体" w:hAnsi="宋体" w:cs="宋体"/>
          <w:snapToGrid w:val="0"/>
          <w:kern w:val="0"/>
          <w:szCs w:val="21"/>
        </w:rPr>
        <w:t>承包人驻场设计人员联系方式包括手机号码告知发包人，合同履行期间每天上午8点至晚上10点，发包人应可以联系到上述人员。承包人设计人员如需请假必须经过发包人同意并安排好后续工作后方可休假。</w:t>
      </w:r>
    </w:p>
    <w:p w14:paraId="08094F64">
      <w:pPr>
        <w:adjustRightInd w:val="0"/>
        <w:snapToGrid w:val="0"/>
        <w:spacing w:line="360" w:lineRule="auto"/>
        <w:ind w:firstLine="440" w:firstLineChars="200"/>
        <w:rPr>
          <w:rFonts w:hint="eastAsia" w:ascii="宋体" w:hAnsi="宋体" w:cs="宋体"/>
          <w:b/>
          <w:snapToGrid w:val="0"/>
          <w:kern w:val="0"/>
          <w:szCs w:val="21"/>
        </w:rPr>
      </w:pPr>
      <w:r>
        <w:rPr>
          <w:rFonts w:hint="eastAsia" w:ascii="宋体" w:hAnsi="宋体" w:cs="宋体"/>
          <w:b/>
          <w:snapToGrid w:val="0"/>
          <w:kern w:val="0"/>
          <w:szCs w:val="21"/>
        </w:rPr>
        <w:t>5.2报审报建配合服务</w:t>
      </w:r>
    </w:p>
    <w:p w14:paraId="1B0F3D0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5.2.1</w:t>
      </w:r>
      <w:r>
        <w:rPr>
          <w:rFonts w:hint="eastAsia" w:ascii="宋体" w:hAnsi="宋体" w:cs="宋体"/>
          <w:snapToGrid w:val="0"/>
          <w:kern w:val="0"/>
          <w:szCs w:val="21"/>
        </w:rPr>
        <w:t>承包人应在设计过程各阶段按照本项目报审报建的要求，提交所有必需的文件、图纸及其相应的电子文件（刻制成光盘），并配合报审报建过程中必要的技术协调、送审技术性文件等工作，直至完成所有审批手续。</w:t>
      </w:r>
    </w:p>
    <w:p w14:paraId="0914650B">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5.2.2</w:t>
      </w:r>
      <w:r>
        <w:rPr>
          <w:rFonts w:hint="eastAsia" w:ascii="宋体" w:hAnsi="宋体" w:cs="宋体"/>
          <w:snapToGrid w:val="0"/>
          <w:kern w:val="0"/>
          <w:szCs w:val="21"/>
        </w:rPr>
        <w:t>对承包人提交报审报建资料的要求：提交的文件、图纸及其相应的电子文件按照相关报审报建职能部门或主管部门的提交要求和份数要求。</w:t>
      </w:r>
    </w:p>
    <w:p w14:paraId="02B6B099">
      <w:pPr>
        <w:adjustRightInd w:val="0"/>
        <w:snapToGrid w:val="0"/>
        <w:spacing w:line="360" w:lineRule="auto"/>
        <w:ind w:firstLine="440" w:firstLineChars="200"/>
        <w:rPr>
          <w:rFonts w:hint="eastAsia" w:ascii="宋体" w:hAnsi="宋体" w:cs="宋体"/>
          <w:b/>
          <w:snapToGrid w:val="0"/>
          <w:kern w:val="0"/>
          <w:szCs w:val="21"/>
        </w:rPr>
      </w:pPr>
      <w:r>
        <w:rPr>
          <w:rFonts w:hint="eastAsia" w:ascii="宋体" w:hAnsi="宋体" w:cs="宋体"/>
          <w:b/>
          <w:snapToGrid w:val="0"/>
          <w:kern w:val="0"/>
          <w:szCs w:val="21"/>
        </w:rPr>
        <w:t>5.2.3</w:t>
      </w:r>
      <w:r>
        <w:rPr>
          <w:rFonts w:hint="eastAsia" w:ascii="宋体" w:hAnsi="宋体" w:cs="宋体"/>
          <w:snapToGrid w:val="0"/>
          <w:kern w:val="0"/>
          <w:szCs w:val="21"/>
        </w:rPr>
        <w:t>报审报建配合服务：</w:t>
      </w:r>
      <w:r>
        <w:rPr>
          <w:rFonts w:hint="eastAsia" w:ascii="宋体" w:hAnsi="宋体" w:cs="宋体"/>
          <w:b/>
          <w:snapToGrid w:val="0"/>
          <w:kern w:val="0"/>
          <w:szCs w:val="21"/>
        </w:rPr>
        <w:t>承包人应安排专人（1名）全面配合跟进所有报审报建工作。</w:t>
      </w:r>
    </w:p>
    <w:p w14:paraId="35F8C16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 xml:space="preserve">5.3 </w:t>
      </w:r>
      <w:r>
        <w:rPr>
          <w:rFonts w:hint="eastAsia" w:ascii="宋体" w:hAnsi="宋体" w:cs="宋体"/>
          <w:snapToGrid w:val="0"/>
          <w:kern w:val="0"/>
          <w:szCs w:val="21"/>
        </w:rPr>
        <w:t>招标配合服务</w:t>
      </w:r>
    </w:p>
    <w:p w14:paraId="4A05BD7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5.3.1</w:t>
      </w:r>
      <w:r>
        <w:rPr>
          <w:rFonts w:hint="eastAsia" w:ascii="宋体" w:hAnsi="宋体" w:cs="宋体"/>
          <w:snapToGrid w:val="0"/>
          <w:kern w:val="0"/>
          <w:szCs w:val="21"/>
        </w:rPr>
        <w:t>承包人应在发包人进行的工程施工招标、设备材料采购招标过程中提供技术指导，编制用户需求书，制定技术文件（包括主要材料设备清单、技术规格书等），根据发包人的要求参加招投标答疑会，审核答疑文件，审核及签署设备、材料供货合同技术附件，并根据发包人的要求配合发包人进行合同技术条款的谈判工作。</w:t>
      </w:r>
    </w:p>
    <w:p w14:paraId="77F7CDD3">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5.3.2</w:t>
      </w:r>
      <w:r>
        <w:rPr>
          <w:rFonts w:hint="eastAsia" w:ascii="宋体" w:hAnsi="宋体" w:cs="宋体"/>
          <w:snapToGrid w:val="0"/>
          <w:kern w:val="0"/>
          <w:szCs w:val="21"/>
        </w:rPr>
        <w:t>对于发包人召开的相关招标会议（如招投标答疑会、预算会议等），承包人应根据发包人的要求派出相关专业人员参加，并积极配合发包人做好投标答疑文件、招标澄清文件等的编制工作。</w:t>
      </w:r>
    </w:p>
    <w:p w14:paraId="53A3E6C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5.3.3</w:t>
      </w:r>
      <w:r>
        <w:rPr>
          <w:rFonts w:hint="eastAsia" w:ascii="宋体" w:hAnsi="宋体" w:cs="宋体"/>
          <w:snapToGrid w:val="0"/>
          <w:kern w:val="0"/>
          <w:szCs w:val="21"/>
        </w:rPr>
        <w:t xml:space="preserve"> 承包人根据发包人要求（包括时间要求、深度要求等）提供本合同工程进行招标所需的设计成果文件。</w:t>
      </w:r>
    </w:p>
    <w:p w14:paraId="4AA81FC3">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5.3.4</w:t>
      </w:r>
      <w:r>
        <w:rPr>
          <w:rFonts w:hint="eastAsia" w:ascii="宋体" w:hAnsi="宋体" w:cs="宋体"/>
          <w:snapToGrid w:val="0"/>
          <w:kern w:val="0"/>
          <w:szCs w:val="21"/>
        </w:rPr>
        <w:t>承包人应负责协调各专业设计单位编写工程施工、材料设备等招标文件中的技术和质量标准。</w:t>
      </w:r>
    </w:p>
    <w:p w14:paraId="6018BB69">
      <w:pPr>
        <w:adjustRightInd w:val="0"/>
        <w:snapToGrid w:val="0"/>
        <w:spacing w:line="360" w:lineRule="auto"/>
        <w:ind w:firstLine="440" w:firstLineChars="200"/>
        <w:outlineLvl w:val="1"/>
        <w:rPr>
          <w:rFonts w:hint="eastAsia" w:ascii="宋体" w:hAnsi="宋体" w:cs="宋体"/>
          <w:b/>
          <w:snapToGrid w:val="0"/>
          <w:kern w:val="0"/>
          <w:szCs w:val="21"/>
        </w:rPr>
      </w:pPr>
      <w:r>
        <w:rPr>
          <w:rFonts w:hint="eastAsia" w:ascii="宋体" w:hAnsi="宋体" w:cs="宋体"/>
          <w:b/>
          <w:snapToGrid w:val="0"/>
          <w:kern w:val="0"/>
          <w:szCs w:val="21"/>
        </w:rPr>
        <w:t>6.设计人员</w:t>
      </w:r>
    </w:p>
    <w:p w14:paraId="708FB177">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6.1</w:t>
      </w:r>
      <w:r>
        <w:rPr>
          <w:rFonts w:hint="eastAsia" w:ascii="宋体" w:hAnsi="宋体" w:cs="宋体"/>
          <w:snapToGrid w:val="0"/>
          <w:kern w:val="0"/>
          <w:szCs w:val="21"/>
        </w:rPr>
        <w:t>为确保本合同工程的设计质量，在明确分工各负其责的基础上，承包人在本合同履行期内为本合同工程派出的设计总负责人、设计驻场总负责人、各专业设计负责人、各专业设计驻场代表的职务、资历、资格须满足合同约定, 在本合同履行期间，非经过发包人同意，不得更换</w:t>
      </w:r>
      <w:r>
        <w:rPr>
          <w:rStyle w:val="28"/>
          <w:rFonts w:hint="eastAsia" w:ascii="宋体" w:hAnsi="宋体" w:cs="宋体"/>
        </w:rPr>
        <w:t>或再参与本合同项目以外的其他工作。</w:t>
      </w:r>
    </w:p>
    <w:p w14:paraId="057C8B00">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6.2</w:t>
      </w:r>
      <w:r>
        <w:rPr>
          <w:rFonts w:hint="eastAsia" w:ascii="宋体" w:hAnsi="宋体" w:cs="宋体"/>
          <w:snapToGrid w:val="0"/>
          <w:kern w:val="0"/>
          <w:szCs w:val="21"/>
        </w:rPr>
        <w:t>设计单位应根据设计任务建立项目组，从组织上保证投入的人力、物力能满足设计开展的需要，保证不同设计时段设计工作的连续性和外部条件接口衔接的连贯性。</w:t>
      </w:r>
    </w:p>
    <w:p w14:paraId="47CB5818">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6.3</w:t>
      </w:r>
      <w:r>
        <w:rPr>
          <w:rFonts w:hint="eastAsia" w:ascii="宋体" w:hAnsi="宋体" w:cs="宋体"/>
          <w:snapToGrid w:val="0"/>
          <w:kern w:val="0"/>
          <w:szCs w:val="21"/>
        </w:rPr>
        <w:t>发包人认为设计总负责人、设计驻场总负责人、各专业设计负责人、各专业设计驻场代表不称职时，有权向承包人发出书面更换人员通知，承包人应当在收到发包人的书面通知后5天内更换，更换人员的职务、资历、资格不得低于本合同相应条款的要求，且更换人员须先经过发包人确认。若承包人对发包人要求更换人员有异议时，可申请复议一次，若经复议后发包人仍然要求更换，则承包人应无条件进行更换，否则视承包人该人员从发包人发出更换通知的时间开始擅自离岗。</w:t>
      </w:r>
    </w:p>
    <w:p w14:paraId="15612318">
      <w:pPr>
        <w:adjustRightInd w:val="0"/>
        <w:snapToGrid w:val="0"/>
        <w:spacing w:line="360" w:lineRule="auto"/>
        <w:ind w:firstLine="440" w:firstLineChars="200"/>
        <w:outlineLvl w:val="1"/>
        <w:rPr>
          <w:rFonts w:hint="eastAsia" w:ascii="宋体" w:hAnsi="宋体" w:cs="宋体"/>
          <w:b/>
          <w:bCs/>
          <w:snapToGrid w:val="0"/>
          <w:kern w:val="0"/>
          <w:szCs w:val="21"/>
          <w:u w:val="single"/>
        </w:rPr>
      </w:pPr>
      <w:r>
        <w:rPr>
          <w:rFonts w:hint="eastAsia" w:ascii="宋体" w:hAnsi="宋体" w:cs="宋体"/>
          <w:b/>
          <w:bCs/>
          <w:snapToGrid w:val="0"/>
          <w:kern w:val="0"/>
          <w:szCs w:val="21"/>
        </w:rPr>
        <w:t>7.设计分包</w:t>
      </w:r>
    </w:p>
    <w:p w14:paraId="2FFA672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7.1</w:t>
      </w:r>
      <w:r>
        <w:rPr>
          <w:rFonts w:hint="eastAsia" w:ascii="宋体" w:hAnsi="宋体" w:cs="宋体"/>
          <w:snapToGrid w:val="0"/>
          <w:kern w:val="0"/>
          <w:szCs w:val="21"/>
        </w:rPr>
        <w:t>本合同工程的主体及关键性工作必须由承包人自行完成，不得分包。承包人投标文件中载明的非主体、非关键性工作的分包，经过发包人认可后，应在招投标文件的规定或发包人限定的时间内与分包单位签订分包合同，并在分包合同签订后7个工作日内将分包合同报送发包人和工程所在地县级以上地方人民政府建设行政主管部门备案。设计单位需提供负面清单，明确分包范围。</w:t>
      </w:r>
    </w:p>
    <w:p w14:paraId="73F3358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7.2</w:t>
      </w:r>
      <w:r>
        <w:rPr>
          <w:rFonts w:hint="eastAsia" w:ascii="宋体" w:hAnsi="宋体" w:cs="宋体"/>
          <w:snapToGrid w:val="0"/>
          <w:kern w:val="0"/>
          <w:szCs w:val="21"/>
        </w:rPr>
        <w:t>承包人所承接的专项设计内容，由于承包人自身的资质及所属设计人员的限制，或者承包人指定的专项设计分包单位不能满足发包人的要求，承包人可进行分包或由发包人将该项专业设计内容指定分包给专业设计单位；承包人因自行分包进行设计的，须事先征得发包人书面同意。分包合同在合同签订后7个工作日内将报送发包人和工程所在地县级以上地方人民政府建设行政主管部门</w:t>
      </w:r>
      <w:r>
        <w:rPr>
          <w:rFonts w:hint="eastAsia" w:ascii="宋体" w:hAnsi="宋体" w:cs="宋体"/>
          <w:szCs w:val="21"/>
        </w:rPr>
        <w:t>备案</w:t>
      </w:r>
      <w:r>
        <w:rPr>
          <w:rFonts w:hint="eastAsia" w:ascii="宋体" w:hAnsi="宋体" w:cs="宋体"/>
          <w:snapToGrid w:val="0"/>
          <w:kern w:val="0"/>
          <w:szCs w:val="21"/>
        </w:rPr>
        <w:t>。</w:t>
      </w:r>
    </w:p>
    <w:p w14:paraId="1086ECDB">
      <w:pPr>
        <w:adjustRightInd w:val="0"/>
        <w:snapToGrid w:val="0"/>
        <w:spacing w:line="360" w:lineRule="auto"/>
        <w:ind w:firstLine="440" w:firstLineChars="200"/>
        <w:outlineLvl w:val="1"/>
        <w:rPr>
          <w:rFonts w:hint="eastAsia" w:ascii="宋体" w:hAnsi="宋体" w:cs="宋体"/>
          <w:b/>
          <w:bCs/>
          <w:snapToGrid w:val="0"/>
          <w:kern w:val="0"/>
          <w:szCs w:val="21"/>
        </w:rPr>
      </w:pPr>
      <w:r>
        <w:rPr>
          <w:rFonts w:hint="eastAsia" w:ascii="宋体" w:hAnsi="宋体" w:cs="宋体"/>
          <w:b/>
          <w:bCs/>
          <w:snapToGrid w:val="0"/>
          <w:kern w:val="0"/>
          <w:szCs w:val="21"/>
        </w:rPr>
        <w:t>8.设计成果文件的提交及设计工期要求：</w:t>
      </w:r>
    </w:p>
    <w:p w14:paraId="648E27F8">
      <w:pPr>
        <w:pStyle w:val="18"/>
        <w:adjustRightInd w:val="0"/>
        <w:snapToGrid w:val="0"/>
        <w:spacing w:before="0" w:beforeAutospacing="0" w:after="0" w:afterAutospacing="0" w:line="360" w:lineRule="auto"/>
        <w:ind w:firstLine="420" w:firstLineChars="200"/>
        <w:jc w:val="both"/>
        <w:rPr>
          <w:rFonts w:hint="eastAsia" w:cs="宋体"/>
          <w:sz w:val="21"/>
          <w:szCs w:val="21"/>
        </w:rPr>
      </w:pPr>
      <w:r>
        <w:rPr>
          <w:rFonts w:hint="eastAsia" w:cs="宋体"/>
          <w:b/>
          <w:bCs/>
          <w:snapToGrid w:val="0"/>
          <w:sz w:val="21"/>
          <w:szCs w:val="21"/>
        </w:rPr>
        <w:t>8.1</w:t>
      </w:r>
      <w:r>
        <w:rPr>
          <w:rFonts w:hint="eastAsia" w:cs="宋体"/>
          <w:snapToGrid w:val="0"/>
          <w:sz w:val="21"/>
          <w:szCs w:val="21"/>
        </w:rPr>
        <w:t>承包人提交的设计成果文件应满足合同约定的时间要求：承包人在项目中标后，完成业主提出的方案修改，并在单体报建图纸经相关部门审定后</w:t>
      </w:r>
      <w:r>
        <w:rPr>
          <w:rFonts w:hint="eastAsia" w:cs="宋体"/>
          <w:snapToGrid w:val="0"/>
          <w:sz w:val="21"/>
          <w:szCs w:val="21"/>
          <w:u w:val="single"/>
        </w:rPr>
        <w:t>30个日历天</w:t>
      </w:r>
      <w:r>
        <w:rPr>
          <w:rFonts w:hint="eastAsia" w:cs="宋体"/>
          <w:snapToGrid w:val="0"/>
          <w:sz w:val="21"/>
          <w:szCs w:val="21"/>
        </w:rPr>
        <w:t>内完成各专业的初步设计及概算工作。相关设计成果文件的质量须一次性通过发包人或发包人委托的第三方根据合同约定标准进行的审核。</w:t>
      </w:r>
      <w:r>
        <w:rPr>
          <w:rFonts w:hint="eastAsia" w:cs="宋体"/>
          <w:sz w:val="21"/>
          <w:szCs w:val="21"/>
        </w:rPr>
        <w:t>承包人设计成果文件的提交时间以符合合同约定质量的设计成果文件的提交时间为准。设计成果文件提交的时间及套数如下：</w:t>
      </w:r>
    </w:p>
    <w:tbl>
      <w:tblPr>
        <w:tblStyle w:val="53"/>
        <w:tblW w:w="8789" w:type="dxa"/>
        <w:tblInd w:w="137" w:type="dxa"/>
        <w:tblLayout w:type="fixed"/>
        <w:tblCellMar>
          <w:top w:w="0" w:type="dxa"/>
          <w:left w:w="0" w:type="dxa"/>
          <w:bottom w:w="0" w:type="dxa"/>
          <w:right w:w="0" w:type="dxa"/>
        </w:tblCellMar>
      </w:tblPr>
      <w:tblGrid>
        <w:gridCol w:w="633"/>
        <w:gridCol w:w="3752"/>
        <w:gridCol w:w="1427"/>
        <w:gridCol w:w="1559"/>
        <w:gridCol w:w="1418"/>
      </w:tblGrid>
      <w:tr w14:paraId="311962CE">
        <w:tblPrEx>
          <w:tblCellMar>
            <w:top w:w="0" w:type="dxa"/>
            <w:left w:w="0" w:type="dxa"/>
            <w:bottom w:w="0" w:type="dxa"/>
            <w:right w:w="0" w:type="dxa"/>
          </w:tblCellMar>
        </w:tblPrEx>
        <w:trPr>
          <w:trHeight w:val="718" w:hRule="exact"/>
        </w:trPr>
        <w:tc>
          <w:tcPr>
            <w:tcW w:w="633" w:type="dxa"/>
            <w:tcBorders>
              <w:top w:val="single" w:color="000000" w:sz="4" w:space="0"/>
              <w:left w:val="single" w:color="000000" w:sz="4" w:space="0"/>
              <w:bottom w:val="single" w:color="000000" w:sz="4" w:space="0"/>
              <w:right w:val="single" w:color="000000" w:sz="4" w:space="0"/>
            </w:tcBorders>
            <w:vAlign w:val="center"/>
          </w:tcPr>
          <w:p w14:paraId="19E90520">
            <w:pPr>
              <w:spacing w:line="360" w:lineRule="auto"/>
              <w:jc w:val="center"/>
              <w:rPr>
                <w:rFonts w:hint="eastAsia" w:ascii="宋体" w:hAnsi="宋体" w:cs="宋体"/>
                <w:kern w:val="0"/>
                <w:szCs w:val="21"/>
                <w:lang w:eastAsia="en-US"/>
              </w:rPr>
            </w:pPr>
            <w:r>
              <w:rPr>
                <w:rFonts w:hint="eastAsia" w:ascii="宋体" w:hAnsi="宋体" w:cs="宋体"/>
                <w:kern w:val="0"/>
                <w:szCs w:val="21"/>
                <w:lang w:eastAsia="en-US"/>
              </w:rPr>
              <w:t>序号</w:t>
            </w:r>
          </w:p>
        </w:tc>
        <w:tc>
          <w:tcPr>
            <w:tcW w:w="3752" w:type="dxa"/>
            <w:tcBorders>
              <w:top w:val="single" w:color="000000" w:sz="4" w:space="0"/>
              <w:left w:val="single" w:color="000000" w:sz="4" w:space="0"/>
              <w:bottom w:val="single" w:color="000000" w:sz="4" w:space="0"/>
              <w:right w:val="single" w:color="000000" w:sz="4" w:space="0"/>
            </w:tcBorders>
            <w:vAlign w:val="center"/>
          </w:tcPr>
          <w:p w14:paraId="1440C784">
            <w:pPr>
              <w:spacing w:line="360" w:lineRule="auto"/>
              <w:jc w:val="center"/>
              <w:rPr>
                <w:rFonts w:hint="eastAsia" w:ascii="宋体" w:hAnsi="宋体" w:cs="宋体"/>
                <w:kern w:val="0"/>
                <w:szCs w:val="21"/>
                <w:lang w:eastAsia="en-US"/>
              </w:rPr>
            </w:pPr>
            <w:r>
              <w:rPr>
                <w:rFonts w:hint="eastAsia" w:ascii="宋体" w:hAnsi="宋体" w:cs="宋体"/>
                <w:kern w:val="0"/>
                <w:szCs w:val="21"/>
                <w:lang w:eastAsia="en-US"/>
              </w:rPr>
              <w:t>资料及文件名称</w:t>
            </w:r>
          </w:p>
        </w:tc>
        <w:tc>
          <w:tcPr>
            <w:tcW w:w="1427" w:type="dxa"/>
            <w:tcBorders>
              <w:top w:val="single" w:color="000000" w:sz="4" w:space="0"/>
              <w:left w:val="single" w:color="000000" w:sz="4" w:space="0"/>
              <w:bottom w:val="single" w:color="000000" w:sz="4" w:space="0"/>
              <w:right w:val="single" w:color="000000" w:sz="4" w:space="0"/>
            </w:tcBorders>
            <w:vAlign w:val="center"/>
          </w:tcPr>
          <w:p w14:paraId="24A057AC">
            <w:pPr>
              <w:spacing w:line="360" w:lineRule="auto"/>
              <w:jc w:val="center"/>
              <w:rPr>
                <w:rFonts w:hint="eastAsia" w:ascii="宋体" w:hAnsi="宋体" w:cs="宋体"/>
                <w:kern w:val="0"/>
                <w:szCs w:val="21"/>
                <w:lang w:eastAsia="en-US"/>
              </w:rPr>
            </w:pPr>
            <w:r>
              <w:rPr>
                <w:rFonts w:hint="eastAsia" w:ascii="宋体" w:hAnsi="宋体" w:cs="宋体"/>
                <w:kern w:val="0"/>
                <w:szCs w:val="21"/>
                <w:lang w:eastAsia="en-US"/>
              </w:rPr>
              <w:t>提交日期</w:t>
            </w:r>
          </w:p>
        </w:tc>
        <w:tc>
          <w:tcPr>
            <w:tcW w:w="1559" w:type="dxa"/>
            <w:tcBorders>
              <w:top w:val="single" w:color="000000" w:sz="4" w:space="0"/>
              <w:left w:val="single" w:color="000000" w:sz="4" w:space="0"/>
              <w:bottom w:val="single" w:color="000000" w:sz="4" w:space="0"/>
              <w:right w:val="single" w:color="000000" w:sz="4" w:space="0"/>
            </w:tcBorders>
            <w:vAlign w:val="center"/>
          </w:tcPr>
          <w:p w14:paraId="76989210">
            <w:pPr>
              <w:spacing w:line="360" w:lineRule="auto"/>
              <w:jc w:val="center"/>
              <w:rPr>
                <w:rFonts w:hint="eastAsia" w:ascii="宋体" w:hAnsi="宋体" w:cs="宋体"/>
                <w:kern w:val="0"/>
                <w:szCs w:val="21"/>
                <w:lang w:eastAsia="en-US"/>
              </w:rPr>
            </w:pPr>
            <w:r>
              <w:rPr>
                <w:rFonts w:hint="eastAsia" w:ascii="宋体" w:hAnsi="宋体" w:cs="宋体"/>
                <w:kern w:val="0"/>
                <w:szCs w:val="21"/>
                <w:lang w:eastAsia="en-US"/>
              </w:rPr>
              <w:t>份数</w:t>
            </w:r>
          </w:p>
        </w:tc>
        <w:tc>
          <w:tcPr>
            <w:tcW w:w="1418" w:type="dxa"/>
            <w:tcBorders>
              <w:top w:val="single" w:color="000000" w:sz="4" w:space="0"/>
              <w:left w:val="single" w:color="000000" w:sz="4" w:space="0"/>
              <w:bottom w:val="single" w:color="000000" w:sz="4" w:space="0"/>
              <w:right w:val="single" w:color="000000" w:sz="4" w:space="0"/>
            </w:tcBorders>
            <w:vAlign w:val="center"/>
          </w:tcPr>
          <w:p w14:paraId="09C53E95">
            <w:pPr>
              <w:spacing w:line="360" w:lineRule="auto"/>
              <w:jc w:val="center"/>
              <w:rPr>
                <w:rFonts w:hint="eastAsia" w:ascii="宋体" w:hAnsi="宋体" w:cs="宋体"/>
                <w:kern w:val="0"/>
                <w:szCs w:val="21"/>
                <w:lang w:eastAsia="en-US"/>
              </w:rPr>
            </w:pPr>
            <w:r>
              <w:rPr>
                <w:rFonts w:hint="eastAsia" w:ascii="宋体" w:hAnsi="宋体" w:cs="宋体"/>
                <w:kern w:val="0"/>
                <w:szCs w:val="21"/>
                <w:lang w:eastAsia="en-US"/>
              </w:rPr>
              <w:t>备注</w:t>
            </w:r>
          </w:p>
        </w:tc>
      </w:tr>
      <w:tr w14:paraId="1A02D822">
        <w:tblPrEx>
          <w:tblCellMar>
            <w:top w:w="0" w:type="dxa"/>
            <w:left w:w="0" w:type="dxa"/>
            <w:bottom w:w="0" w:type="dxa"/>
            <w:right w:w="0" w:type="dxa"/>
          </w:tblCellMar>
        </w:tblPrEx>
        <w:trPr>
          <w:trHeight w:val="876" w:hRule="exact"/>
        </w:trPr>
        <w:tc>
          <w:tcPr>
            <w:tcW w:w="633" w:type="dxa"/>
            <w:tcBorders>
              <w:top w:val="single" w:color="000000" w:sz="4" w:space="0"/>
              <w:left w:val="single" w:color="000000" w:sz="4" w:space="0"/>
              <w:bottom w:val="single" w:color="000000" w:sz="4" w:space="0"/>
              <w:right w:val="single" w:color="000000" w:sz="4" w:space="0"/>
            </w:tcBorders>
            <w:vAlign w:val="center"/>
          </w:tcPr>
          <w:p w14:paraId="022057B8">
            <w:pPr>
              <w:spacing w:line="360" w:lineRule="auto"/>
              <w:jc w:val="center"/>
              <w:rPr>
                <w:rFonts w:hint="eastAsia" w:ascii="宋体" w:hAnsi="宋体" w:cs="宋体"/>
                <w:kern w:val="0"/>
                <w:szCs w:val="21"/>
              </w:rPr>
            </w:pPr>
            <w:r>
              <w:rPr>
                <w:rFonts w:hint="eastAsia" w:ascii="宋体" w:hAnsi="宋体" w:cs="宋体"/>
                <w:kern w:val="0"/>
                <w:szCs w:val="21"/>
              </w:rPr>
              <w:t>1</w:t>
            </w:r>
          </w:p>
        </w:tc>
        <w:tc>
          <w:tcPr>
            <w:tcW w:w="3752" w:type="dxa"/>
            <w:tcBorders>
              <w:top w:val="single" w:color="000000" w:sz="4" w:space="0"/>
              <w:left w:val="single" w:color="000000" w:sz="4" w:space="0"/>
              <w:bottom w:val="single" w:color="000000" w:sz="4" w:space="0"/>
              <w:right w:val="single" w:color="000000" w:sz="4" w:space="0"/>
            </w:tcBorders>
            <w:vAlign w:val="center"/>
          </w:tcPr>
          <w:p w14:paraId="548BA620">
            <w:pPr>
              <w:spacing w:line="360" w:lineRule="auto"/>
              <w:jc w:val="center"/>
              <w:rPr>
                <w:rFonts w:hint="eastAsia" w:ascii="宋体" w:hAnsi="宋体" w:cs="宋体"/>
                <w:kern w:val="0"/>
                <w:szCs w:val="21"/>
              </w:rPr>
            </w:pPr>
            <w:r>
              <w:rPr>
                <w:rFonts w:hint="eastAsia" w:ascii="宋体" w:hAnsi="宋体" w:cs="宋体"/>
                <w:kern w:val="0"/>
                <w:szCs w:val="21"/>
              </w:rPr>
              <w:t>项目整体规划报建相关设计成果文件</w:t>
            </w:r>
          </w:p>
        </w:tc>
        <w:tc>
          <w:tcPr>
            <w:tcW w:w="1427" w:type="dxa"/>
            <w:tcBorders>
              <w:top w:val="single" w:color="000000" w:sz="4" w:space="0"/>
              <w:left w:val="single" w:color="000000" w:sz="4" w:space="0"/>
              <w:bottom w:val="single" w:color="000000" w:sz="4" w:space="0"/>
              <w:right w:val="single" w:color="000000" w:sz="4" w:space="0"/>
            </w:tcBorders>
            <w:vAlign w:val="center"/>
          </w:tcPr>
          <w:p w14:paraId="38CCAD5E">
            <w:pPr>
              <w:adjustRightInd w:val="0"/>
              <w:snapToGrid w:val="0"/>
              <w:spacing w:line="360" w:lineRule="auto"/>
              <w:jc w:val="center"/>
              <w:rPr>
                <w:rFonts w:hint="eastAsia" w:ascii="宋体" w:hAnsi="宋体" w:cs="宋体"/>
                <w:kern w:val="0"/>
                <w:szCs w:val="21"/>
                <w:lang w:eastAsia="en-US"/>
              </w:rPr>
            </w:pPr>
            <w:r>
              <w:rPr>
                <w:rFonts w:hint="eastAsia" w:ascii="宋体" w:hAnsi="宋体" w:cs="宋体"/>
                <w:kern w:val="0"/>
                <w:szCs w:val="21"/>
                <w:lang w:eastAsia="en-US"/>
              </w:rPr>
              <w:t>按工作计划</w:t>
            </w:r>
          </w:p>
        </w:tc>
        <w:tc>
          <w:tcPr>
            <w:tcW w:w="1559" w:type="dxa"/>
            <w:tcBorders>
              <w:top w:val="single" w:color="000000" w:sz="4" w:space="0"/>
              <w:left w:val="single" w:color="000000" w:sz="4" w:space="0"/>
              <w:bottom w:val="single" w:color="000000" w:sz="4" w:space="0"/>
              <w:right w:val="single" w:color="000000" w:sz="4" w:space="0"/>
            </w:tcBorders>
            <w:vAlign w:val="center"/>
          </w:tcPr>
          <w:p w14:paraId="4287C999">
            <w:pPr>
              <w:spacing w:line="360" w:lineRule="auto"/>
              <w:jc w:val="center"/>
              <w:rPr>
                <w:rFonts w:hint="eastAsia" w:ascii="宋体" w:hAnsi="宋体" w:cs="宋体"/>
                <w:kern w:val="0"/>
                <w:szCs w:val="21"/>
              </w:rPr>
            </w:pPr>
            <w:r>
              <w:rPr>
                <w:rFonts w:hint="eastAsia" w:ascii="宋体" w:hAnsi="宋体" w:cs="宋体"/>
                <w:kern w:val="0"/>
                <w:szCs w:val="21"/>
              </w:rPr>
              <w:t>按报建要求或发包人要求提供</w:t>
            </w:r>
          </w:p>
        </w:tc>
        <w:tc>
          <w:tcPr>
            <w:tcW w:w="1418" w:type="dxa"/>
            <w:tcBorders>
              <w:top w:val="single" w:color="000000" w:sz="4" w:space="0"/>
              <w:left w:val="single" w:color="000000" w:sz="4" w:space="0"/>
              <w:bottom w:val="single" w:color="000000" w:sz="4" w:space="0"/>
              <w:right w:val="single" w:color="000000" w:sz="4" w:space="0"/>
            </w:tcBorders>
            <w:vAlign w:val="center"/>
          </w:tcPr>
          <w:p w14:paraId="247D49CF">
            <w:pPr>
              <w:spacing w:line="360" w:lineRule="auto"/>
              <w:jc w:val="center"/>
              <w:rPr>
                <w:rFonts w:hint="eastAsia" w:ascii="宋体" w:hAnsi="宋体" w:cs="宋体"/>
                <w:kern w:val="0"/>
                <w:szCs w:val="21"/>
                <w:lang w:eastAsia="en-US"/>
              </w:rPr>
            </w:pPr>
            <w:r>
              <w:rPr>
                <w:rFonts w:hint="eastAsia" w:ascii="宋体" w:hAnsi="宋体" w:cs="宋体"/>
                <w:kern w:val="0"/>
                <w:szCs w:val="21"/>
                <w:lang w:eastAsia="en-US"/>
              </w:rPr>
              <w:t>电子文档1份</w:t>
            </w:r>
          </w:p>
        </w:tc>
      </w:tr>
      <w:tr w14:paraId="69471D78">
        <w:tblPrEx>
          <w:tblCellMar>
            <w:top w:w="0" w:type="dxa"/>
            <w:left w:w="0" w:type="dxa"/>
            <w:bottom w:w="0" w:type="dxa"/>
            <w:right w:w="0" w:type="dxa"/>
          </w:tblCellMar>
        </w:tblPrEx>
        <w:trPr>
          <w:trHeight w:val="1119" w:hRule="exact"/>
        </w:trPr>
        <w:tc>
          <w:tcPr>
            <w:tcW w:w="633" w:type="dxa"/>
            <w:tcBorders>
              <w:top w:val="single" w:color="000000" w:sz="4" w:space="0"/>
              <w:left w:val="single" w:color="000000" w:sz="4" w:space="0"/>
              <w:bottom w:val="single" w:color="000000" w:sz="4" w:space="0"/>
              <w:right w:val="single" w:color="000000" w:sz="4" w:space="0"/>
            </w:tcBorders>
            <w:vAlign w:val="center"/>
          </w:tcPr>
          <w:p w14:paraId="4A683B94">
            <w:pPr>
              <w:spacing w:line="360" w:lineRule="auto"/>
              <w:jc w:val="center"/>
              <w:rPr>
                <w:rFonts w:hint="eastAsia" w:ascii="宋体" w:hAnsi="宋体" w:cs="宋体"/>
                <w:kern w:val="0"/>
                <w:szCs w:val="21"/>
              </w:rPr>
            </w:pPr>
            <w:r>
              <w:rPr>
                <w:rFonts w:hint="eastAsia" w:ascii="宋体" w:hAnsi="宋体" w:cs="宋体"/>
                <w:kern w:val="0"/>
                <w:szCs w:val="21"/>
              </w:rPr>
              <w:t>2</w:t>
            </w:r>
          </w:p>
        </w:tc>
        <w:tc>
          <w:tcPr>
            <w:tcW w:w="3752" w:type="dxa"/>
            <w:tcBorders>
              <w:top w:val="single" w:color="000000" w:sz="4" w:space="0"/>
              <w:left w:val="single" w:color="000000" w:sz="4" w:space="0"/>
              <w:bottom w:val="single" w:color="000000" w:sz="4" w:space="0"/>
              <w:right w:val="single" w:color="000000" w:sz="4" w:space="0"/>
            </w:tcBorders>
            <w:vAlign w:val="center"/>
          </w:tcPr>
          <w:p w14:paraId="659DE92B">
            <w:pPr>
              <w:spacing w:line="360" w:lineRule="auto"/>
              <w:jc w:val="center"/>
              <w:rPr>
                <w:rFonts w:hint="eastAsia" w:ascii="宋体" w:hAnsi="宋体" w:cs="宋体"/>
                <w:kern w:val="0"/>
                <w:szCs w:val="21"/>
              </w:rPr>
            </w:pPr>
            <w:r>
              <w:rPr>
                <w:rFonts w:hint="eastAsia" w:ascii="宋体" w:hAnsi="宋体" w:cs="宋体"/>
                <w:kern w:val="0"/>
                <w:szCs w:val="21"/>
              </w:rPr>
              <w:t>项目单体方案报建相关设计成果文件</w:t>
            </w:r>
          </w:p>
        </w:tc>
        <w:tc>
          <w:tcPr>
            <w:tcW w:w="1427" w:type="dxa"/>
            <w:tcBorders>
              <w:top w:val="single" w:color="000000" w:sz="4" w:space="0"/>
              <w:left w:val="single" w:color="000000" w:sz="4" w:space="0"/>
              <w:bottom w:val="single" w:color="000000" w:sz="4" w:space="0"/>
              <w:right w:val="single" w:color="000000" w:sz="4" w:space="0"/>
            </w:tcBorders>
            <w:vAlign w:val="center"/>
          </w:tcPr>
          <w:p w14:paraId="657911A7">
            <w:pPr>
              <w:spacing w:line="360" w:lineRule="auto"/>
              <w:jc w:val="center"/>
              <w:rPr>
                <w:rFonts w:hint="eastAsia" w:ascii="宋体" w:hAnsi="宋体" w:cs="宋体"/>
                <w:kern w:val="0"/>
                <w:szCs w:val="21"/>
                <w:lang w:eastAsia="en-US"/>
              </w:rPr>
            </w:pPr>
            <w:r>
              <w:rPr>
                <w:rFonts w:hint="eastAsia" w:ascii="宋体" w:hAnsi="宋体" w:cs="宋体"/>
                <w:kern w:val="0"/>
                <w:szCs w:val="21"/>
                <w:lang w:eastAsia="en-US"/>
              </w:rPr>
              <w:t>按工作计划</w:t>
            </w:r>
          </w:p>
        </w:tc>
        <w:tc>
          <w:tcPr>
            <w:tcW w:w="1559" w:type="dxa"/>
            <w:tcBorders>
              <w:top w:val="single" w:color="000000" w:sz="4" w:space="0"/>
              <w:left w:val="single" w:color="000000" w:sz="4" w:space="0"/>
              <w:bottom w:val="single" w:color="000000" w:sz="4" w:space="0"/>
              <w:right w:val="single" w:color="000000" w:sz="4" w:space="0"/>
            </w:tcBorders>
            <w:vAlign w:val="center"/>
          </w:tcPr>
          <w:p w14:paraId="24B4F527">
            <w:pPr>
              <w:spacing w:line="360" w:lineRule="auto"/>
              <w:jc w:val="center"/>
              <w:rPr>
                <w:rFonts w:hint="eastAsia" w:ascii="宋体" w:hAnsi="宋体" w:cs="宋体"/>
                <w:kern w:val="0"/>
                <w:szCs w:val="21"/>
              </w:rPr>
            </w:pPr>
            <w:r>
              <w:rPr>
                <w:rFonts w:hint="eastAsia" w:ascii="宋体" w:hAnsi="宋体" w:cs="宋体"/>
                <w:kern w:val="0"/>
                <w:szCs w:val="21"/>
              </w:rPr>
              <w:t>按报建要求或发包人要求提供</w:t>
            </w:r>
          </w:p>
        </w:tc>
        <w:tc>
          <w:tcPr>
            <w:tcW w:w="1418" w:type="dxa"/>
            <w:tcBorders>
              <w:top w:val="single" w:color="000000" w:sz="4" w:space="0"/>
              <w:left w:val="single" w:color="000000" w:sz="4" w:space="0"/>
              <w:bottom w:val="single" w:color="000000" w:sz="4" w:space="0"/>
              <w:right w:val="single" w:color="000000" w:sz="4" w:space="0"/>
            </w:tcBorders>
            <w:vAlign w:val="center"/>
          </w:tcPr>
          <w:p w14:paraId="05F41B22">
            <w:pPr>
              <w:snapToGrid w:val="0"/>
              <w:spacing w:line="360" w:lineRule="auto"/>
              <w:jc w:val="center"/>
              <w:rPr>
                <w:rFonts w:hint="eastAsia" w:ascii="宋体" w:hAnsi="宋体" w:cs="宋体"/>
                <w:kern w:val="0"/>
                <w:szCs w:val="21"/>
              </w:rPr>
            </w:pPr>
            <w:r>
              <w:rPr>
                <w:rFonts w:hint="eastAsia" w:ascii="宋体" w:hAnsi="宋体" w:cs="宋体"/>
                <w:kern w:val="0"/>
                <w:szCs w:val="21"/>
                <w:lang w:eastAsia="en-US"/>
              </w:rPr>
              <w:t>电子文档1份</w:t>
            </w:r>
          </w:p>
        </w:tc>
      </w:tr>
      <w:tr w14:paraId="35A463BC">
        <w:tblPrEx>
          <w:tblCellMar>
            <w:top w:w="0" w:type="dxa"/>
            <w:left w:w="0" w:type="dxa"/>
            <w:bottom w:w="0" w:type="dxa"/>
            <w:right w:w="0" w:type="dxa"/>
          </w:tblCellMar>
        </w:tblPrEx>
        <w:trPr>
          <w:trHeight w:val="1119" w:hRule="exact"/>
        </w:trPr>
        <w:tc>
          <w:tcPr>
            <w:tcW w:w="633" w:type="dxa"/>
            <w:tcBorders>
              <w:top w:val="single" w:color="000000" w:sz="4" w:space="0"/>
              <w:left w:val="single" w:color="000000" w:sz="4" w:space="0"/>
              <w:bottom w:val="single" w:color="000000" w:sz="4" w:space="0"/>
              <w:right w:val="single" w:color="000000" w:sz="4" w:space="0"/>
            </w:tcBorders>
            <w:vAlign w:val="center"/>
          </w:tcPr>
          <w:p w14:paraId="3E22153D">
            <w:pPr>
              <w:spacing w:line="360" w:lineRule="auto"/>
              <w:jc w:val="center"/>
              <w:rPr>
                <w:rFonts w:hint="eastAsia" w:ascii="宋体" w:hAnsi="宋体" w:cs="宋体"/>
                <w:kern w:val="0"/>
                <w:szCs w:val="21"/>
              </w:rPr>
            </w:pPr>
            <w:r>
              <w:rPr>
                <w:rFonts w:hint="eastAsia" w:ascii="宋体" w:hAnsi="宋体" w:cs="宋体"/>
                <w:kern w:val="0"/>
                <w:szCs w:val="21"/>
              </w:rPr>
              <w:t>3</w:t>
            </w:r>
          </w:p>
        </w:tc>
        <w:tc>
          <w:tcPr>
            <w:tcW w:w="3752" w:type="dxa"/>
            <w:tcBorders>
              <w:top w:val="single" w:color="000000" w:sz="4" w:space="0"/>
              <w:left w:val="single" w:color="000000" w:sz="4" w:space="0"/>
              <w:bottom w:val="single" w:color="000000" w:sz="4" w:space="0"/>
              <w:right w:val="single" w:color="000000" w:sz="4" w:space="0"/>
            </w:tcBorders>
            <w:vAlign w:val="center"/>
          </w:tcPr>
          <w:p w14:paraId="3642654A">
            <w:pPr>
              <w:spacing w:line="360" w:lineRule="auto"/>
              <w:jc w:val="center"/>
              <w:rPr>
                <w:rFonts w:hint="eastAsia" w:ascii="宋体" w:hAnsi="宋体" w:cs="宋体"/>
                <w:kern w:val="0"/>
                <w:szCs w:val="21"/>
              </w:rPr>
            </w:pPr>
            <w:r>
              <w:rPr>
                <w:rFonts w:hint="eastAsia" w:ascii="宋体" w:hAnsi="宋体" w:cs="宋体"/>
                <w:kern w:val="0"/>
                <w:szCs w:val="21"/>
              </w:rPr>
              <w:t>初步设计成果文件（含概算）</w:t>
            </w:r>
          </w:p>
        </w:tc>
        <w:tc>
          <w:tcPr>
            <w:tcW w:w="1427" w:type="dxa"/>
            <w:tcBorders>
              <w:top w:val="single" w:color="000000" w:sz="4" w:space="0"/>
              <w:left w:val="single" w:color="000000" w:sz="4" w:space="0"/>
              <w:bottom w:val="single" w:color="000000" w:sz="4" w:space="0"/>
              <w:right w:val="single" w:color="000000" w:sz="4" w:space="0"/>
            </w:tcBorders>
            <w:vAlign w:val="center"/>
          </w:tcPr>
          <w:p w14:paraId="64F72D7F">
            <w:pPr>
              <w:spacing w:line="360" w:lineRule="auto"/>
              <w:jc w:val="center"/>
              <w:rPr>
                <w:rFonts w:hint="eastAsia" w:ascii="宋体" w:hAnsi="宋体" w:cs="宋体"/>
                <w:kern w:val="0"/>
                <w:szCs w:val="21"/>
                <w:lang w:eastAsia="en-US"/>
              </w:rPr>
            </w:pPr>
            <w:r>
              <w:rPr>
                <w:rFonts w:hint="eastAsia" w:ascii="宋体" w:hAnsi="宋体" w:cs="宋体"/>
                <w:kern w:val="0"/>
                <w:szCs w:val="21"/>
                <w:lang w:eastAsia="en-US"/>
              </w:rPr>
              <w:t>按工作计划</w:t>
            </w:r>
          </w:p>
        </w:tc>
        <w:tc>
          <w:tcPr>
            <w:tcW w:w="1559" w:type="dxa"/>
            <w:tcBorders>
              <w:top w:val="single" w:color="000000" w:sz="4" w:space="0"/>
              <w:left w:val="single" w:color="000000" w:sz="4" w:space="0"/>
              <w:bottom w:val="single" w:color="000000" w:sz="4" w:space="0"/>
              <w:right w:val="single" w:color="000000" w:sz="4" w:space="0"/>
            </w:tcBorders>
            <w:vAlign w:val="center"/>
          </w:tcPr>
          <w:p w14:paraId="6041D371">
            <w:pPr>
              <w:spacing w:line="360" w:lineRule="auto"/>
              <w:jc w:val="center"/>
              <w:rPr>
                <w:rFonts w:hint="eastAsia" w:ascii="宋体" w:hAnsi="宋体" w:cs="宋体"/>
                <w:kern w:val="0"/>
                <w:szCs w:val="21"/>
              </w:rPr>
            </w:pPr>
            <w:r>
              <w:rPr>
                <w:rFonts w:hint="eastAsia" w:ascii="宋体" w:hAnsi="宋体" w:cs="宋体"/>
                <w:spacing w:val="-7"/>
                <w:kern w:val="0"/>
                <w:szCs w:val="21"/>
              </w:rPr>
              <w:t>按发包人要</w:t>
            </w:r>
            <w:r>
              <w:rPr>
                <w:rFonts w:hint="eastAsia" w:ascii="宋体" w:hAnsi="宋体" w:cs="宋体"/>
                <w:kern w:val="0"/>
                <w:szCs w:val="21"/>
              </w:rPr>
              <w:t>求提供</w:t>
            </w:r>
          </w:p>
        </w:tc>
        <w:tc>
          <w:tcPr>
            <w:tcW w:w="1418" w:type="dxa"/>
            <w:tcBorders>
              <w:top w:val="single" w:color="000000" w:sz="4" w:space="0"/>
              <w:left w:val="single" w:color="000000" w:sz="4" w:space="0"/>
              <w:bottom w:val="single" w:color="000000" w:sz="4" w:space="0"/>
              <w:right w:val="single" w:color="000000" w:sz="4" w:space="0"/>
            </w:tcBorders>
            <w:vAlign w:val="center"/>
          </w:tcPr>
          <w:p w14:paraId="19542164">
            <w:pPr>
              <w:snapToGrid w:val="0"/>
              <w:spacing w:line="360" w:lineRule="auto"/>
              <w:jc w:val="center"/>
              <w:rPr>
                <w:rFonts w:hint="eastAsia" w:ascii="宋体" w:hAnsi="宋体" w:cs="宋体"/>
                <w:kern w:val="0"/>
                <w:szCs w:val="21"/>
              </w:rPr>
            </w:pPr>
            <w:r>
              <w:rPr>
                <w:rFonts w:hint="eastAsia" w:ascii="宋体" w:hAnsi="宋体" w:cs="宋体"/>
                <w:kern w:val="0"/>
                <w:szCs w:val="21"/>
              </w:rPr>
              <w:t>电子文档1</w:t>
            </w:r>
            <w:r>
              <w:rPr>
                <w:rFonts w:hint="eastAsia" w:ascii="宋体" w:hAnsi="宋体" w:cs="宋体"/>
                <w:spacing w:val="-3"/>
                <w:kern w:val="0"/>
                <w:szCs w:val="21"/>
              </w:rPr>
              <w:t>份（含</w:t>
            </w:r>
            <w:r>
              <w:rPr>
                <w:rFonts w:hint="eastAsia" w:ascii="宋体" w:hAnsi="宋体" w:cs="宋体"/>
                <w:kern w:val="0"/>
                <w:szCs w:val="21"/>
              </w:rPr>
              <w:t>符合评审要求的软件版）</w:t>
            </w:r>
          </w:p>
        </w:tc>
      </w:tr>
      <w:tr w14:paraId="6E741777">
        <w:tblPrEx>
          <w:tblCellMar>
            <w:top w:w="0" w:type="dxa"/>
            <w:left w:w="0" w:type="dxa"/>
            <w:bottom w:w="0" w:type="dxa"/>
            <w:right w:w="0" w:type="dxa"/>
          </w:tblCellMar>
        </w:tblPrEx>
        <w:trPr>
          <w:trHeight w:val="1140" w:hRule="exact"/>
        </w:trPr>
        <w:tc>
          <w:tcPr>
            <w:tcW w:w="633" w:type="dxa"/>
            <w:tcBorders>
              <w:top w:val="single" w:color="000000" w:sz="4" w:space="0"/>
              <w:left w:val="single" w:color="000000" w:sz="4" w:space="0"/>
              <w:bottom w:val="single" w:color="000000" w:sz="4" w:space="0"/>
              <w:right w:val="single" w:color="000000" w:sz="4" w:space="0"/>
            </w:tcBorders>
            <w:vAlign w:val="center"/>
          </w:tcPr>
          <w:p w14:paraId="6206D161">
            <w:pPr>
              <w:spacing w:line="360" w:lineRule="auto"/>
              <w:jc w:val="center"/>
              <w:rPr>
                <w:rFonts w:hint="eastAsia" w:ascii="宋体" w:hAnsi="宋体" w:cs="宋体"/>
                <w:kern w:val="0"/>
                <w:szCs w:val="21"/>
              </w:rPr>
            </w:pPr>
            <w:r>
              <w:rPr>
                <w:rFonts w:hint="eastAsia" w:ascii="宋体" w:hAnsi="宋体" w:cs="宋体"/>
                <w:kern w:val="0"/>
                <w:szCs w:val="21"/>
              </w:rPr>
              <w:t>4</w:t>
            </w:r>
          </w:p>
        </w:tc>
        <w:tc>
          <w:tcPr>
            <w:tcW w:w="3752" w:type="dxa"/>
            <w:tcBorders>
              <w:top w:val="single" w:color="000000" w:sz="4" w:space="0"/>
              <w:left w:val="single" w:color="000000" w:sz="4" w:space="0"/>
              <w:bottom w:val="single" w:color="000000" w:sz="4" w:space="0"/>
              <w:right w:val="single" w:color="000000" w:sz="4" w:space="0"/>
            </w:tcBorders>
            <w:vAlign w:val="center"/>
          </w:tcPr>
          <w:p w14:paraId="709E3871">
            <w:pPr>
              <w:spacing w:line="360" w:lineRule="auto"/>
              <w:jc w:val="center"/>
              <w:rPr>
                <w:rFonts w:hint="eastAsia" w:ascii="宋体" w:hAnsi="宋体" w:cs="宋体"/>
                <w:kern w:val="0"/>
                <w:szCs w:val="21"/>
              </w:rPr>
            </w:pPr>
            <w:r>
              <w:rPr>
                <w:rFonts w:hint="eastAsia" w:ascii="宋体" w:hAnsi="宋体" w:cs="宋体"/>
                <w:kern w:val="0"/>
                <w:szCs w:val="21"/>
              </w:rPr>
              <w:t>初步设计阶段相关报建、报批成果文件</w:t>
            </w:r>
          </w:p>
        </w:tc>
        <w:tc>
          <w:tcPr>
            <w:tcW w:w="1427" w:type="dxa"/>
            <w:tcBorders>
              <w:top w:val="single" w:color="000000" w:sz="4" w:space="0"/>
              <w:left w:val="single" w:color="000000" w:sz="4" w:space="0"/>
              <w:bottom w:val="single" w:color="000000" w:sz="4" w:space="0"/>
              <w:right w:val="single" w:color="000000" w:sz="4" w:space="0"/>
            </w:tcBorders>
            <w:vAlign w:val="center"/>
          </w:tcPr>
          <w:p w14:paraId="4112AD78">
            <w:pPr>
              <w:spacing w:line="360" w:lineRule="auto"/>
              <w:jc w:val="center"/>
              <w:rPr>
                <w:rFonts w:hint="eastAsia" w:ascii="宋体" w:hAnsi="宋体" w:cs="宋体"/>
                <w:kern w:val="0"/>
                <w:szCs w:val="21"/>
                <w:lang w:eastAsia="en-US"/>
              </w:rPr>
            </w:pPr>
            <w:r>
              <w:rPr>
                <w:rFonts w:hint="eastAsia" w:ascii="宋体" w:hAnsi="宋体" w:cs="宋体"/>
                <w:kern w:val="0"/>
                <w:szCs w:val="21"/>
                <w:lang w:eastAsia="en-US"/>
              </w:rPr>
              <w:t>按工作计划</w:t>
            </w:r>
          </w:p>
        </w:tc>
        <w:tc>
          <w:tcPr>
            <w:tcW w:w="1559" w:type="dxa"/>
            <w:tcBorders>
              <w:top w:val="single" w:color="000000" w:sz="4" w:space="0"/>
              <w:left w:val="single" w:color="000000" w:sz="4" w:space="0"/>
              <w:bottom w:val="single" w:color="000000" w:sz="4" w:space="0"/>
              <w:right w:val="single" w:color="000000" w:sz="4" w:space="0"/>
            </w:tcBorders>
            <w:vAlign w:val="center"/>
          </w:tcPr>
          <w:p w14:paraId="2F44CC73">
            <w:pPr>
              <w:snapToGrid w:val="0"/>
              <w:spacing w:line="360" w:lineRule="auto"/>
              <w:jc w:val="center"/>
              <w:rPr>
                <w:rFonts w:hint="eastAsia" w:ascii="宋体" w:hAnsi="宋体" w:cs="宋体"/>
                <w:kern w:val="0"/>
                <w:szCs w:val="21"/>
              </w:rPr>
            </w:pPr>
            <w:r>
              <w:rPr>
                <w:rFonts w:hint="eastAsia" w:ascii="宋体" w:hAnsi="宋体" w:cs="宋体"/>
                <w:kern w:val="0"/>
                <w:szCs w:val="21"/>
              </w:rPr>
              <w:t>按报建要求或发包人要求提供</w:t>
            </w:r>
          </w:p>
        </w:tc>
        <w:tc>
          <w:tcPr>
            <w:tcW w:w="1418" w:type="dxa"/>
            <w:tcBorders>
              <w:top w:val="single" w:color="000000" w:sz="4" w:space="0"/>
              <w:left w:val="single" w:color="000000" w:sz="4" w:space="0"/>
              <w:bottom w:val="single" w:color="000000" w:sz="4" w:space="0"/>
              <w:right w:val="single" w:color="000000" w:sz="4" w:space="0"/>
            </w:tcBorders>
            <w:vAlign w:val="center"/>
          </w:tcPr>
          <w:p w14:paraId="2B086AB9">
            <w:pPr>
              <w:snapToGrid w:val="0"/>
              <w:spacing w:line="360" w:lineRule="auto"/>
              <w:jc w:val="center"/>
              <w:rPr>
                <w:rFonts w:hint="eastAsia" w:ascii="宋体" w:hAnsi="宋体" w:cs="宋体"/>
                <w:kern w:val="0"/>
                <w:szCs w:val="21"/>
                <w:lang w:eastAsia="en-US"/>
              </w:rPr>
            </w:pPr>
            <w:r>
              <w:rPr>
                <w:rFonts w:hint="eastAsia" w:ascii="宋体" w:hAnsi="宋体" w:cs="宋体"/>
                <w:kern w:val="0"/>
                <w:szCs w:val="21"/>
                <w:lang w:eastAsia="en-US"/>
              </w:rPr>
              <w:t>电子文档1份</w:t>
            </w:r>
          </w:p>
        </w:tc>
      </w:tr>
      <w:tr w14:paraId="0FA0B512">
        <w:tblPrEx>
          <w:tblCellMar>
            <w:top w:w="0" w:type="dxa"/>
            <w:left w:w="0" w:type="dxa"/>
            <w:bottom w:w="0" w:type="dxa"/>
            <w:right w:w="0" w:type="dxa"/>
          </w:tblCellMar>
        </w:tblPrEx>
        <w:trPr>
          <w:trHeight w:val="1134" w:hRule="exact"/>
        </w:trPr>
        <w:tc>
          <w:tcPr>
            <w:tcW w:w="633" w:type="dxa"/>
            <w:tcBorders>
              <w:top w:val="single" w:color="000000" w:sz="4" w:space="0"/>
              <w:left w:val="single" w:color="000000" w:sz="4" w:space="0"/>
              <w:bottom w:val="single" w:color="000000" w:sz="4" w:space="0"/>
              <w:right w:val="single" w:color="000000" w:sz="4" w:space="0"/>
            </w:tcBorders>
            <w:vAlign w:val="center"/>
          </w:tcPr>
          <w:p w14:paraId="496F639E">
            <w:pPr>
              <w:spacing w:line="360" w:lineRule="auto"/>
              <w:jc w:val="center"/>
              <w:rPr>
                <w:rFonts w:hint="eastAsia" w:ascii="宋体" w:hAnsi="宋体" w:cs="宋体"/>
                <w:kern w:val="0"/>
                <w:szCs w:val="21"/>
              </w:rPr>
            </w:pPr>
            <w:r>
              <w:rPr>
                <w:rFonts w:hint="eastAsia" w:ascii="宋体" w:hAnsi="宋体" w:cs="宋体"/>
                <w:kern w:val="0"/>
                <w:szCs w:val="21"/>
              </w:rPr>
              <w:t>5</w:t>
            </w:r>
          </w:p>
        </w:tc>
        <w:tc>
          <w:tcPr>
            <w:tcW w:w="3752" w:type="dxa"/>
            <w:tcBorders>
              <w:top w:val="single" w:color="000000" w:sz="4" w:space="0"/>
              <w:left w:val="single" w:color="000000" w:sz="4" w:space="0"/>
              <w:bottom w:val="single" w:color="000000" w:sz="4" w:space="0"/>
              <w:right w:val="single" w:color="000000" w:sz="4" w:space="0"/>
            </w:tcBorders>
            <w:vAlign w:val="center"/>
          </w:tcPr>
          <w:p w14:paraId="1BE72EF2">
            <w:pPr>
              <w:spacing w:line="360" w:lineRule="auto"/>
              <w:jc w:val="center"/>
              <w:rPr>
                <w:rFonts w:hint="eastAsia" w:ascii="宋体" w:hAnsi="宋体" w:cs="宋体"/>
                <w:kern w:val="0"/>
                <w:szCs w:val="21"/>
              </w:rPr>
            </w:pPr>
            <w:r>
              <w:rPr>
                <w:rFonts w:hint="eastAsia" w:ascii="宋体" w:hAnsi="宋体" w:cs="宋体"/>
                <w:kern w:val="0"/>
                <w:szCs w:val="21"/>
              </w:rPr>
              <w:t>总图设计成果文件（包括区域内各相关专业、园林景观等内容）</w:t>
            </w:r>
          </w:p>
        </w:tc>
        <w:tc>
          <w:tcPr>
            <w:tcW w:w="1427" w:type="dxa"/>
            <w:tcBorders>
              <w:top w:val="single" w:color="000000" w:sz="4" w:space="0"/>
              <w:left w:val="single" w:color="000000" w:sz="4" w:space="0"/>
              <w:bottom w:val="single" w:color="000000" w:sz="4" w:space="0"/>
              <w:right w:val="single" w:color="000000" w:sz="4" w:space="0"/>
            </w:tcBorders>
            <w:vAlign w:val="center"/>
          </w:tcPr>
          <w:p w14:paraId="1999EACD">
            <w:pPr>
              <w:spacing w:line="360" w:lineRule="auto"/>
              <w:jc w:val="center"/>
              <w:rPr>
                <w:rFonts w:hint="eastAsia" w:ascii="宋体" w:hAnsi="宋体" w:cs="宋体"/>
                <w:kern w:val="0"/>
                <w:szCs w:val="21"/>
              </w:rPr>
            </w:pPr>
            <w:r>
              <w:rPr>
                <w:rFonts w:hint="eastAsia" w:ascii="宋体" w:hAnsi="宋体" w:cs="宋体"/>
                <w:kern w:val="0"/>
                <w:szCs w:val="21"/>
              </w:rPr>
              <w:t>根据实际情况，按工作计划</w:t>
            </w:r>
          </w:p>
        </w:tc>
        <w:tc>
          <w:tcPr>
            <w:tcW w:w="1559" w:type="dxa"/>
            <w:tcBorders>
              <w:top w:val="single" w:color="000000" w:sz="4" w:space="0"/>
              <w:left w:val="single" w:color="000000" w:sz="4" w:space="0"/>
              <w:bottom w:val="single" w:color="000000" w:sz="4" w:space="0"/>
              <w:right w:val="single" w:color="000000" w:sz="4" w:space="0"/>
            </w:tcBorders>
            <w:vAlign w:val="center"/>
          </w:tcPr>
          <w:p w14:paraId="450C48F9">
            <w:pPr>
              <w:spacing w:line="360" w:lineRule="auto"/>
              <w:jc w:val="center"/>
              <w:rPr>
                <w:rFonts w:hint="eastAsia" w:ascii="宋体" w:hAnsi="宋体" w:cs="宋体"/>
                <w:kern w:val="0"/>
                <w:szCs w:val="21"/>
                <w:lang w:eastAsia="en-US"/>
              </w:rPr>
            </w:pPr>
            <w:r>
              <w:rPr>
                <w:rFonts w:hint="eastAsia" w:ascii="宋体" w:hAnsi="宋体" w:cs="宋体"/>
                <w:kern w:val="0"/>
                <w:szCs w:val="21"/>
                <w:lang w:eastAsia="en-US"/>
              </w:rPr>
              <w:t>按</w:t>
            </w:r>
            <w:r>
              <w:rPr>
                <w:rFonts w:hint="eastAsia" w:ascii="宋体" w:hAnsi="宋体" w:cs="宋体"/>
                <w:kern w:val="0"/>
                <w:szCs w:val="21"/>
              </w:rPr>
              <w:t>发包人</w:t>
            </w:r>
            <w:r>
              <w:rPr>
                <w:rFonts w:hint="eastAsia" w:ascii="宋体" w:hAnsi="宋体" w:cs="宋体"/>
                <w:kern w:val="0"/>
                <w:szCs w:val="21"/>
                <w:lang w:eastAsia="en-US"/>
              </w:rPr>
              <w:t>要求提供</w:t>
            </w:r>
          </w:p>
        </w:tc>
        <w:tc>
          <w:tcPr>
            <w:tcW w:w="1418" w:type="dxa"/>
            <w:tcBorders>
              <w:top w:val="single" w:color="000000" w:sz="4" w:space="0"/>
              <w:left w:val="single" w:color="000000" w:sz="4" w:space="0"/>
              <w:bottom w:val="single" w:color="000000" w:sz="4" w:space="0"/>
              <w:right w:val="single" w:color="000000" w:sz="4" w:space="0"/>
            </w:tcBorders>
            <w:vAlign w:val="center"/>
          </w:tcPr>
          <w:p w14:paraId="78DA97AE">
            <w:pPr>
              <w:snapToGrid w:val="0"/>
              <w:spacing w:line="360" w:lineRule="auto"/>
              <w:jc w:val="center"/>
              <w:rPr>
                <w:rFonts w:hint="eastAsia" w:ascii="宋体" w:hAnsi="宋体" w:cs="宋体"/>
                <w:kern w:val="0"/>
                <w:szCs w:val="21"/>
                <w:lang w:eastAsia="en-US"/>
              </w:rPr>
            </w:pPr>
            <w:r>
              <w:rPr>
                <w:rFonts w:hint="eastAsia" w:ascii="宋体" w:hAnsi="宋体" w:cs="宋体"/>
                <w:kern w:val="0"/>
                <w:szCs w:val="21"/>
                <w:lang w:eastAsia="en-US"/>
              </w:rPr>
              <w:t>电子文档1份</w:t>
            </w:r>
          </w:p>
        </w:tc>
      </w:tr>
    </w:tbl>
    <w:p w14:paraId="5E287700">
      <w:pPr>
        <w:autoSpaceDE w:val="0"/>
        <w:autoSpaceDN w:val="0"/>
        <w:adjustRightInd w:val="0"/>
        <w:snapToGrid w:val="0"/>
        <w:spacing w:line="360" w:lineRule="auto"/>
        <w:ind w:firstLine="440" w:firstLineChars="200"/>
        <w:rPr>
          <w:rFonts w:hint="eastAsia" w:ascii="宋体" w:hAnsi="宋体" w:cs="宋体"/>
          <w:szCs w:val="21"/>
        </w:rPr>
      </w:pPr>
      <w:r>
        <w:rPr>
          <w:rFonts w:hint="eastAsia" w:ascii="宋体" w:hAnsi="宋体" w:cs="宋体"/>
          <w:szCs w:val="21"/>
        </w:rPr>
        <w:t>注：</w:t>
      </w:r>
      <w:r>
        <w:rPr>
          <w:rFonts w:hint="eastAsia" w:ascii="宋体" w:hAnsi="宋体" w:cs="宋体"/>
          <w:kern w:val="0"/>
          <w:szCs w:val="21"/>
        </w:rPr>
        <w:t>①</w:t>
      </w:r>
      <w:r>
        <w:rPr>
          <w:rFonts w:hint="eastAsia" w:ascii="宋体" w:hAnsi="宋体" w:cs="宋体"/>
          <w:szCs w:val="21"/>
        </w:rPr>
        <w:t>建设方案联审决策阶段，修改方案出来后5天内修改完毕，相关资料送至发包人或指定接受单位；</w:t>
      </w:r>
    </w:p>
    <w:p w14:paraId="2BAB1F75">
      <w:pPr>
        <w:autoSpaceDE w:val="0"/>
        <w:autoSpaceDN w:val="0"/>
        <w:adjustRightInd w:val="0"/>
        <w:snapToGrid w:val="0"/>
        <w:spacing w:line="360" w:lineRule="auto"/>
        <w:ind w:firstLine="440" w:firstLineChars="200"/>
        <w:rPr>
          <w:rFonts w:hint="eastAsia" w:ascii="宋体" w:hAnsi="宋体" w:cs="宋体"/>
          <w:szCs w:val="21"/>
        </w:rPr>
      </w:pPr>
      <w:r>
        <w:rPr>
          <w:rFonts w:hint="eastAsia" w:ascii="宋体" w:hAnsi="宋体" w:cs="宋体"/>
          <w:kern w:val="0"/>
          <w:szCs w:val="21"/>
        </w:rPr>
        <w:t>②</w:t>
      </w:r>
      <w:r>
        <w:rPr>
          <w:rFonts w:hint="eastAsia" w:ascii="宋体" w:hAnsi="宋体" w:cs="宋体"/>
          <w:szCs w:val="21"/>
        </w:rPr>
        <w:t>修建性详细规划阶段，修改意见出来后，2天内修改完毕，蓝图送至发包人或指定接受单位；</w:t>
      </w:r>
    </w:p>
    <w:p w14:paraId="5C905192">
      <w:pPr>
        <w:autoSpaceDE w:val="0"/>
        <w:autoSpaceDN w:val="0"/>
        <w:adjustRightInd w:val="0"/>
        <w:snapToGrid w:val="0"/>
        <w:spacing w:line="360" w:lineRule="auto"/>
        <w:ind w:firstLine="440" w:firstLineChars="200"/>
        <w:rPr>
          <w:rFonts w:hint="eastAsia" w:ascii="宋体" w:hAnsi="宋体" w:cs="宋体"/>
          <w:kern w:val="0"/>
          <w:szCs w:val="21"/>
        </w:rPr>
      </w:pPr>
      <w:r>
        <w:rPr>
          <w:rFonts w:hint="eastAsia" w:ascii="宋体" w:hAnsi="宋体" w:cs="宋体"/>
          <w:kern w:val="0"/>
          <w:szCs w:val="21"/>
        </w:rPr>
        <w:t>③</w:t>
      </w:r>
      <w:r>
        <w:rPr>
          <w:rFonts w:hint="eastAsia" w:ascii="宋体" w:hAnsi="宋体" w:cs="宋体"/>
          <w:szCs w:val="21"/>
        </w:rPr>
        <w:t>规划放线阶段，修改意见出来后，2天内修改完毕，蓝图送至发包人或指定接受单位；</w:t>
      </w:r>
      <w:r>
        <w:rPr>
          <w:rFonts w:hint="eastAsia" w:ascii="宋体" w:hAnsi="宋体" w:cs="宋体"/>
          <w:kern w:val="0"/>
          <w:szCs w:val="21"/>
        </w:rPr>
        <w:t>规划咨询意见办理阶段，初步修改意见出来后，4天内修改完毕，蓝图送至发包人或指定接受单位；第二次修改意见出来后，2天内修改完毕，蓝图送至发包人或指定接受单位；2次修改后必须满足规划部门的要求，否则视为严重违约；</w:t>
      </w:r>
    </w:p>
    <w:p w14:paraId="66A89118">
      <w:pPr>
        <w:autoSpaceDE w:val="0"/>
        <w:autoSpaceDN w:val="0"/>
        <w:adjustRightInd w:val="0"/>
        <w:snapToGrid w:val="0"/>
        <w:spacing w:line="360" w:lineRule="auto"/>
        <w:ind w:firstLine="440" w:firstLineChars="200"/>
        <w:rPr>
          <w:rFonts w:hint="eastAsia" w:ascii="宋体" w:hAnsi="宋体" w:cs="宋体"/>
          <w:kern w:val="0"/>
          <w:szCs w:val="21"/>
        </w:rPr>
      </w:pPr>
      <w:r>
        <w:rPr>
          <w:rFonts w:hint="eastAsia" w:ascii="宋体" w:hAnsi="宋体" w:cs="宋体"/>
          <w:kern w:val="0"/>
          <w:szCs w:val="21"/>
        </w:rPr>
        <w:t>④消防审核阶段，初步修改意见出来后，5天内修改完毕，蓝图送至发包人或指定接受单位；第二次修改意见出来后，3天内修改完毕，蓝图送至发包人或指定接受单位；</w:t>
      </w:r>
    </w:p>
    <w:p w14:paraId="7EAF1C63">
      <w:pPr>
        <w:autoSpaceDE w:val="0"/>
        <w:autoSpaceDN w:val="0"/>
        <w:adjustRightInd w:val="0"/>
        <w:snapToGrid w:val="0"/>
        <w:spacing w:line="360" w:lineRule="auto"/>
        <w:ind w:firstLine="440" w:firstLineChars="200"/>
        <w:rPr>
          <w:rFonts w:hint="eastAsia" w:ascii="宋体" w:hAnsi="宋体" w:cs="宋体"/>
          <w:kern w:val="0"/>
          <w:szCs w:val="21"/>
        </w:rPr>
      </w:pPr>
      <w:r>
        <w:rPr>
          <w:rFonts w:hint="eastAsia" w:ascii="宋体" w:hAnsi="宋体" w:cs="宋体"/>
          <w:kern w:val="0"/>
          <w:szCs w:val="21"/>
        </w:rPr>
        <w:t xml:space="preserve">⑤防雷审查阶段，修改意见出来后，3天内修改完毕，蓝图送至发包人或指定接受单位； </w:t>
      </w:r>
    </w:p>
    <w:p w14:paraId="59B9A42F">
      <w:pPr>
        <w:autoSpaceDE w:val="0"/>
        <w:autoSpaceDN w:val="0"/>
        <w:adjustRightInd w:val="0"/>
        <w:snapToGrid w:val="0"/>
        <w:spacing w:line="360" w:lineRule="auto"/>
        <w:ind w:firstLine="440" w:firstLineChars="200"/>
        <w:rPr>
          <w:rFonts w:hint="eastAsia" w:ascii="宋体" w:hAnsi="宋体" w:cs="宋体"/>
          <w:kern w:val="0"/>
          <w:szCs w:val="21"/>
        </w:rPr>
      </w:pPr>
      <w:r>
        <w:rPr>
          <w:rFonts w:hint="eastAsia" w:ascii="宋体" w:hAnsi="宋体" w:cs="宋体"/>
          <w:kern w:val="0"/>
          <w:szCs w:val="21"/>
        </w:rPr>
        <w:t xml:space="preserve">⑥供电预审阶段，初步修改意见出来后，4天内修改完毕，蓝图送至发包人或指定接受单位；第二次修改意见出来后，2天内修改完毕，蓝图送至发包人或指定接受单位； </w:t>
      </w:r>
    </w:p>
    <w:p w14:paraId="510057F5">
      <w:pPr>
        <w:autoSpaceDE w:val="0"/>
        <w:autoSpaceDN w:val="0"/>
        <w:adjustRightInd w:val="0"/>
        <w:snapToGrid w:val="0"/>
        <w:spacing w:line="360" w:lineRule="auto"/>
        <w:ind w:firstLine="440" w:firstLineChars="200"/>
        <w:rPr>
          <w:rFonts w:hint="eastAsia" w:ascii="宋体" w:hAnsi="宋体" w:cs="宋体"/>
          <w:kern w:val="0"/>
          <w:szCs w:val="21"/>
        </w:rPr>
      </w:pPr>
      <w:r>
        <w:rPr>
          <w:rFonts w:hint="eastAsia" w:ascii="宋体" w:hAnsi="宋体" w:cs="宋体"/>
          <w:kern w:val="0"/>
          <w:szCs w:val="21"/>
        </w:rPr>
        <w:t>⑦财审阶段，初审意见出来后，5天内修改完毕，蓝图送至发包人或指定接受单位；复审意见出来后，2天内修改完毕，蓝图送至发包人或指定接受单位；</w:t>
      </w:r>
    </w:p>
    <w:p w14:paraId="40F4759F">
      <w:pPr>
        <w:autoSpaceDE w:val="0"/>
        <w:autoSpaceDN w:val="0"/>
        <w:adjustRightInd w:val="0"/>
        <w:snapToGrid w:val="0"/>
        <w:spacing w:line="360" w:lineRule="auto"/>
        <w:ind w:firstLine="440" w:firstLineChars="200"/>
        <w:rPr>
          <w:rFonts w:hint="eastAsia" w:ascii="宋体" w:hAnsi="宋体" w:cs="宋体"/>
          <w:b/>
          <w:snapToGrid w:val="0"/>
          <w:szCs w:val="21"/>
        </w:rPr>
      </w:pPr>
      <w:r>
        <w:rPr>
          <w:rFonts w:hint="eastAsia" w:ascii="宋体" w:hAnsi="宋体" w:cs="宋体"/>
          <w:kern w:val="0"/>
          <w:szCs w:val="21"/>
        </w:rPr>
        <w:t>⑧绿色建筑申报阶段，初步修改意见出来后，4天内修改完毕，蓝图送至发包人或指定接受单位；第二次修改意见出来后，2天内修改完毕，蓝图送至发包人或指定接受单位。（以上全部为日历天，不能按时提供相关设计文件，影响相关报建工作，视为严重违约，按合同条款的有关约定承担违约责任。）</w:t>
      </w:r>
    </w:p>
    <w:p w14:paraId="19604FF1">
      <w:pPr>
        <w:pStyle w:val="18"/>
        <w:adjustRightInd w:val="0"/>
        <w:snapToGrid w:val="0"/>
        <w:spacing w:before="0" w:beforeAutospacing="0" w:after="0" w:afterAutospacing="0" w:line="360" w:lineRule="auto"/>
        <w:ind w:firstLine="412" w:firstLineChars="196"/>
        <w:jc w:val="both"/>
        <w:rPr>
          <w:rFonts w:hint="eastAsia" w:cs="宋体"/>
          <w:bCs/>
          <w:snapToGrid w:val="0"/>
          <w:sz w:val="21"/>
          <w:szCs w:val="21"/>
        </w:rPr>
      </w:pPr>
      <w:r>
        <w:rPr>
          <w:rFonts w:hint="eastAsia" w:cs="宋体"/>
          <w:b/>
          <w:snapToGrid w:val="0"/>
          <w:sz w:val="21"/>
          <w:szCs w:val="21"/>
        </w:rPr>
        <w:t>8.2</w:t>
      </w:r>
      <w:r>
        <w:rPr>
          <w:rFonts w:hint="eastAsia" w:cs="宋体"/>
          <w:snapToGrid w:val="0"/>
          <w:sz w:val="21"/>
          <w:szCs w:val="21"/>
        </w:rPr>
        <w:t>承包人必须</w:t>
      </w:r>
      <w:r>
        <w:rPr>
          <w:rFonts w:hint="eastAsia" w:cs="宋体"/>
          <w:snapToGrid w:val="0"/>
          <w:sz w:val="21"/>
          <w:szCs w:val="21"/>
          <w:u w:val="single"/>
        </w:rPr>
        <w:t>按照经过发包人审批确定的设计进度计划</w:t>
      </w:r>
      <w:r>
        <w:rPr>
          <w:rFonts w:hint="eastAsia" w:cs="宋体"/>
          <w:snapToGrid w:val="0"/>
          <w:sz w:val="21"/>
          <w:szCs w:val="21"/>
        </w:rPr>
        <w:t>及时提交</w:t>
      </w:r>
      <w:r>
        <w:rPr>
          <w:rFonts w:hint="eastAsia" w:cs="宋体"/>
          <w:bCs/>
          <w:snapToGrid w:val="0"/>
          <w:sz w:val="21"/>
          <w:szCs w:val="21"/>
        </w:rPr>
        <w:t>设计中间资料，以满足发包人开展有关工作的需要，有关费用已包含在本合同约定的设计费用之内。</w:t>
      </w:r>
    </w:p>
    <w:p w14:paraId="4FFF1C8A">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8.3</w:t>
      </w:r>
      <w:r>
        <w:rPr>
          <w:rFonts w:hint="eastAsia" w:ascii="宋体" w:hAnsi="宋体" w:cs="宋体"/>
          <w:snapToGrid w:val="0"/>
          <w:kern w:val="0"/>
          <w:szCs w:val="21"/>
        </w:rPr>
        <w:t>承包人向发包人提交的各版次设计成果文件应满足设计文件审批的要求及本合同工程各阶段建设的需要。</w:t>
      </w:r>
    </w:p>
    <w:p w14:paraId="52D52DD2">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8.4</w:t>
      </w:r>
      <w:r>
        <w:rPr>
          <w:rFonts w:hint="eastAsia" w:ascii="宋体" w:hAnsi="宋体" w:cs="宋体"/>
          <w:snapToGrid w:val="0"/>
          <w:kern w:val="0"/>
          <w:szCs w:val="21"/>
        </w:rPr>
        <w:t>承包人按合同约定的时限将设计成果文件或资料交付至发包人指定的地点，相关费用（包括运输、邮寄、电传、税费等费用）已经含于设计费中。</w:t>
      </w:r>
    </w:p>
    <w:p w14:paraId="02811E2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8.5</w:t>
      </w:r>
      <w:r>
        <w:rPr>
          <w:rFonts w:hint="eastAsia" w:ascii="宋体" w:hAnsi="宋体" w:cs="宋体"/>
          <w:snapToGrid w:val="0"/>
          <w:kern w:val="0"/>
          <w:szCs w:val="21"/>
        </w:rPr>
        <w:t>在报建过程中需要提供设计成果文件或设计中间资料的电子文档的，承包人应无偿提供。</w:t>
      </w:r>
    </w:p>
    <w:p w14:paraId="1BAB2332">
      <w:pPr>
        <w:adjustRightInd w:val="0"/>
        <w:snapToGrid w:val="0"/>
        <w:spacing w:line="360" w:lineRule="auto"/>
        <w:ind w:firstLine="440" w:firstLineChars="200"/>
        <w:rPr>
          <w:rFonts w:hint="eastAsia" w:ascii="宋体" w:hAnsi="宋体" w:cs="宋体"/>
          <w:snapToGrid w:val="0"/>
          <w:kern w:val="0"/>
          <w:szCs w:val="21"/>
        </w:rPr>
      </w:pPr>
    </w:p>
    <w:p w14:paraId="4093424F">
      <w:pPr>
        <w:adjustRightInd w:val="0"/>
        <w:snapToGrid w:val="0"/>
        <w:spacing w:line="360" w:lineRule="auto"/>
        <w:jc w:val="center"/>
        <w:outlineLvl w:val="0"/>
        <w:rPr>
          <w:rFonts w:hint="eastAsia" w:ascii="宋体" w:hAnsi="宋体" w:cs="宋体"/>
          <w:b/>
          <w:snapToGrid w:val="0"/>
          <w:kern w:val="0"/>
          <w:szCs w:val="21"/>
        </w:rPr>
      </w:pPr>
      <w:r>
        <w:rPr>
          <w:rFonts w:hint="eastAsia" w:ascii="宋体" w:hAnsi="宋体" w:cs="宋体"/>
          <w:b/>
          <w:snapToGrid w:val="0"/>
          <w:kern w:val="0"/>
          <w:sz w:val="28"/>
          <w:szCs w:val="28"/>
        </w:rPr>
        <w:t>第三章 设计质量</w:t>
      </w:r>
    </w:p>
    <w:p w14:paraId="0890FF92">
      <w:pPr>
        <w:adjustRightInd w:val="0"/>
        <w:snapToGrid w:val="0"/>
        <w:spacing w:line="360" w:lineRule="auto"/>
        <w:ind w:firstLine="431" w:firstLineChars="196"/>
        <w:outlineLvl w:val="1"/>
        <w:rPr>
          <w:rFonts w:hint="eastAsia" w:ascii="宋体" w:hAnsi="宋体" w:cs="宋体"/>
          <w:bCs/>
          <w:snapToGrid w:val="0"/>
          <w:kern w:val="0"/>
          <w:szCs w:val="21"/>
        </w:rPr>
      </w:pPr>
      <w:r>
        <w:rPr>
          <w:rFonts w:hint="eastAsia" w:ascii="宋体" w:hAnsi="宋体" w:cs="宋体"/>
          <w:b/>
          <w:bCs/>
          <w:snapToGrid w:val="0"/>
          <w:kern w:val="0"/>
          <w:szCs w:val="21"/>
        </w:rPr>
        <w:t>9.设计的质量要求</w:t>
      </w:r>
    </w:p>
    <w:p w14:paraId="49DC8EA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9.1</w:t>
      </w:r>
      <w:r>
        <w:rPr>
          <w:rFonts w:hint="eastAsia" w:ascii="宋体" w:hAnsi="宋体" w:cs="宋体"/>
          <w:snapToGrid w:val="0"/>
          <w:kern w:val="0"/>
          <w:szCs w:val="21"/>
        </w:rPr>
        <w:t>设计文件应体现发包人的建设意图，应符合有关法律、法规的规定，符合建设工程质量、安全标准，符合建设工程设计的技术规范（尤其是强制性规范），达到设计任务书的要求，满足本合同工程的功能需求。在控制投资的同时，做到美观、适用、安全、经济，并具备良好的节能环保特性，取得良好的社会效益。</w:t>
      </w:r>
    </w:p>
    <w:p w14:paraId="068B2A19">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9.2</w:t>
      </w:r>
      <w:r>
        <w:rPr>
          <w:rFonts w:hint="eastAsia" w:ascii="宋体" w:hAnsi="宋体" w:cs="宋体"/>
          <w:snapToGrid w:val="0"/>
          <w:kern w:val="0"/>
          <w:szCs w:val="21"/>
        </w:rPr>
        <w:t>承包人的设计成果文件应满足《建筑工程设计文件编制深度规定》（2016年版）的相关要求，并按照专家评审意见和发包人要求对设计进行深化、优化。承包人对本合同范围内的设计成果文件达到合同约定的相应设计深度负总体责任。</w:t>
      </w:r>
    </w:p>
    <w:p w14:paraId="6F975CBE">
      <w:pPr>
        <w:adjustRightInd w:val="0"/>
        <w:snapToGrid w:val="0"/>
        <w:spacing w:line="360" w:lineRule="auto"/>
        <w:ind w:firstLine="440" w:firstLineChars="200"/>
        <w:rPr>
          <w:rFonts w:hint="eastAsia" w:ascii="宋体" w:hAnsi="宋体" w:cs="宋体"/>
          <w:b/>
          <w:snapToGrid w:val="0"/>
          <w:kern w:val="0"/>
          <w:szCs w:val="21"/>
        </w:rPr>
      </w:pPr>
      <w:r>
        <w:rPr>
          <w:rFonts w:hint="eastAsia" w:ascii="宋体" w:hAnsi="宋体" w:cs="宋体"/>
          <w:b/>
          <w:snapToGrid w:val="0"/>
          <w:kern w:val="0"/>
          <w:szCs w:val="21"/>
        </w:rPr>
        <w:t xml:space="preserve">9.3 </w:t>
      </w:r>
      <w:r>
        <w:rPr>
          <w:rFonts w:hint="eastAsia" w:ascii="宋体" w:hAnsi="宋体" w:cs="宋体"/>
          <w:snapToGrid w:val="0"/>
          <w:kern w:val="0"/>
          <w:szCs w:val="21"/>
        </w:rPr>
        <w:t>承包人在设计过程中应考虑工程实施的可操作性，对工序方案提出相应的技术要求，应明确提出关键工序的工艺要求、质量控制要求及安全技术措施方案。</w:t>
      </w:r>
    </w:p>
    <w:p w14:paraId="64748732">
      <w:pPr>
        <w:adjustRightInd w:val="0"/>
        <w:snapToGrid w:val="0"/>
        <w:spacing w:line="360" w:lineRule="auto"/>
        <w:ind w:firstLine="440" w:firstLineChars="200"/>
        <w:rPr>
          <w:rFonts w:hint="eastAsia" w:ascii="宋体" w:hAnsi="宋体" w:cs="宋体"/>
          <w:strike/>
          <w:snapToGrid w:val="0"/>
          <w:kern w:val="0"/>
          <w:szCs w:val="21"/>
        </w:rPr>
      </w:pPr>
      <w:r>
        <w:rPr>
          <w:rFonts w:hint="eastAsia" w:ascii="宋体" w:hAnsi="宋体" w:cs="宋体"/>
          <w:b/>
          <w:snapToGrid w:val="0"/>
          <w:kern w:val="0"/>
          <w:szCs w:val="21"/>
        </w:rPr>
        <w:t>9.4</w:t>
      </w:r>
      <w:r>
        <w:rPr>
          <w:rFonts w:hint="eastAsia" w:ascii="宋体" w:hAnsi="宋体" w:cs="宋体"/>
          <w:snapToGrid w:val="0"/>
          <w:kern w:val="0"/>
          <w:szCs w:val="21"/>
        </w:rPr>
        <w:t>设计成果文件的计量单位均应采用国际标准计量单位。</w:t>
      </w:r>
    </w:p>
    <w:p w14:paraId="4B932192">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9.5</w:t>
      </w:r>
      <w:r>
        <w:rPr>
          <w:rFonts w:hint="eastAsia" w:ascii="宋体" w:hAnsi="宋体" w:cs="宋体"/>
          <w:snapToGrid w:val="0"/>
          <w:kern w:val="0"/>
          <w:szCs w:val="21"/>
        </w:rPr>
        <w:t>设计图纸必须按照国家对工程图纸规格的规定绘制，保持同类图纸规格统一。</w:t>
      </w:r>
    </w:p>
    <w:p w14:paraId="02E83ADA">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9.6</w:t>
      </w:r>
      <w:r>
        <w:rPr>
          <w:rFonts w:hint="eastAsia" w:ascii="宋体" w:hAnsi="宋体" w:cs="宋体"/>
          <w:snapToGrid w:val="0"/>
          <w:kern w:val="0"/>
          <w:szCs w:val="21"/>
        </w:rPr>
        <w:t>承包人应根据政府主管部门、发包人及发包人委托的第三方对设计成果文件的审核意见对设计进行必要的修改。当承包人提交的设计成果文件不符合本合同所约定的质量要求时，</w:t>
      </w:r>
      <w:r>
        <w:rPr>
          <w:rFonts w:hint="eastAsia" w:ascii="宋体" w:hAnsi="宋体" w:cs="宋体"/>
          <w:snapToGrid w:val="0"/>
          <w:kern w:val="0"/>
          <w:szCs w:val="21"/>
          <w:lang w:val="en-US" w:eastAsia="zh-CN"/>
        </w:rPr>
        <w:t>除</w:t>
      </w:r>
      <w:r>
        <w:rPr>
          <w:rFonts w:hint="eastAsia" w:ascii="宋体" w:hAnsi="宋体" w:cs="宋体"/>
          <w:snapToGrid w:val="0"/>
          <w:kern w:val="0"/>
          <w:szCs w:val="21"/>
        </w:rPr>
        <w:t>本合同另有约定外，承包人应在收到政府主管部门、发包人、发包人委托的第三方的通知后5天内将经过修改的符合规定的设计文件交付发包人。</w:t>
      </w:r>
    </w:p>
    <w:p w14:paraId="64D9D0E7">
      <w:pPr>
        <w:pStyle w:val="18"/>
        <w:adjustRightInd w:val="0"/>
        <w:snapToGrid w:val="0"/>
        <w:spacing w:before="0" w:beforeAutospacing="0" w:after="0" w:afterAutospacing="0" w:line="360" w:lineRule="auto"/>
        <w:ind w:firstLine="420" w:firstLineChars="200"/>
        <w:jc w:val="both"/>
        <w:rPr>
          <w:rFonts w:hint="eastAsia" w:cs="宋体"/>
          <w:snapToGrid w:val="0"/>
          <w:sz w:val="21"/>
          <w:szCs w:val="21"/>
        </w:rPr>
      </w:pPr>
      <w:r>
        <w:rPr>
          <w:rFonts w:hint="eastAsia" w:cs="宋体"/>
          <w:b/>
          <w:snapToGrid w:val="0"/>
          <w:sz w:val="21"/>
          <w:szCs w:val="21"/>
        </w:rPr>
        <w:t>9.7</w:t>
      </w:r>
      <w:r>
        <w:rPr>
          <w:rFonts w:hint="eastAsia" w:cs="宋体"/>
          <w:snapToGrid w:val="0"/>
          <w:sz w:val="21"/>
          <w:szCs w:val="21"/>
        </w:rPr>
        <w:t>承包人应提供国际权威机构或国内有关部门对新材料及特殊结构的试验报告，并提供相应新材料及特殊结构在工程中应用的经验供发包人参考。</w:t>
      </w:r>
    </w:p>
    <w:p w14:paraId="32BBF591">
      <w:pPr>
        <w:pStyle w:val="18"/>
        <w:adjustRightInd w:val="0"/>
        <w:snapToGrid w:val="0"/>
        <w:spacing w:before="0" w:beforeAutospacing="0" w:after="0" w:afterAutospacing="0" w:line="360" w:lineRule="auto"/>
        <w:ind w:firstLine="420" w:firstLineChars="200"/>
        <w:jc w:val="both"/>
        <w:rPr>
          <w:rFonts w:hint="eastAsia" w:cs="宋体"/>
          <w:b/>
          <w:snapToGrid w:val="0"/>
          <w:sz w:val="21"/>
          <w:szCs w:val="21"/>
        </w:rPr>
      </w:pPr>
      <w:r>
        <w:rPr>
          <w:rFonts w:hint="eastAsia" w:cs="宋体"/>
          <w:b/>
          <w:snapToGrid w:val="0"/>
          <w:sz w:val="21"/>
          <w:szCs w:val="21"/>
        </w:rPr>
        <w:t>9.8本项目（或标段）原则上只委托（或招标）一个设计单位，本项目图纸中，严禁标注“由专业公司深化设计”“待专业公司深化设计”和“待确定设备厂家后补充大样”等字眼。否则视为严重违约。</w:t>
      </w:r>
    </w:p>
    <w:p w14:paraId="3A50B024">
      <w:pPr>
        <w:pStyle w:val="18"/>
        <w:adjustRightInd w:val="0"/>
        <w:snapToGrid w:val="0"/>
        <w:spacing w:before="0" w:beforeAutospacing="0" w:after="0" w:afterAutospacing="0" w:line="360" w:lineRule="auto"/>
        <w:ind w:firstLine="420" w:firstLineChars="200"/>
        <w:rPr>
          <w:rFonts w:hint="eastAsia" w:cs="宋体"/>
          <w:b/>
          <w:snapToGrid w:val="0"/>
          <w:sz w:val="21"/>
          <w:szCs w:val="21"/>
        </w:rPr>
      </w:pPr>
    </w:p>
    <w:p w14:paraId="46A66372">
      <w:pPr>
        <w:adjustRightInd w:val="0"/>
        <w:snapToGrid w:val="0"/>
        <w:spacing w:line="360" w:lineRule="auto"/>
        <w:jc w:val="center"/>
        <w:outlineLvl w:val="0"/>
        <w:rPr>
          <w:rFonts w:hint="eastAsia" w:ascii="宋体" w:hAnsi="宋体" w:cs="宋体"/>
          <w:b/>
          <w:snapToGrid w:val="0"/>
          <w:kern w:val="0"/>
          <w:szCs w:val="21"/>
        </w:rPr>
      </w:pPr>
      <w:r>
        <w:rPr>
          <w:rFonts w:hint="eastAsia" w:ascii="宋体" w:hAnsi="宋体" w:cs="宋体"/>
          <w:b/>
          <w:snapToGrid w:val="0"/>
          <w:kern w:val="0"/>
          <w:sz w:val="28"/>
          <w:szCs w:val="28"/>
        </w:rPr>
        <w:t>第四章 设计变更</w:t>
      </w:r>
    </w:p>
    <w:p w14:paraId="4751B66D">
      <w:pPr>
        <w:adjustRightInd w:val="0"/>
        <w:snapToGrid w:val="0"/>
        <w:spacing w:line="360" w:lineRule="auto"/>
        <w:ind w:firstLine="431" w:firstLineChars="196"/>
        <w:outlineLvl w:val="1"/>
        <w:rPr>
          <w:rFonts w:hint="eastAsia" w:ascii="宋体" w:hAnsi="宋体" w:cs="宋体"/>
          <w:b/>
          <w:bCs/>
          <w:snapToGrid w:val="0"/>
          <w:kern w:val="0"/>
          <w:szCs w:val="21"/>
        </w:rPr>
      </w:pPr>
      <w:bookmarkStart w:id="54" w:name="_Toc81802534"/>
      <w:bookmarkStart w:id="55" w:name="_Toc81895175"/>
      <w:r>
        <w:rPr>
          <w:rFonts w:hint="eastAsia" w:ascii="宋体" w:hAnsi="宋体" w:cs="宋体"/>
          <w:b/>
          <w:bCs/>
          <w:snapToGrid w:val="0"/>
          <w:kern w:val="0"/>
          <w:szCs w:val="21"/>
        </w:rPr>
        <w:t>10.设计变更</w:t>
      </w:r>
    </w:p>
    <w:p w14:paraId="560E7F4D">
      <w:pPr>
        <w:pStyle w:val="18"/>
        <w:adjustRightInd w:val="0"/>
        <w:snapToGrid w:val="0"/>
        <w:spacing w:before="0" w:beforeAutospacing="0" w:after="0" w:afterAutospacing="0" w:line="360" w:lineRule="auto"/>
        <w:ind w:firstLine="420" w:firstLineChars="200"/>
        <w:jc w:val="both"/>
        <w:rPr>
          <w:rFonts w:hint="eastAsia" w:cs="宋体"/>
          <w:snapToGrid w:val="0"/>
          <w:sz w:val="21"/>
          <w:szCs w:val="21"/>
        </w:rPr>
      </w:pPr>
      <w:r>
        <w:rPr>
          <w:rFonts w:hint="eastAsia" w:cs="宋体"/>
          <w:b/>
          <w:bCs/>
          <w:snapToGrid w:val="0"/>
          <w:sz w:val="21"/>
          <w:szCs w:val="21"/>
        </w:rPr>
        <w:t>10</w:t>
      </w:r>
      <w:r>
        <w:rPr>
          <w:rFonts w:hint="eastAsia" w:cs="宋体"/>
          <w:b/>
          <w:snapToGrid w:val="0"/>
          <w:sz w:val="21"/>
          <w:szCs w:val="21"/>
        </w:rPr>
        <w:t>.1</w:t>
      </w:r>
      <w:r>
        <w:rPr>
          <w:rFonts w:hint="eastAsia" w:cs="宋体"/>
          <w:snapToGrid w:val="0"/>
          <w:sz w:val="21"/>
          <w:szCs w:val="21"/>
        </w:rPr>
        <w:t xml:space="preserve"> 承包人</w:t>
      </w:r>
      <w:r>
        <w:rPr>
          <w:rFonts w:hint="eastAsia" w:cs="宋体"/>
          <w:sz w:val="21"/>
          <w:szCs w:val="21"/>
        </w:rPr>
        <w:t>应本着对工程质量、工期、投资等三大控制相结合的原则</w:t>
      </w:r>
      <w:r>
        <w:rPr>
          <w:rFonts w:hint="eastAsia" w:cs="宋体"/>
          <w:bCs/>
          <w:snapToGrid w:val="0"/>
          <w:sz w:val="21"/>
          <w:szCs w:val="21"/>
        </w:rPr>
        <w:t>中的相关规定</w:t>
      </w:r>
      <w:r>
        <w:rPr>
          <w:rFonts w:hint="eastAsia" w:cs="宋体"/>
          <w:sz w:val="21"/>
          <w:szCs w:val="21"/>
        </w:rPr>
        <w:t>对设计变更进行管理。</w:t>
      </w:r>
    </w:p>
    <w:p w14:paraId="0595B464">
      <w:pPr>
        <w:pStyle w:val="18"/>
        <w:adjustRightInd w:val="0"/>
        <w:snapToGrid w:val="0"/>
        <w:spacing w:before="0" w:beforeAutospacing="0" w:after="0" w:afterAutospacing="0" w:line="360" w:lineRule="auto"/>
        <w:ind w:firstLine="420" w:firstLineChars="200"/>
        <w:jc w:val="both"/>
        <w:rPr>
          <w:rFonts w:hint="eastAsia" w:cs="宋体"/>
          <w:snapToGrid w:val="0"/>
          <w:sz w:val="21"/>
          <w:szCs w:val="21"/>
        </w:rPr>
      </w:pPr>
      <w:r>
        <w:rPr>
          <w:rFonts w:hint="eastAsia" w:cs="宋体"/>
          <w:b/>
          <w:bCs/>
          <w:snapToGrid w:val="0"/>
          <w:sz w:val="21"/>
          <w:szCs w:val="21"/>
        </w:rPr>
        <w:t>10</w:t>
      </w:r>
      <w:r>
        <w:rPr>
          <w:rFonts w:hint="eastAsia" w:cs="宋体"/>
          <w:b/>
          <w:snapToGrid w:val="0"/>
          <w:sz w:val="21"/>
          <w:szCs w:val="21"/>
        </w:rPr>
        <w:t>.2</w:t>
      </w:r>
      <w:r>
        <w:rPr>
          <w:rFonts w:hint="eastAsia" w:cs="宋体"/>
          <w:snapToGrid w:val="0"/>
          <w:sz w:val="21"/>
          <w:szCs w:val="21"/>
        </w:rPr>
        <w:t>由于承包人的成果文件的</w:t>
      </w:r>
      <w:r>
        <w:rPr>
          <w:rFonts w:hint="eastAsia" w:cs="宋体"/>
          <w:bCs/>
          <w:snapToGrid w:val="0"/>
          <w:sz w:val="21"/>
          <w:szCs w:val="21"/>
        </w:rPr>
        <w:t>完整性及有效性问题、</w:t>
      </w:r>
      <w:r>
        <w:rPr>
          <w:rFonts w:hint="eastAsia" w:cs="宋体"/>
          <w:snapToGrid w:val="0"/>
          <w:sz w:val="21"/>
          <w:szCs w:val="21"/>
        </w:rPr>
        <w:t>设计错误、对设计基础资料选用不当、专业间接口出现矛盾等造成的设计更改（包括因此而发生的发包人另外发包的专项工程设计变更），承包人应按照发包人规定的时间提交设计变更，并按本合同第十一章的相关约定承担违约责任。</w:t>
      </w:r>
    </w:p>
    <w:p w14:paraId="094240F6">
      <w:pPr>
        <w:pStyle w:val="18"/>
        <w:adjustRightInd w:val="0"/>
        <w:snapToGrid w:val="0"/>
        <w:spacing w:before="0" w:beforeAutospacing="0" w:after="0" w:afterAutospacing="0" w:line="360" w:lineRule="auto"/>
        <w:ind w:firstLine="420" w:firstLineChars="200"/>
        <w:jc w:val="both"/>
        <w:rPr>
          <w:rFonts w:hint="eastAsia" w:cs="宋体"/>
          <w:snapToGrid w:val="0"/>
          <w:sz w:val="21"/>
          <w:szCs w:val="21"/>
        </w:rPr>
      </w:pPr>
      <w:r>
        <w:rPr>
          <w:rFonts w:hint="eastAsia" w:cs="宋体"/>
          <w:b/>
          <w:bCs/>
          <w:snapToGrid w:val="0"/>
          <w:sz w:val="21"/>
          <w:szCs w:val="21"/>
        </w:rPr>
        <w:t>10</w:t>
      </w:r>
      <w:r>
        <w:rPr>
          <w:rFonts w:hint="eastAsia" w:cs="宋体"/>
          <w:b/>
          <w:snapToGrid w:val="0"/>
          <w:sz w:val="21"/>
          <w:szCs w:val="21"/>
        </w:rPr>
        <w:t>.3</w:t>
      </w:r>
      <w:r>
        <w:rPr>
          <w:rFonts w:hint="eastAsia" w:cs="宋体"/>
          <w:snapToGrid w:val="0"/>
          <w:sz w:val="21"/>
          <w:szCs w:val="21"/>
        </w:rPr>
        <w:t>承包人应充分考虑中国的施工安装条件和水平、材料供应的条件（即充分考虑设计与施工的衔接），若由于设计错误导致无法施工或采购材料，承包人应无条件修改或重新设计，并按本合同第</w:t>
      </w:r>
      <w:r>
        <w:rPr>
          <w:rFonts w:hint="eastAsia" w:cs="宋体"/>
          <w:b/>
          <w:bCs/>
          <w:snapToGrid w:val="0"/>
          <w:sz w:val="21"/>
          <w:szCs w:val="21"/>
          <w:lang w:val="en-US" w:eastAsia="zh-CN"/>
        </w:rPr>
        <w:t>19</w:t>
      </w:r>
      <w:r>
        <w:rPr>
          <w:rFonts w:hint="eastAsia" w:cs="宋体"/>
          <w:snapToGrid w:val="0"/>
          <w:sz w:val="21"/>
          <w:szCs w:val="21"/>
        </w:rPr>
        <w:t>条的相关约定承担违约责任。</w:t>
      </w:r>
    </w:p>
    <w:p w14:paraId="4C349708">
      <w:pPr>
        <w:pStyle w:val="18"/>
        <w:adjustRightInd w:val="0"/>
        <w:snapToGrid w:val="0"/>
        <w:spacing w:before="0" w:beforeAutospacing="0" w:after="0" w:afterAutospacing="0" w:line="360" w:lineRule="auto"/>
        <w:ind w:firstLine="420" w:firstLineChars="200"/>
        <w:jc w:val="both"/>
        <w:rPr>
          <w:rFonts w:hint="eastAsia" w:cs="宋体"/>
          <w:snapToGrid w:val="0"/>
          <w:sz w:val="21"/>
          <w:szCs w:val="21"/>
        </w:rPr>
      </w:pPr>
      <w:r>
        <w:rPr>
          <w:rFonts w:hint="eastAsia" w:cs="宋体"/>
          <w:b/>
          <w:bCs/>
          <w:snapToGrid w:val="0"/>
          <w:sz w:val="21"/>
          <w:szCs w:val="21"/>
        </w:rPr>
        <w:t>10</w:t>
      </w:r>
      <w:r>
        <w:rPr>
          <w:rFonts w:hint="eastAsia" w:cs="宋体"/>
          <w:b/>
          <w:snapToGrid w:val="0"/>
          <w:sz w:val="21"/>
          <w:szCs w:val="21"/>
        </w:rPr>
        <w:t>.4</w:t>
      </w:r>
      <w:r>
        <w:rPr>
          <w:rFonts w:hint="eastAsia" w:cs="宋体"/>
          <w:snapToGrid w:val="0"/>
          <w:sz w:val="21"/>
          <w:szCs w:val="21"/>
        </w:rPr>
        <w:t>承包人负责根据国家及地方的相关规范、规定对本合同实施过程中产生的图纸会审记录进行审核；图纸会审记录中的内容须承包人核准并转化为设计变更后方可作为正式的设计文件执行。</w:t>
      </w:r>
    </w:p>
    <w:p w14:paraId="0D699C50">
      <w:pPr>
        <w:pStyle w:val="18"/>
        <w:adjustRightInd w:val="0"/>
        <w:snapToGrid w:val="0"/>
        <w:spacing w:before="0" w:beforeAutospacing="0" w:after="0" w:afterAutospacing="0" w:line="360" w:lineRule="auto"/>
        <w:ind w:firstLine="420" w:firstLineChars="200"/>
        <w:jc w:val="both"/>
        <w:rPr>
          <w:rFonts w:hint="eastAsia" w:cs="宋体"/>
          <w:snapToGrid w:val="0"/>
          <w:sz w:val="21"/>
          <w:szCs w:val="21"/>
        </w:rPr>
      </w:pPr>
      <w:r>
        <w:rPr>
          <w:rFonts w:hint="eastAsia" w:cs="宋体"/>
          <w:b/>
          <w:bCs/>
          <w:snapToGrid w:val="0"/>
          <w:sz w:val="21"/>
          <w:szCs w:val="21"/>
        </w:rPr>
        <w:t>10</w:t>
      </w:r>
      <w:r>
        <w:rPr>
          <w:rFonts w:hint="eastAsia" w:cs="宋体"/>
          <w:b/>
          <w:snapToGrid w:val="0"/>
          <w:sz w:val="21"/>
          <w:szCs w:val="21"/>
        </w:rPr>
        <w:t>.5</w:t>
      </w:r>
      <w:r>
        <w:rPr>
          <w:rFonts w:hint="eastAsia" w:cs="宋体"/>
          <w:snapToGrid w:val="0"/>
          <w:sz w:val="21"/>
          <w:szCs w:val="21"/>
        </w:rPr>
        <w:t>承包人应在设计变更正式发出前对可能的方案进行比选，综合考虑工期、质量、造价等方面的因素，确保设计变更的经济性及有效性。</w:t>
      </w:r>
    </w:p>
    <w:p w14:paraId="5C814898">
      <w:pPr>
        <w:pStyle w:val="18"/>
        <w:adjustRightInd w:val="0"/>
        <w:snapToGrid w:val="0"/>
        <w:spacing w:before="0" w:beforeAutospacing="0" w:after="0" w:afterAutospacing="0" w:line="360" w:lineRule="auto"/>
        <w:ind w:firstLine="420" w:firstLineChars="200"/>
        <w:jc w:val="both"/>
        <w:rPr>
          <w:rFonts w:hint="eastAsia" w:cs="宋体"/>
          <w:snapToGrid w:val="0"/>
          <w:sz w:val="21"/>
          <w:szCs w:val="21"/>
        </w:rPr>
      </w:pPr>
      <w:r>
        <w:rPr>
          <w:rFonts w:hint="eastAsia" w:cs="宋体"/>
          <w:b/>
          <w:bCs/>
          <w:snapToGrid w:val="0"/>
          <w:sz w:val="21"/>
          <w:szCs w:val="21"/>
        </w:rPr>
        <w:t>10</w:t>
      </w:r>
      <w:r>
        <w:rPr>
          <w:rFonts w:hint="eastAsia" w:cs="宋体"/>
          <w:b/>
          <w:snapToGrid w:val="0"/>
          <w:sz w:val="21"/>
          <w:szCs w:val="21"/>
        </w:rPr>
        <w:t>.6</w:t>
      </w:r>
      <w:r>
        <w:rPr>
          <w:rFonts w:hint="eastAsia" w:cs="宋体"/>
          <w:snapToGrid w:val="0"/>
          <w:sz w:val="21"/>
          <w:szCs w:val="21"/>
        </w:rPr>
        <w:t xml:space="preserve"> 承包人应对本合同范围内的设计变更的完整性、有效性、正确性、可靠性、可操作性、经济性负总体责任，承包人应按相关要求对设计变更进行管理，不得随意分拆、合并设计变更。</w:t>
      </w:r>
    </w:p>
    <w:p w14:paraId="6CAFFBFB">
      <w:pPr>
        <w:pStyle w:val="18"/>
        <w:adjustRightInd w:val="0"/>
        <w:snapToGrid w:val="0"/>
        <w:spacing w:before="0" w:beforeAutospacing="0" w:after="0" w:afterAutospacing="0" w:line="360" w:lineRule="auto"/>
        <w:ind w:firstLine="420" w:firstLineChars="200"/>
        <w:jc w:val="both"/>
        <w:rPr>
          <w:rFonts w:hint="eastAsia" w:cs="宋体"/>
          <w:sz w:val="21"/>
          <w:szCs w:val="21"/>
        </w:rPr>
      </w:pPr>
      <w:r>
        <w:rPr>
          <w:rFonts w:hint="eastAsia" w:cs="宋体"/>
          <w:b/>
          <w:bCs/>
          <w:snapToGrid w:val="0"/>
          <w:sz w:val="21"/>
          <w:szCs w:val="21"/>
        </w:rPr>
        <w:t>10</w:t>
      </w:r>
      <w:r>
        <w:rPr>
          <w:rFonts w:hint="eastAsia" w:cs="宋体"/>
          <w:b/>
          <w:snapToGrid w:val="0"/>
          <w:sz w:val="21"/>
          <w:szCs w:val="21"/>
        </w:rPr>
        <w:t>.7</w:t>
      </w:r>
      <w:r>
        <w:rPr>
          <w:rFonts w:hint="eastAsia" w:cs="宋体"/>
          <w:sz w:val="21"/>
          <w:szCs w:val="21"/>
        </w:rPr>
        <w:t>承包人应准确判定设计变更的类别，对因设计变更而引起的工程造价变化须提出预算造价分析，提交设计变更对工期影响评估的书面意见。</w:t>
      </w:r>
    </w:p>
    <w:p w14:paraId="618C2F9A">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bCs/>
          <w:snapToGrid w:val="0"/>
          <w:kern w:val="0"/>
          <w:szCs w:val="21"/>
        </w:rPr>
        <w:t>10</w:t>
      </w:r>
      <w:r>
        <w:rPr>
          <w:rFonts w:hint="eastAsia" w:ascii="宋体" w:hAnsi="宋体" w:cs="宋体"/>
          <w:b/>
          <w:snapToGrid w:val="0"/>
          <w:kern w:val="0"/>
          <w:szCs w:val="21"/>
        </w:rPr>
        <w:t xml:space="preserve">.8 </w:t>
      </w:r>
      <w:r>
        <w:rPr>
          <w:rFonts w:hint="eastAsia" w:ascii="宋体" w:hAnsi="宋体" w:cs="宋体"/>
          <w:snapToGrid w:val="0"/>
          <w:kern w:val="0"/>
          <w:szCs w:val="21"/>
        </w:rPr>
        <w:t>承包人有关设计的任何修改、变动或由于修改设计所引起的工艺、技术、材料、设备的变更均须经过发包人的同意。</w:t>
      </w:r>
    </w:p>
    <w:p w14:paraId="0EE5633D">
      <w:pPr>
        <w:adjustRightInd w:val="0"/>
        <w:snapToGrid w:val="0"/>
        <w:spacing w:line="360" w:lineRule="auto"/>
        <w:ind w:firstLine="440" w:firstLineChars="200"/>
        <w:rPr>
          <w:rFonts w:hint="eastAsia" w:ascii="宋体" w:hAnsi="宋体" w:cs="宋体"/>
          <w:kern w:val="0"/>
          <w:szCs w:val="21"/>
        </w:rPr>
      </w:pPr>
      <w:r>
        <w:rPr>
          <w:rFonts w:hint="eastAsia" w:ascii="宋体" w:hAnsi="宋体" w:cs="宋体"/>
          <w:b/>
          <w:bCs/>
          <w:snapToGrid w:val="0"/>
          <w:kern w:val="0"/>
          <w:szCs w:val="21"/>
        </w:rPr>
        <w:t>10.9</w:t>
      </w:r>
      <w:r>
        <w:rPr>
          <w:rFonts w:hint="eastAsia" w:ascii="宋体" w:hAnsi="宋体" w:cs="宋体"/>
          <w:kern w:val="0"/>
          <w:szCs w:val="21"/>
        </w:rPr>
        <w:t>承包人提交服务成果文件前或提交服务成果文件后实施新规范造成修改或返工，不另行收费。</w:t>
      </w:r>
    </w:p>
    <w:p w14:paraId="61A4298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bCs/>
          <w:snapToGrid w:val="0"/>
          <w:kern w:val="0"/>
          <w:szCs w:val="21"/>
        </w:rPr>
        <w:t>10.10</w:t>
      </w:r>
      <w:r>
        <w:rPr>
          <w:rFonts w:hint="eastAsia" w:ascii="宋体" w:hAnsi="宋体" w:cs="宋体"/>
          <w:snapToGrid w:val="0"/>
          <w:kern w:val="0"/>
          <w:szCs w:val="21"/>
        </w:rPr>
        <w:t>设计单位应配合建设单位的变更管理流程，发出或上报变更时应同步整理好相应的变更指令、图纸会审、工程洽商、工程预算书等资料同步交建设单位，否则建设单位有权拒收变更。因设计单位原因造成变更未能及时下发的，由设计单位承担责任，发包人有权就此发出处罚通知。</w:t>
      </w:r>
    </w:p>
    <w:p w14:paraId="4D8E10D0">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bCs/>
          <w:snapToGrid w:val="0"/>
          <w:kern w:val="0"/>
          <w:szCs w:val="21"/>
        </w:rPr>
        <w:t>10.11</w:t>
      </w:r>
      <w:r>
        <w:rPr>
          <w:rFonts w:hint="eastAsia" w:ascii="宋体" w:hAnsi="宋体" w:cs="宋体"/>
          <w:snapToGrid w:val="0"/>
          <w:kern w:val="0"/>
          <w:szCs w:val="21"/>
        </w:rPr>
        <w:t>设计单位应对发出的变更进行台账管理，并定期发送建设单位及各参建单位核对，并应做好超概防控工作。</w:t>
      </w:r>
    </w:p>
    <w:p w14:paraId="774571CC">
      <w:pPr>
        <w:adjustRightInd w:val="0"/>
        <w:snapToGrid w:val="0"/>
        <w:spacing w:line="360" w:lineRule="auto"/>
        <w:ind w:firstLine="440" w:firstLineChars="200"/>
        <w:rPr>
          <w:rFonts w:hint="eastAsia" w:ascii="宋体" w:hAnsi="宋体" w:cs="宋体"/>
          <w:kern w:val="0"/>
          <w:szCs w:val="21"/>
        </w:rPr>
      </w:pPr>
    </w:p>
    <w:p w14:paraId="6DED7890">
      <w:pPr>
        <w:adjustRightInd w:val="0"/>
        <w:snapToGrid w:val="0"/>
        <w:spacing w:line="360" w:lineRule="auto"/>
        <w:ind w:firstLine="560" w:firstLineChars="200"/>
        <w:jc w:val="center"/>
        <w:outlineLvl w:val="0"/>
        <w:rPr>
          <w:rFonts w:hint="eastAsia" w:ascii="宋体" w:hAnsi="宋体" w:cs="宋体"/>
          <w:b/>
          <w:bCs/>
          <w:snapToGrid w:val="0"/>
          <w:kern w:val="0"/>
          <w:szCs w:val="21"/>
        </w:rPr>
      </w:pPr>
      <w:r>
        <w:rPr>
          <w:rFonts w:hint="eastAsia" w:ascii="宋体" w:hAnsi="宋体" w:cs="宋体"/>
          <w:b/>
          <w:snapToGrid w:val="0"/>
          <w:kern w:val="0"/>
          <w:sz w:val="28"/>
          <w:szCs w:val="28"/>
        </w:rPr>
        <w:t>第五章 工程投资控制</w:t>
      </w:r>
    </w:p>
    <w:p w14:paraId="2FBA902D">
      <w:pPr>
        <w:adjustRightInd w:val="0"/>
        <w:snapToGrid w:val="0"/>
        <w:spacing w:line="360" w:lineRule="auto"/>
        <w:ind w:firstLine="431" w:firstLineChars="196"/>
        <w:outlineLvl w:val="1"/>
        <w:rPr>
          <w:rFonts w:hint="eastAsia" w:ascii="宋体" w:hAnsi="宋体" w:cs="宋体"/>
          <w:b/>
          <w:bCs/>
          <w:snapToGrid w:val="0"/>
          <w:kern w:val="0"/>
          <w:szCs w:val="21"/>
        </w:rPr>
      </w:pPr>
      <w:r>
        <w:rPr>
          <w:rFonts w:hint="eastAsia" w:ascii="宋体" w:hAnsi="宋体" w:cs="宋体"/>
          <w:b/>
          <w:bCs/>
          <w:snapToGrid w:val="0"/>
          <w:kern w:val="0"/>
          <w:szCs w:val="21"/>
        </w:rPr>
        <w:t>11.工程投资控制</w:t>
      </w:r>
      <w:bookmarkEnd w:id="54"/>
      <w:bookmarkEnd w:id="55"/>
    </w:p>
    <w:p w14:paraId="566266DA">
      <w:pPr>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11.1</w:t>
      </w:r>
      <w:r>
        <w:rPr>
          <w:rFonts w:hint="eastAsia" w:ascii="宋体" w:hAnsi="宋体" w:cs="宋体"/>
          <w:snapToGrid w:val="0"/>
          <w:kern w:val="0"/>
          <w:szCs w:val="21"/>
        </w:rPr>
        <w:t>承包人承诺在不降低设计任务书中的主要设计指标（建筑高度、建筑面积等）的前提下，确保工程设计概算不超过政府主管部门核准的工程投资估算总额，且需配合发包人进行工程设计概算评审工作。</w:t>
      </w:r>
      <w:r>
        <w:rPr>
          <w:rFonts w:hint="eastAsia" w:ascii="宋体" w:hAnsi="宋体" w:cs="宋体"/>
          <w:b/>
          <w:snapToGrid w:val="0"/>
          <w:kern w:val="0"/>
          <w:szCs w:val="21"/>
        </w:rPr>
        <w:t>若设计概算送审价与行政审批部门的审核价出现较大偏差，发包人有权按以下细则进行罚款：若设计概算送审价与行政审批部门的审核价偏差</w:t>
      </w:r>
      <w:r>
        <w:rPr>
          <w:rFonts w:hint="eastAsia" w:ascii="宋体" w:hAnsi="宋体" w:cs="宋体"/>
          <w:b/>
          <w:szCs w:val="21"/>
        </w:rPr>
        <w:t>大于10%小于等于15%，按设计费合同价5%进行罚款；</w:t>
      </w:r>
      <w:r>
        <w:rPr>
          <w:rFonts w:hint="eastAsia" w:ascii="宋体" w:hAnsi="宋体" w:cs="宋体"/>
          <w:b/>
          <w:snapToGrid w:val="0"/>
          <w:kern w:val="0"/>
          <w:szCs w:val="21"/>
        </w:rPr>
        <w:t>若设计概算送审价与行政审批部门的审核价偏差</w:t>
      </w:r>
      <w:r>
        <w:rPr>
          <w:rFonts w:hint="eastAsia" w:ascii="宋体" w:hAnsi="宋体" w:cs="宋体"/>
          <w:b/>
          <w:szCs w:val="21"/>
        </w:rPr>
        <w:t>大于15%小于等于20%，按设计费合同价10%进行罚款；</w:t>
      </w:r>
      <w:r>
        <w:rPr>
          <w:rFonts w:hint="eastAsia" w:ascii="宋体" w:hAnsi="宋体" w:cs="宋体"/>
          <w:b/>
          <w:snapToGrid w:val="0"/>
          <w:kern w:val="0"/>
          <w:szCs w:val="21"/>
        </w:rPr>
        <w:t>若设计概算送审价与行政审批部门的审核价偏差</w:t>
      </w:r>
      <w:r>
        <w:rPr>
          <w:rFonts w:hint="eastAsia" w:ascii="宋体" w:hAnsi="宋体" w:cs="宋体"/>
          <w:b/>
          <w:szCs w:val="21"/>
        </w:rPr>
        <w:t>大于20%以上，按设计费合同价15%进行罚款。</w:t>
      </w:r>
    </w:p>
    <w:p w14:paraId="616BA84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11.2</w:t>
      </w:r>
      <w:r>
        <w:rPr>
          <w:rFonts w:hint="eastAsia" w:ascii="宋体" w:hAnsi="宋体" w:cs="宋体"/>
          <w:snapToGrid w:val="0"/>
          <w:kern w:val="0"/>
          <w:szCs w:val="21"/>
        </w:rPr>
        <w:t>承包人应保证所提供的初步设计成果文件中的工程设计概算的准确性。工程设计概算应是依据初步设计中主要材料及设备的量、价清单编制的，是客观、准确、可行的，并已包括依据国家、广东省、广州市及南沙区有关法律、行政法规和政策性造价管理文件所规定的所有计费内容。发包人及时提供与本合同工程有关的资料和协助。</w:t>
      </w:r>
    </w:p>
    <w:p w14:paraId="196E6EC2">
      <w:pPr>
        <w:adjustRightInd w:val="0"/>
        <w:snapToGrid w:val="0"/>
        <w:spacing w:line="360" w:lineRule="auto"/>
        <w:ind w:firstLine="440" w:firstLineChars="200"/>
        <w:rPr>
          <w:rFonts w:hint="eastAsia" w:ascii="宋体" w:hAnsi="宋体" w:cs="宋体"/>
          <w:snapToGrid w:val="0"/>
          <w:kern w:val="0"/>
          <w:szCs w:val="21"/>
        </w:rPr>
      </w:pPr>
    </w:p>
    <w:p w14:paraId="6C52E707">
      <w:pPr>
        <w:adjustRightInd w:val="0"/>
        <w:snapToGrid w:val="0"/>
        <w:spacing w:line="360" w:lineRule="auto"/>
        <w:jc w:val="center"/>
        <w:outlineLvl w:val="0"/>
        <w:rPr>
          <w:rFonts w:hint="eastAsia" w:ascii="宋体" w:hAnsi="宋体" w:cs="宋体"/>
          <w:b/>
          <w:snapToGrid w:val="0"/>
          <w:kern w:val="0"/>
          <w:sz w:val="28"/>
          <w:szCs w:val="28"/>
        </w:rPr>
      </w:pPr>
      <w:r>
        <w:rPr>
          <w:rFonts w:hint="eastAsia" w:ascii="宋体" w:hAnsi="宋体" w:cs="宋体"/>
          <w:b/>
          <w:snapToGrid w:val="0"/>
          <w:kern w:val="0"/>
          <w:sz w:val="28"/>
          <w:szCs w:val="28"/>
        </w:rPr>
        <w:t>第六章 设计评审</w:t>
      </w:r>
    </w:p>
    <w:p w14:paraId="45F90C20">
      <w:pPr>
        <w:adjustRightInd w:val="0"/>
        <w:snapToGrid w:val="0"/>
        <w:spacing w:line="360" w:lineRule="auto"/>
        <w:ind w:firstLine="480"/>
        <w:outlineLvl w:val="1"/>
        <w:rPr>
          <w:rFonts w:hint="eastAsia" w:ascii="宋体" w:hAnsi="宋体" w:cs="宋体"/>
          <w:b/>
          <w:bCs/>
          <w:snapToGrid w:val="0"/>
          <w:kern w:val="0"/>
          <w:szCs w:val="21"/>
        </w:rPr>
      </w:pPr>
      <w:r>
        <w:rPr>
          <w:rFonts w:hint="eastAsia" w:ascii="宋体" w:hAnsi="宋体" w:cs="宋体"/>
          <w:b/>
          <w:bCs/>
          <w:snapToGrid w:val="0"/>
          <w:kern w:val="0"/>
          <w:szCs w:val="21"/>
        </w:rPr>
        <w:t>12.设计评审</w:t>
      </w:r>
    </w:p>
    <w:p w14:paraId="4881D9A3">
      <w:pPr>
        <w:adjustRightInd w:val="0"/>
        <w:snapToGrid w:val="0"/>
        <w:spacing w:line="360" w:lineRule="auto"/>
        <w:ind w:firstLine="480"/>
        <w:rPr>
          <w:rFonts w:hint="eastAsia" w:ascii="宋体" w:hAnsi="宋体" w:cs="宋体"/>
          <w:bCs/>
          <w:snapToGrid w:val="0"/>
          <w:kern w:val="0"/>
          <w:szCs w:val="21"/>
        </w:rPr>
      </w:pPr>
      <w:r>
        <w:rPr>
          <w:rFonts w:hint="eastAsia" w:ascii="宋体" w:hAnsi="宋体" w:cs="宋体"/>
          <w:b/>
          <w:bCs/>
          <w:snapToGrid w:val="0"/>
          <w:kern w:val="0"/>
          <w:szCs w:val="21"/>
        </w:rPr>
        <w:t>12.1</w:t>
      </w:r>
      <w:r>
        <w:rPr>
          <w:rFonts w:hint="eastAsia" w:ascii="宋体" w:hAnsi="宋体" w:cs="宋体"/>
          <w:bCs/>
          <w:snapToGrid w:val="0"/>
          <w:kern w:val="0"/>
          <w:szCs w:val="21"/>
        </w:rPr>
        <w:t>对承包人设计成果文件的设计评审包括国家相关行政主管部门及行业主管部门的审查、发包人的设计管理部门及技术评审部门评审、发包人组织的专家评审。</w:t>
      </w:r>
    </w:p>
    <w:p w14:paraId="4F39A34E">
      <w:pPr>
        <w:adjustRightInd w:val="0"/>
        <w:snapToGrid w:val="0"/>
        <w:spacing w:line="360" w:lineRule="auto"/>
        <w:ind w:firstLine="480"/>
        <w:rPr>
          <w:rFonts w:hint="eastAsia" w:ascii="宋体" w:hAnsi="宋体" w:cs="宋体"/>
          <w:bCs/>
          <w:snapToGrid w:val="0"/>
          <w:kern w:val="0"/>
          <w:szCs w:val="21"/>
        </w:rPr>
      </w:pPr>
      <w:r>
        <w:rPr>
          <w:rFonts w:hint="eastAsia" w:ascii="宋体" w:hAnsi="宋体" w:cs="宋体"/>
          <w:b/>
          <w:bCs/>
          <w:snapToGrid w:val="0"/>
          <w:kern w:val="0"/>
          <w:szCs w:val="21"/>
        </w:rPr>
        <w:t>12.2</w:t>
      </w:r>
      <w:r>
        <w:rPr>
          <w:rFonts w:hint="eastAsia" w:ascii="宋体" w:hAnsi="宋体" w:cs="宋体"/>
          <w:bCs/>
          <w:snapToGrid w:val="0"/>
          <w:kern w:val="0"/>
          <w:szCs w:val="21"/>
        </w:rPr>
        <w:t xml:space="preserve"> 设计评审的依据包括：</w:t>
      </w:r>
    </w:p>
    <w:p w14:paraId="5FAE40AB">
      <w:pPr>
        <w:adjustRightInd w:val="0"/>
        <w:snapToGrid w:val="0"/>
        <w:spacing w:line="360" w:lineRule="auto"/>
        <w:ind w:firstLine="480"/>
        <w:rPr>
          <w:rFonts w:hint="eastAsia" w:ascii="宋体" w:hAnsi="宋体" w:cs="宋体"/>
          <w:bCs/>
          <w:snapToGrid w:val="0"/>
          <w:kern w:val="0"/>
          <w:szCs w:val="21"/>
        </w:rPr>
      </w:pPr>
      <w:r>
        <w:rPr>
          <w:rFonts w:hint="eastAsia" w:ascii="宋体" w:hAnsi="宋体" w:cs="宋体"/>
          <w:bCs/>
          <w:snapToGrid w:val="0"/>
          <w:kern w:val="0"/>
          <w:szCs w:val="21"/>
        </w:rPr>
        <w:t>（1）国家、省、市的设计审查的相关规定；</w:t>
      </w:r>
    </w:p>
    <w:p w14:paraId="78BD499D">
      <w:pPr>
        <w:adjustRightInd w:val="0"/>
        <w:snapToGrid w:val="0"/>
        <w:spacing w:line="360" w:lineRule="auto"/>
        <w:ind w:firstLine="480"/>
        <w:rPr>
          <w:rFonts w:hint="eastAsia" w:ascii="宋体" w:hAnsi="宋体" w:cs="宋体"/>
          <w:bCs/>
          <w:snapToGrid w:val="0"/>
          <w:kern w:val="0"/>
          <w:szCs w:val="21"/>
        </w:rPr>
      </w:pPr>
      <w:r>
        <w:rPr>
          <w:rFonts w:hint="eastAsia" w:ascii="宋体" w:hAnsi="宋体" w:cs="宋体"/>
          <w:bCs/>
          <w:snapToGrid w:val="0"/>
          <w:kern w:val="0"/>
          <w:szCs w:val="21"/>
        </w:rPr>
        <w:t>（2）消防、节能、环保、抗震、卫生、人防等有关工程建设的强制性标准和规范；</w:t>
      </w:r>
    </w:p>
    <w:p w14:paraId="7F1A88B1">
      <w:pPr>
        <w:adjustRightInd w:val="0"/>
        <w:snapToGrid w:val="0"/>
        <w:spacing w:line="360" w:lineRule="auto"/>
        <w:ind w:firstLine="480"/>
        <w:rPr>
          <w:rFonts w:hint="eastAsia" w:ascii="宋体" w:hAnsi="宋体" w:cs="宋体"/>
          <w:bCs/>
          <w:snapToGrid w:val="0"/>
          <w:kern w:val="0"/>
          <w:szCs w:val="21"/>
        </w:rPr>
      </w:pPr>
      <w:r>
        <w:rPr>
          <w:rFonts w:hint="eastAsia" w:ascii="宋体" w:hAnsi="宋体" w:cs="宋体"/>
          <w:bCs/>
          <w:snapToGrid w:val="0"/>
          <w:kern w:val="0"/>
          <w:szCs w:val="21"/>
        </w:rPr>
        <w:t>（3）本合同工程的相关政府批文（包括但不限于立项许可文件、用地规划文件等）；</w:t>
      </w:r>
    </w:p>
    <w:p w14:paraId="40145177">
      <w:pPr>
        <w:adjustRightInd w:val="0"/>
        <w:snapToGrid w:val="0"/>
        <w:spacing w:line="360" w:lineRule="auto"/>
        <w:ind w:firstLine="480"/>
        <w:rPr>
          <w:rFonts w:hint="eastAsia" w:ascii="宋体" w:hAnsi="宋体" w:cs="宋体"/>
          <w:bCs/>
          <w:snapToGrid w:val="0"/>
          <w:kern w:val="0"/>
          <w:szCs w:val="21"/>
        </w:rPr>
      </w:pPr>
      <w:r>
        <w:rPr>
          <w:rFonts w:hint="eastAsia" w:ascii="宋体" w:hAnsi="宋体" w:cs="宋体"/>
          <w:bCs/>
          <w:snapToGrid w:val="0"/>
          <w:kern w:val="0"/>
          <w:szCs w:val="21"/>
        </w:rPr>
        <w:t>（4）本合同中与设计工作的内容、范围、管理、服务相关的约定；</w:t>
      </w:r>
    </w:p>
    <w:p w14:paraId="41D65461">
      <w:pPr>
        <w:adjustRightInd w:val="0"/>
        <w:snapToGrid w:val="0"/>
        <w:spacing w:line="360" w:lineRule="auto"/>
        <w:ind w:firstLine="480"/>
        <w:rPr>
          <w:rFonts w:hint="eastAsia" w:ascii="宋体" w:hAnsi="宋体" w:cs="宋体"/>
          <w:bCs/>
          <w:snapToGrid w:val="0"/>
          <w:kern w:val="0"/>
          <w:szCs w:val="21"/>
        </w:rPr>
      </w:pPr>
      <w:r>
        <w:rPr>
          <w:rFonts w:hint="eastAsia" w:ascii="宋体" w:hAnsi="宋体" w:cs="宋体"/>
          <w:bCs/>
          <w:snapToGrid w:val="0"/>
          <w:kern w:val="0"/>
          <w:szCs w:val="21"/>
        </w:rPr>
        <w:t>（5）发包人关于设计、图档、图文、工程等的相关管理办法及规定；</w:t>
      </w:r>
    </w:p>
    <w:p w14:paraId="502F57A7">
      <w:pPr>
        <w:adjustRightInd w:val="0"/>
        <w:snapToGrid w:val="0"/>
        <w:spacing w:line="360" w:lineRule="auto"/>
        <w:ind w:firstLine="480"/>
        <w:rPr>
          <w:rFonts w:hint="eastAsia" w:ascii="宋体" w:hAnsi="宋体" w:cs="宋体"/>
          <w:bCs/>
          <w:snapToGrid w:val="0"/>
          <w:kern w:val="0"/>
          <w:szCs w:val="21"/>
        </w:rPr>
      </w:pPr>
      <w:r>
        <w:rPr>
          <w:rFonts w:hint="eastAsia" w:ascii="宋体" w:hAnsi="宋体" w:cs="宋体"/>
          <w:bCs/>
          <w:snapToGrid w:val="0"/>
          <w:kern w:val="0"/>
          <w:szCs w:val="21"/>
        </w:rPr>
        <w:t>（6）政府相关行政主管部门、行业主管部门对承包人设计成果文件的审批意见；</w:t>
      </w:r>
    </w:p>
    <w:p w14:paraId="573E1644">
      <w:pPr>
        <w:adjustRightInd w:val="0"/>
        <w:snapToGrid w:val="0"/>
        <w:spacing w:line="360" w:lineRule="auto"/>
        <w:ind w:firstLine="480"/>
        <w:rPr>
          <w:rFonts w:hint="eastAsia" w:ascii="宋体" w:hAnsi="宋体" w:cs="宋体"/>
          <w:bCs/>
          <w:snapToGrid w:val="0"/>
          <w:kern w:val="0"/>
          <w:szCs w:val="21"/>
        </w:rPr>
      </w:pPr>
      <w:r>
        <w:rPr>
          <w:rFonts w:hint="eastAsia" w:ascii="宋体" w:hAnsi="宋体" w:cs="宋体"/>
          <w:bCs/>
          <w:snapToGrid w:val="0"/>
          <w:kern w:val="0"/>
          <w:szCs w:val="21"/>
        </w:rPr>
        <w:t>（7）发包人在设计过程中提出的明确书面意见。</w:t>
      </w:r>
    </w:p>
    <w:p w14:paraId="0D8AFAFB">
      <w:pPr>
        <w:adjustRightInd w:val="0"/>
        <w:snapToGrid w:val="0"/>
        <w:spacing w:line="360" w:lineRule="auto"/>
        <w:ind w:firstLine="480"/>
        <w:rPr>
          <w:rFonts w:hint="eastAsia" w:ascii="宋体" w:hAnsi="宋体" w:cs="宋体"/>
          <w:bCs/>
          <w:snapToGrid w:val="0"/>
          <w:kern w:val="0"/>
          <w:szCs w:val="21"/>
        </w:rPr>
      </w:pPr>
      <w:r>
        <w:rPr>
          <w:rFonts w:hint="eastAsia" w:ascii="宋体" w:hAnsi="宋体" w:cs="宋体"/>
          <w:b/>
          <w:bCs/>
          <w:snapToGrid w:val="0"/>
          <w:kern w:val="0"/>
          <w:szCs w:val="21"/>
        </w:rPr>
        <w:t xml:space="preserve">12.3 </w:t>
      </w:r>
      <w:r>
        <w:rPr>
          <w:rFonts w:hint="eastAsia" w:ascii="宋体" w:hAnsi="宋体" w:cs="宋体"/>
          <w:bCs/>
          <w:snapToGrid w:val="0"/>
          <w:kern w:val="0"/>
          <w:szCs w:val="21"/>
        </w:rPr>
        <w:t>承包人应根据政府相关行政主管部门、行业主管部门的审批意见无条件地修改、完善各阶段的设计成果文件，确保其满足相关的审批要求；承包人应根据图纸审查单位的审查、发包人的设计评审、发包人组织的专家评审的意见对设计成果文件进行修改、完善。</w:t>
      </w:r>
    </w:p>
    <w:p w14:paraId="4B9C5074">
      <w:pPr>
        <w:adjustRightInd w:val="0"/>
        <w:snapToGrid w:val="0"/>
        <w:spacing w:line="360" w:lineRule="auto"/>
        <w:ind w:firstLine="480"/>
        <w:rPr>
          <w:rFonts w:hint="eastAsia" w:ascii="宋体" w:hAnsi="宋体" w:cs="宋体"/>
          <w:bCs/>
          <w:snapToGrid w:val="0"/>
          <w:kern w:val="0"/>
          <w:szCs w:val="21"/>
        </w:rPr>
      </w:pPr>
      <w:r>
        <w:rPr>
          <w:rFonts w:hint="eastAsia" w:ascii="宋体" w:hAnsi="宋体" w:cs="宋体"/>
          <w:b/>
          <w:bCs/>
          <w:snapToGrid w:val="0"/>
          <w:kern w:val="0"/>
          <w:szCs w:val="21"/>
        </w:rPr>
        <w:t>12.4</w:t>
      </w:r>
      <w:r>
        <w:rPr>
          <w:rFonts w:hint="eastAsia" w:ascii="宋体" w:hAnsi="宋体" w:cs="宋体"/>
          <w:bCs/>
          <w:snapToGrid w:val="0"/>
          <w:kern w:val="0"/>
          <w:szCs w:val="21"/>
        </w:rPr>
        <w:t>承包人对发包人组织的专家评审意见存在异议的，在不违反消防、节能、环保、抗震、卫生、人防等国家有关工程建设的强制性标准和规范的前提下，以发包人最终认定的意见为准。承包人应在设计评审的最终意见发出之后5天内完成其设计范围内设计成果文件的修改完善工作并提交发包人。</w:t>
      </w:r>
    </w:p>
    <w:p w14:paraId="13F9E56F">
      <w:pPr>
        <w:adjustRightInd w:val="0"/>
        <w:snapToGrid w:val="0"/>
        <w:spacing w:line="360" w:lineRule="auto"/>
        <w:ind w:firstLine="480"/>
        <w:rPr>
          <w:rFonts w:hint="eastAsia" w:ascii="宋体" w:hAnsi="宋体" w:cs="宋体"/>
          <w:bCs/>
          <w:snapToGrid w:val="0"/>
          <w:kern w:val="0"/>
          <w:szCs w:val="21"/>
        </w:rPr>
      </w:pPr>
      <w:r>
        <w:rPr>
          <w:rFonts w:hint="eastAsia" w:ascii="宋体" w:hAnsi="宋体" w:cs="宋体"/>
          <w:b/>
          <w:bCs/>
          <w:snapToGrid w:val="0"/>
          <w:kern w:val="0"/>
          <w:szCs w:val="21"/>
        </w:rPr>
        <w:t>12.5</w:t>
      </w:r>
      <w:r>
        <w:rPr>
          <w:rFonts w:hint="eastAsia" w:ascii="宋体" w:hAnsi="宋体" w:cs="宋体"/>
          <w:bCs/>
          <w:snapToGrid w:val="0"/>
          <w:kern w:val="0"/>
          <w:szCs w:val="21"/>
        </w:rPr>
        <w:t>如承包人未能在设计评审的最终意见发出之日起3日内积极响应或逾期未能完成相关设计成果文件的修改完善工作，承包人应按本合同条款第</w:t>
      </w:r>
      <w:r>
        <w:rPr>
          <w:rFonts w:hint="eastAsia" w:ascii="宋体" w:hAnsi="宋体" w:cs="宋体"/>
          <w:bCs/>
          <w:snapToGrid w:val="0"/>
          <w:kern w:val="0"/>
          <w:szCs w:val="21"/>
          <w:lang w:val="en-US" w:eastAsia="zh-CN"/>
        </w:rPr>
        <w:t>19</w:t>
      </w:r>
      <w:r>
        <w:rPr>
          <w:rFonts w:hint="eastAsia" w:ascii="宋体" w:hAnsi="宋体" w:cs="宋体"/>
          <w:bCs/>
          <w:snapToGrid w:val="0"/>
          <w:kern w:val="0"/>
          <w:szCs w:val="21"/>
        </w:rPr>
        <w:t>条的相关约定承担违约责任。发包人有权直接按设计评审的最终评审意见实施（但不因此免除承包人的相关设计责任）或直接委托其他设计单位进行相关的设计修改和完善，另行委托设计的相关费用（按需要进行修改完善部分的建安工程费占审定概算建安工程费之和的比例乘以本合同设计费计取）从本合同设计收费中扣取。</w:t>
      </w:r>
    </w:p>
    <w:p w14:paraId="0D3F92F4">
      <w:pPr>
        <w:adjustRightInd w:val="0"/>
        <w:snapToGrid w:val="0"/>
        <w:spacing w:line="360" w:lineRule="auto"/>
        <w:jc w:val="center"/>
        <w:rPr>
          <w:rFonts w:hint="eastAsia" w:ascii="宋体" w:hAnsi="宋体" w:cs="宋体"/>
          <w:b/>
          <w:snapToGrid w:val="0"/>
          <w:kern w:val="0"/>
          <w:szCs w:val="21"/>
        </w:rPr>
      </w:pPr>
    </w:p>
    <w:p w14:paraId="27D9EC59">
      <w:pPr>
        <w:adjustRightInd w:val="0"/>
        <w:snapToGrid w:val="0"/>
        <w:spacing w:line="360" w:lineRule="auto"/>
        <w:jc w:val="center"/>
        <w:outlineLvl w:val="0"/>
        <w:rPr>
          <w:rFonts w:hint="eastAsia" w:ascii="宋体" w:hAnsi="宋体" w:cs="宋体"/>
          <w:b/>
          <w:snapToGrid w:val="0"/>
          <w:kern w:val="0"/>
          <w:sz w:val="28"/>
          <w:szCs w:val="28"/>
        </w:rPr>
      </w:pPr>
      <w:r>
        <w:rPr>
          <w:rFonts w:hint="eastAsia" w:ascii="宋体" w:hAnsi="宋体" w:cs="宋体"/>
          <w:b/>
          <w:snapToGrid w:val="0"/>
          <w:kern w:val="0"/>
          <w:sz w:val="28"/>
          <w:szCs w:val="28"/>
        </w:rPr>
        <w:t>第七章  设计收费的计取及支付</w:t>
      </w:r>
    </w:p>
    <w:p w14:paraId="688C3094">
      <w:pPr>
        <w:tabs>
          <w:tab w:val="left" w:pos="0"/>
        </w:tabs>
        <w:adjustRightInd w:val="0"/>
        <w:snapToGrid w:val="0"/>
        <w:spacing w:line="360" w:lineRule="auto"/>
        <w:ind w:firstLine="1"/>
        <w:outlineLvl w:val="1"/>
        <w:rPr>
          <w:rFonts w:hint="eastAsia" w:ascii="宋体" w:hAnsi="宋体" w:cs="宋体"/>
          <w:b/>
          <w:bCs/>
          <w:snapToGrid w:val="0"/>
          <w:kern w:val="0"/>
          <w:szCs w:val="21"/>
        </w:rPr>
      </w:pPr>
      <w:r>
        <w:rPr>
          <w:rFonts w:hint="eastAsia" w:ascii="宋体" w:hAnsi="宋体" w:cs="宋体"/>
          <w:b/>
          <w:bCs/>
          <w:snapToGrid w:val="0"/>
          <w:kern w:val="0"/>
          <w:szCs w:val="21"/>
        </w:rPr>
        <w:t>13.设计收费的计取</w:t>
      </w:r>
    </w:p>
    <w:p w14:paraId="1C873C49">
      <w:pPr>
        <w:adjustRightInd w:val="0"/>
        <w:snapToGrid w:val="0"/>
        <w:spacing w:line="360" w:lineRule="auto"/>
        <w:ind w:firstLine="440" w:firstLineChars="200"/>
        <w:rPr>
          <w:rFonts w:hint="eastAsia" w:ascii="宋体" w:hAnsi="宋体" w:cs="宋体"/>
          <w:szCs w:val="21"/>
        </w:rPr>
      </w:pPr>
      <w:r>
        <w:rPr>
          <w:rFonts w:hint="eastAsia" w:ascii="宋体" w:hAnsi="宋体" w:cs="宋体"/>
          <w:b/>
          <w:bCs/>
          <w:snapToGrid w:val="0"/>
          <w:kern w:val="0"/>
          <w:szCs w:val="21"/>
        </w:rPr>
        <w:t xml:space="preserve">13.1 </w:t>
      </w:r>
      <w:r>
        <w:rPr>
          <w:rFonts w:hint="eastAsia" w:ascii="宋体" w:hAnsi="宋体" w:cs="宋体"/>
          <w:bCs/>
          <w:snapToGrid w:val="0"/>
          <w:kern w:val="0"/>
          <w:szCs w:val="21"/>
        </w:rPr>
        <w:t>设计收费的计取方式按合同协议书第3条规定</w:t>
      </w:r>
      <w:r>
        <w:rPr>
          <w:rFonts w:hint="eastAsia" w:ascii="宋体" w:hAnsi="宋体" w:cs="宋体"/>
          <w:szCs w:val="21"/>
        </w:rPr>
        <w:t>。</w:t>
      </w:r>
    </w:p>
    <w:p w14:paraId="02D33006">
      <w:pPr>
        <w:adjustRightInd w:val="0"/>
        <w:snapToGrid w:val="0"/>
        <w:spacing w:line="360" w:lineRule="auto"/>
        <w:outlineLvl w:val="1"/>
        <w:rPr>
          <w:rFonts w:hint="eastAsia" w:ascii="宋体" w:hAnsi="宋体" w:cs="宋体"/>
          <w:b/>
          <w:bCs/>
          <w:snapToGrid w:val="0"/>
          <w:kern w:val="0"/>
          <w:szCs w:val="21"/>
        </w:rPr>
      </w:pPr>
      <w:r>
        <w:rPr>
          <w:rFonts w:hint="eastAsia" w:ascii="宋体" w:hAnsi="宋体" w:cs="宋体"/>
          <w:b/>
          <w:bCs/>
          <w:snapToGrid w:val="0"/>
          <w:kern w:val="0"/>
          <w:szCs w:val="21"/>
        </w:rPr>
        <w:t>14.设计费的支付方式</w:t>
      </w:r>
    </w:p>
    <w:p w14:paraId="76BE2FC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14.1</w:t>
      </w:r>
      <w:r>
        <w:rPr>
          <w:rFonts w:hint="eastAsia" w:ascii="宋体" w:hAnsi="宋体" w:cs="宋体"/>
          <w:snapToGrid w:val="0"/>
          <w:kern w:val="0"/>
          <w:szCs w:val="21"/>
        </w:rPr>
        <w:t>本合同生效后，承包人按要求提交申请支付文件资料进行申请支付：</w:t>
      </w:r>
    </w:p>
    <w:p w14:paraId="3EEA6170">
      <w:pPr>
        <w:adjustRightInd w:val="0"/>
        <w:snapToGrid w:val="0"/>
        <w:spacing w:line="360" w:lineRule="auto"/>
        <w:ind w:firstLine="422" w:firstLineChars="192"/>
        <w:rPr>
          <w:rFonts w:hint="eastAsia" w:ascii="宋体" w:hAnsi="宋体" w:cs="宋体"/>
          <w:snapToGrid w:val="0"/>
          <w:kern w:val="0"/>
          <w:szCs w:val="21"/>
        </w:rPr>
      </w:pPr>
      <w:r>
        <w:rPr>
          <w:rFonts w:hint="eastAsia" w:ascii="宋体" w:hAnsi="宋体" w:cs="宋体"/>
          <w:snapToGrid w:val="0"/>
          <w:kern w:val="0"/>
          <w:szCs w:val="21"/>
        </w:rPr>
        <w:t>（1）各阶段</w:t>
      </w:r>
      <w:r>
        <w:rPr>
          <w:rFonts w:hint="eastAsia" w:ascii="宋体" w:hAnsi="宋体" w:cs="宋体"/>
          <w:bCs/>
          <w:snapToGrid w:val="0"/>
          <w:kern w:val="0"/>
          <w:szCs w:val="21"/>
        </w:rPr>
        <w:t>工程</w:t>
      </w:r>
      <w:r>
        <w:rPr>
          <w:rFonts w:hint="eastAsia" w:ascii="宋体" w:hAnsi="宋体" w:cs="宋体"/>
          <w:snapToGrid w:val="0"/>
          <w:kern w:val="0"/>
          <w:szCs w:val="21"/>
        </w:rPr>
        <w:t>设计费支付按下表：</w:t>
      </w:r>
    </w:p>
    <w:tbl>
      <w:tblPr>
        <w:tblStyle w:val="2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4111"/>
        <w:gridCol w:w="3685"/>
      </w:tblGrid>
      <w:tr w14:paraId="22B4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blHeader/>
        </w:trPr>
        <w:tc>
          <w:tcPr>
            <w:tcW w:w="1271" w:type="dxa"/>
            <w:vAlign w:val="center"/>
          </w:tcPr>
          <w:p w14:paraId="11CFDFA9">
            <w:pPr>
              <w:autoSpaceDE w:val="0"/>
              <w:autoSpaceDN w:val="0"/>
              <w:adjustRightInd w:val="0"/>
              <w:snapToGrid w:val="0"/>
              <w:spacing w:line="360" w:lineRule="auto"/>
              <w:jc w:val="center"/>
              <w:rPr>
                <w:rFonts w:hint="eastAsia" w:ascii="宋体" w:hAnsi="宋体" w:cs="宋体"/>
                <w:b/>
                <w:kern w:val="0"/>
                <w:szCs w:val="21"/>
              </w:rPr>
            </w:pPr>
            <w:r>
              <w:rPr>
                <w:rFonts w:hint="eastAsia" w:ascii="宋体" w:hAnsi="宋体" w:cs="宋体"/>
                <w:b/>
                <w:kern w:val="0"/>
                <w:szCs w:val="21"/>
              </w:rPr>
              <w:t>支付阶段</w:t>
            </w:r>
          </w:p>
        </w:tc>
        <w:tc>
          <w:tcPr>
            <w:tcW w:w="4111" w:type="dxa"/>
            <w:vAlign w:val="center"/>
          </w:tcPr>
          <w:p w14:paraId="2F820082">
            <w:pPr>
              <w:autoSpaceDE w:val="0"/>
              <w:autoSpaceDN w:val="0"/>
              <w:adjustRightInd w:val="0"/>
              <w:snapToGrid w:val="0"/>
              <w:spacing w:line="360" w:lineRule="auto"/>
              <w:jc w:val="center"/>
              <w:rPr>
                <w:rFonts w:hint="eastAsia" w:ascii="宋体" w:hAnsi="宋体" w:cs="宋体"/>
                <w:b/>
                <w:kern w:val="0"/>
                <w:szCs w:val="21"/>
              </w:rPr>
            </w:pPr>
            <w:r>
              <w:rPr>
                <w:rFonts w:hint="eastAsia" w:ascii="宋体" w:hAnsi="宋体" w:cs="宋体"/>
                <w:b/>
                <w:kern w:val="0"/>
                <w:szCs w:val="21"/>
              </w:rPr>
              <w:t>支付条件</w:t>
            </w:r>
          </w:p>
        </w:tc>
        <w:tc>
          <w:tcPr>
            <w:tcW w:w="3685" w:type="dxa"/>
            <w:vAlign w:val="center"/>
          </w:tcPr>
          <w:p w14:paraId="011ED730">
            <w:pPr>
              <w:autoSpaceDE w:val="0"/>
              <w:autoSpaceDN w:val="0"/>
              <w:adjustRightInd w:val="0"/>
              <w:snapToGrid w:val="0"/>
              <w:spacing w:line="360" w:lineRule="auto"/>
              <w:jc w:val="center"/>
              <w:rPr>
                <w:rFonts w:hint="eastAsia" w:ascii="宋体" w:hAnsi="宋体" w:cs="宋体"/>
                <w:b/>
                <w:kern w:val="0"/>
                <w:szCs w:val="21"/>
              </w:rPr>
            </w:pPr>
            <w:r>
              <w:rPr>
                <w:rFonts w:hint="eastAsia" w:ascii="宋体" w:hAnsi="宋体" w:cs="宋体"/>
                <w:b/>
                <w:kern w:val="0"/>
                <w:szCs w:val="21"/>
              </w:rPr>
              <w:t>支付比例</w:t>
            </w:r>
          </w:p>
        </w:tc>
      </w:tr>
      <w:tr w14:paraId="63DC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271" w:type="dxa"/>
            <w:vAlign w:val="center"/>
          </w:tcPr>
          <w:p w14:paraId="684530D7">
            <w:pPr>
              <w:autoSpaceDE w:val="0"/>
              <w:autoSpaceDN w:val="0"/>
              <w:adjustRightInd w:val="0"/>
              <w:snapToGrid w:val="0"/>
              <w:spacing w:line="360" w:lineRule="auto"/>
              <w:jc w:val="center"/>
              <w:rPr>
                <w:rFonts w:hint="eastAsia" w:ascii="宋体" w:hAnsi="宋体" w:cs="宋体"/>
                <w:kern w:val="0"/>
                <w:szCs w:val="21"/>
              </w:rPr>
            </w:pPr>
            <w:r>
              <w:rPr>
                <w:rFonts w:hint="eastAsia" w:ascii="宋体" w:hAnsi="宋体" w:cs="宋体"/>
                <w:kern w:val="0"/>
                <w:szCs w:val="21"/>
              </w:rPr>
              <w:t>预付款</w:t>
            </w:r>
          </w:p>
        </w:tc>
        <w:tc>
          <w:tcPr>
            <w:tcW w:w="4111" w:type="dxa"/>
            <w:vAlign w:val="center"/>
          </w:tcPr>
          <w:p w14:paraId="3B9A43A8">
            <w:pPr>
              <w:autoSpaceDE w:val="0"/>
              <w:autoSpaceDN w:val="0"/>
              <w:adjustRightInd w:val="0"/>
              <w:snapToGrid w:val="0"/>
              <w:spacing w:line="360" w:lineRule="auto"/>
              <w:rPr>
                <w:rFonts w:hint="eastAsia" w:ascii="宋体" w:hAnsi="宋体" w:cs="宋体"/>
                <w:kern w:val="0"/>
                <w:szCs w:val="21"/>
              </w:rPr>
            </w:pPr>
            <w:r>
              <w:rPr>
                <w:rFonts w:hint="eastAsia" w:ascii="宋体" w:hAnsi="宋体" w:cs="宋体"/>
                <w:kern w:val="0"/>
                <w:szCs w:val="21"/>
              </w:rPr>
              <w:t>合同签订后。</w:t>
            </w:r>
          </w:p>
        </w:tc>
        <w:tc>
          <w:tcPr>
            <w:tcW w:w="3685" w:type="dxa"/>
            <w:vAlign w:val="center"/>
          </w:tcPr>
          <w:p w14:paraId="4F391B4A">
            <w:pPr>
              <w:autoSpaceDE w:val="0"/>
              <w:autoSpaceDN w:val="0"/>
              <w:adjustRightInd w:val="0"/>
              <w:snapToGrid w:val="0"/>
              <w:spacing w:line="360" w:lineRule="auto"/>
              <w:rPr>
                <w:rFonts w:hint="eastAsia" w:ascii="宋体" w:hAnsi="宋体" w:cs="宋体"/>
                <w:kern w:val="0"/>
                <w:szCs w:val="21"/>
              </w:rPr>
            </w:pPr>
            <w:r>
              <w:rPr>
                <w:rFonts w:hint="eastAsia" w:ascii="宋体" w:hAnsi="宋体" w:cs="宋体"/>
                <w:kern w:val="0"/>
                <w:szCs w:val="21"/>
              </w:rPr>
              <w:t>承包人可申请支付设计费暂定合同价的20%</w:t>
            </w:r>
          </w:p>
        </w:tc>
      </w:tr>
      <w:tr w14:paraId="64E7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271" w:type="dxa"/>
            <w:vAlign w:val="center"/>
          </w:tcPr>
          <w:p w14:paraId="5687A5E8">
            <w:pPr>
              <w:autoSpaceDE w:val="0"/>
              <w:autoSpaceDN w:val="0"/>
              <w:adjustRightInd w:val="0"/>
              <w:snapToGrid w:val="0"/>
              <w:spacing w:line="360" w:lineRule="auto"/>
              <w:jc w:val="center"/>
              <w:rPr>
                <w:rFonts w:hint="eastAsia" w:ascii="宋体" w:hAnsi="宋体" w:cs="宋体"/>
                <w:kern w:val="0"/>
                <w:szCs w:val="21"/>
              </w:rPr>
            </w:pPr>
            <w:r>
              <w:rPr>
                <w:rFonts w:hint="eastAsia" w:ascii="宋体" w:hAnsi="宋体" w:cs="宋体"/>
                <w:kern w:val="0"/>
                <w:szCs w:val="21"/>
              </w:rPr>
              <w:t>第二期支付</w:t>
            </w:r>
          </w:p>
        </w:tc>
        <w:tc>
          <w:tcPr>
            <w:tcW w:w="4111" w:type="dxa"/>
            <w:vAlign w:val="center"/>
          </w:tcPr>
          <w:p w14:paraId="58DCCA63">
            <w:pPr>
              <w:autoSpaceDE w:val="0"/>
              <w:autoSpaceDN w:val="0"/>
              <w:adjustRightInd w:val="0"/>
              <w:snapToGrid w:val="0"/>
              <w:spacing w:line="360" w:lineRule="auto"/>
              <w:rPr>
                <w:rFonts w:hint="eastAsia" w:ascii="宋体" w:hAnsi="宋体" w:cs="宋体"/>
                <w:kern w:val="0"/>
                <w:szCs w:val="21"/>
              </w:rPr>
            </w:pPr>
            <w:r>
              <w:rPr>
                <w:rFonts w:hint="eastAsia" w:ascii="宋体" w:hAnsi="宋体" w:cs="宋体"/>
                <w:kern w:val="0"/>
                <w:szCs w:val="21"/>
              </w:rPr>
              <w:t>承包人提供经发包人确认的方案设计文件并获相关部门审批通过。</w:t>
            </w:r>
          </w:p>
        </w:tc>
        <w:tc>
          <w:tcPr>
            <w:tcW w:w="3685" w:type="dxa"/>
            <w:vAlign w:val="center"/>
          </w:tcPr>
          <w:p w14:paraId="4D533923">
            <w:pPr>
              <w:autoSpaceDE w:val="0"/>
              <w:autoSpaceDN w:val="0"/>
              <w:adjustRightInd w:val="0"/>
              <w:snapToGrid w:val="0"/>
              <w:spacing w:line="360" w:lineRule="auto"/>
              <w:rPr>
                <w:rFonts w:hint="eastAsia" w:ascii="宋体" w:hAnsi="宋体" w:cs="宋体"/>
                <w:kern w:val="0"/>
                <w:szCs w:val="21"/>
              </w:rPr>
            </w:pPr>
            <w:r>
              <w:rPr>
                <w:rFonts w:hint="eastAsia" w:ascii="宋体" w:hAnsi="宋体" w:cs="宋体"/>
                <w:kern w:val="0"/>
                <w:szCs w:val="21"/>
              </w:rPr>
              <w:t>承包人可申请支付至设计费暂定合同价的50%</w:t>
            </w:r>
          </w:p>
        </w:tc>
      </w:tr>
      <w:tr w14:paraId="19E4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271" w:type="dxa"/>
            <w:vAlign w:val="center"/>
          </w:tcPr>
          <w:p w14:paraId="72E3CE73">
            <w:pPr>
              <w:autoSpaceDE w:val="0"/>
              <w:autoSpaceDN w:val="0"/>
              <w:adjustRightInd w:val="0"/>
              <w:snapToGrid w:val="0"/>
              <w:spacing w:line="360" w:lineRule="auto"/>
              <w:jc w:val="center"/>
              <w:rPr>
                <w:rFonts w:hint="eastAsia" w:ascii="宋体" w:hAnsi="宋体" w:cs="宋体"/>
                <w:kern w:val="0"/>
                <w:szCs w:val="21"/>
              </w:rPr>
            </w:pPr>
            <w:r>
              <w:rPr>
                <w:rFonts w:hint="eastAsia" w:ascii="宋体" w:hAnsi="宋体" w:cs="宋体"/>
                <w:kern w:val="0"/>
                <w:szCs w:val="21"/>
              </w:rPr>
              <w:t>第三期支付</w:t>
            </w:r>
          </w:p>
        </w:tc>
        <w:tc>
          <w:tcPr>
            <w:tcW w:w="4111" w:type="dxa"/>
            <w:vAlign w:val="center"/>
          </w:tcPr>
          <w:p w14:paraId="3BB0203C">
            <w:pPr>
              <w:autoSpaceDE w:val="0"/>
              <w:autoSpaceDN w:val="0"/>
              <w:adjustRightInd w:val="0"/>
              <w:snapToGrid w:val="0"/>
              <w:spacing w:line="360" w:lineRule="auto"/>
              <w:rPr>
                <w:rFonts w:hint="eastAsia" w:ascii="宋体" w:hAnsi="宋体" w:cs="宋体"/>
                <w:kern w:val="0"/>
                <w:szCs w:val="21"/>
              </w:rPr>
            </w:pPr>
            <w:r>
              <w:rPr>
                <w:rFonts w:hint="eastAsia" w:ascii="宋体" w:hAnsi="宋体" w:cs="宋体"/>
                <w:kern w:val="0"/>
                <w:szCs w:val="21"/>
              </w:rPr>
              <w:t>承包人提供经发包人确认的初步设计文件（含概算文件）并获相关部门审批通过后。</w:t>
            </w:r>
          </w:p>
        </w:tc>
        <w:tc>
          <w:tcPr>
            <w:tcW w:w="3685" w:type="dxa"/>
            <w:vAlign w:val="center"/>
          </w:tcPr>
          <w:p w14:paraId="2BBAB037">
            <w:pPr>
              <w:autoSpaceDE w:val="0"/>
              <w:autoSpaceDN w:val="0"/>
              <w:adjustRightInd w:val="0"/>
              <w:snapToGrid w:val="0"/>
              <w:spacing w:line="360" w:lineRule="auto"/>
              <w:rPr>
                <w:rFonts w:hint="eastAsia" w:ascii="宋体" w:hAnsi="宋体" w:cs="宋体"/>
                <w:kern w:val="0"/>
                <w:szCs w:val="21"/>
              </w:rPr>
            </w:pPr>
            <w:r>
              <w:rPr>
                <w:rFonts w:hint="eastAsia" w:ascii="宋体" w:hAnsi="宋体" w:cs="宋体"/>
                <w:kern w:val="0"/>
                <w:szCs w:val="21"/>
              </w:rPr>
              <w:t>承包人可申请支付至以概算审定的建安工程费乘以设计费中标费率计取的设计费总额的90%。</w:t>
            </w:r>
          </w:p>
        </w:tc>
      </w:tr>
      <w:tr w14:paraId="1112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271" w:type="dxa"/>
            <w:vAlign w:val="center"/>
          </w:tcPr>
          <w:p w14:paraId="09DC3EF9">
            <w:pPr>
              <w:autoSpaceDE w:val="0"/>
              <w:autoSpaceDN w:val="0"/>
              <w:adjustRightInd w:val="0"/>
              <w:snapToGrid w:val="0"/>
              <w:spacing w:line="360" w:lineRule="auto"/>
              <w:jc w:val="center"/>
              <w:rPr>
                <w:rFonts w:hint="eastAsia" w:ascii="宋体" w:hAnsi="宋体" w:cs="宋体"/>
                <w:kern w:val="0"/>
                <w:szCs w:val="21"/>
              </w:rPr>
            </w:pPr>
            <w:r>
              <w:rPr>
                <w:rFonts w:hint="eastAsia" w:ascii="宋体" w:hAnsi="宋体" w:cs="宋体"/>
                <w:kern w:val="0"/>
                <w:szCs w:val="21"/>
              </w:rPr>
              <w:t>尾款</w:t>
            </w:r>
          </w:p>
        </w:tc>
        <w:tc>
          <w:tcPr>
            <w:tcW w:w="4111" w:type="dxa"/>
            <w:vAlign w:val="center"/>
          </w:tcPr>
          <w:p w14:paraId="23FF1004">
            <w:pPr>
              <w:autoSpaceDE w:val="0"/>
              <w:autoSpaceDN w:val="0"/>
              <w:adjustRightInd w:val="0"/>
              <w:snapToGrid w:val="0"/>
              <w:spacing w:line="360" w:lineRule="auto"/>
              <w:rPr>
                <w:rFonts w:hint="eastAsia" w:ascii="宋体" w:hAnsi="宋体" w:cs="宋体"/>
                <w:kern w:val="0"/>
                <w:szCs w:val="21"/>
              </w:rPr>
            </w:pPr>
            <w:r>
              <w:rPr>
                <w:rFonts w:hint="eastAsia" w:ascii="宋体" w:hAnsi="宋体" w:cs="宋体"/>
                <w:kern w:val="0"/>
                <w:szCs w:val="21"/>
              </w:rPr>
              <w:t>发包人委托的概算审核单位完成概算评审</w:t>
            </w:r>
          </w:p>
        </w:tc>
        <w:tc>
          <w:tcPr>
            <w:tcW w:w="3685" w:type="dxa"/>
            <w:vAlign w:val="center"/>
          </w:tcPr>
          <w:p w14:paraId="294B479E">
            <w:pPr>
              <w:autoSpaceDE w:val="0"/>
              <w:autoSpaceDN w:val="0"/>
              <w:adjustRightInd w:val="0"/>
              <w:snapToGrid w:val="0"/>
              <w:spacing w:line="360" w:lineRule="auto"/>
              <w:rPr>
                <w:rFonts w:hint="eastAsia" w:ascii="宋体" w:hAnsi="宋体" w:cs="宋体"/>
                <w:kern w:val="0"/>
                <w:szCs w:val="21"/>
              </w:rPr>
            </w:pPr>
            <w:r>
              <w:rPr>
                <w:rFonts w:hint="eastAsia" w:ascii="宋体" w:hAnsi="宋体" w:cs="宋体"/>
                <w:kern w:val="0"/>
                <w:szCs w:val="21"/>
              </w:rPr>
              <w:t>承包人可一次申请支付尾款</w:t>
            </w:r>
            <w:r>
              <w:rPr>
                <w:rFonts w:hint="eastAsia" w:ascii="宋体" w:hAnsi="宋体" w:cs="宋体"/>
                <w:snapToGrid w:val="0"/>
                <w:kern w:val="0"/>
                <w:szCs w:val="21"/>
              </w:rPr>
              <w:t>。</w:t>
            </w:r>
          </w:p>
        </w:tc>
      </w:tr>
    </w:tbl>
    <w:p w14:paraId="5C7F7245">
      <w:pPr>
        <w:adjustRightInd w:val="0"/>
        <w:snapToGrid w:val="0"/>
        <w:spacing w:line="360" w:lineRule="auto"/>
        <w:ind w:firstLine="422" w:firstLineChars="192"/>
        <w:rPr>
          <w:rFonts w:hint="eastAsia" w:ascii="宋体" w:hAnsi="宋体" w:cs="宋体"/>
          <w:szCs w:val="21"/>
        </w:rPr>
      </w:pPr>
      <w:r>
        <w:rPr>
          <w:rFonts w:hint="eastAsia" w:ascii="宋体" w:hAnsi="宋体" w:cs="宋体"/>
          <w:snapToGrid w:val="0"/>
          <w:kern w:val="0"/>
          <w:szCs w:val="21"/>
        </w:rPr>
        <w:t>（2）工程设计费</w:t>
      </w:r>
      <w:r>
        <w:rPr>
          <w:rFonts w:hint="eastAsia" w:ascii="宋体" w:hAnsi="宋体" w:cs="宋体"/>
          <w:szCs w:val="21"/>
        </w:rPr>
        <w:t>以经发包人委托的审核单位审定的初步设计概算中建筑安装工程费为基数，根据承包人工程设计费的中标费率计取工程设计费结算金额，即：</w:t>
      </w:r>
      <w:r>
        <w:rPr>
          <w:rFonts w:hint="eastAsia" w:ascii="宋体" w:hAnsi="宋体" w:cs="宋体"/>
          <w:b/>
          <w:szCs w:val="21"/>
          <w:u w:val="single"/>
        </w:rPr>
        <w:t>工程设计费结算金额=建筑安装工程费×设计费中标费率</w:t>
      </w:r>
      <w:r>
        <w:rPr>
          <w:rFonts w:hint="eastAsia" w:ascii="宋体" w:hAnsi="宋体" w:cs="宋体"/>
          <w:szCs w:val="21"/>
          <w:u w:val="single"/>
        </w:rPr>
        <w:t>（</w:t>
      </w:r>
      <w:r>
        <w:rPr>
          <w:rFonts w:hint="eastAsia" w:ascii="宋体" w:hAnsi="宋体" w:cs="宋体"/>
          <w:bCs/>
          <w:snapToGrid w:val="0"/>
          <w:kern w:val="0"/>
          <w:szCs w:val="21"/>
        </w:rPr>
        <w:t>设计费计费基数按甲方委托的审核单位审定的本合同设计人实际工作范围内所有单位工程概算价为准（如无概算评审的，则以预算审核价为准，如无预算审核的，则以结算评审价为准）</w:t>
      </w:r>
      <w:r>
        <w:rPr>
          <w:rFonts w:hint="eastAsia" w:ascii="宋体" w:hAnsi="宋体" w:cs="宋体"/>
          <w:szCs w:val="21"/>
        </w:rPr>
        <w:t>）。</w:t>
      </w:r>
    </w:p>
    <w:p w14:paraId="24184454">
      <w:pPr>
        <w:adjustRightInd w:val="0"/>
        <w:snapToGrid w:val="0"/>
        <w:spacing w:line="360" w:lineRule="auto"/>
        <w:ind w:firstLine="422" w:firstLineChars="192"/>
        <w:rPr>
          <w:rFonts w:hint="eastAsia" w:ascii="宋体" w:hAnsi="宋体" w:cs="宋体"/>
          <w:bCs/>
          <w:snapToGrid w:val="0"/>
          <w:kern w:val="0"/>
          <w:szCs w:val="21"/>
        </w:rPr>
      </w:pPr>
      <w:r>
        <w:rPr>
          <w:rFonts w:hint="eastAsia" w:ascii="宋体" w:hAnsi="宋体" w:cs="宋体"/>
          <w:snapToGrid w:val="0"/>
          <w:kern w:val="0"/>
          <w:szCs w:val="21"/>
        </w:rPr>
        <w:t>（3）设计方案和初步设计图纸</w:t>
      </w:r>
      <w:r>
        <w:rPr>
          <w:rFonts w:hint="eastAsia" w:ascii="宋体" w:hAnsi="宋体" w:cs="宋体"/>
          <w:bCs/>
          <w:snapToGrid w:val="0"/>
          <w:kern w:val="0"/>
          <w:szCs w:val="21"/>
        </w:rPr>
        <w:t>专家评审费、报建费用及驻场服务费用等已包含于工程设计费中，发包人不再另行计取。报建费用包括、购买地形图、管线图纸、各阶段的汇报文件和送审文件晒制费用、修详通、报建通、编制等（城市基础设施配套费和高可靠性供电费除外）。</w:t>
      </w:r>
    </w:p>
    <w:p w14:paraId="55F0355D">
      <w:pPr>
        <w:adjustRightInd w:val="0"/>
        <w:snapToGrid w:val="0"/>
        <w:spacing w:line="360" w:lineRule="auto"/>
        <w:ind w:firstLine="422" w:firstLineChars="192"/>
        <w:rPr>
          <w:rFonts w:hint="eastAsia" w:ascii="宋体" w:hAnsi="宋体" w:cs="宋体"/>
          <w:bCs/>
          <w:snapToGrid w:val="0"/>
          <w:kern w:val="0"/>
          <w:szCs w:val="21"/>
        </w:rPr>
      </w:pPr>
      <w:r>
        <w:rPr>
          <w:rFonts w:hint="eastAsia" w:ascii="宋体" w:hAnsi="宋体" w:cs="宋体"/>
          <w:szCs w:val="21"/>
        </w:rPr>
        <w:t>（4）承包人</w:t>
      </w:r>
      <w:r>
        <w:rPr>
          <w:rFonts w:hint="eastAsia" w:ascii="宋体" w:hAnsi="宋体" w:cs="宋体"/>
          <w:bCs/>
          <w:snapToGrid w:val="0"/>
          <w:kern w:val="0"/>
          <w:szCs w:val="21"/>
        </w:rPr>
        <w:t>收款前需开具合法有效的增值税【专用】发票，相关税费由收款单位承担。</w:t>
      </w:r>
    </w:p>
    <w:p w14:paraId="2529F045">
      <w:pPr>
        <w:adjustRightInd w:val="0"/>
        <w:snapToGrid w:val="0"/>
        <w:spacing w:line="360" w:lineRule="auto"/>
        <w:ind w:firstLine="422" w:firstLineChars="192"/>
        <w:rPr>
          <w:rFonts w:hint="eastAsia" w:ascii="宋体" w:hAnsi="宋体" w:cs="宋体"/>
          <w:bCs/>
          <w:snapToGrid w:val="0"/>
          <w:kern w:val="0"/>
          <w:szCs w:val="21"/>
        </w:rPr>
      </w:pPr>
      <w:r>
        <w:rPr>
          <w:rFonts w:hint="eastAsia" w:ascii="宋体" w:hAnsi="宋体" w:cs="宋体"/>
          <w:bCs/>
          <w:snapToGrid w:val="0"/>
          <w:kern w:val="0"/>
          <w:szCs w:val="21"/>
        </w:rPr>
        <w:t>（5）本项目的支付执行</w:t>
      </w:r>
      <w:r>
        <w:rPr>
          <w:rFonts w:hint="eastAsia" w:ascii="宋体" w:hAnsi="宋体" w:cs="宋体"/>
          <w:bCs/>
          <w:snapToGrid w:val="0"/>
          <w:kern w:val="0"/>
          <w:szCs w:val="21"/>
          <w:lang w:val="en-US" w:eastAsia="zh-CN"/>
        </w:rPr>
        <w:t>广州市南沙区的</w:t>
      </w:r>
      <w:r>
        <w:rPr>
          <w:rFonts w:hint="eastAsia" w:ascii="宋体" w:hAnsi="宋体" w:cs="宋体"/>
          <w:bCs/>
          <w:snapToGrid w:val="0"/>
          <w:kern w:val="0"/>
          <w:szCs w:val="21"/>
        </w:rPr>
        <w:t>相关财政支付的规定。如财政评审及财政支付出具新的文件规定，则按新文件执行。</w:t>
      </w:r>
    </w:p>
    <w:p w14:paraId="16E74A42">
      <w:pPr>
        <w:adjustRightInd w:val="0"/>
        <w:snapToGrid w:val="0"/>
        <w:spacing w:line="360" w:lineRule="auto"/>
        <w:ind w:firstLine="422" w:firstLineChars="192"/>
        <w:rPr>
          <w:rFonts w:hint="eastAsia" w:ascii="宋体" w:hAnsi="宋体" w:cs="宋体"/>
          <w:bCs/>
          <w:snapToGrid w:val="0"/>
          <w:kern w:val="0"/>
          <w:szCs w:val="21"/>
        </w:rPr>
      </w:pPr>
      <w:r>
        <w:rPr>
          <w:rFonts w:hint="eastAsia" w:ascii="宋体" w:hAnsi="宋体" w:cs="宋体"/>
          <w:bCs/>
          <w:snapToGrid w:val="0"/>
          <w:kern w:val="0"/>
          <w:szCs w:val="21"/>
        </w:rPr>
        <w:t>（6）本合同酬金不论任何情况均不计算利息。</w:t>
      </w:r>
    </w:p>
    <w:p w14:paraId="61465470">
      <w:pPr>
        <w:adjustRightInd w:val="0"/>
        <w:snapToGrid w:val="0"/>
        <w:spacing w:line="360" w:lineRule="auto"/>
        <w:ind w:firstLine="422" w:firstLineChars="192"/>
        <w:rPr>
          <w:rFonts w:hint="eastAsia" w:ascii="宋体" w:hAnsi="宋体" w:cs="宋体"/>
          <w:bCs/>
          <w:szCs w:val="21"/>
        </w:rPr>
      </w:pPr>
      <w:r>
        <w:rPr>
          <w:rFonts w:hint="eastAsia" w:ascii="宋体" w:hAnsi="宋体" w:cs="宋体"/>
          <w:bCs/>
          <w:snapToGrid w:val="0"/>
          <w:kern w:val="0"/>
          <w:szCs w:val="21"/>
        </w:rPr>
        <w:t>（7）发包人</w:t>
      </w:r>
      <w:r>
        <w:rPr>
          <w:rFonts w:hint="eastAsia" w:ascii="宋体" w:hAnsi="宋体" w:cs="宋体"/>
          <w:bCs/>
          <w:szCs w:val="21"/>
        </w:rPr>
        <w:t>在上述约定时间向相关部门提交付款申请手续，即视为发包人已履行付款义务。</w:t>
      </w:r>
    </w:p>
    <w:p w14:paraId="4E321901">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14.2</w:t>
      </w:r>
      <w:r>
        <w:rPr>
          <w:rFonts w:hint="eastAsia" w:ascii="宋体" w:hAnsi="宋体" w:cs="宋体"/>
          <w:snapToGrid w:val="0"/>
          <w:kern w:val="0"/>
          <w:szCs w:val="21"/>
        </w:rPr>
        <w:t>设计收费的结算余额收取</w:t>
      </w:r>
    </w:p>
    <w:p w14:paraId="3FAB8609">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本合同工程完成并交付发包人</w:t>
      </w:r>
      <w:r>
        <w:rPr>
          <w:rFonts w:hint="eastAsia" w:ascii="宋体" w:hAnsi="宋体" w:cs="宋体"/>
          <w:snapToGrid w:val="0"/>
          <w:kern w:val="0"/>
          <w:szCs w:val="21"/>
          <w:lang w:eastAsia="zh-CN"/>
        </w:rPr>
        <w:t>，</w:t>
      </w:r>
      <w:r>
        <w:rPr>
          <w:rFonts w:hint="eastAsia" w:ascii="宋体" w:hAnsi="宋体" w:cs="宋体"/>
          <w:snapToGrid w:val="0"/>
          <w:kern w:val="0"/>
          <w:szCs w:val="21"/>
          <w:lang w:val="en-US" w:eastAsia="zh-CN"/>
        </w:rPr>
        <w:t>并由</w:t>
      </w:r>
      <w:r>
        <w:rPr>
          <w:rFonts w:hint="eastAsia" w:ascii="宋体" w:hAnsi="宋体" w:cs="宋体"/>
          <w:kern w:val="0"/>
          <w:szCs w:val="21"/>
        </w:rPr>
        <w:t>发包人委托的概算审核单位完成概算评审</w:t>
      </w:r>
      <w:r>
        <w:rPr>
          <w:rFonts w:hint="eastAsia" w:ascii="宋体" w:hAnsi="宋体" w:cs="宋体"/>
          <w:snapToGrid w:val="0"/>
          <w:kern w:val="0"/>
          <w:szCs w:val="21"/>
        </w:rPr>
        <w:t>后60日内，承包人应向发包人提交本合同的余额结算书及完整的余额结算资料。</w:t>
      </w:r>
    </w:p>
    <w:p w14:paraId="551A2506">
      <w:pPr>
        <w:adjustRightInd w:val="0"/>
        <w:snapToGrid w:val="0"/>
        <w:spacing w:line="360" w:lineRule="auto"/>
        <w:ind w:firstLine="426"/>
        <w:rPr>
          <w:rFonts w:hint="eastAsia" w:ascii="宋体" w:hAnsi="宋体" w:cs="宋体"/>
          <w:snapToGrid w:val="0"/>
          <w:kern w:val="0"/>
          <w:szCs w:val="21"/>
        </w:rPr>
      </w:pPr>
      <w:r>
        <w:rPr>
          <w:rFonts w:hint="eastAsia" w:ascii="宋体" w:hAnsi="宋体" w:cs="宋体"/>
          <w:b/>
          <w:snapToGrid w:val="0"/>
          <w:kern w:val="0"/>
          <w:szCs w:val="21"/>
        </w:rPr>
        <w:t>14.3</w:t>
      </w:r>
      <w:r>
        <w:rPr>
          <w:rFonts w:hint="eastAsia" w:ascii="宋体" w:hAnsi="宋体" w:cs="宋体"/>
          <w:snapToGrid w:val="0"/>
          <w:kern w:val="0"/>
          <w:szCs w:val="21"/>
        </w:rPr>
        <w:t>承包人领取设计费前须按发包人的财务管理制度办理有关手续并向发包人</w:t>
      </w:r>
      <w:r>
        <w:rPr>
          <w:rFonts w:hint="eastAsia" w:ascii="宋体" w:hAnsi="宋体" w:cs="宋体"/>
          <w:bCs/>
          <w:snapToGrid w:val="0"/>
          <w:kern w:val="0"/>
          <w:szCs w:val="21"/>
        </w:rPr>
        <w:t>开具合法有效的增值税【专用】发票</w:t>
      </w:r>
      <w:r>
        <w:rPr>
          <w:rFonts w:hint="eastAsia" w:ascii="宋体" w:hAnsi="宋体" w:cs="宋体"/>
          <w:snapToGrid w:val="0"/>
          <w:kern w:val="0"/>
          <w:szCs w:val="21"/>
        </w:rPr>
        <w:t>。</w:t>
      </w:r>
    </w:p>
    <w:p w14:paraId="60317E4E">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14.4</w:t>
      </w:r>
      <w:r>
        <w:rPr>
          <w:rFonts w:hint="eastAsia" w:cs="宋体"/>
          <w:snapToGrid w:val="0"/>
          <w:sz w:val="21"/>
          <w:szCs w:val="21"/>
        </w:rPr>
        <w:t>发包人委托承包人晒制的超过合同约定数量的设计成果文件（含施工图纸），发包人按以下标准向承包人支付费用：A0：6元/张；A1：3元/张；A2：1.5元/张；A3：0.8元/张；A4：0.4元/张。非标图纸按图面大小换算成A2图纸数量，发包人按A2图纸的费用标准支付费用。</w:t>
      </w:r>
    </w:p>
    <w:p w14:paraId="1D67953E">
      <w:pPr>
        <w:adjustRightInd w:val="0"/>
        <w:snapToGrid w:val="0"/>
        <w:spacing w:line="360" w:lineRule="auto"/>
        <w:ind w:firstLine="423" w:firstLineChars="192"/>
        <w:rPr>
          <w:rFonts w:hint="eastAsia" w:ascii="宋体" w:hAnsi="宋体" w:cs="宋体"/>
          <w:b/>
          <w:bCs/>
          <w:szCs w:val="21"/>
        </w:rPr>
      </w:pPr>
      <w:r>
        <w:rPr>
          <w:rFonts w:hint="eastAsia" w:ascii="宋体" w:hAnsi="宋体" w:cs="宋体"/>
          <w:b/>
          <w:bCs/>
          <w:szCs w:val="21"/>
        </w:rPr>
        <w:t>14.5提交结算资料</w:t>
      </w:r>
    </w:p>
    <w:p w14:paraId="24432183">
      <w:pPr>
        <w:adjustRightInd w:val="0"/>
        <w:snapToGrid w:val="0"/>
        <w:spacing w:line="360" w:lineRule="auto"/>
        <w:ind w:firstLine="423" w:firstLineChars="192"/>
        <w:rPr>
          <w:rFonts w:hint="eastAsia" w:ascii="宋体" w:hAnsi="宋体" w:cs="宋体"/>
          <w:b/>
          <w:bCs/>
          <w:szCs w:val="21"/>
          <w:u w:val="single"/>
        </w:rPr>
      </w:pPr>
      <w:r>
        <w:rPr>
          <w:rFonts w:hint="eastAsia" w:ascii="宋体" w:hAnsi="宋体" w:cs="宋体"/>
          <w:b/>
          <w:bCs/>
          <w:szCs w:val="21"/>
          <w:u w:val="single"/>
        </w:rPr>
        <w:t>14.5.1结算资料的格式、内容和份数：格式：按《南沙区财政投资项目评审资料编制指南》及南沙区财政投资评审中心的要求；内容：对本项目结算所需的成果文件等；份数：一式五份（其中四份建设单位存档、一份送结算评审）。</w:t>
      </w:r>
    </w:p>
    <w:p w14:paraId="1916C1AF">
      <w:pPr>
        <w:spacing w:line="360" w:lineRule="auto"/>
        <w:ind w:firstLine="435"/>
        <w:rPr>
          <w:rFonts w:hint="eastAsia" w:ascii="宋体" w:hAnsi="宋体" w:cs="宋体"/>
          <w:b/>
          <w:snapToGrid w:val="0"/>
          <w:kern w:val="0"/>
          <w:szCs w:val="21"/>
        </w:rPr>
      </w:pPr>
    </w:p>
    <w:p w14:paraId="3B833A1E">
      <w:pPr>
        <w:adjustRightInd w:val="0"/>
        <w:snapToGrid w:val="0"/>
        <w:spacing w:line="360" w:lineRule="auto"/>
        <w:jc w:val="center"/>
        <w:outlineLvl w:val="0"/>
        <w:rPr>
          <w:rFonts w:hint="eastAsia" w:ascii="宋体" w:hAnsi="宋体" w:cs="宋体"/>
          <w:b/>
          <w:snapToGrid w:val="0"/>
          <w:kern w:val="0"/>
          <w:sz w:val="28"/>
          <w:szCs w:val="28"/>
        </w:rPr>
      </w:pPr>
      <w:r>
        <w:rPr>
          <w:rFonts w:hint="eastAsia" w:ascii="宋体" w:hAnsi="宋体" w:cs="宋体"/>
          <w:b/>
          <w:snapToGrid w:val="0"/>
          <w:kern w:val="0"/>
          <w:sz w:val="28"/>
          <w:szCs w:val="28"/>
        </w:rPr>
        <w:t>第八章 综合考评</w:t>
      </w:r>
    </w:p>
    <w:p w14:paraId="0B5D8797">
      <w:pPr>
        <w:spacing w:line="360" w:lineRule="auto"/>
        <w:ind w:firstLine="440" w:firstLineChars="200"/>
        <w:jc w:val="left"/>
        <w:outlineLvl w:val="1"/>
        <w:rPr>
          <w:rFonts w:hint="eastAsia" w:ascii="宋体" w:hAnsi="宋体" w:cs="宋体"/>
          <w:b/>
          <w:bCs/>
          <w:snapToGrid w:val="0"/>
          <w:kern w:val="0"/>
          <w:szCs w:val="21"/>
        </w:rPr>
      </w:pPr>
      <w:r>
        <w:rPr>
          <w:rFonts w:hint="eastAsia" w:ascii="宋体" w:hAnsi="宋体" w:cs="宋体"/>
          <w:b/>
          <w:snapToGrid w:val="0"/>
          <w:kern w:val="0"/>
          <w:szCs w:val="21"/>
        </w:rPr>
        <w:t>15.</w:t>
      </w:r>
      <w:r>
        <w:rPr>
          <w:rFonts w:hint="eastAsia" w:ascii="宋体" w:hAnsi="宋体" w:cs="宋体"/>
          <w:b/>
          <w:bCs/>
          <w:snapToGrid w:val="0"/>
          <w:kern w:val="0"/>
          <w:szCs w:val="21"/>
        </w:rPr>
        <w:t>综合考评</w:t>
      </w:r>
    </w:p>
    <w:p w14:paraId="181138D7">
      <w:pPr>
        <w:spacing w:line="360" w:lineRule="auto"/>
        <w:ind w:firstLine="440" w:firstLineChars="200"/>
        <w:rPr>
          <w:rFonts w:hint="eastAsia" w:ascii="宋体" w:hAnsi="宋体" w:cs="宋体"/>
          <w:bCs/>
          <w:snapToGrid w:val="0"/>
          <w:kern w:val="0"/>
          <w:szCs w:val="21"/>
        </w:rPr>
      </w:pPr>
      <w:r>
        <w:rPr>
          <w:rFonts w:hint="eastAsia" w:ascii="宋体" w:hAnsi="宋体" w:cs="宋体"/>
          <w:b/>
          <w:snapToGrid w:val="0"/>
          <w:kern w:val="0"/>
          <w:szCs w:val="21"/>
        </w:rPr>
        <w:t>15.1</w:t>
      </w:r>
      <w:r>
        <w:rPr>
          <w:rFonts w:hint="eastAsia" w:ascii="宋体" w:hAnsi="宋体" w:cs="宋体"/>
          <w:bCs/>
          <w:snapToGrid w:val="0"/>
          <w:kern w:val="0"/>
          <w:szCs w:val="21"/>
        </w:rPr>
        <w:t>承包人考评被评为不合格的按一次严重违约处理，并通报批评、责令限期整改。同一单位两次（不管是否同一项目）被评为不合格的，上报行政主管部门列入黑名单，暂停该单位在南沙区的投标资格2年。</w:t>
      </w:r>
    </w:p>
    <w:p w14:paraId="13E594A5">
      <w:pPr>
        <w:spacing w:line="360" w:lineRule="auto"/>
        <w:ind w:firstLine="440" w:firstLineChars="200"/>
        <w:rPr>
          <w:rFonts w:hint="eastAsia" w:ascii="宋体" w:hAnsi="宋体" w:cs="宋体"/>
          <w:bCs/>
          <w:snapToGrid w:val="0"/>
          <w:kern w:val="0"/>
          <w:szCs w:val="21"/>
        </w:rPr>
      </w:pPr>
      <w:r>
        <w:rPr>
          <w:rFonts w:hint="eastAsia" w:ascii="宋体" w:hAnsi="宋体" w:cs="宋体"/>
          <w:b/>
          <w:snapToGrid w:val="0"/>
          <w:kern w:val="0"/>
          <w:szCs w:val="21"/>
        </w:rPr>
        <w:t>15.2</w:t>
      </w:r>
      <w:r>
        <w:rPr>
          <w:rFonts w:hint="eastAsia" w:ascii="宋体" w:hAnsi="宋体" w:cs="宋体"/>
          <w:bCs/>
          <w:snapToGrid w:val="0"/>
          <w:kern w:val="0"/>
          <w:szCs w:val="21"/>
        </w:rPr>
        <w:t>承包人考评办法</w:t>
      </w:r>
    </w:p>
    <w:p w14:paraId="095EF686">
      <w:pPr>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1）鉴于本合同工程的重要性，为确保本合同工程质量，发包人将对参与本合同项目建设的设计、施工、监理等单位进行综合考评，并根据综合考评的结果按照相关规定执行。各考评单位应该认真填写《设计单位考评评分表》。</w:t>
      </w:r>
    </w:p>
    <w:p w14:paraId="21A97125">
      <w:pPr>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（2）考评内容及评分方法</w:t>
      </w:r>
    </w:p>
    <w:p w14:paraId="1FD53FEA">
      <w:pPr>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1）考评内容主要是对承包人的设计文件合理性、驻场人员能力、现场服务等工作进行考评（见附表）。</w:t>
      </w:r>
    </w:p>
    <w:p w14:paraId="4516DE42">
      <w:pPr>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2）根据《设计单位考评评分表》的得分（平均分），综合考评结果分为：优秀（平均分≥85分）、合格（平均分＜85分，≥60分）、不及格（平均分＜60分）三个等级。</w:t>
      </w:r>
    </w:p>
    <w:p w14:paraId="7BF9A47C">
      <w:pPr>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3）综合考评结果为优秀的单位，由本中心通报表扬并上报行政主管部门。综合考评结果为不及格的单位，按15.1条处理。</w:t>
      </w:r>
    </w:p>
    <w:p w14:paraId="0C995003">
      <w:pPr>
        <w:tabs>
          <w:tab w:val="left" w:pos="360"/>
          <w:tab w:val="left" w:pos="900"/>
        </w:tabs>
        <w:spacing w:line="360" w:lineRule="auto"/>
        <w:jc w:val="center"/>
        <w:rPr>
          <w:rFonts w:hint="eastAsia" w:ascii="宋体" w:hAnsi="宋体" w:cs="宋体"/>
          <w:b/>
          <w:bCs/>
          <w:szCs w:val="21"/>
        </w:rPr>
      </w:pPr>
      <w:r>
        <w:rPr>
          <w:rFonts w:hint="eastAsia" w:ascii="宋体" w:hAnsi="宋体" w:cs="宋体"/>
          <w:b/>
          <w:snapToGrid w:val="0"/>
          <w:kern w:val="0"/>
          <w:szCs w:val="21"/>
        </w:rPr>
        <w:t>附表：</w:t>
      </w:r>
      <w:r>
        <w:rPr>
          <w:rFonts w:hint="eastAsia" w:ascii="宋体" w:hAnsi="宋体" w:cs="宋体"/>
          <w:b/>
          <w:bCs/>
          <w:szCs w:val="21"/>
        </w:rPr>
        <w:t>设计单位考评评分表</w:t>
      </w:r>
    </w:p>
    <w:p w14:paraId="0AF4B9E1">
      <w:pPr>
        <w:tabs>
          <w:tab w:val="left" w:pos="360"/>
          <w:tab w:val="left" w:pos="900"/>
        </w:tabs>
        <w:spacing w:line="360" w:lineRule="auto"/>
        <w:rPr>
          <w:rFonts w:hint="eastAsia" w:ascii="宋体" w:hAnsi="宋体" w:cs="宋体"/>
          <w:bCs/>
          <w:szCs w:val="21"/>
        </w:rPr>
      </w:pPr>
      <w:r>
        <w:rPr>
          <w:rFonts w:hint="eastAsia" w:ascii="宋体" w:hAnsi="宋体" w:cs="宋体"/>
          <w:bCs/>
          <w:szCs w:val="21"/>
        </w:rPr>
        <w:t xml:space="preserve">被考评单位：                             项目名称：         </w:t>
      </w:r>
    </w:p>
    <w:tbl>
      <w:tblPr>
        <w:tblStyle w:val="22"/>
        <w:tblW w:w="8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091"/>
        <w:gridCol w:w="632"/>
        <w:gridCol w:w="1729"/>
        <w:gridCol w:w="1547"/>
        <w:gridCol w:w="1790"/>
        <w:gridCol w:w="864"/>
      </w:tblGrid>
      <w:tr w14:paraId="71D4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dxa"/>
            <w:vMerge w:val="restart"/>
            <w:tcMar>
              <w:top w:w="28" w:type="dxa"/>
              <w:left w:w="28" w:type="dxa"/>
              <w:bottom w:w="28" w:type="dxa"/>
              <w:right w:w="28" w:type="dxa"/>
            </w:tcMar>
            <w:vAlign w:val="center"/>
          </w:tcPr>
          <w:p w14:paraId="4AFDF6D9">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序号</w:t>
            </w:r>
          </w:p>
        </w:tc>
        <w:tc>
          <w:tcPr>
            <w:tcW w:w="1091" w:type="dxa"/>
            <w:vMerge w:val="restart"/>
            <w:tcMar>
              <w:top w:w="28" w:type="dxa"/>
              <w:left w:w="28" w:type="dxa"/>
              <w:bottom w:w="28" w:type="dxa"/>
              <w:right w:w="28" w:type="dxa"/>
            </w:tcMar>
            <w:vAlign w:val="center"/>
          </w:tcPr>
          <w:p w14:paraId="61D28753">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考评内容</w:t>
            </w:r>
          </w:p>
        </w:tc>
        <w:tc>
          <w:tcPr>
            <w:tcW w:w="632" w:type="dxa"/>
            <w:vMerge w:val="restart"/>
            <w:tcMar>
              <w:top w:w="28" w:type="dxa"/>
              <w:left w:w="28" w:type="dxa"/>
              <w:bottom w:w="28" w:type="dxa"/>
              <w:right w:w="28" w:type="dxa"/>
            </w:tcMar>
            <w:vAlign w:val="center"/>
          </w:tcPr>
          <w:p w14:paraId="3E4D53C4">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分项分数</w:t>
            </w:r>
          </w:p>
        </w:tc>
        <w:tc>
          <w:tcPr>
            <w:tcW w:w="1729" w:type="dxa"/>
            <w:tcMar>
              <w:top w:w="28" w:type="dxa"/>
              <w:left w:w="28" w:type="dxa"/>
              <w:bottom w:w="28" w:type="dxa"/>
              <w:right w:w="28" w:type="dxa"/>
            </w:tcMar>
            <w:vAlign w:val="center"/>
          </w:tcPr>
          <w:p w14:paraId="4581D5A0">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优秀</w:t>
            </w:r>
          </w:p>
        </w:tc>
        <w:tc>
          <w:tcPr>
            <w:tcW w:w="1547" w:type="dxa"/>
            <w:tcMar>
              <w:top w:w="28" w:type="dxa"/>
              <w:left w:w="28" w:type="dxa"/>
              <w:bottom w:w="28" w:type="dxa"/>
              <w:right w:w="28" w:type="dxa"/>
            </w:tcMar>
            <w:vAlign w:val="center"/>
          </w:tcPr>
          <w:p w14:paraId="2DB1D517">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合格</w:t>
            </w:r>
          </w:p>
        </w:tc>
        <w:tc>
          <w:tcPr>
            <w:tcW w:w="1790" w:type="dxa"/>
            <w:tcMar>
              <w:top w:w="28" w:type="dxa"/>
              <w:left w:w="28" w:type="dxa"/>
              <w:bottom w:w="28" w:type="dxa"/>
              <w:right w:w="28" w:type="dxa"/>
            </w:tcMar>
            <w:vAlign w:val="center"/>
          </w:tcPr>
          <w:p w14:paraId="02BAAD8E">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不合格</w:t>
            </w:r>
          </w:p>
        </w:tc>
        <w:tc>
          <w:tcPr>
            <w:tcW w:w="864" w:type="dxa"/>
            <w:vMerge w:val="restart"/>
            <w:tcMar>
              <w:top w:w="28" w:type="dxa"/>
              <w:left w:w="28" w:type="dxa"/>
              <w:bottom w:w="28" w:type="dxa"/>
              <w:right w:w="28" w:type="dxa"/>
            </w:tcMar>
            <w:vAlign w:val="center"/>
          </w:tcPr>
          <w:p w14:paraId="622EF4BD">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得分</w:t>
            </w:r>
          </w:p>
        </w:tc>
      </w:tr>
      <w:tr w14:paraId="5B95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1" w:type="dxa"/>
            <w:vMerge w:val="continue"/>
            <w:tcMar>
              <w:top w:w="28" w:type="dxa"/>
              <w:left w:w="28" w:type="dxa"/>
              <w:bottom w:w="28" w:type="dxa"/>
              <w:right w:w="28" w:type="dxa"/>
            </w:tcMar>
            <w:vAlign w:val="center"/>
          </w:tcPr>
          <w:p w14:paraId="7D35EFC2">
            <w:pPr>
              <w:tabs>
                <w:tab w:val="left" w:pos="360"/>
                <w:tab w:val="left" w:pos="900"/>
              </w:tabs>
              <w:spacing w:line="360" w:lineRule="auto"/>
              <w:jc w:val="center"/>
              <w:rPr>
                <w:rFonts w:hint="eastAsia" w:ascii="宋体" w:hAnsi="宋体" w:cs="宋体"/>
                <w:sz w:val="18"/>
                <w:szCs w:val="18"/>
              </w:rPr>
            </w:pPr>
          </w:p>
        </w:tc>
        <w:tc>
          <w:tcPr>
            <w:tcW w:w="1091" w:type="dxa"/>
            <w:vMerge w:val="continue"/>
            <w:tcMar>
              <w:top w:w="28" w:type="dxa"/>
              <w:left w:w="28" w:type="dxa"/>
              <w:bottom w:w="28" w:type="dxa"/>
              <w:right w:w="28" w:type="dxa"/>
            </w:tcMar>
            <w:vAlign w:val="center"/>
          </w:tcPr>
          <w:p w14:paraId="171D73D7">
            <w:pPr>
              <w:tabs>
                <w:tab w:val="left" w:pos="360"/>
                <w:tab w:val="left" w:pos="900"/>
              </w:tabs>
              <w:spacing w:line="360" w:lineRule="auto"/>
              <w:jc w:val="center"/>
              <w:rPr>
                <w:rFonts w:hint="eastAsia" w:ascii="宋体" w:hAnsi="宋体" w:cs="宋体"/>
                <w:sz w:val="18"/>
                <w:szCs w:val="18"/>
              </w:rPr>
            </w:pPr>
          </w:p>
        </w:tc>
        <w:tc>
          <w:tcPr>
            <w:tcW w:w="632" w:type="dxa"/>
            <w:vMerge w:val="continue"/>
            <w:tcMar>
              <w:top w:w="28" w:type="dxa"/>
              <w:left w:w="28" w:type="dxa"/>
              <w:bottom w:w="28" w:type="dxa"/>
              <w:right w:w="28" w:type="dxa"/>
            </w:tcMar>
            <w:vAlign w:val="center"/>
          </w:tcPr>
          <w:p w14:paraId="5217A732">
            <w:pPr>
              <w:tabs>
                <w:tab w:val="left" w:pos="360"/>
                <w:tab w:val="left" w:pos="900"/>
              </w:tabs>
              <w:spacing w:line="360" w:lineRule="auto"/>
              <w:jc w:val="center"/>
              <w:rPr>
                <w:rFonts w:hint="eastAsia" w:ascii="宋体" w:hAnsi="宋体" w:cs="宋体"/>
                <w:sz w:val="18"/>
                <w:szCs w:val="18"/>
              </w:rPr>
            </w:pPr>
          </w:p>
        </w:tc>
        <w:tc>
          <w:tcPr>
            <w:tcW w:w="1729" w:type="dxa"/>
            <w:tcMar>
              <w:top w:w="28" w:type="dxa"/>
              <w:left w:w="28" w:type="dxa"/>
              <w:bottom w:w="28" w:type="dxa"/>
              <w:right w:w="28" w:type="dxa"/>
            </w:tcMar>
            <w:vAlign w:val="center"/>
          </w:tcPr>
          <w:p w14:paraId="1D94194C">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≥85分</w:t>
            </w:r>
          </w:p>
        </w:tc>
        <w:tc>
          <w:tcPr>
            <w:tcW w:w="1547" w:type="dxa"/>
            <w:tcMar>
              <w:top w:w="28" w:type="dxa"/>
              <w:left w:w="28" w:type="dxa"/>
              <w:bottom w:w="28" w:type="dxa"/>
              <w:right w:w="28" w:type="dxa"/>
            </w:tcMar>
            <w:vAlign w:val="center"/>
          </w:tcPr>
          <w:p w14:paraId="2193DD57">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＜85分，≥60分</w:t>
            </w:r>
          </w:p>
        </w:tc>
        <w:tc>
          <w:tcPr>
            <w:tcW w:w="1790" w:type="dxa"/>
            <w:tcMar>
              <w:top w:w="28" w:type="dxa"/>
              <w:left w:w="28" w:type="dxa"/>
              <w:bottom w:w="28" w:type="dxa"/>
              <w:right w:w="28" w:type="dxa"/>
            </w:tcMar>
            <w:vAlign w:val="center"/>
          </w:tcPr>
          <w:p w14:paraId="38CF7065">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＜60分</w:t>
            </w:r>
          </w:p>
        </w:tc>
        <w:tc>
          <w:tcPr>
            <w:tcW w:w="864" w:type="dxa"/>
            <w:vMerge w:val="continue"/>
            <w:tcMar>
              <w:top w:w="28" w:type="dxa"/>
              <w:left w:w="28" w:type="dxa"/>
              <w:bottom w:w="28" w:type="dxa"/>
              <w:right w:w="28" w:type="dxa"/>
            </w:tcMar>
            <w:vAlign w:val="center"/>
          </w:tcPr>
          <w:p w14:paraId="7E9A7F88">
            <w:pPr>
              <w:tabs>
                <w:tab w:val="left" w:pos="360"/>
                <w:tab w:val="left" w:pos="900"/>
              </w:tabs>
              <w:spacing w:line="360" w:lineRule="auto"/>
              <w:jc w:val="center"/>
              <w:rPr>
                <w:rFonts w:hint="eastAsia" w:ascii="宋体" w:hAnsi="宋体" w:cs="宋体"/>
                <w:sz w:val="18"/>
                <w:szCs w:val="18"/>
              </w:rPr>
            </w:pPr>
          </w:p>
        </w:tc>
      </w:tr>
      <w:tr w14:paraId="325F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651" w:type="dxa"/>
            <w:vAlign w:val="center"/>
          </w:tcPr>
          <w:p w14:paraId="62502D93">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1</w:t>
            </w:r>
          </w:p>
        </w:tc>
        <w:tc>
          <w:tcPr>
            <w:tcW w:w="1091" w:type="dxa"/>
            <w:vAlign w:val="center"/>
          </w:tcPr>
          <w:p w14:paraId="34107057">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设计文件合理性</w:t>
            </w:r>
          </w:p>
        </w:tc>
        <w:tc>
          <w:tcPr>
            <w:tcW w:w="632" w:type="dxa"/>
            <w:vAlign w:val="center"/>
          </w:tcPr>
          <w:p w14:paraId="64BDD94C">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30</w:t>
            </w:r>
          </w:p>
        </w:tc>
        <w:tc>
          <w:tcPr>
            <w:tcW w:w="1729" w:type="dxa"/>
            <w:vAlign w:val="center"/>
          </w:tcPr>
          <w:p w14:paraId="11D332E2">
            <w:pPr>
              <w:tabs>
                <w:tab w:val="left" w:pos="360"/>
                <w:tab w:val="left" w:pos="900"/>
              </w:tabs>
              <w:spacing w:line="360" w:lineRule="auto"/>
              <w:rPr>
                <w:rFonts w:hint="eastAsia" w:ascii="宋体" w:hAnsi="宋体" w:cs="宋体"/>
                <w:sz w:val="18"/>
                <w:szCs w:val="18"/>
              </w:rPr>
            </w:pPr>
            <w:r>
              <w:rPr>
                <w:rFonts w:hint="eastAsia" w:ascii="宋体" w:hAnsi="宋体" w:cs="宋体"/>
                <w:sz w:val="18"/>
                <w:szCs w:val="18"/>
              </w:rPr>
              <w:t>设计文件质量优，充分考虑施工条件，很好地满足工程需要。</w:t>
            </w:r>
          </w:p>
        </w:tc>
        <w:tc>
          <w:tcPr>
            <w:tcW w:w="1547" w:type="dxa"/>
            <w:vAlign w:val="center"/>
          </w:tcPr>
          <w:p w14:paraId="10A2D73A">
            <w:pPr>
              <w:tabs>
                <w:tab w:val="left" w:pos="360"/>
                <w:tab w:val="left" w:pos="900"/>
              </w:tabs>
              <w:spacing w:line="360" w:lineRule="auto"/>
              <w:rPr>
                <w:rFonts w:hint="eastAsia" w:ascii="宋体" w:hAnsi="宋体" w:cs="宋体"/>
                <w:sz w:val="18"/>
                <w:szCs w:val="18"/>
              </w:rPr>
            </w:pPr>
            <w:r>
              <w:rPr>
                <w:rFonts w:hint="eastAsia" w:ascii="宋体" w:hAnsi="宋体" w:cs="宋体"/>
                <w:sz w:val="18"/>
                <w:szCs w:val="18"/>
              </w:rPr>
              <w:t>设计文件质量合格，基本考虑施工条件，可以满足工程需要。</w:t>
            </w:r>
          </w:p>
        </w:tc>
        <w:tc>
          <w:tcPr>
            <w:tcW w:w="1790" w:type="dxa"/>
            <w:vAlign w:val="center"/>
          </w:tcPr>
          <w:p w14:paraId="2B6B4557">
            <w:pPr>
              <w:tabs>
                <w:tab w:val="left" w:pos="360"/>
                <w:tab w:val="left" w:pos="900"/>
              </w:tabs>
              <w:spacing w:line="360" w:lineRule="auto"/>
              <w:rPr>
                <w:rFonts w:hint="eastAsia" w:ascii="宋体" w:hAnsi="宋体" w:cs="宋体"/>
                <w:sz w:val="18"/>
                <w:szCs w:val="18"/>
              </w:rPr>
            </w:pPr>
            <w:r>
              <w:rPr>
                <w:rFonts w:hint="eastAsia" w:ascii="宋体" w:hAnsi="宋体" w:cs="宋体"/>
                <w:sz w:val="18"/>
                <w:szCs w:val="18"/>
              </w:rPr>
              <w:t>设计文件质量差，不或很少考虑施工条件，难以满足工程需要。</w:t>
            </w:r>
          </w:p>
        </w:tc>
        <w:tc>
          <w:tcPr>
            <w:tcW w:w="864" w:type="dxa"/>
            <w:vAlign w:val="center"/>
          </w:tcPr>
          <w:p w14:paraId="7A4E85E9">
            <w:pPr>
              <w:tabs>
                <w:tab w:val="left" w:pos="360"/>
                <w:tab w:val="left" w:pos="900"/>
              </w:tabs>
              <w:spacing w:line="360" w:lineRule="auto"/>
              <w:jc w:val="center"/>
              <w:rPr>
                <w:rFonts w:hint="eastAsia" w:ascii="宋体" w:hAnsi="宋体" w:cs="宋体"/>
                <w:sz w:val="18"/>
                <w:szCs w:val="18"/>
              </w:rPr>
            </w:pPr>
          </w:p>
        </w:tc>
      </w:tr>
      <w:tr w14:paraId="3E9D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jc w:val="center"/>
        </w:trPr>
        <w:tc>
          <w:tcPr>
            <w:tcW w:w="651" w:type="dxa"/>
            <w:vAlign w:val="center"/>
          </w:tcPr>
          <w:p w14:paraId="50E3F6DE">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2</w:t>
            </w:r>
          </w:p>
        </w:tc>
        <w:tc>
          <w:tcPr>
            <w:tcW w:w="1091" w:type="dxa"/>
            <w:vAlign w:val="center"/>
          </w:tcPr>
          <w:p w14:paraId="6B284FFD">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驻场人员现场处理问题能力</w:t>
            </w:r>
          </w:p>
        </w:tc>
        <w:tc>
          <w:tcPr>
            <w:tcW w:w="632" w:type="dxa"/>
            <w:vAlign w:val="center"/>
          </w:tcPr>
          <w:p w14:paraId="7A2B6D12">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40</w:t>
            </w:r>
          </w:p>
        </w:tc>
        <w:tc>
          <w:tcPr>
            <w:tcW w:w="1729" w:type="dxa"/>
            <w:vAlign w:val="center"/>
          </w:tcPr>
          <w:p w14:paraId="557A95D3">
            <w:pPr>
              <w:tabs>
                <w:tab w:val="left" w:pos="360"/>
                <w:tab w:val="left" w:pos="900"/>
              </w:tabs>
              <w:spacing w:line="360" w:lineRule="auto"/>
              <w:rPr>
                <w:rFonts w:hint="eastAsia" w:ascii="宋体" w:hAnsi="宋体" w:cs="宋体"/>
                <w:sz w:val="18"/>
                <w:szCs w:val="18"/>
              </w:rPr>
            </w:pPr>
            <w:r>
              <w:rPr>
                <w:rFonts w:hint="eastAsia" w:ascii="宋体" w:hAnsi="宋体" w:cs="宋体"/>
                <w:sz w:val="18"/>
                <w:szCs w:val="18"/>
              </w:rPr>
              <w:t>驻场人员全部到位，积极主动，现场处理问题及时、准确。并能及时发现问题。</w:t>
            </w:r>
          </w:p>
        </w:tc>
        <w:tc>
          <w:tcPr>
            <w:tcW w:w="1547" w:type="dxa"/>
            <w:vAlign w:val="center"/>
          </w:tcPr>
          <w:p w14:paraId="49C984C9">
            <w:pPr>
              <w:tabs>
                <w:tab w:val="left" w:pos="360"/>
                <w:tab w:val="left" w:pos="900"/>
              </w:tabs>
              <w:spacing w:line="360" w:lineRule="auto"/>
              <w:rPr>
                <w:rFonts w:hint="eastAsia" w:ascii="宋体" w:hAnsi="宋体" w:cs="宋体"/>
                <w:sz w:val="18"/>
                <w:szCs w:val="18"/>
              </w:rPr>
            </w:pPr>
            <w:r>
              <w:rPr>
                <w:rFonts w:hint="eastAsia" w:ascii="宋体" w:hAnsi="宋体" w:cs="宋体"/>
                <w:sz w:val="18"/>
                <w:szCs w:val="18"/>
              </w:rPr>
              <w:t>驻场人员基本到位，工作主动，现场能处理问题。基本能发现问题。</w:t>
            </w:r>
          </w:p>
        </w:tc>
        <w:tc>
          <w:tcPr>
            <w:tcW w:w="1790" w:type="dxa"/>
            <w:vAlign w:val="center"/>
          </w:tcPr>
          <w:p w14:paraId="5ABF047C">
            <w:pPr>
              <w:tabs>
                <w:tab w:val="left" w:pos="360"/>
                <w:tab w:val="left" w:pos="900"/>
              </w:tabs>
              <w:spacing w:line="360" w:lineRule="auto"/>
              <w:rPr>
                <w:rFonts w:hint="eastAsia" w:ascii="宋体" w:hAnsi="宋体" w:cs="宋体"/>
                <w:sz w:val="18"/>
                <w:szCs w:val="18"/>
              </w:rPr>
            </w:pPr>
            <w:r>
              <w:rPr>
                <w:rFonts w:hint="eastAsia" w:ascii="宋体" w:hAnsi="宋体" w:cs="宋体"/>
                <w:sz w:val="18"/>
                <w:szCs w:val="18"/>
              </w:rPr>
              <w:t>驻场人员不能满足需求，工作怠慢，现场处理问题不及时或处理失当。不能发现问题。</w:t>
            </w:r>
          </w:p>
        </w:tc>
        <w:tc>
          <w:tcPr>
            <w:tcW w:w="864" w:type="dxa"/>
            <w:vAlign w:val="center"/>
          </w:tcPr>
          <w:p w14:paraId="7111E00A">
            <w:pPr>
              <w:tabs>
                <w:tab w:val="left" w:pos="360"/>
                <w:tab w:val="left" w:pos="900"/>
              </w:tabs>
              <w:spacing w:line="360" w:lineRule="auto"/>
              <w:jc w:val="center"/>
              <w:rPr>
                <w:rFonts w:hint="eastAsia" w:ascii="宋体" w:hAnsi="宋体" w:cs="宋体"/>
                <w:sz w:val="18"/>
                <w:szCs w:val="18"/>
              </w:rPr>
            </w:pPr>
          </w:p>
        </w:tc>
      </w:tr>
      <w:tr w14:paraId="7F19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651" w:type="dxa"/>
            <w:vAlign w:val="center"/>
          </w:tcPr>
          <w:p w14:paraId="59CFA9D6">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3</w:t>
            </w:r>
          </w:p>
        </w:tc>
        <w:tc>
          <w:tcPr>
            <w:tcW w:w="1091" w:type="dxa"/>
            <w:vAlign w:val="center"/>
          </w:tcPr>
          <w:p w14:paraId="2E34A2D9">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参加会议及协调解决。合理化建议</w:t>
            </w:r>
          </w:p>
        </w:tc>
        <w:tc>
          <w:tcPr>
            <w:tcW w:w="632" w:type="dxa"/>
            <w:vAlign w:val="center"/>
          </w:tcPr>
          <w:p w14:paraId="03888591">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30</w:t>
            </w:r>
          </w:p>
        </w:tc>
        <w:tc>
          <w:tcPr>
            <w:tcW w:w="1729" w:type="dxa"/>
            <w:vAlign w:val="center"/>
          </w:tcPr>
          <w:p w14:paraId="55A570EA">
            <w:pPr>
              <w:tabs>
                <w:tab w:val="left" w:pos="360"/>
                <w:tab w:val="left" w:pos="900"/>
              </w:tabs>
              <w:spacing w:line="360" w:lineRule="auto"/>
              <w:rPr>
                <w:rFonts w:hint="eastAsia" w:ascii="宋体" w:hAnsi="宋体" w:cs="宋体"/>
                <w:sz w:val="18"/>
                <w:szCs w:val="18"/>
              </w:rPr>
            </w:pPr>
            <w:r>
              <w:rPr>
                <w:rFonts w:hint="eastAsia" w:ascii="宋体" w:hAnsi="宋体" w:cs="宋体"/>
                <w:sz w:val="18"/>
                <w:szCs w:val="18"/>
              </w:rPr>
              <w:t>积极主动参加会议及解决问题，主动提出降低投资的合理化建设，设计配合良好。</w:t>
            </w:r>
          </w:p>
        </w:tc>
        <w:tc>
          <w:tcPr>
            <w:tcW w:w="1547" w:type="dxa"/>
            <w:vAlign w:val="center"/>
          </w:tcPr>
          <w:p w14:paraId="786C7356">
            <w:pPr>
              <w:tabs>
                <w:tab w:val="left" w:pos="360"/>
                <w:tab w:val="left" w:pos="900"/>
              </w:tabs>
              <w:spacing w:line="360" w:lineRule="auto"/>
              <w:rPr>
                <w:rFonts w:hint="eastAsia" w:ascii="宋体" w:hAnsi="宋体" w:cs="宋体"/>
                <w:sz w:val="18"/>
                <w:szCs w:val="18"/>
              </w:rPr>
            </w:pPr>
            <w:r>
              <w:rPr>
                <w:rFonts w:hint="eastAsia" w:ascii="宋体" w:hAnsi="宋体" w:cs="宋体"/>
                <w:sz w:val="18"/>
                <w:szCs w:val="18"/>
              </w:rPr>
              <w:t>能参加会议及解决问题，无降低投资的合理化建议，设计配合一般。</w:t>
            </w:r>
          </w:p>
        </w:tc>
        <w:tc>
          <w:tcPr>
            <w:tcW w:w="1790" w:type="dxa"/>
            <w:vAlign w:val="center"/>
          </w:tcPr>
          <w:p w14:paraId="50146ABB">
            <w:pPr>
              <w:tabs>
                <w:tab w:val="left" w:pos="360"/>
                <w:tab w:val="left" w:pos="900"/>
              </w:tabs>
              <w:spacing w:line="360" w:lineRule="auto"/>
              <w:rPr>
                <w:rFonts w:hint="eastAsia" w:ascii="宋体" w:hAnsi="宋体" w:cs="宋体"/>
                <w:sz w:val="18"/>
                <w:szCs w:val="18"/>
              </w:rPr>
            </w:pPr>
            <w:r>
              <w:rPr>
                <w:rFonts w:hint="eastAsia" w:ascii="宋体" w:hAnsi="宋体" w:cs="宋体"/>
                <w:sz w:val="18"/>
                <w:szCs w:val="18"/>
              </w:rPr>
              <w:t>不参加会议及解决问题，无合理化建议，并导致投资增加，基本不能进行设计配合。</w:t>
            </w:r>
          </w:p>
        </w:tc>
        <w:tc>
          <w:tcPr>
            <w:tcW w:w="864" w:type="dxa"/>
            <w:vAlign w:val="center"/>
          </w:tcPr>
          <w:p w14:paraId="54C2FFAD">
            <w:pPr>
              <w:tabs>
                <w:tab w:val="left" w:pos="360"/>
                <w:tab w:val="left" w:pos="900"/>
              </w:tabs>
              <w:spacing w:line="360" w:lineRule="auto"/>
              <w:jc w:val="center"/>
              <w:rPr>
                <w:rFonts w:hint="eastAsia" w:ascii="宋体" w:hAnsi="宋体" w:cs="宋体"/>
                <w:sz w:val="18"/>
                <w:szCs w:val="18"/>
              </w:rPr>
            </w:pPr>
          </w:p>
        </w:tc>
      </w:tr>
      <w:tr w14:paraId="44A5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51" w:type="dxa"/>
            <w:vAlign w:val="center"/>
          </w:tcPr>
          <w:p w14:paraId="62128394">
            <w:pPr>
              <w:tabs>
                <w:tab w:val="left" w:pos="360"/>
                <w:tab w:val="left" w:pos="900"/>
              </w:tabs>
              <w:spacing w:line="360" w:lineRule="auto"/>
              <w:jc w:val="center"/>
              <w:rPr>
                <w:rFonts w:hint="eastAsia" w:ascii="宋体" w:hAnsi="宋体" w:cs="宋体"/>
                <w:sz w:val="18"/>
                <w:szCs w:val="18"/>
              </w:rPr>
            </w:pPr>
          </w:p>
        </w:tc>
        <w:tc>
          <w:tcPr>
            <w:tcW w:w="1091" w:type="dxa"/>
            <w:vAlign w:val="center"/>
          </w:tcPr>
          <w:p w14:paraId="33EA4901">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合计</w:t>
            </w:r>
          </w:p>
        </w:tc>
        <w:tc>
          <w:tcPr>
            <w:tcW w:w="632" w:type="dxa"/>
            <w:vAlign w:val="center"/>
          </w:tcPr>
          <w:p w14:paraId="3CD20042">
            <w:pPr>
              <w:tabs>
                <w:tab w:val="left" w:pos="360"/>
                <w:tab w:val="left" w:pos="900"/>
              </w:tabs>
              <w:spacing w:line="360" w:lineRule="auto"/>
              <w:jc w:val="center"/>
              <w:rPr>
                <w:rFonts w:hint="eastAsia" w:ascii="宋体" w:hAnsi="宋体" w:cs="宋体"/>
                <w:sz w:val="18"/>
                <w:szCs w:val="18"/>
              </w:rPr>
            </w:pPr>
            <w:r>
              <w:rPr>
                <w:rFonts w:hint="eastAsia" w:ascii="宋体" w:hAnsi="宋体" w:cs="宋体"/>
                <w:sz w:val="18"/>
                <w:szCs w:val="18"/>
              </w:rPr>
              <w:t>100</w:t>
            </w:r>
          </w:p>
        </w:tc>
        <w:tc>
          <w:tcPr>
            <w:tcW w:w="1729" w:type="dxa"/>
            <w:vAlign w:val="center"/>
          </w:tcPr>
          <w:p w14:paraId="654FD830">
            <w:pPr>
              <w:tabs>
                <w:tab w:val="left" w:pos="360"/>
                <w:tab w:val="left" w:pos="900"/>
              </w:tabs>
              <w:spacing w:line="360" w:lineRule="auto"/>
              <w:rPr>
                <w:rFonts w:hint="eastAsia" w:ascii="宋体" w:hAnsi="宋体" w:cs="宋体"/>
                <w:sz w:val="18"/>
                <w:szCs w:val="18"/>
              </w:rPr>
            </w:pPr>
          </w:p>
        </w:tc>
        <w:tc>
          <w:tcPr>
            <w:tcW w:w="1547" w:type="dxa"/>
            <w:vAlign w:val="center"/>
          </w:tcPr>
          <w:p w14:paraId="7002E08C">
            <w:pPr>
              <w:tabs>
                <w:tab w:val="left" w:pos="360"/>
                <w:tab w:val="left" w:pos="900"/>
              </w:tabs>
              <w:spacing w:line="360" w:lineRule="auto"/>
              <w:rPr>
                <w:rFonts w:hint="eastAsia" w:ascii="宋体" w:hAnsi="宋体" w:cs="宋体"/>
                <w:sz w:val="18"/>
                <w:szCs w:val="18"/>
              </w:rPr>
            </w:pPr>
          </w:p>
        </w:tc>
        <w:tc>
          <w:tcPr>
            <w:tcW w:w="1790" w:type="dxa"/>
            <w:vAlign w:val="center"/>
          </w:tcPr>
          <w:p w14:paraId="6CC04579">
            <w:pPr>
              <w:tabs>
                <w:tab w:val="left" w:pos="360"/>
                <w:tab w:val="left" w:pos="900"/>
              </w:tabs>
              <w:spacing w:line="360" w:lineRule="auto"/>
              <w:rPr>
                <w:rFonts w:hint="eastAsia" w:ascii="宋体" w:hAnsi="宋体" w:cs="宋体"/>
                <w:sz w:val="18"/>
                <w:szCs w:val="18"/>
              </w:rPr>
            </w:pPr>
          </w:p>
        </w:tc>
        <w:tc>
          <w:tcPr>
            <w:tcW w:w="864" w:type="dxa"/>
            <w:vAlign w:val="center"/>
          </w:tcPr>
          <w:p w14:paraId="249407EA">
            <w:pPr>
              <w:tabs>
                <w:tab w:val="left" w:pos="360"/>
                <w:tab w:val="left" w:pos="900"/>
              </w:tabs>
              <w:spacing w:line="360" w:lineRule="auto"/>
              <w:jc w:val="center"/>
              <w:rPr>
                <w:rFonts w:hint="eastAsia" w:ascii="宋体" w:hAnsi="宋体" w:cs="宋体"/>
                <w:sz w:val="18"/>
                <w:szCs w:val="18"/>
              </w:rPr>
            </w:pPr>
          </w:p>
        </w:tc>
      </w:tr>
    </w:tbl>
    <w:p w14:paraId="79781EAA">
      <w:pPr>
        <w:spacing w:line="360" w:lineRule="auto"/>
        <w:jc w:val="center"/>
        <w:rPr>
          <w:rFonts w:hint="eastAsia" w:ascii="宋体" w:hAnsi="宋体" w:cs="宋体"/>
          <w:bCs/>
          <w:szCs w:val="21"/>
        </w:rPr>
      </w:pPr>
      <w:r>
        <w:rPr>
          <w:rFonts w:hint="eastAsia" w:ascii="宋体" w:hAnsi="宋体" w:cs="宋体"/>
          <w:bCs/>
          <w:szCs w:val="21"/>
        </w:rPr>
        <w:t>考评单位（签章）：                              日期：   年   月   日</w:t>
      </w:r>
    </w:p>
    <w:p w14:paraId="7793D6C9">
      <w:pPr>
        <w:spacing w:line="360" w:lineRule="auto"/>
        <w:jc w:val="center"/>
        <w:rPr>
          <w:rFonts w:hint="eastAsia" w:ascii="宋体" w:hAnsi="宋体" w:cs="宋体"/>
          <w:b/>
          <w:szCs w:val="21"/>
        </w:rPr>
      </w:pPr>
    </w:p>
    <w:p w14:paraId="5D5C5B08">
      <w:pPr>
        <w:adjustRightInd w:val="0"/>
        <w:snapToGrid w:val="0"/>
        <w:spacing w:line="360" w:lineRule="auto"/>
        <w:jc w:val="center"/>
        <w:outlineLvl w:val="0"/>
        <w:rPr>
          <w:rFonts w:hint="eastAsia" w:ascii="宋体" w:hAnsi="宋体" w:cs="宋体"/>
          <w:b/>
          <w:snapToGrid w:val="0"/>
          <w:kern w:val="0"/>
          <w:sz w:val="28"/>
          <w:szCs w:val="28"/>
        </w:rPr>
      </w:pPr>
      <w:bookmarkStart w:id="56" w:name="_Toc81895168"/>
      <w:bookmarkStart w:id="57" w:name="_Toc81802526"/>
      <w:r>
        <w:rPr>
          <w:rFonts w:hint="eastAsia" w:ascii="宋体" w:hAnsi="宋体" w:cs="宋体"/>
          <w:b/>
          <w:snapToGrid w:val="0"/>
          <w:kern w:val="0"/>
          <w:sz w:val="28"/>
          <w:szCs w:val="28"/>
        </w:rPr>
        <w:t>第九章 权利与义务</w:t>
      </w:r>
      <w:bookmarkEnd w:id="56"/>
      <w:bookmarkEnd w:id="57"/>
    </w:p>
    <w:p w14:paraId="290B40B2">
      <w:pPr>
        <w:adjustRightInd w:val="0"/>
        <w:snapToGrid w:val="0"/>
        <w:spacing w:line="360" w:lineRule="auto"/>
        <w:ind w:firstLine="431" w:firstLineChars="196"/>
        <w:outlineLvl w:val="1"/>
        <w:rPr>
          <w:rFonts w:hint="eastAsia" w:ascii="宋体" w:hAnsi="宋体" w:cs="宋体"/>
          <w:bCs/>
          <w:snapToGrid w:val="0"/>
          <w:kern w:val="0"/>
          <w:szCs w:val="21"/>
        </w:rPr>
      </w:pPr>
      <w:r>
        <w:rPr>
          <w:rFonts w:hint="eastAsia" w:ascii="宋体" w:hAnsi="宋体" w:cs="宋体"/>
          <w:b/>
          <w:bCs/>
          <w:snapToGrid w:val="0"/>
          <w:kern w:val="0"/>
          <w:szCs w:val="21"/>
        </w:rPr>
        <w:t>16.发包人的权利与义务</w:t>
      </w:r>
    </w:p>
    <w:p w14:paraId="66AEF9F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16.1</w:t>
      </w:r>
      <w:r>
        <w:rPr>
          <w:rFonts w:hint="eastAsia" w:ascii="宋体" w:hAnsi="宋体" w:cs="宋体"/>
          <w:snapToGrid w:val="0"/>
          <w:kern w:val="0"/>
          <w:szCs w:val="21"/>
        </w:rPr>
        <w:t>发包人的权利：</w:t>
      </w:r>
    </w:p>
    <w:p w14:paraId="5AD2A059">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（1）享有承包人设计文件的版权和全部使用权。</w:t>
      </w:r>
    </w:p>
    <w:p w14:paraId="732CCB6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承包人在设计进度、设计质量、指派人员、提供服务、协作等方面义务的履行不符合本合同约定时，发包人有追究违约责任、要求赔偿损失、直至解除合同等权利；同时，发包人还有权将承包人存在的上述违约事实公诸于众和向有关部门反映情况。</w:t>
      </w:r>
    </w:p>
    <w:p w14:paraId="288B0EF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（3）发包人有权聘请图纸审查单位作为本合同工程的设计咨询单位，承包人应接受该图纸审查单位按照相关设计咨询法规和发包人赋予的权利所进行的咨询工作。</w:t>
      </w:r>
    </w:p>
    <w:p w14:paraId="313600E0">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（4）设计变更的审批权，设计进度的监督权。</w:t>
      </w:r>
    </w:p>
    <w:p w14:paraId="6038F3D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（5）其他依据合同和法律规定属于发包人的权利。</w:t>
      </w:r>
    </w:p>
    <w:p w14:paraId="6D81D3E7">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16.2</w:t>
      </w:r>
      <w:r>
        <w:rPr>
          <w:rFonts w:hint="eastAsia" w:ascii="宋体" w:hAnsi="宋体" w:cs="宋体"/>
          <w:snapToGrid w:val="0"/>
          <w:kern w:val="0"/>
          <w:szCs w:val="21"/>
        </w:rPr>
        <w:t>发包人的义务：</w:t>
      </w:r>
    </w:p>
    <w:p w14:paraId="0CAE90B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（1）按本合同约定及时向承包人提供有关资料及文件，发包人提供的资料及文件具体如下：</w:t>
      </w:r>
    </w:p>
    <w:p w14:paraId="639BE8BB">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 方案深化设计阶段提供的资料</w:t>
      </w:r>
    </w:p>
    <w:p w14:paraId="04A87DF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①设计任务书；</w:t>
      </w:r>
    </w:p>
    <w:p w14:paraId="4B970F8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②立项批复文件；</w:t>
      </w:r>
    </w:p>
    <w:p w14:paraId="64B1C7A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③规划建设主管部门对本合同约定项目的规划设计要点；</w:t>
      </w:r>
    </w:p>
    <w:p w14:paraId="0970B73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④由规划部门认可的用地红线和地形图；</w:t>
      </w:r>
    </w:p>
    <w:p w14:paraId="1F801ED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⑤本合同约定的项目基础资料，包括用地红线坐标(表)、场地标高、市政设施图的资料（绿化、道路、管线、建构筑物等）；</w:t>
      </w:r>
    </w:p>
    <w:p w14:paraId="55EE9FA3">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⑥地质勘察资料等；</w:t>
      </w:r>
    </w:p>
    <w:p w14:paraId="1B052E23">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⑦发包人关于设计、图档、图文、工程等相关管理办法，具体见附件；</w:t>
      </w:r>
    </w:p>
    <w:p w14:paraId="4FC1F2A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⑧评标委员会的意见、发包人提出的修改意见，和版权属于发包人的其他投标方案。</w:t>
      </w:r>
    </w:p>
    <w:p w14:paraId="53A21749">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 初步设计阶段提供的资料</w:t>
      </w:r>
    </w:p>
    <w:p w14:paraId="611CCC60">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①发包人对于设计方案的修改意见；</w:t>
      </w:r>
    </w:p>
    <w:p w14:paraId="3F1FDBB0">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②政府部门、职能部门审批意见；</w:t>
      </w:r>
    </w:p>
    <w:p w14:paraId="077C5409">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③政府或发包人委托，或组织的评审机构（会议）提出的阶段性书面意见；</w:t>
      </w:r>
    </w:p>
    <w:p w14:paraId="0A755E1A">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④来往的各类书面文件、会议纪要等。</w:t>
      </w:r>
    </w:p>
    <w:p w14:paraId="6C880704">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（2）按本合同约定按时支付设计费。</w:t>
      </w:r>
    </w:p>
    <w:p w14:paraId="2C9F327B">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（3）发包人变更委托设计项目、规模、条件或所提交资料作较大修改，以致造成承包人设计返工时，应酌情签订补充协议。</w:t>
      </w:r>
    </w:p>
    <w:p w14:paraId="7F750289">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（4）工程实施前，若发包人负责提供材料的，应根据承包人提出的工程用料计划，按时提供各种材料及其产品合格证明，派人与承包人的人员一起验收。</w:t>
      </w:r>
    </w:p>
    <w:p w14:paraId="5700D6A0">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（5）按本合同约定的设计进度和阶段及时将承包人提交的所有设计文件转送相关部门审批，并根据时间表的规定将必要的审批件交付承包人。</w:t>
      </w:r>
    </w:p>
    <w:p w14:paraId="1E486C3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（6）发包人要求承包人比合同约定时间提前交付设计文件时，须征得承包人同意，并不得严重背离合理设计周期。</w:t>
      </w:r>
    </w:p>
    <w:p w14:paraId="552F685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（7）发包人及图纸审查单位在收到承包人有关设计问题及确认问题的函件后，应在5个工作日内给予书面答复，每次设计会议纪要应在该次会议结束后两日内书面交付承包人</w:t>
      </w:r>
    </w:p>
    <w:p w14:paraId="38B16468">
      <w:pPr>
        <w:adjustRightInd w:val="0"/>
        <w:snapToGrid w:val="0"/>
        <w:spacing w:line="360" w:lineRule="auto"/>
        <w:ind w:firstLine="431" w:firstLineChars="196"/>
        <w:outlineLvl w:val="1"/>
        <w:rPr>
          <w:rFonts w:hint="eastAsia" w:ascii="宋体" w:hAnsi="宋体" w:cs="宋体"/>
          <w:b/>
          <w:bCs/>
          <w:snapToGrid w:val="0"/>
          <w:kern w:val="0"/>
          <w:szCs w:val="21"/>
        </w:rPr>
      </w:pPr>
      <w:r>
        <w:rPr>
          <w:rFonts w:hint="eastAsia" w:ascii="宋体" w:hAnsi="宋体" w:cs="宋体"/>
          <w:b/>
          <w:bCs/>
          <w:snapToGrid w:val="0"/>
          <w:kern w:val="0"/>
          <w:szCs w:val="21"/>
        </w:rPr>
        <w:t>17.承包人的权利与义务</w:t>
      </w:r>
    </w:p>
    <w:p w14:paraId="608C2CF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17.1</w:t>
      </w:r>
      <w:r>
        <w:rPr>
          <w:rFonts w:hint="eastAsia" w:ascii="宋体" w:hAnsi="宋体" w:cs="宋体"/>
          <w:snapToGrid w:val="0"/>
          <w:kern w:val="0"/>
          <w:szCs w:val="21"/>
        </w:rPr>
        <w:t>承包人的权利：</w:t>
      </w:r>
    </w:p>
    <w:p w14:paraId="43813888">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（1）根据合同约定收取设计费。</w:t>
      </w:r>
    </w:p>
    <w:p w14:paraId="3435AD8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（2）拥有设计成果文件的署名权。</w:t>
      </w:r>
    </w:p>
    <w:p w14:paraId="244C5814">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（3）设计方案、图纸未审批之前，在不影响工期及合同约定的提交成果文件的时间的情况下，有权提出修改方案、图纸的建议。</w:t>
      </w:r>
    </w:p>
    <w:p w14:paraId="581C9C0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（4）有权依据发包人的意图和本合同工程设计工作进展情况指令各专业设计单位按时、按质、按量完成本合同专项工程的设计工作。</w:t>
      </w:r>
    </w:p>
    <w:p w14:paraId="21C430F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b/>
          <w:snapToGrid w:val="0"/>
          <w:kern w:val="0"/>
          <w:szCs w:val="21"/>
        </w:rPr>
        <w:t xml:space="preserve">17.2 </w:t>
      </w:r>
      <w:r>
        <w:rPr>
          <w:rFonts w:hint="eastAsia" w:ascii="宋体" w:hAnsi="宋体" w:cs="宋体"/>
          <w:snapToGrid w:val="0"/>
          <w:kern w:val="0"/>
          <w:szCs w:val="21"/>
        </w:rPr>
        <w:t>除根据本合同约定的完成设计工作外，承包人义务还包括但不限于：</w:t>
      </w:r>
    </w:p>
    <w:p w14:paraId="6AC4A44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在设计及施工过程中，承包人应充分尊重和理解发包人、代表发包人的图纸审查单位对设计提出的书面意见与要求，如无充分的否定理由应尽快予以处理和实施。对合同没有约定的部分和没有描述的部分，应另行协商。</w:t>
      </w:r>
    </w:p>
    <w:p w14:paraId="3C63F0B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（2）在设计各阶段，承包人应根据发包人或有权审核部门的意见，及时修改、完善设计，负责完成由于设计失误未获有权审核部门批准而出现的反复修改的工作。</w:t>
      </w:r>
    </w:p>
    <w:p w14:paraId="53709B20">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（3）承包人不享有对设计文件的留置权，由承包人完成的设计文件应依据本合同约定的时间提交给发包人的，均不得拒绝或拖延向发包人提交。</w:t>
      </w:r>
    </w:p>
    <w:p w14:paraId="16E8584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（4）承包人应加强对设计和管理服务人员职业操守的教育，恪守职业道德守则，并严格遵守下列规定：</w:t>
      </w:r>
    </w:p>
    <w:p w14:paraId="6421E73F">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1）严防重产值、轻质量倾向，确保公众人身及财产安全；</w:t>
      </w:r>
    </w:p>
    <w:p w14:paraId="34530E90">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2）禁止向发包人及施工单位推销材料、设备，或以倾向性、排他性设计变相推销；</w:t>
      </w:r>
    </w:p>
    <w:p w14:paraId="4DCBCD0A">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3）禁止与材料、设备供应商串通，设计中选用价高质次的材料、设备；</w:t>
      </w:r>
    </w:p>
    <w:p w14:paraId="6FE3B071">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4）禁止与材料、设备供应商串通，在材料、设备的监造或调试过程中对不合格材料、设备产品进行包庇或以次充好，提高产品验收级别；</w:t>
      </w:r>
    </w:p>
    <w:p w14:paraId="2F9A60D4">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5）禁止与施工单位串通，对不合格材料、设备、产品、工程进行包庇及验收；</w:t>
      </w:r>
    </w:p>
    <w:p w14:paraId="50A6F177">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6）禁止与施工单位串通，对材料用量、工程量进行虚假签认；</w:t>
      </w:r>
    </w:p>
    <w:p w14:paraId="27BFF72C">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7）禁止与施工单位串通，不合理提高施工难度及增加材料用量，以增大施工费用，获取不正当收益。</w:t>
      </w:r>
    </w:p>
    <w:p w14:paraId="61B44CED">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（5）其他依据法律规定和本合同约定应由承包人履行的义务。</w:t>
      </w:r>
    </w:p>
    <w:p w14:paraId="78FCDA35">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6）承包人应按合同附件《施工阶段驻场服务人员投入人员承诺表》派出相关设计人员和驻场服务人员，在本项目业主的办公地点驻场办公，全过程服务于本项目的设计工作，其现场工作必要的费用，包括交通、伙食、差旅、办公费等由设计人承担。</w:t>
      </w:r>
    </w:p>
    <w:p w14:paraId="68EC518C">
      <w:pPr>
        <w:adjustRightInd w:val="0"/>
        <w:snapToGrid w:val="0"/>
        <w:spacing w:line="360" w:lineRule="auto"/>
        <w:ind w:firstLine="440" w:firstLineChars="200"/>
        <w:rPr>
          <w:rFonts w:hint="eastAsia" w:ascii="宋体" w:hAnsi="宋体" w:cs="宋体"/>
          <w:snapToGrid w:val="0"/>
          <w:kern w:val="0"/>
          <w:szCs w:val="21"/>
        </w:rPr>
      </w:pPr>
    </w:p>
    <w:p w14:paraId="7F921687">
      <w:pPr>
        <w:adjustRightInd w:val="0"/>
        <w:snapToGrid w:val="0"/>
        <w:spacing w:line="360" w:lineRule="auto"/>
        <w:jc w:val="center"/>
        <w:outlineLvl w:val="0"/>
        <w:rPr>
          <w:rFonts w:hint="eastAsia" w:ascii="宋体" w:hAnsi="宋体" w:cs="宋体"/>
          <w:b/>
          <w:snapToGrid w:val="0"/>
          <w:kern w:val="0"/>
          <w:sz w:val="28"/>
          <w:szCs w:val="28"/>
        </w:rPr>
      </w:pPr>
      <w:r>
        <w:rPr>
          <w:rFonts w:hint="eastAsia" w:ascii="宋体" w:hAnsi="宋体" w:cs="宋体"/>
          <w:b/>
          <w:snapToGrid w:val="0"/>
          <w:kern w:val="0"/>
          <w:sz w:val="28"/>
          <w:szCs w:val="28"/>
        </w:rPr>
        <w:t>第十章 违约责任</w:t>
      </w:r>
    </w:p>
    <w:p w14:paraId="57BE0FAA">
      <w:pPr>
        <w:adjustRightInd w:val="0"/>
        <w:snapToGrid w:val="0"/>
        <w:spacing w:line="360" w:lineRule="auto"/>
        <w:ind w:firstLine="431" w:firstLineChars="196"/>
        <w:outlineLvl w:val="1"/>
        <w:rPr>
          <w:rFonts w:hint="eastAsia" w:ascii="宋体" w:hAnsi="宋体" w:cs="宋体"/>
          <w:b/>
          <w:bCs/>
          <w:snapToGrid w:val="0"/>
          <w:kern w:val="0"/>
          <w:szCs w:val="21"/>
        </w:rPr>
      </w:pPr>
      <w:r>
        <w:rPr>
          <w:rFonts w:hint="eastAsia" w:ascii="宋体" w:hAnsi="宋体" w:cs="宋体"/>
          <w:b/>
          <w:bCs/>
          <w:snapToGrid w:val="0"/>
          <w:kern w:val="0"/>
          <w:szCs w:val="21"/>
        </w:rPr>
        <w:t>18.发包人的违约责任</w:t>
      </w:r>
    </w:p>
    <w:p w14:paraId="2FE672D9">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18.1</w:t>
      </w:r>
      <w:r>
        <w:rPr>
          <w:rFonts w:hint="eastAsia" w:cs="宋体"/>
          <w:snapToGrid w:val="0"/>
          <w:sz w:val="21"/>
          <w:szCs w:val="21"/>
        </w:rPr>
        <w:t>发包人无正当理由应按合同约定支付承包人设计进度款。</w:t>
      </w:r>
    </w:p>
    <w:p w14:paraId="63F11C29">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18.2</w:t>
      </w:r>
      <w:r>
        <w:rPr>
          <w:rFonts w:hint="eastAsia" w:cs="宋体"/>
          <w:snapToGrid w:val="0"/>
          <w:sz w:val="21"/>
          <w:szCs w:val="21"/>
        </w:rPr>
        <w:t>发包人无正当理由应按合同约定支付承包人设计竣工结算款。</w:t>
      </w:r>
    </w:p>
    <w:p w14:paraId="3DCF8943">
      <w:pPr>
        <w:adjustRightInd w:val="0"/>
        <w:snapToGrid w:val="0"/>
        <w:spacing w:line="360" w:lineRule="auto"/>
        <w:ind w:firstLine="431" w:firstLineChars="196"/>
        <w:outlineLvl w:val="1"/>
        <w:rPr>
          <w:rFonts w:hint="eastAsia" w:ascii="宋体" w:hAnsi="宋体" w:cs="宋体"/>
          <w:bCs/>
          <w:snapToGrid w:val="0"/>
          <w:kern w:val="0"/>
          <w:szCs w:val="21"/>
        </w:rPr>
      </w:pPr>
      <w:r>
        <w:rPr>
          <w:rFonts w:hint="eastAsia" w:ascii="宋体" w:hAnsi="宋体" w:cs="宋体"/>
          <w:b/>
          <w:bCs/>
          <w:snapToGrid w:val="0"/>
          <w:kern w:val="0"/>
          <w:szCs w:val="21"/>
        </w:rPr>
        <w:t>19.承包人的违约责任</w:t>
      </w:r>
    </w:p>
    <w:p w14:paraId="3C857835">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19.1</w:t>
      </w:r>
      <w:r>
        <w:rPr>
          <w:rFonts w:hint="eastAsia" w:cs="宋体"/>
          <w:snapToGrid w:val="0"/>
          <w:sz w:val="21"/>
          <w:szCs w:val="21"/>
        </w:rPr>
        <w:t>承包人承担违约责任的方式包括但不限于：</w:t>
      </w:r>
    </w:p>
    <w:p w14:paraId="6040C818">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（1）一般违约责任。承包人违反本合同的约定须承担一般违约责任时，必须向发包人交纳违约金</w:t>
      </w:r>
      <w:r>
        <w:rPr>
          <w:rFonts w:hint="eastAsia" w:cs="宋体"/>
          <w:snapToGrid w:val="0"/>
          <w:sz w:val="21"/>
          <w:szCs w:val="21"/>
          <w:u w:val="single"/>
        </w:rPr>
        <w:t>(5000元</w:t>
      </w:r>
      <w:r>
        <w:rPr>
          <w:rFonts w:hint="eastAsia" w:cs="宋体"/>
          <w:bCs/>
          <w:snapToGrid w:val="0"/>
          <w:sz w:val="21"/>
          <w:szCs w:val="21"/>
          <w:u w:val="single"/>
        </w:rPr>
        <w:t>/次)</w:t>
      </w:r>
      <w:r>
        <w:rPr>
          <w:rFonts w:hint="eastAsia" w:cs="宋体"/>
          <w:snapToGrid w:val="0"/>
          <w:sz w:val="21"/>
          <w:szCs w:val="21"/>
          <w:u w:val="single"/>
        </w:rPr>
        <w:t>。</w:t>
      </w:r>
    </w:p>
    <w:p w14:paraId="5C92D12A">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（2）严重违约责任。承包人违反本合同的约定须承担严重违约责任时，必须向发包人交纳违约金</w:t>
      </w:r>
      <w:r>
        <w:rPr>
          <w:rFonts w:hint="eastAsia" w:cs="宋体"/>
          <w:snapToGrid w:val="0"/>
          <w:sz w:val="21"/>
          <w:szCs w:val="21"/>
          <w:u w:val="single"/>
        </w:rPr>
        <w:t>(20000元/次)。</w:t>
      </w:r>
    </w:p>
    <w:p w14:paraId="1F87A680">
      <w:pPr>
        <w:pStyle w:val="18"/>
        <w:adjustRightInd w:val="0"/>
        <w:snapToGrid w:val="0"/>
        <w:spacing w:before="0" w:beforeAutospacing="0" w:after="0" w:afterAutospacing="0" w:line="360" w:lineRule="auto"/>
        <w:ind w:firstLine="424" w:firstLineChars="202"/>
        <w:rPr>
          <w:rFonts w:hint="eastAsia" w:cs="宋体"/>
          <w:bCs/>
          <w:snapToGrid w:val="0"/>
          <w:sz w:val="21"/>
          <w:szCs w:val="21"/>
        </w:rPr>
      </w:pPr>
      <w:r>
        <w:rPr>
          <w:rFonts w:hint="eastAsia" w:cs="宋体"/>
          <w:snapToGrid w:val="0"/>
          <w:sz w:val="21"/>
          <w:szCs w:val="21"/>
        </w:rPr>
        <w:t>（3）赔偿损失。</w:t>
      </w:r>
      <w:r>
        <w:rPr>
          <w:rFonts w:hint="eastAsia" w:cs="宋体"/>
          <w:bCs/>
          <w:snapToGrid w:val="0"/>
          <w:sz w:val="21"/>
          <w:szCs w:val="21"/>
        </w:rPr>
        <w:t>因承包人原因造成发包人经济损失的，承包人应赔偿发包人的全部直接和间接经济损失</w:t>
      </w:r>
      <w:r>
        <w:rPr>
          <w:rFonts w:hint="eastAsia" w:cs="宋体"/>
          <w:snapToGrid w:val="0"/>
          <w:sz w:val="21"/>
          <w:szCs w:val="21"/>
        </w:rPr>
        <w:t>。</w:t>
      </w:r>
      <w:r>
        <w:rPr>
          <w:rFonts w:hint="eastAsia" w:cs="宋体"/>
          <w:bCs/>
          <w:snapToGrid w:val="0"/>
          <w:sz w:val="21"/>
          <w:szCs w:val="21"/>
        </w:rPr>
        <w:t>最高赔偿不超过本合同设计费总额。</w:t>
      </w:r>
    </w:p>
    <w:p w14:paraId="4836A89D">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（4）部分解除合同。</w:t>
      </w:r>
      <w:r>
        <w:rPr>
          <w:rFonts w:hint="eastAsia" w:cs="宋体"/>
          <w:bCs/>
          <w:snapToGrid w:val="0"/>
          <w:sz w:val="21"/>
          <w:szCs w:val="21"/>
        </w:rPr>
        <w:t>当承包人违反本合同的约定达到部分解除合同的条件时，发包人有权向承包人发出书面部分解除合同的通知，该通知在送达承包人时即生效。</w:t>
      </w:r>
      <w:r>
        <w:rPr>
          <w:rFonts w:hint="eastAsia" w:cs="宋体"/>
          <w:snapToGrid w:val="0"/>
          <w:sz w:val="21"/>
          <w:szCs w:val="21"/>
        </w:rPr>
        <w:t>承包人应在该通知生效之日起五天内向发包人支付本合同价款5%的违约金，违约金不足以弥补发包人全部损失的，承包人还应予以赔偿</w:t>
      </w:r>
      <w:r>
        <w:rPr>
          <w:rFonts w:hint="eastAsia" w:cs="宋体"/>
          <w:bCs/>
          <w:snapToGrid w:val="0"/>
          <w:sz w:val="21"/>
          <w:szCs w:val="21"/>
        </w:rPr>
        <w:t>。同时，</w:t>
      </w:r>
      <w:r>
        <w:rPr>
          <w:rFonts w:hint="eastAsia" w:cs="宋体"/>
          <w:snapToGrid w:val="0"/>
          <w:sz w:val="21"/>
          <w:szCs w:val="21"/>
        </w:rPr>
        <w:t>承包人必须在通知生效之日起三天内停止被解除部分的工作，通知生效之日起五天内配合发包人完成现场工作和有关资料的交接，所交接资料必须完整且满足发包人要求。承包人无特殊原因未在规定期限内完成交接和离场，或交接资料不完整或不满足发包人要求的，发包人有权视情况解除合同。若因承包人拒交或延误交接现场工作和有关资料而引致发包人工期延误及其它方面的损失，承包人必须按发包人的要求赔偿。</w:t>
      </w:r>
    </w:p>
    <w:p w14:paraId="1AD4B00E">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（5）解除合同。</w:t>
      </w:r>
      <w:r>
        <w:rPr>
          <w:rFonts w:hint="eastAsia" w:cs="宋体"/>
          <w:bCs/>
          <w:snapToGrid w:val="0"/>
          <w:sz w:val="21"/>
          <w:szCs w:val="21"/>
        </w:rPr>
        <w:t>当承包人违反本合同的约定符合解除合同的条件时，发包人有权向承包人发出书面解除合同的通知，该通知在送达承包人时即生效。</w:t>
      </w:r>
      <w:r>
        <w:rPr>
          <w:rFonts w:hint="eastAsia" w:cs="宋体"/>
          <w:snapToGrid w:val="0"/>
          <w:sz w:val="21"/>
          <w:szCs w:val="21"/>
        </w:rPr>
        <w:t>承包人应在该通知生效之日起五天内返还</w:t>
      </w:r>
      <w:r>
        <w:rPr>
          <w:rFonts w:hint="eastAsia" w:cs="宋体"/>
          <w:snapToGrid w:val="0"/>
          <w:color w:val="0000FF"/>
          <w:sz w:val="21"/>
          <w:szCs w:val="21"/>
          <w:lang w:val="en-US" w:eastAsia="zh-CN"/>
        </w:rPr>
        <w:t>预付款</w:t>
      </w:r>
      <w:r>
        <w:rPr>
          <w:rFonts w:hint="eastAsia" w:cs="宋体"/>
          <w:snapToGrid w:val="0"/>
          <w:sz w:val="21"/>
          <w:szCs w:val="21"/>
        </w:rPr>
        <w:t>，</w:t>
      </w:r>
      <w:r>
        <w:rPr>
          <w:rFonts w:hint="eastAsia" w:cs="宋体"/>
          <w:sz w:val="21"/>
          <w:szCs w:val="21"/>
        </w:rPr>
        <w:t>给发包人造成损失的，承包人应赔偿发包人的全部损失。</w:t>
      </w:r>
      <w:r>
        <w:rPr>
          <w:rFonts w:hint="eastAsia" w:cs="宋体"/>
          <w:bCs/>
          <w:snapToGrid w:val="0"/>
          <w:sz w:val="21"/>
          <w:szCs w:val="21"/>
        </w:rPr>
        <w:t>同时，</w:t>
      </w:r>
      <w:r>
        <w:rPr>
          <w:rFonts w:hint="eastAsia" w:cs="宋体"/>
          <w:snapToGrid w:val="0"/>
          <w:sz w:val="21"/>
          <w:szCs w:val="21"/>
        </w:rPr>
        <w:t>承包人必须在通知生效之日起三天内停止全部工作，通知生效之日起五天内配合发包人完成现场工作和有关资料的交接，并于完成交接工作当天内离场。承包人应保证所移交的资料齐全完整且满足发包人要求，承包人未在规定期限内完成交接和离场或所移交的资料不完整的，引致发包人工期延误和其它方面的损失，发包人有权要求承包人赔偿。</w:t>
      </w:r>
    </w:p>
    <w:p w14:paraId="09E83020">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（6）承包人按本合同约定应缴纳的违约金和赔偿金应分别计算。违约金累计总额不超过本合同结算价款的25%，如违约金不足以弥补给发包人造成的损失的，承包人应赔偿发包人的损失。</w:t>
      </w:r>
    </w:p>
    <w:p w14:paraId="29800A01">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19.2</w:t>
      </w:r>
      <w:r>
        <w:rPr>
          <w:rFonts w:hint="eastAsia" w:cs="宋体"/>
          <w:bCs/>
          <w:snapToGrid w:val="0"/>
          <w:sz w:val="21"/>
          <w:szCs w:val="21"/>
        </w:rPr>
        <w:t>在本合同有效期内，承包人承担一般违约责任累计达3次的，另行追加严重违约责任1次；累计承担严重违约责任达3次的，发包人有权单方面部分解除合同或解除合同。</w:t>
      </w:r>
    </w:p>
    <w:p w14:paraId="75650364">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19.3</w:t>
      </w:r>
      <w:r>
        <w:rPr>
          <w:rFonts w:hint="eastAsia" w:cs="宋体"/>
          <w:snapToGrid w:val="0"/>
          <w:sz w:val="21"/>
          <w:szCs w:val="21"/>
        </w:rPr>
        <w:t>承包人违约需向发包人支付违约金、赔偿金时，按本合同条款第2</w:t>
      </w:r>
      <w:r>
        <w:rPr>
          <w:rFonts w:hint="eastAsia" w:cs="宋体"/>
          <w:snapToGrid w:val="0"/>
          <w:sz w:val="21"/>
          <w:szCs w:val="21"/>
          <w:lang w:val="en-US" w:eastAsia="zh-CN"/>
        </w:rPr>
        <w:t>0</w:t>
      </w:r>
      <w:r>
        <w:rPr>
          <w:rFonts w:hint="eastAsia" w:cs="宋体"/>
          <w:snapToGrid w:val="0"/>
          <w:sz w:val="21"/>
          <w:szCs w:val="21"/>
        </w:rPr>
        <w:t>条约定的索赔方式执行。必要时，发包人有权书面通知承包人交纳。承包人必须在发包人规定的时间内主动交纳；逾期交纳的，发包人有权按逾期天数每天加收逾期交纳金额2‰的逾期违约金。</w:t>
      </w:r>
    </w:p>
    <w:p w14:paraId="66032B7C">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19.4</w:t>
      </w:r>
      <w:r>
        <w:rPr>
          <w:rFonts w:hint="eastAsia" w:cs="宋体"/>
          <w:snapToGrid w:val="0"/>
          <w:sz w:val="21"/>
          <w:szCs w:val="21"/>
        </w:rPr>
        <w:t>承包人负责本项目的设计人员，不符合合同约定的，每发现一个承担一般违约责任一次，</w:t>
      </w:r>
      <w:r>
        <w:rPr>
          <w:rFonts w:hint="eastAsia" w:cs="宋体"/>
          <w:bCs/>
          <w:snapToGrid w:val="0"/>
          <w:sz w:val="21"/>
          <w:szCs w:val="21"/>
        </w:rPr>
        <w:t>一般违约责任累计达3次的，另行追加严重违约责任1次；累计承担严重违约责任达3次的，发包人有权单方面部分解除合同或解除合同。</w:t>
      </w:r>
      <w:r>
        <w:rPr>
          <w:rFonts w:hint="eastAsia" w:cs="宋体"/>
          <w:snapToGrid w:val="0"/>
          <w:sz w:val="21"/>
          <w:szCs w:val="21"/>
        </w:rPr>
        <w:t>本合同解除后，承包人已经完成的设计成果文件全部归发包人所有，发包人有权与其他设计人签订设计协议，其他设计人有权在承包人已经完成的设计成果文件的基础上继续设计，承包人不得有异议，并不得向发包人或者其他设计人索取任何报酬。</w:t>
      </w:r>
    </w:p>
    <w:p w14:paraId="59AB297B">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19.5</w:t>
      </w:r>
      <w:r>
        <w:rPr>
          <w:rFonts w:hint="eastAsia" w:cs="宋体"/>
          <w:snapToGrid w:val="0"/>
          <w:sz w:val="21"/>
          <w:szCs w:val="21"/>
        </w:rPr>
        <w:t>设计服务方面的违约责任</w:t>
      </w:r>
    </w:p>
    <w:p w14:paraId="5AA7E244">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（1）承包人在本合同工程设计履行合同过程中贿赂发包人人员或建设项目有关主管人员的，视为不正当竞争并承担严重违约1次。情节特别严重的，发包人有权单方面解除合同。涉嫌犯罪的，移交司法部门处理。</w:t>
      </w:r>
    </w:p>
    <w:p w14:paraId="0E370C3E">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2）承包人未能按合同约定投入人员或投入人员没有按时到位的人员为一般设计人员的，每出现1人次，承包人承担一般违约责任1次；如该没有投入或者没有按时到位的人员为设计专业负责人员的，每出现1人次，承包人承担严重违约责任1次。承包人要求更换人员的，按本合同条款第</w:t>
      </w:r>
      <w:r>
        <w:rPr>
          <w:rFonts w:hint="eastAsia" w:cs="宋体"/>
          <w:snapToGrid w:val="0"/>
          <w:sz w:val="21"/>
          <w:szCs w:val="21"/>
          <w:lang w:val="en-US" w:eastAsia="zh-CN"/>
        </w:rPr>
        <w:t>19</w:t>
      </w:r>
      <w:r>
        <w:rPr>
          <w:rFonts w:hint="eastAsia" w:cs="宋体"/>
          <w:snapToGrid w:val="0"/>
          <w:sz w:val="21"/>
          <w:szCs w:val="21"/>
        </w:rPr>
        <w:t>.5条第（4）项的约定执行。承包人在发包人规定的宽限期内仍未将人员投入到位的，发包人有权另请他人接替其工作，另请他人的费用从应支付给承包人的设计费中扣减，承包人不得提出任何异议。</w:t>
      </w:r>
    </w:p>
    <w:p w14:paraId="34A3C0AC">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（3）按合同约定投入的专为本合同工程服务的承包人驻场设计人员违反考勤制度，按以下约定处理：</w:t>
      </w:r>
    </w:p>
    <w:p w14:paraId="2B55CCC2">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1）承包人驻场设计人员迟到或者出现其他违反考勤制度的情况，每累计出现5次，承包人承担一般违约责任1次。</w:t>
      </w:r>
    </w:p>
    <w:p w14:paraId="45B98BFF">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2）发包人联系不上承包人驻场设计人员, 每累计出现3次，承包人承担一般违约责任1次。</w:t>
      </w:r>
    </w:p>
    <w:p w14:paraId="6B100860">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3）未经发包人同意，承包人驻场设计人员请假，每累计出现2次，承包人承担一般违约责任1次。</w:t>
      </w:r>
    </w:p>
    <w:p w14:paraId="7C04E96E">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4）按合同约定投入的专为本合同工程服务的承包人驻场设计人员参与其他工程工作的，每发现一人次，视为承包人未能按合同约定投入人员，参照本合同条款第19.5款第(2)项的约定执行。</w:t>
      </w:r>
    </w:p>
    <w:p w14:paraId="2A5AE571">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（4）在本合同履行期内承包人要求更换人员的，按以下约定处理：</w:t>
      </w:r>
    </w:p>
    <w:p w14:paraId="6405EFE9">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1）经发包人同意的，更换一般设计人员（包含驻场人员）累计3人的，承包人承担一般违约责任1次；更换专业设计负责人承包人承担一般违约责任1次；更换项目设计总负责人或者驻场设计代表总负责人，承包人承担严重违约责任1次。</w:t>
      </w:r>
    </w:p>
    <w:p w14:paraId="25C5AADA">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2）未经发包人同意的，更换一般设计人员（包含驻场人员），承包人承担一般违约责任1次；更换专业设计负责人，承包人承担严重违约责任1次；更换项目设计总负责人或者驻场设计代表总负责人，承包人承担严重违约责任1次并须向发包人支付违约金25万元/人次。</w:t>
      </w:r>
    </w:p>
    <w:p w14:paraId="676C5B49">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3）因以下事件：如重病、重伤、失踪、死亡、辞职和工作调动等，造成设计人员岗位空缺的，承包人必须在出现空缺之日起五日内按照投标文件承诺的标准予以补充，但无须向发包人支付违约金。逾期未予补充或补充人员不符合投标文件承诺标准的，视作承包人未能按照合同约定投入设计人员，参照本合同条款第</w:t>
      </w:r>
      <w:r>
        <w:rPr>
          <w:rFonts w:hint="eastAsia" w:cs="宋体"/>
          <w:snapToGrid w:val="0"/>
          <w:sz w:val="21"/>
          <w:szCs w:val="21"/>
          <w:lang w:val="en-US" w:eastAsia="zh-CN"/>
        </w:rPr>
        <w:t>19</w:t>
      </w:r>
      <w:r>
        <w:rPr>
          <w:rFonts w:hint="eastAsia" w:cs="宋体"/>
          <w:snapToGrid w:val="0"/>
          <w:sz w:val="21"/>
          <w:szCs w:val="21"/>
        </w:rPr>
        <w:t>.5条第(2)项的约定执行。</w:t>
      </w:r>
    </w:p>
    <w:p w14:paraId="64F0CFA4">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4）发包人要求承包人以实际工作能力较高的人员调换实际工作能力较低的现场人员，或者承包人主动要求以实际工作能力较高的人员调换实际工作能力较低的现场人员并经发包人批准且经实践证实的，承包人可不承担违约责任。</w:t>
      </w:r>
    </w:p>
    <w:p w14:paraId="29FCE257">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5）对于发包人通知承包人参加的会议（包括但不限于进场会、现场问题处理会议、工程验收会议、结算问题处理会议、质保期工作的相关会议等），被通知人员（包括但不限于承包人法定代表人、经报发包人批准同意的承包人法定代表人授权人、项目负责人等）未经发包人同意缺席，每缺席一人次，承包人承担1次一般违约责任。</w:t>
      </w:r>
    </w:p>
    <w:p w14:paraId="0D8C4A2C">
      <w:pPr>
        <w:pStyle w:val="18"/>
        <w:adjustRightInd w:val="0"/>
        <w:snapToGrid w:val="0"/>
        <w:spacing w:before="0" w:beforeAutospacing="0" w:after="0" w:afterAutospacing="0" w:line="360" w:lineRule="auto"/>
        <w:ind w:firstLine="424" w:firstLineChars="202"/>
        <w:rPr>
          <w:rFonts w:hint="eastAsia" w:cs="宋体"/>
          <w:snapToGrid w:val="0"/>
          <w:sz w:val="21"/>
          <w:szCs w:val="21"/>
        </w:rPr>
      </w:pPr>
      <w:r>
        <w:rPr>
          <w:rFonts w:hint="eastAsia" w:cs="宋体"/>
          <w:snapToGrid w:val="0"/>
          <w:sz w:val="21"/>
          <w:szCs w:val="21"/>
        </w:rPr>
        <w:t>（6）因承包人未按时按质地提供本合同条款本合同条款第2章约定的各项设计服务，导致本合同工程建安费用增加的，承包人按以下公式计算向发包人支付的违约金</w:t>
      </w:r>
      <w:r>
        <w:rPr>
          <w:rFonts w:hint="eastAsia" w:cs="宋体"/>
          <w:sz w:val="21"/>
          <w:szCs w:val="21"/>
        </w:rPr>
        <w:t>：</w:t>
      </w:r>
    </w:p>
    <w:p w14:paraId="6C1F71D9">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违约金 = A×（B / C）×2</w:t>
      </w:r>
    </w:p>
    <w:p w14:paraId="42D7654E">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其中：A - 实际增加的建安工程费；</w:t>
      </w:r>
    </w:p>
    <w:p w14:paraId="476ADA94">
      <w:pPr>
        <w:adjustRightInd w:val="0"/>
        <w:snapToGrid w:val="0"/>
        <w:spacing w:line="360" w:lineRule="auto"/>
        <w:ind w:firstLine="1100" w:firstLineChars="500"/>
        <w:rPr>
          <w:rFonts w:hint="eastAsia" w:ascii="宋体" w:hAnsi="宋体" w:cs="宋体"/>
          <w:bCs/>
          <w:snapToGrid w:val="0"/>
          <w:kern w:val="0"/>
          <w:szCs w:val="21"/>
        </w:rPr>
      </w:pPr>
      <w:r>
        <w:rPr>
          <w:rFonts w:hint="eastAsia" w:ascii="宋体" w:hAnsi="宋体" w:cs="宋体"/>
          <w:bCs/>
          <w:snapToGrid w:val="0"/>
          <w:kern w:val="0"/>
          <w:szCs w:val="21"/>
        </w:rPr>
        <w:t>B - 本合同设计收费（包括工程设计费及其它设计收费）总额；</w:t>
      </w:r>
    </w:p>
    <w:p w14:paraId="7D5246E1">
      <w:pPr>
        <w:adjustRightInd w:val="0"/>
        <w:snapToGrid w:val="0"/>
        <w:spacing w:line="360" w:lineRule="auto"/>
        <w:ind w:firstLine="1100" w:firstLineChars="500"/>
        <w:rPr>
          <w:rFonts w:hint="eastAsia" w:ascii="宋体" w:hAnsi="宋体" w:cs="宋体"/>
          <w:bCs/>
          <w:snapToGrid w:val="0"/>
          <w:kern w:val="0"/>
          <w:szCs w:val="21"/>
        </w:rPr>
      </w:pPr>
      <w:r>
        <w:rPr>
          <w:rFonts w:hint="eastAsia" w:ascii="宋体" w:hAnsi="宋体" w:cs="宋体"/>
          <w:bCs/>
          <w:snapToGrid w:val="0"/>
          <w:kern w:val="0"/>
          <w:szCs w:val="21"/>
        </w:rPr>
        <w:t>C - 本合同工程审定工程设计概算建安工程费总额。</w:t>
      </w:r>
    </w:p>
    <w:p w14:paraId="2CBEEE63">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19.6</w:t>
      </w:r>
      <w:r>
        <w:rPr>
          <w:rFonts w:hint="eastAsia" w:cs="宋体"/>
          <w:snapToGrid w:val="0"/>
          <w:sz w:val="21"/>
          <w:szCs w:val="21"/>
        </w:rPr>
        <w:t>设计成果文件方面的违约责任：</w:t>
      </w:r>
    </w:p>
    <w:p w14:paraId="118D30E4">
      <w:pPr>
        <w:pStyle w:val="18"/>
        <w:adjustRightInd w:val="0"/>
        <w:snapToGrid w:val="0"/>
        <w:spacing w:before="0" w:beforeAutospacing="0" w:after="0" w:afterAutospacing="0" w:line="360" w:lineRule="auto"/>
        <w:ind w:firstLine="315" w:firstLineChars="150"/>
        <w:rPr>
          <w:rFonts w:hint="eastAsia" w:cs="宋体"/>
          <w:snapToGrid w:val="0"/>
          <w:sz w:val="21"/>
          <w:szCs w:val="21"/>
        </w:rPr>
      </w:pPr>
      <w:r>
        <w:rPr>
          <w:rFonts w:hint="eastAsia" w:cs="宋体"/>
          <w:snapToGrid w:val="0"/>
          <w:sz w:val="21"/>
          <w:szCs w:val="21"/>
        </w:rPr>
        <w:t>（1）承包人未能按本合同约定的时间或发包人审核同意的设计进度各类计划要求各阶段提交的设计成果文件的，逾期3天以内（或累计达5天以上10天以内）的，承包人按0.5万元/天向发包人支付违约金，违约金不足以弥补发包人损失的，承包人应继续赔偿；逾期3天以上（或累计达10天以上）的，承包人按1万元/天向发包人支付违约金，违约金不足以弥补发包人损失的，承包人还须同时向发包人赔偿全部损失。</w:t>
      </w:r>
    </w:p>
    <w:p w14:paraId="32722200">
      <w:pPr>
        <w:pStyle w:val="18"/>
        <w:adjustRightInd w:val="0"/>
        <w:snapToGrid w:val="0"/>
        <w:spacing w:before="0" w:beforeAutospacing="0" w:after="0" w:afterAutospacing="0" w:line="360" w:lineRule="auto"/>
        <w:ind w:firstLine="424" w:firstLineChars="202"/>
        <w:rPr>
          <w:rFonts w:hint="eastAsia" w:cs="宋体"/>
          <w:snapToGrid w:val="0"/>
          <w:sz w:val="21"/>
          <w:szCs w:val="21"/>
        </w:rPr>
      </w:pPr>
      <w:r>
        <w:rPr>
          <w:rFonts w:hint="eastAsia" w:cs="宋体"/>
          <w:sz w:val="21"/>
          <w:szCs w:val="21"/>
        </w:rPr>
        <w:t>（2）本合同履行期间，承包人的</w:t>
      </w:r>
      <w:r>
        <w:rPr>
          <w:rFonts w:hint="eastAsia" w:cs="宋体"/>
          <w:snapToGrid w:val="0"/>
          <w:sz w:val="21"/>
          <w:szCs w:val="21"/>
        </w:rPr>
        <w:t>设计质量</w:t>
      </w:r>
      <w:r>
        <w:rPr>
          <w:rFonts w:hint="eastAsia" w:cs="宋体"/>
          <w:sz w:val="21"/>
          <w:szCs w:val="21"/>
        </w:rPr>
        <w:t>不符合合同约定或</w:t>
      </w:r>
      <w:r>
        <w:rPr>
          <w:rFonts w:hint="eastAsia" w:cs="宋体"/>
          <w:snapToGrid w:val="0"/>
          <w:sz w:val="21"/>
          <w:szCs w:val="21"/>
        </w:rPr>
        <w:t>设计成果</w:t>
      </w:r>
      <w:r>
        <w:rPr>
          <w:rFonts w:hint="eastAsia" w:cs="宋体"/>
          <w:sz w:val="21"/>
          <w:szCs w:val="21"/>
        </w:rPr>
        <w:t>文件出现遗漏、错误的，承包人应在发包人规定的限期内对</w:t>
      </w:r>
      <w:r>
        <w:rPr>
          <w:rFonts w:hint="eastAsia" w:cs="宋体"/>
          <w:snapToGrid w:val="0"/>
          <w:sz w:val="21"/>
          <w:szCs w:val="21"/>
        </w:rPr>
        <w:t>设计</w:t>
      </w:r>
      <w:r>
        <w:rPr>
          <w:rFonts w:hint="eastAsia" w:cs="宋体"/>
          <w:sz w:val="21"/>
          <w:szCs w:val="21"/>
        </w:rPr>
        <w:t>成果文件及时进行补充、修改、完善；因此造成</w:t>
      </w:r>
      <w:r>
        <w:rPr>
          <w:rFonts w:hint="eastAsia" w:cs="宋体"/>
          <w:snapToGrid w:val="0"/>
          <w:sz w:val="21"/>
          <w:szCs w:val="21"/>
        </w:rPr>
        <w:t>设计成果</w:t>
      </w:r>
      <w:r>
        <w:rPr>
          <w:rFonts w:hint="eastAsia" w:cs="宋体"/>
          <w:sz w:val="21"/>
          <w:szCs w:val="21"/>
        </w:rPr>
        <w:t>文件逾期交付的，按本合同条款第</w:t>
      </w:r>
      <w:r>
        <w:rPr>
          <w:rFonts w:hint="eastAsia" w:cs="宋体"/>
          <w:sz w:val="21"/>
          <w:szCs w:val="21"/>
          <w:lang w:val="en-US" w:eastAsia="zh-CN"/>
        </w:rPr>
        <w:t>19</w:t>
      </w:r>
      <w:r>
        <w:rPr>
          <w:rFonts w:hint="eastAsia" w:cs="宋体"/>
          <w:sz w:val="21"/>
          <w:szCs w:val="21"/>
        </w:rPr>
        <w:t>.6条第(1)项的约定处理。</w:t>
      </w:r>
    </w:p>
    <w:p w14:paraId="5FA1C0E6">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z w:val="21"/>
          <w:szCs w:val="21"/>
        </w:rPr>
        <w:t>（</w:t>
      </w:r>
      <w:r>
        <w:rPr>
          <w:rFonts w:hint="eastAsia" w:cs="宋体"/>
          <w:snapToGrid w:val="0"/>
          <w:sz w:val="21"/>
          <w:szCs w:val="21"/>
        </w:rPr>
        <w:t>3）承包人提交的设计成果文件如有违反国家相关强制性规定的，经政府有关部门确认，每发生1例，承担严重违约责任1次。</w:t>
      </w:r>
    </w:p>
    <w:p w14:paraId="023EB8E9">
      <w:pPr>
        <w:adjustRightInd w:val="0"/>
        <w:snapToGrid w:val="0"/>
        <w:spacing w:line="360" w:lineRule="auto"/>
        <w:ind w:firstLine="440" w:firstLineChars="200"/>
        <w:rPr>
          <w:rFonts w:hint="eastAsia" w:ascii="宋体" w:hAnsi="宋体" w:cs="宋体"/>
          <w:snapToGrid w:val="0"/>
          <w:szCs w:val="21"/>
        </w:rPr>
      </w:pPr>
      <w:r>
        <w:rPr>
          <w:rFonts w:hint="eastAsia" w:ascii="宋体" w:hAnsi="宋体" w:cs="宋体"/>
          <w:snapToGrid w:val="0"/>
          <w:szCs w:val="21"/>
        </w:rPr>
        <w:t>（4）如经过发包人或图纸审查单位或发包人委托的第三方对设计变更的审核，发现承包人违反合同约定对设计变更随意进行合并、分拆的，第一次时，承包人承担一般违约1次；第二次及以后，每违反一次，承包人承担严重违约责任1次。</w:t>
      </w:r>
    </w:p>
    <w:p w14:paraId="3906F5B4">
      <w:pPr>
        <w:adjustRightInd w:val="0"/>
        <w:snapToGrid w:val="0"/>
        <w:spacing w:line="360" w:lineRule="auto"/>
        <w:ind w:firstLine="440" w:firstLineChars="200"/>
        <w:rPr>
          <w:rFonts w:hint="eastAsia" w:ascii="宋体" w:hAnsi="宋体" w:cs="宋体"/>
          <w:snapToGrid w:val="0"/>
          <w:szCs w:val="21"/>
        </w:rPr>
      </w:pPr>
      <w:r>
        <w:rPr>
          <w:rFonts w:hint="eastAsia" w:ascii="宋体" w:hAnsi="宋体" w:cs="宋体"/>
          <w:snapToGrid w:val="0"/>
          <w:szCs w:val="21"/>
        </w:rPr>
        <w:t>（5）如</w:t>
      </w:r>
      <w:r>
        <w:rPr>
          <w:rFonts w:hint="eastAsia" w:ascii="宋体" w:hAnsi="宋体" w:cs="宋体"/>
          <w:snapToGrid w:val="0"/>
          <w:kern w:val="0"/>
          <w:szCs w:val="21"/>
        </w:rPr>
        <w:t>承包人的设计成果文件中含有明显倾向于某一专门厂商生产的设备、材料的描述，或</w:t>
      </w:r>
      <w:r>
        <w:rPr>
          <w:rFonts w:hint="eastAsia" w:ascii="宋体" w:hAnsi="宋体" w:cs="宋体"/>
          <w:snapToGrid w:val="0"/>
          <w:szCs w:val="21"/>
        </w:rPr>
        <w:t>在其设计成果文件中选用了具有专一性、排他性的材料、设备而又未事先向甲书面报告并详细说明理由的，每违反一次，承包人承担严重违约责任1次。</w:t>
      </w:r>
    </w:p>
    <w:p w14:paraId="419EA275">
      <w:pPr>
        <w:pStyle w:val="18"/>
        <w:adjustRightInd w:val="0"/>
        <w:snapToGrid w:val="0"/>
        <w:spacing w:before="0" w:beforeAutospacing="0" w:after="0" w:afterAutospacing="0" w:line="360" w:lineRule="auto"/>
        <w:ind w:firstLine="420" w:firstLineChars="200"/>
        <w:rPr>
          <w:rFonts w:hint="eastAsia" w:cs="宋体"/>
          <w:sz w:val="21"/>
          <w:szCs w:val="21"/>
        </w:rPr>
      </w:pPr>
      <w:r>
        <w:rPr>
          <w:rFonts w:hint="eastAsia" w:cs="宋体"/>
          <w:snapToGrid w:val="0"/>
          <w:sz w:val="21"/>
          <w:szCs w:val="21"/>
        </w:rPr>
        <w:t>（6）非发包人原因造成设计变更并引起工程费用增加的，承包人应负责修改设计，保证工程总投资在投资控制指标内；造成实际发生的建安工程费增加的，参照本合同条款第19.5条第(6)项约定的计算方法确定违约金；</w:t>
      </w:r>
      <w:r>
        <w:rPr>
          <w:rFonts w:hint="eastAsia" w:cs="宋体"/>
          <w:sz w:val="21"/>
          <w:szCs w:val="21"/>
        </w:rPr>
        <w:t>给发包人造成损失的，承包人应赔偿发包人的全部损失。</w:t>
      </w:r>
      <w:r>
        <w:rPr>
          <w:rFonts w:hint="eastAsia" w:cs="宋体"/>
          <w:snapToGrid w:val="0"/>
          <w:sz w:val="21"/>
          <w:szCs w:val="21"/>
        </w:rPr>
        <w:t>因施工原因造成的设计变更及因本合同所述的因新规范、新标准及新规定所引起的设计变更除外。</w:t>
      </w:r>
    </w:p>
    <w:p w14:paraId="3C304FD8">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（7）经发包人认可的本合同工程施工投标人或其委托的具有图纸审查能力的单位审查并经发包人或发包人委托的第三方确认，承包人的图纸设计成果文件中存在违反国家相关强制性规定的，参照本合同条款第</w:t>
      </w:r>
      <w:r>
        <w:rPr>
          <w:rFonts w:hint="eastAsia" w:cs="宋体"/>
          <w:bCs/>
          <w:snapToGrid w:val="0"/>
          <w:sz w:val="21"/>
          <w:szCs w:val="21"/>
        </w:rPr>
        <w:t>19.6款第（3）</w:t>
      </w:r>
      <w:r>
        <w:rPr>
          <w:rFonts w:hint="eastAsia" w:cs="宋体"/>
          <w:snapToGrid w:val="0"/>
          <w:sz w:val="21"/>
          <w:szCs w:val="21"/>
        </w:rPr>
        <w:t>条的相关约定执行。</w:t>
      </w:r>
    </w:p>
    <w:p w14:paraId="571F8F1E">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19.7</w:t>
      </w:r>
      <w:r>
        <w:rPr>
          <w:rFonts w:hint="eastAsia" w:cs="宋体"/>
          <w:snapToGrid w:val="0"/>
          <w:sz w:val="21"/>
          <w:szCs w:val="21"/>
        </w:rPr>
        <w:t>投资控制方面的违约责任：</w:t>
      </w:r>
    </w:p>
    <w:p w14:paraId="3A4C8285">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1）承包人未经发包人同意突破合同约定的投资控制要求的，承包人承担一次严重违约责任1次；承包人应负责修改设计，保证工程总投资控制在合同约定的投资控制要求内；如最终因此造成实际发生的建安工程费增加的，参照本合同条款第19.5条第(6)项约定的计算方法确定违约金；违约金不足以弥补发包人损失的，承包人应继续赔偿</w:t>
      </w:r>
      <w:r>
        <w:rPr>
          <w:rFonts w:hint="eastAsia" w:cs="宋体"/>
          <w:sz w:val="21"/>
          <w:szCs w:val="21"/>
        </w:rPr>
        <w:t>。</w:t>
      </w:r>
    </w:p>
    <w:p w14:paraId="1321EA31">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（2）如因</w:t>
      </w:r>
      <w:r>
        <w:rPr>
          <w:rFonts w:hint="eastAsia" w:cs="宋体"/>
          <w:bCs/>
          <w:snapToGrid w:val="0"/>
          <w:sz w:val="21"/>
          <w:szCs w:val="21"/>
        </w:rPr>
        <w:t>承包人提供的成果文件的缺陷及不完整、初步设计成果文件深度不够等原因导致无法满足投资控制的要求，承包人应及时完善、修改相关的设计成果文件；</w:t>
      </w:r>
      <w:r>
        <w:rPr>
          <w:rFonts w:hint="eastAsia" w:cs="宋体"/>
          <w:snapToGrid w:val="0"/>
          <w:sz w:val="21"/>
          <w:szCs w:val="21"/>
        </w:rPr>
        <w:t>造成实际发生的建安工程费增加的，参照本合同条款第19.5条第(6)项约定的计算方法确定违约金；</w:t>
      </w:r>
      <w:r>
        <w:rPr>
          <w:rFonts w:hint="eastAsia" w:cs="宋体"/>
          <w:sz w:val="21"/>
          <w:szCs w:val="21"/>
        </w:rPr>
        <w:t>给发包人造成损失的，承包人应赔偿发包人的全部损失。</w:t>
      </w:r>
    </w:p>
    <w:p w14:paraId="3D14B6F0">
      <w:pPr>
        <w:pStyle w:val="18"/>
        <w:adjustRightInd w:val="0"/>
        <w:snapToGrid w:val="0"/>
        <w:spacing w:before="0" w:beforeAutospacing="0" w:after="0" w:afterAutospacing="0" w:line="360" w:lineRule="auto"/>
        <w:ind w:firstLine="420" w:firstLineChars="200"/>
        <w:rPr>
          <w:rFonts w:hint="eastAsia" w:cs="宋体"/>
          <w:sz w:val="21"/>
          <w:szCs w:val="21"/>
        </w:rPr>
      </w:pPr>
      <w:r>
        <w:rPr>
          <w:rFonts w:hint="eastAsia" w:cs="宋体"/>
          <w:snapToGrid w:val="0"/>
          <w:sz w:val="21"/>
          <w:szCs w:val="21"/>
        </w:rPr>
        <w:t>（3）因承包人对设计变更随意进行合并、分拆导致</w:t>
      </w:r>
      <w:r>
        <w:rPr>
          <w:rFonts w:hint="eastAsia" w:cs="宋体"/>
          <w:sz w:val="21"/>
          <w:szCs w:val="21"/>
        </w:rPr>
        <w:t>本合同工程投资失控，</w:t>
      </w:r>
      <w:r>
        <w:rPr>
          <w:rFonts w:hint="eastAsia" w:cs="宋体"/>
          <w:snapToGrid w:val="0"/>
          <w:sz w:val="21"/>
          <w:szCs w:val="21"/>
        </w:rPr>
        <w:t>造成实际发生的建安工程费增加的，参照本合同条款第19.5条第（6）项约定的计算方法确定违约金；</w:t>
      </w:r>
      <w:r>
        <w:rPr>
          <w:rFonts w:hint="eastAsia" w:cs="宋体"/>
          <w:sz w:val="21"/>
          <w:szCs w:val="21"/>
        </w:rPr>
        <w:t>给发包人造成损失的，承包人应赔偿发包人的全部损失。</w:t>
      </w:r>
    </w:p>
    <w:p w14:paraId="717D214D">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19.8</w:t>
      </w:r>
      <w:r>
        <w:rPr>
          <w:rFonts w:hint="eastAsia" w:cs="宋体"/>
          <w:snapToGrid w:val="0"/>
          <w:sz w:val="21"/>
          <w:szCs w:val="21"/>
        </w:rPr>
        <w:t>设计分包、转包、违法分包方面的违约责任</w:t>
      </w:r>
    </w:p>
    <w:p w14:paraId="57F4CEDA">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（1）承包人转包本合同工程设计或者违反法律法规及本合同约定转包本合同工程设计的，发包人有权单方面部分解除合同或解除合同，并由承包人承担由此产生的一切责任及损失。</w:t>
      </w:r>
      <w:r>
        <w:rPr>
          <w:rFonts w:hint="eastAsia" w:ascii="宋体" w:hAnsi="宋体" w:cs="宋体"/>
          <w:snapToGrid w:val="0"/>
          <w:szCs w:val="21"/>
        </w:rPr>
        <w:t>承包人把本项目转包给其他单位或个人，或者承包人允许其他单位或个人以承包人的名义来承包本项目，承包人承担严重违约责任，并赔偿发包人的损失，</w:t>
      </w:r>
      <w:r>
        <w:rPr>
          <w:rFonts w:hint="eastAsia" w:ascii="宋体" w:hAnsi="宋体" w:cs="宋体"/>
          <w:bCs/>
          <w:snapToGrid w:val="0"/>
          <w:szCs w:val="21"/>
        </w:rPr>
        <w:t>发包人有权单方面部分解除合同或解除合同</w:t>
      </w:r>
      <w:r>
        <w:rPr>
          <w:rFonts w:hint="eastAsia" w:ascii="宋体" w:hAnsi="宋体" w:cs="宋体"/>
          <w:snapToGrid w:val="0"/>
          <w:szCs w:val="21"/>
        </w:rPr>
        <w:t>。本合同解除后，承包人已经完成的设计成果文件全部归发包人所有，发包人有权与其他设计人签订设计协议，其他设计人有权在承包人已经完成的设计成果文件的基础上继续设计，承包人不得有异议，并不得向发包人或者其他设计人索取任何报酬。</w:t>
      </w:r>
    </w:p>
    <w:p w14:paraId="540C3492">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（2）如承包人不具备承接任务所需要的专业技能和资质，应当自行完成本项目主体的设计业务，并在保证整个建筑工程项目完整性的前提下，经发包方同意，可将其他部分专业设计业务依法分包。</w:t>
      </w:r>
    </w:p>
    <w:p w14:paraId="1DEAF212">
      <w:pPr>
        <w:pStyle w:val="18"/>
        <w:adjustRightInd w:val="0"/>
        <w:snapToGrid w:val="0"/>
        <w:spacing w:before="0" w:beforeAutospacing="0" w:after="0" w:afterAutospacing="0" w:line="360" w:lineRule="auto"/>
        <w:ind w:firstLine="420" w:firstLineChars="200"/>
        <w:jc w:val="both"/>
        <w:rPr>
          <w:rFonts w:hint="eastAsia" w:cs="宋体"/>
          <w:snapToGrid w:val="0"/>
          <w:sz w:val="21"/>
          <w:szCs w:val="21"/>
        </w:rPr>
      </w:pPr>
      <w:r>
        <w:rPr>
          <w:rFonts w:hint="eastAsia" w:cs="宋体"/>
          <w:b/>
          <w:bCs/>
          <w:snapToGrid w:val="0"/>
          <w:sz w:val="21"/>
          <w:szCs w:val="21"/>
        </w:rPr>
        <w:t>（3）在不影响设计文件完整性的情况下，承包人因自行分包进行设计的，须事先征得发包人书面同意。若承包人未能按照发包人要求完成以上专业内容的设计工作，发包人有权自行将该部分的设计任务另行发包，非承包人设计部分的相应设计费用由发包人从承包人设计费用扣除，并处罚该部分设计费的20%违约金。</w:t>
      </w:r>
    </w:p>
    <w:p w14:paraId="6DE2A5E9">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19.9</w:t>
      </w:r>
      <w:r>
        <w:rPr>
          <w:rFonts w:hint="eastAsia" w:cs="宋体"/>
          <w:bCs/>
          <w:snapToGrid w:val="0"/>
          <w:sz w:val="21"/>
          <w:szCs w:val="21"/>
        </w:rPr>
        <w:t>除上述约定之外，承包人不履行或不完全履行合同其他义务的，均构成违约，应当承担一般违约责任1次。情节较重的，应当承担严重违约责任1次。</w:t>
      </w:r>
    </w:p>
    <w:p w14:paraId="09648FEB">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19.10</w:t>
      </w:r>
      <w:r>
        <w:rPr>
          <w:rFonts w:hint="eastAsia" w:cs="宋体"/>
          <w:snapToGrid w:val="0"/>
          <w:sz w:val="21"/>
          <w:szCs w:val="21"/>
        </w:rPr>
        <w:t>承包人违约责任的认定方式及送达程序：</w:t>
      </w:r>
    </w:p>
    <w:p w14:paraId="1363900B">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（1）认定方式：以发包人发出的通知、通报、会议纪要等书面文件确定的内容为准。</w:t>
      </w:r>
    </w:p>
    <w:p w14:paraId="128007EA">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（2）送达程序：发包人以下列方式之一将书面违约处理决定送达承包人：</w:t>
      </w:r>
    </w:p>
    <w:p w14:paraId="24951B3E">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1）承包人现场管理机构工作人员签收。</w:t>
      </w:r>
    </w:p>
    <w:p w14:paraId="76C72D5A">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2）承包人其他工作人员签收。</w:t>
      </w:r>
    </w:p>
    <w:p w14:paraId="09F8B22F">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snapToGrid w:val="0"/>
          <w:sz w:val="21"/>
          <w:szCs w:val="21"/>
        </w:rPr>
        <w:t>3）发包人邮寄送达。</w:t>
      </w:r>
    </w:p>
    <w:p w14:paraId="6C3F1A85">
      <w:pPr>
        <w:pStyle w:val="18"/>
        <w:adjustRightInd w:val="0"/>
        <w:snapToGrid w:val="0"/>
        <w:spacing w:before="0" w:beforeAutospacing="0" w:after="0" w:afterAutospacing="0" w:line="360" w:lineRule="auto"/>
        <w:ind w:firstLine="420" w:firstLineChars="200"/>
        <w:jc w:val="both"/>
        <w:rPr>
          <w:rFonts w:hint="eastAsia" w:cs="宋体"/>
          <w:snapToGrid w:val="0"/>
          <w:sz w:val="21"/>
          <w:szCs w:val="21"/>
        </w:rPr>
      </w:pPr>
      <w:r>
        <w:rPr>
          <w:rFonts w:hint="eastAsia" w:cs="宋体"/>
          <w:snapToGrid w:val="0"/>
          <w:sz w:val="21"/>
          <w:szCs w:val="21"/>
        </w:rPr>
        <w:t>（3）发包人以书面形式作出的违约处理决定一经送达承包人立即生效。承包人如有足够证据证明不应由其承担违约责任的，应在收到违约处理决定后3天内以书面形式向发包人提出异议并附上有关证据；发包人在收到承包人的异议后15天内审核完毕且作出书面决定并通知承包人。</w:t>
      </w:r>
    </w:p>
    <w:p w14:paraId="70AC7AFF">
      <w:pPr>
        <w:pStyle w:val="18"/>
        <w:adjustRightInd w:val="0"/>
        <w:snapToGrid w:val="0"/>
        <w:spacing w:before="0" w:beforeAutospacing="0" w:after="0" w:afterAutospacing="0" w:line="360" w:lineRule="auto"/>
        <w:ind w:firstLine="420" w:firstLineChars="200"/>
        <w:rPr>
          <w:rFonts w:hint="eastAsia" w:cs="宋体"/>
          <w:snapToGrid w:val="0"/>
          <w:sz w:val="21"/>
          <w:szCs w:val="21"/>
        </w:rPr>
      </w:pPr>
    </w:p>
    <w:p w14:paraId="7E43B00A">
      <w:pPr>
        <w:adjustRightInd w:val="0"/>
        <w:snapToGrid w:val="0"/>
        <w:spacing w:line="360" w:lineRule="auto"/>
        <w:jc w:val="center"/>
        <w:outlineLvl w:val="0"/>
        <w:rPr>
          <w:rFonts w:hint="eastAsia" w:ascii="宋体" w:hAnsi="宋体" w:cs="宋体"/>
          <w:b/>
          <w:snapToGrid w:val="0"/>
          <w:kern w:val="0"/>
          <w:sz w:val="28"/>
          <w:szCs w:val="28"/>
        </w:rPr>
      </w:pPr>
      <w:r>
        <w:rPr>
          <w:rFonts w:hint="eastAsia" w:ascii="宋体" w:hAnsi="宋体" w:cs="宋体"/>
          <w:b/>
          <w:snapToGrid w:val="0"/>
          <w:kern w:val="0"/>
          <w:sz w:val="28"/>
          <w:szCs w:val="28"/>
        </w:rPr>
        <w:t>第十二章  索赔</w:t>
      </w:r>
    </w:p>
    <w:p w14:paraId="1CB825E7">
      <w:pPr>
        <w:adjustRightInd w:val="0"/>
        <w:snapToGrid w:val="0"/>
        <w:spacing w:line="360" w:lineRule="auto"/>
        <w:ind w:firstLine="431" w:firstLineChars="196"/>
        <w:outlineLvl w:val="1"/>
        <w:rPr>
          <w:rFonts w:hint="eastAsia" w:ascii="宋体" w:hAnsi="宋体" w:cs="宋体"/>
          <w:b/>
          <w:snapToGrid w:val="0"/>
          <w:kern w:val="0"/>
          <w:szCs w:val="21"/>
        </w:rPr>
      </w:pPr>
      <w:r>
        <w:rPr>
          <w:rFonts w:hint="eastAsia" w:ascii="宋体" w:hAnsi="宋体" w:cs="宋体"/>
          <w:b/>
          <w:snapToGrid w:val="0"/>
          <w:kern w:val="0"/>
          <w:szCs w:val="21"/>
        </w:rPr>
        <w:t>20.索赔</w:t>
      </w:r>
    </w:p>
    <w:p w14:paraId="2B33DD7C">
      <w:pPr>
        <w:adjustRightInd w:val="0"/>
        <w:snapToGrid w:val="0"/>
        <w:spacing w:line="360" w:lineRule="auto"/>
        <w:ind w:firstLine="431" w:firstLineChars="196"/>
        <w:rPr>
          <w:rFonts w:hint="eastAsia" w:ascii="宋体" w:hAnsi="宋体" w:cs="宋体"/>
          <w:snapToGrid w:val="0"/>
          <w:kern w:val="0"/>
          <w:szCs w:val="21"/>
        </w:rPr>
      </w:pPr>
      <w:r>
        <w:rPr>
          <w:rFonts w:hint="eastAsia" w:ascii="宋体" w:hAnsi="宋体" w:cs="宋体"/>
          <w:snapToGrid w:val="0"/>
          <w:kern w:val="0"/>
          <w:szCs w:val="21"/>
          <w:lang w:val="zh-CN"/>
        </w:rPr>
        <w:t>承包人未能按合同约定履行自己的各项义务或发生错误，发包人按</w:t>
      </w:r>
      <w:r>
        <w:rPr>
          <w:rFonts w:hint="eastAsia" w:ascii="宋体" w:hAnsi="宋体" w:cs="宋体"/>
          <w:snapToGrid w:val="0"/>
          <w:kern w:val="0"/>
          <w:szCs w:val="21"/>
        </w:rPr>
        <w:t>如下约定向承包人索赔：</w:t>
      </w:r>
    </w:p>
    <w:p w14:paraId="17A7B571">
      <w:pPr>
        <w:adjustRightInd w:val="0"/>
        <w:snapToGrid w:val="0"/>
        <w:spacing w:line="360" w:lineRule="auto"/>
        <w:ind w:firstLine="422" w:firstLineChars="192"/>
        <w:rPr>
          <w:rFonts w:hint="eastAsia" w:ascii="宋体" w:hAnsi="宋体" w:cs="宋体"/>
          <w:snapToGrid w:val="0"/>
          <w:kern w:val="0"/>
          <w:szCs w:val="21"/>
        </w:rPr>
      </w:pPr>
      <w:r>
        <w:rPr>
          <w:rFonts w:hint="eastAsia" w:ascii="宋体" w:hAnsi="宋体" w:cs="宋体"/>
          <w:snapToGrid w:val="0"/>
          <w:kern w:val="0"/>
          <w:szCs w:val="21"/>
        </w:rPr>
        <w:t>（1）发包人将自己的索赔意向书面通知承包人，并要求承包人在限期内纠正自己的违约行为，否则，发包人将考虑启用履约保函。</w:t>
      </w:r>
    </w:p>
    <w:p w14:paraId="2B414CF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（2）限期届满</w:t>
      </w:r>
      <w:r>
        <w:rPr>
          <w:rFonts w:hint="eastAsia" w:ascii="宋体" w:hAnsi="宋体" w:cs="宋体"/>
          <w:snapToGrid w:val="0"/>
          <w:color w:val="0000FF"/>
          <w:kern w:val="0"/>
          <w:szCs w:val="21"/>
        </w:rPr>
        <w:t>，承包人没有采取纠正行为或者纠正行为不能使发包人满意的，发包人将索赔意向书面通知保函出函银行。</w:t>
      </w:r>
    </w:p>
    <w:p w14:paraId="0E24020E">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（3）发包人向银行发出书面索赔意向七天内，承包人依然没有用实际行动纠正自己的违约行为或者纠正行为不能使发包人满意或者纠正行为无法弥补发包人的损失，则发包人直接向银行发出正式书面索赔通知。</w:t>
      </w:r>
    </w:p>
    <w:p w14:paraId="01945656">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（4）如果通过向银行索赔的方式依然不能完全弥补发包人的损失，则发包人有权在应支付给承包人的设计费中直接扣取。</w:t>
      </w:r>
      <w:r>
        <w:rPr>
          <w:rFonts w:hint="eastAsia" w:ascii="宋体" w:hAnsi="宋体" w:cs="宋体"/>
          <w:snapToGrid w:val="0"/>
          <w:color w:val="0000FF"/>
          <w:kern w:val="0"/>
          <w:szCs w:val="21"/>
        </w:rPr>
        <w:t>同时发包人有权要求承包人在规定时间内向发包人补充提交履约保函。</w:t>
      </w:r>
    </w:p>
    <w:p w14:paraId="6382A689">
      <w:pPr>
        <w:adjustRightInd w:val="0"/>
        <w:snapToGrid w:val="0"/>
        <w:spacing w:line="360" w:lineRule="auto"/>
        <w:ind w:firstLine="440" w:firstLineChars="200"/>
        <w:rPr>
          <w:rFonts w:hint="eastAsia" w:ascii="宋体" w:hAnsi="宋体" w:cs="宋体"/>
          <w:snapToGrid w:val="0"/>
          <w:kern w:val="0"/>
          <w:szCs w:val="21"/>
        </w:rPr>
      </w:pPr>
      <w:r>
        <w:rPr>
          <w:rFonts w:hint="eastAsia" w:ascii="宋体" w:hAnsi="宋体" w:cs="宋体"/>
          <w:snapToGrid w:val="0"/>
          <w:kern w:val="0"/>
          <w:szCs w:val="21"/>
        </w:rPr>
        <w:t>（5）如果通过向银行索赔以及直接扣取设计费等方式依然不能完全弥补发包人损失的，承包人必须在发包人规定的时间内以现金形式支付剩余索赔额。</w:t>
      </w:r>
    </w:p>
    <w:p w14:paraId="40F6168B">
      <w:pPr>
        <w:adjustRightInd w:val="0"/>
        <w:snapToGrid w:val="0"/>
        <w:spacing w:line="360" w:lineRule="auto"/>
        <w:ind w:firstLine="431" w:firstLineChars="196"/>
        <w:outlineLvl w:val="1"/>
        <w:rPr>
          <w:rFonts w:hint="eastAsia" w:ascii="宋体" w:hAnsi="宋体" w:cs="宋体"/>
          <w:b/>
          <w:snapToGrid w:val="0"/>
          <w:kern w:val="0"/>
          <w:szCs w:val="21"/>
        </w:rPr>
      </w:pPr>
      <w:r>
        <w:rPr>
          <w:rFonts w:hint="eastAsia" w:ascii="宋体" w:hAnsi="宋体" w:cs="宋体"/>
          <w:b/>
          <w:snapToGrid w:val="0"/>
          <w:kern w:val="0"/>
          <w:szCs w:val="21"/>
        </w:rPr>
        <w:t>21.</w:t>
      </w:r>
      <w:r>
        <w:rPr>
          <w:rFonts w:hint="eastAsia" w:ascii="宋体" w:hAnsi="宋体" w:cs="宋体"/>
          <w:snapToGrid w:val="0"/>
          <w:kern w:val="0"/>
          <w:szCs w:val="21"/>
        </w:rPr>
        <w:t>在任何索赔期间，不论索赔是否有据，均不能免除承包人按合同约定应履行的合同义务。承包人不得以此为借口，拒不履行或拖延合同的履行，否则发包人有权终止合同并要求承包人赔偿由此而给发包人造成的全部损失。</w:t>
      </w:r>
    </w:p>
    <w:p w14:paraId="679CEDD3">
      <w:pPr>
        <w:adjustRightInd w:val="0"/>
        <w:snapToGrid w:val="0"/>
        <w:spacing w:line="360" w:lineRule="auto"/>
        <w:ind w:firstLine="440" w:firstLineChars="200"/>
        <w:rPr>
          <w:rFonts w:hint="eastAsia" w:ascii="宋体" w:hAnsi="宋体" w:cs="宋体"/>
          <w:snapToGrid w:val="0"/>
          <w:kern w:val="0"/>
          <w:szCs w:val="21"/>
        </w:rPr>
      </w:pPr>
    </w:p>
    <w:p w14:paraId="1F0CD75E">
      <w:pPr>
        <w:adjustRightInd w:val="0"/>
        <w:snapToGrid w:val="0"/>
        <w:spacing w:line="360" w:lineRule="auto"/>
        <w:jc w:val="center"/>
        <w:outlineLvl w:val="0"/>
        <w:rPr>
          <w:rFonts w:hint="eastAsia" w:ascii="宋体" w:hAnsi="宋体" w:cs="宋体"/>
          <w:b/>
          <w:snapToGrid w:val="0"/>
          <w:kern w:val="0"/>
          <w:sz w:val="28"/>
          <w:szCs w:val="28"/>
        </w:rPr>
      </w:pPr>
      <w:r>
        <w:rPr>
          <w:rFonts w:hint="eastAsia" w:ascii="宋体" w:hAnsi="宋体" w:cs="宋体"/>
          <w:b/>
          <w:snapToGrid w:val="0"/>
          <w:kern w:val="0"/>
          <w:sz w:val="28"/>
          <w:szCs w:val="28"/>
        </w:rPr>
        <w:t>第十三章  税  费</w:t>
      </w:r>
    </w:p>
    <w:p w14:paraId="5EF7F6DD">
      <w:pPr>
        <w:adjustRightInd w:val="0"/>
        <w:snapToGrid w:val="0"/>
        <w:spacing w:line="360" w:lineRule="auto"/>
        <w:ind w:firstLine="431" w:firstLineChars="196"/>
        <w:outlineLvl w:val="1"/>
        <w:rPr>
          <w:rFonts w:hint="eastAsia" w:ascii="宋体" w:hAnsi="宋体" w:cs="宋体"/>
          <w:b/>
          <w:bCs/>
          <w:snapToGrid w:val="0"/>
          <w:kern w:val="0"/>
          <w:szCs w:val="21"/>
        </w:rPr>
      </w:pPr>
      <w:r>
        <w:rPr>
          <w:rFonts w:hint="eastAsia" w:ascii="宋体" w:hAnsi="宋体" w:cs="宋体"/>
          <w:b/>
          <w:bCs/>
          <w:snapToGrid w:val="0"/>
          <w:kern w:val="0"/>
          <w:szCs w:val="21"/>
        </w:rPr>
        <w:t>22.税费</w:t>
      </w:r>
    </w:p>
    <w:p w14:paraId="17E2B4A7">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22.1</w:t>
      </w:r>
      <w:r>
        <w:rPr>
          <w:rFonts w:hint="eastAsia" w:ascii="宋体" w:hAnsi="宋体" w:cs="宋体"/>
          <w:snapToGrid w:val="0"/>
          <w:kern w:val="0"/>
          <w:szCs w:val="21"/>
        </w:rPr>
        <w:t>承包人及其雇员因履行本合同而在中国境内取得的一切收入，必须依照中国税法纳税，税金全部由承包人及其雇员承担。</w:t>
      </w:r>
    </w:p>
    <w:p w14:paraId="1804B179">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22.2</w:t>
      </w:r>
      <w:r>
        <w:rPr>
          <w:rFonts w:hint="eastAsia" w:ascii="宋体" w:hAnsi="宋体" w:cs="宋体"/>
          <w:snapToGrid w:val="0"/>
          <w:kern w:val="0"/>
          <w:szCs w:val="21"/>
        </w:rPr>
        <w:t>承包人因履行本合同而在中国境内取得收入，依据中国、广东省、广州市及南沙区有关法律、法规和行政规章必须缴纳的费用，全部由承包人承担。</w:t>
      </w:r>
    </w:p>
    <w:p w14:paraId="00667EF4">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22.3</w:t>
      </w:r>
      <w:r>
        <w:rPr>
          <w:rFonts w:hint="eastAsia" w:ascii="宋体" w:hAnsi="宋体" w:cs="宋体"/>
          <w:snapToGrid w:val="0"/>
          <w:kern w:val="0"/>
          <w:szCs w:val="21"/>
        </w:rPr>
        <w:t>凡因履行本合同而发生在中国以外的一切税费，全部由承包人承担。</w:t>
      </w:r>
    </w:p>
    <w:p w14:paraId="2386CD89">
      <w:pPr>
        <w:adjustRightInd w:val="0"/>
        <w:snapToGrid w:val="0"/>
        <w:spacing w:line="360" w:lineRule="auto"/>
        <w:ind w:firstLine="422" w:firstLineChars="192"/>
        <w:rPr>
          <w:rFonts w:hint="eastAsia" w:ascii="宋体" w:hAnsi="宋体" w:cs="宋体"/>
          <w:snapToGrid w:val="0"/>
          <w:kern w:val="0"/>
          <w:szCs w:val="21"/>
        </w:rPr>
      </w:pPr>
    </w:p>
    <w:p w14:paraId="0A94BA13">
      <w:pPr>
        <w:adjustRightInd w:val="0"/>
        <w:snapToGrid w:val="0"/>
        <w:spacing w:line="360" w:lineRule="auto"/>
        <w:jc w:val="center"/>
        <w:outlineLvl w:val="0"/>
        <w:rPr>
          <w:rFonts w:hint="eastAsia" w:ascii="宋体" w:hAnsi="宋体" w:cs="宋体"/>
          <w:b/>
          <w:snapToGrid w:val="0"/>
          <w:kern w:val="0"/>
          <w:sz w:val="28"/>
          <w:szCs w:val="28"/>
        </w:rPr>
      </w:pPr>
      <w:r>
        <w:rPr>
          <w:rFonts w:hint="eastAsia" w:ascii="宋体" w:hAnsi="宋体" w:cs="宋体"/>
          <w:b/>
          <w:snapToGrid w:val="0"/>
          <w:kern w:val="0"/>
          <w:sz w:val="28"/>
          <w:szCs w:val="28"/>
        </w:rPr>
        <w:t>第十四章  法律适用及仲裁</w:t>
      </w:r>
    </w:p>
    <w:p w14:paraId="423F992F">
      <w:pPr>
        <w:adjustRightInd w:val="0"/>
        <w:snapToGrid w:val="0"/>
        <w:spacing w:line="360" w:lineRule="auto"/>
        <w:ind w:firstLine="431" w:firstLineChars="196"/>
        <w:outlineLvl w:val="1"/>
        <w:rPr>
          <w:rFonts w:hint="eastAsia" w:ascii="宋体" w:hAnsi="宋体" w:cs="宋体"/>
          <w:b/>
          <w:bCs/>
          <w:snapToGrid w:val="0"/>
          <w:kern w:val="0"/>
          <w:szCs w:val="21"/>
        </w:rPr>
      </w:pPr>
      <w:r>
        <w:rPr>
          <w:rFonts w:hint="eastAsia" w:ascii="宋体" w:hAnsi="宋体" w:cs="宋体"/>
          <w:b/>
          <w:bCs/>
          <w:snapToGrid w:val="0"/>
          <w:kern w:val="0"/>
          <w:szCs w:val="21"/>
        </w:rPr>
        <w:t>23.法律适用及仲裁</w:t>
      </w:r>
    </w:p>
    <w:p w14:paraId="608B6B3F">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23.1</w:t>
      </w:r>
      <w:r>
        <w:rPr>
          <w:rFonts w:hint="eastAsia" w:ascii="宋体" w:hAnsi="宋体" w:cs="宋体"/>
          <w:snapToGrid w:val="0"/>
          <w:kern w:val="0"/>
          <w:szCs w:val="21"/>
        </w:rPr>
        <w:t>本合同的订立、效力、解释、履行和争议等的解决均受中华人民共和国法律的管辖。</w:t>
      </w:r>
    </w:p>
    <w:p w14:paraId="21C65E5D">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23.2</w:t>
      </w:r>
      <w:r>
        <w:rPr>
          <w:rFonts w:hint="eastAsia" w:ascii="宋体" w:hAnsi="宋体" w:cs="宋体"/>
          <w:snapToGrid w:val="0"/>
          <w:kern w:val="0"/>
          <w:szCs w:val="21"/>
        </w:rPr>
        <w:t>凡因履行本合同而引起的一切争议或与本合同有关的争议，应由各方通过友好协商解决。协商不成时，任何一方均有权向本合同项下工程所在地人民法院提起诉讼。</w:t>
      </w:r>
    </w:p>
    <w:p w14:paraId="742541DD">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23.3</w:t>
      </w:r>
      <w:r>
        <w:rPr>
          <w:rFonts w:hint="eastAsia" w:ascii="宋体" w:hAnsi="宋体" w:cs="宋体"/>
          <w:snapToGrid w:val="0"/>
          <w:kern w:val="0"/>
          <w:szCs w:val="21"/>
        </w:rPr>
        <w:t>在仲裁过程中，除提交仲裁的部分之外，各方均应继续履行合同的其他条款。对于发包人依据本合同条款第</w:t>
      </w:r>
      <w:r>
        <w:rPr>
          <w:rFonts w:hint="eastAsia" w:ascii="宋体" w:hAnsi="宋体" w:cs="宋体"/>
          <w:snapToGrid w:val="0"/>
          <w:kern w:val="0"/>
          <w:szCs w:val="21"/>
          <w:lang w:val="en-US" w:eastAsia="zh-CN"/>
        </w:rPr>
        <w:t>19</w:t>
      </w:r>
      <w:r>
        <w:rPr>
          <w:rFonts w:hint="eastAsia" w:ascii="宋体" w:hAnsi="宋体" w:cs="宋体"/>
          <w:snapToGrid w:val="0"/>
          <w:kern w:val="0"/>
          <w:szCs w:val="21"/>
        </w:rPr>
        <w:t>条的有关约定单方面解除合同的，承包人应及时移交资料和退场，同时不得妨碍发包人另行委托其他单位实施本合同工程的设计工作。</w:t>
      </w:r>
    </w:p>
    <w:p w14:paraId="3C150D76">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23.4</w:t>
      </w:r>
      <w:r>
        <w:rPr>
          <w:rFonts w:hint="eastAsia" w:ascii="宋体" w:hAnsi="宋体" w:cs="宋体"/>
          <w:snapToGrid w:val="0"/>
          <w:kern w:val="0"/>
          <w:szCs w:val="21"/>
        </w:rPr>
        <w:t>如人民法院作出的生效判决认定发包人存在过错故意不向结算审核单位提交评审材料导致承包人无法结算的，承包人有权向发包人主张利息，利息计算约定如下：按照各方均认可工程价款或者各方认可的鉴定机构鉴定价款为本金、不超过合同订立时全国银行间同业拆借中心发布的一年期贷款市场报价利率，从生效判决书确定发包人须承担责任之日起计算逾期付款利息。除此以外，承包人不得向发包人主张违约金或者利息。</w:t>
      </w:r>
    </w:p>
    <w:p w14:paraId="713DDD1E">
      <w:pPr>
        <w:adjustRightInd w:val="0"/>
        <w:snapToGrid w:val="0"/>
        <w:spacing w:line="360" w:lineRule="auto"/>
        <w:ind w:firstLine="422" w:firstLineChars="192"/>
        <w:rPr>
          <w:rFonts w:hint="eastAsia" w:ascii="宋体" w:hAnsi="宋体" w:cs="宋体"/>
          <w:snapToGrid w:val="0"/>
          <w:kern w:val="0"/>
          <w:szCs w:val="21"/>
        </w:rPr>
      </w:pPr>
    </w:p>
    <w:p w14:paraId="03B34C66">
      <w:pPr>
        <w:adjustRightInd w:val="0"/>
        <w:snapToGrid w:val="0"/>
        <w:spacing w:line="360" w:lineRule="auto"/>
        <w:jc w:val="center"/>
        <w:outlineLvl w:val="0"/>
        <w:rPr>
          <w:rFonts w:hint="eastAsia" w:ascii="宋体" w:hAnsi="宋体" w:cs="宋体"/>
          <w:b/>
          <w:snapToGrid w:val="0"/>
          <w:kern w:val="0"/>
          <w:sz w:val="28"/>
          <w:szCs w:val="28"/>
        </w:rPr>
      </w:pPr>
      <w:r>
        <w:rPr>
          <w:rFonts w:hint="eastAsia" w:ascii="宋体" w:hAnsi="宋体" w:cs="宋体"/>
          <w:b/>
          <w:snapToGrid w:val="0"/>
          <w:kern w:val="0"/>
          <w:sz w:val="28"/>
          <w:szCs w:val="28"/>
        </w:rPr>
        <w:t>第十五章  保密、知识产权与专利技术</w:t>
      </w:r>
    </w:p>
    <w:p w14:paraId="53A4E18A">
      <w:pPr>
        <w:adjustRightInd w:val="0"/>
        <w:snapToGrid w:val="0"/>
        <w:spacing w:line="360" w:lineRule="auto"/>
        <w:ind w:firstLine="431" w:firstLineChars="196"/>
        <w:outlineLvl w:val="1"/>
        <w:rPr>
          <w:rFonts w:hint="eastAsia" w:ascii="宋体" w:hAnsi="宋体" w:cs="宋体"/>
          <w:b/>
          <w:bCs/>
          <w:snapToGrid w:val="0"/>
          <w:kern w:val="0"/>
          <w:szCs w:val="21"/>
        </w:rPr>
      </w:pPr>
      <w:r>
        <w:rPr>
          <w:rFonts w:hint="eastAsia" w:ascii="宋体" w:hAnsi="宋体" w:cs="宋体"/>
          <w:b/>
          <w:bCs/>
          <w:snapToGrid w:val="0"/>
          <w:kern w:val="0"/>
          <w:szCs w:val="21"/>
        </w:rPr>
        <w:t>24.保密、知识产权与专利技术</w:t>
      </w:r>
    </w:p>
    <w:p w14:paraId="61495DF3">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24.1</w:t>
      </w:r>
      <w:r>
        <w:rPr>
          <w:rFonts w:hint="eastAsia" w:ascii="宋体" w:hAnsi="宋体" w:cs="宋体"/>
          <w:snapToGrid w:val="0"/>
          <w:kern w:val="0"/>
          <w:szCs w:val="21"/>
        </w:rPr>
        <w:t>各方均应保护对方的知识产权，未经对方同意，任何一方都不得对对方的资料及文件擅自修改、复制或向他人转让。如发生以上情况，泄密方应承担由此引起的一切后果并承担赔偿责任。</w:t>
      </w:r>
    </w:p>
    <w:p w14:paraId="5F5919FF">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24.2</w:t>
      </w:r>
      <w:r>
        <w:rPr>
          <w:rFonts w:hint="eastAsia" w:ascii="宋体" w:hAnsi="宋体" w:cs="宋体"/>
          <w:snapToGrid w:val="0"/>
          <w:kern w:val="0"/>
          <w:szCs w:val="21"/>
        </w:rPr>
        <w:t>发包人向承包人支付各阶段设计费后，承包人向发包人提供的相应图纸、资料的著作权（包括但不限于发表权、展览权、使用权等）归发包人所有。承包人承诺自本合同签订之日起，为本合同工程所做的全部工作的成果，包括方案设计、初步设计及其他设计文件、资料等不再用于其他任何项目的设计，否则发包人有权向承包人追究相关责任。</w:t>
      </w:r>
    </w:p>
    <w:p w14:paraId="081B3ED1">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24.3</w:t>
      </w:r>
      <w:r>
        <w:rPr>
          <w:rFonts w:hint="eastAsia" w:ascii="宋体" w:hAnsi="宋体" w:cs="宋体"/>
          <w:snapToGrid w:val="0"/>
          <w:kern w:val="0"/>
          <w:szCs w:val="21"/>
        </w:rPr>
        <w:t>承包人保证本合同工程的设计文件、资料等均未侵犯第三方的知识产权及其他权利，否则必须承担由此而引起的全部法律责任。</w:t>
      </w:r>
    </w:p>
    <w:p w14:paraId="534E0D8F">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24.4</w:t>
      </w:r>
      <w:r>
        <w:rPr>
          <w:rFonts w:hint="eastAsia" w:ascii="宋体" w:hAnsi="宋体" w:cs="宋体"/>
          <w:snapToGrid w:val="0"/>
          <w:kern w:val="0"/>
          <w:szCs w:val="21"/>
        </w:rPr>
        <w:t>发包人拥有承包人为本合同工程设计且按本合同要求所提交的全部设计文件、资料等的完全使用权，并在本合同执行完毕后继续拥有合法使用以上设计文件、资料等的权利（包括但不限于用作本项目宣传及工程建设学术研究交流之用等）。</w:t>
      </w:r>
    </w:p>
    <w:p w14:paraId="7237FBD7">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24.5</w:t>
      </w:r>
      <w:r>
        <w:rPr>
          <w:rFonts w:hint="eastAsia" w:ascii="宋体" w:hAnsi="宋体" w:cs="宋体"/>
          <w:snapToGrid w:val="0"/>
          <w:kern w:val="0"/>
          <w:szCs w:val="21"/>
        </w:rPr>
        <w:t>如工程需要使用专利技术，应先征得发包人的书面认可。发包人负责办理相应的法律手续，因此而涉及的申报、试验、使用等费用列入工程建设其他费用。</w:t>
      </w:r>
    </w:p>
    <w:p w14:paraId="6F8B37C1">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24.6</w:t>
      </w:r>
      <w:r>
        <w:rPr>
          <w:rFonts w:hint="eastAsia" w:ascii="宋体" w:hAnsi="宋体" w:cs="宋体"/>
          <w:snapToGrid w:val="0"/>
          <w:kern w:val="0"/>
          <w:szCs w:val="21"/>
        </w:rPr>
        <w:t>擅自使用专利技术侵犯他人专利权的，由责任方依法承担有关责任。</w:t>
      </w:r>
    </w:p>
    <w:p w14:paraId="52330CFC">
      <w:pPr>
        <w:adjustRightInd w:val="0"/>
        <w:snapToGrid w:val="0"/>
        <w:spacing w:line="360" w:lineRule="auto"/>
        <w:ind w:firstLine="422" w:firstLineChars="192"/>
        <w:rPr>
          <w:rFonts w:hint="eastAsia" w:ascii="宋体" w:hAnsi="宋体" w:cs="宋体"/>
          <w:snapToGrid w:val="0"/>
          <w:kern w:val="0"/>
          <w:szCs w:val="21"/>
        </w:rPr>
      </w:pPr>
    </w:p>
    <w:p w14:paraId="0B646E73">
      <w:pPr>
        <w:adjustRightInd w:val="0"/>
        <w:snapToGrid w:val="0"/>
        <w:spacing w:line="360" w:lineRule="auto"/>
        <w:jc w:val="center"/>
        <w:outlineLvl w:val="0"/>
        <w:rPr>
          <w:rFonts w:hint="eastAsia" w:ascii="宋体" w:hAnsi="宋体" w:cs="宋体"/>
          <w:b/>
          <w:snapToGrid w:val="0"/>
          <w:kern w:val="0"/>
          <w:sz w:val="28"/>
          <w:szCs w:val="28"/>
        </w:rPr>
      </w:pPr>
      <w:r>
        <w:rPr>
          <w:rFonts w:hint="eastAsia" w:ascii="宋体" w:hAnsi="宋体" w:cs="宋体"/>
          <w:b/>
          <w:snapToGrid w:val="0"/>
          <w:kern w:val="0"/>
          <w:sz w:val="28"/>
          <w:szCs w:val="28"/>
        </w:rPr>
        <w:t>第十六章  不可抗力</w:t>
      </w:r>
    </w:p>
    <w:p w14:paraId="218B634A">
      <w:pPr>
        <w:adjustRightInd w:val="0"/>
        <w:snapToGrid w:val="0"/>
        <w:spacing w:line="360" w:lineRule="auto"/>
        <w:ind w:firstLine="431" w:firstLineChars="196"/>
        <w:outlineLvl w:val="1"/>
        <w:rPr>
          <w:rFonts w:hint="eastAsia" w:ascii="宋体" w:hAnsi="宋体" w:cs="宋体"/>
          <w:b/>
          <w:bCs/>
          <w:snapToGrid w:val="0"/>
          <w:kern w:val="0"/>
          <w:szCs w:val="21"/>
        </w:rPr>
      </w:pPr>
      <w:r>
        <w:rPr>
          <w:rFonts w:hint="eastAsia" w:ascii="宋体" w:hAnsi="宋体" w:cs="宋体"/>
          <w:b/>
          <w:bCs/>
          <w:snapToGrid w:val="0"/>
          <w:kern w:val="0"/>
          <w:szCs w:val="21"/>
        </w:rPr>
        <w:t>25.不可抗力</w:t>
      </w:r>
    </w:p>
    <w:p w14:paraId="53848C87">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25.1</w:t>
      </w:r>
      <w:r>
        <w:rPr>
          <w:rFonts w:hint="eastAsia" w:ascii="宋体" w:hAnsi="宋体" w:cs="宋体"/>
          <w:snapToGrid w:val="0"/>
          <w:kern w:val="0"/>
          <w:szCs w:val="21"/>
        </w:rPr>
        <w:t>不可抗力，是指不能预见、不能避免并不能克服、对本合同的设计或服务工作造成实质性影响的自然灾害和战争、动乱（不包括承包人内部的任何纠纷和纷争）等社会事件。</w:t>
      </w:r>
    </w:p>
    <w:p w14:paraId="78764FA4">
      <w:pPr>
        <w:adjustRightInd w:val="0"/>
        <w:snapToGrid w:val="0"/>
        <w:spacing w:line="360" w:lineRule="auto"/>
        <w:ind w:firstLine="423" w:firstLineChars="192"/>
        <w:rPr>
          <w:rFonts w:hint="eastAsia" w:ascii="宋体" w:hAnsi="宋体" w:cs="宋体"/>
          <w:bCs/>
          <w:snapToGrid w:val="0"/>
          <w:kern w:val="0"/>
          <w:szCs w:val="21"/>
        </w:rPr>
      </w:pPr>
      <w:r>
        <w:rPr>
          <w:rFonts w:hint="eastAsia" w:ascii="宋体" w:hAnsi="宋体" w:cs="宋体"/>
          <w:b/>
          <w:snapToGrid w:val="0"/>
          <w:kern w:val="0"/>
          <w:szCs w:val="21"/>
        </w:rPr>
        <w:t>25.2</w:t>
      </w:r>
      <w:r>
        <w:rPr>
          <w:rFonts w:hint="eastAsia" w:ascii="宋体" w:hAnsi="宋体" w:cs="宋体"/>
          <w:bCs/>
          <w:snapToGrid w:val="0"/>
          <w:kern w:val="0"/>
          <w:szCs w:val="21"/>
        </w:rPr>
        <w:t>自然灾害的范围及其认定方式，按如下约定执行：</w:t>
      </w:r>
    </w:p>
    <w:p w14:paraId="48FD0274">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（1）异常天气：仅指50年（含50年）一遇以上的洪水或10级（含10级）以上的台风。</w:t>
      </w:r>
      <w:r>
        <w:rPr>
          <w:rFonts w:hint="eastAsia" w:ascii="宋体" w:hAnsi="宋体" w:cs="宋体"/>
          <w:b/>
          <w:bCs/>
          <w:snapToGrid w:val="0"/>
          <w:kern w:val="0"/>
          <w:szCs w:val="21"/>
        </w:rPr>
        <w:t>因异常天气袭击为确保安全而停工的，承包人应于台风、洪水天气结束之日起七日内，</w:t>
      </w:r>
      <w:r>
        <w:rPr>
          <w:rFonts w:hint="eastAsia" w:ascii="宋体" w:hAnsi="宋体" w:cs="宋体"/>
          <w:bCs/>
          <w:snapToGrid w:val="0"/>
          <w:kern w:val="0"/>
          <w:szCs w:val="21"/>
        </w:rPr>
        <w:t>向当地气象部门索取工程所在地台风、暴雨天气资料或报告（含气象实况及对此分析的内容），连同</w:t>
      </w:r>
      <w:r>
        <w:rPr>
          <w:rFonts w:hint="eastAsia" w:ascii="宋体" w:hAnsi="宋体" w:cs="宋体"/>
          <w:snapToGrid w:val="0"/>
          <w:kern w:val="0"/>
          <w:szCs w:val="21"/>
        </w:rPr>
        <w:t>工作</w:t>
      </w:r>
      <w:r>
        <w:rPr>
          <w:rFonts w:hint="eastAsia" w:ascii="宋体" w:hAnsi="宋体" w:cs="宋体"/>
          <w:bCs/>
          <w:snapToGrid w:val="0"/>
          <w:kern w:val="0"/>
          <w:szCs w:val="21"/>
        </w:rPr>
        <w:t>日志、现场照片办理证据保全公证，方可认定为是不可抗力。</w:t>
      </w:r>
    </w:p>
    <w:p w14:paraId="3086F175">
      <w:pPr>
        <w:adjustRightInd w:val="0"/>
        <w:snapToGrid w:val="0"/>
        <w:spacing w:line="360" w:lineRule="auto"/>
        <w:ind w:firstLine="422" w:firstLineChars="192"/>
        <w:rPr>
          <w:rFonts w:hint="eastAsia" w:ascii="宋体" w:hAnsi="宋体" w:cs="宋体"/>
          <w:bCs/>
          <w:snapToGrid w:val="0"/>
          <w:kern w:val="0"/>
          <w:szCs w:val="21"/>
        </w:rPr>
      </w:pPr>
      <w:r>
        <w:rPr>
          <w:rFonts w:hint="eastAsia" w:ascii="宋体" w:hAnsi="宋体" w:cs="宋体"/>
          <w:bCs/>
          <w:snapToGrid w:val="0"/>
          <w:kern w:val="0"/>
          <w:szCs w:val="21"/>
        </w:rPr>
        <w:t>（2）里氏5级（含5级）以上的地震。</w:t>
      </w:r>
    </w:p>
    <w:p w14:paraId="1059A664">
      <w:pPr>
        <w:adjustRightInd w:val="0"/>
        <w:snapToGrid w:val="0"/>
        <w:spacing w:line="360" w:lineRule="auto"/>
        <w:ind w:firstLine="423" w:firstLineChars="192"/>
        <w:rPr>
          <w:rFonts w:hint="eastAsia" w:ascii="宋体" w:hAnsi="宋体" w:cs="宋体"/>
          <w:snapToGrid w:val="0"/>
          <w:kern w:val="0"/>
          <w:szCs w:val="21"/>
        </w:rPr>
      </w:pPr>
      <w:r>
        <w:rPr>
          <w:rFonts w:hint="eastAsia" w:ascii="宋体" w:hAnsi="宋体" w:cs="宋体"/>
          <w:b/>
          <w:snapToGrid w:val="0"/>
          <w:kern w:val="0"/>
          <w:szCs w:val="21"/>
        </w:rPr>
        <w:t>25.3</w:t>
      </w:r>
      <w:r>
        <w:rPr>
          <w:rFonts w:hint="eastAsia" w:ascii="宋体" w:hAnsi="宋体" w:cs="宋体"/>
          <w:snapToGrid w:val="0"/>
          <w:kern w:val="0"/>
          <w:szCs w:val="21"/>
        </w:rPr>
        <w:t>政府关于本项目政策的重大调整或本项目建设规划方案重大功能性调整，也属不可抗力。</w:t>
      </w:r>
    </w:p>
    <w:p w14:paraId="4038CD12">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25.4</w:t>
      </w:r>
      <w:r>
        <w:rPr>
          <w:rFonts w:hint="eastAsia" w:cs="宋体"/>
          <w:snapToGrid w:val="0"/>
          <w:sz w:val="21"/>
          <w:szCs w:val="21"/>
        </w:rPr>
        <w:t>因不可抗力事件导致的费用损失，由各方各自承担自己的损失。对不可抗力事件导致的承包人设计成果文件提交时间的延误，由各方协商确定承包人提交设计成果的提交时间。</w:t>
      </w:r>
    </w:p>
    <w:p w14:paraId="720E9B14">
      <w:pPr>
        <w:pStyle w:val="18"/>
        <w:adjustRightInd w:val="0"/>
        <w:snapToGrid w:val="0"/>
        <w:spacing w:before="0" w:beforeAutospacing="0" w:after="0" w:afterAutospacing="0" w:line="360" w:lineRule="auto"/>
        <w:ind w:firstLine="420" w:firstLineChars="200"/>
        <w:rPr>
          <w:rFonts w:hint="eastAsia" w:cs="宋体"/>
          <w:snapToGrid w:val="0"/>
          <w:sz w:val="21"/>
          <w:szCs w:val="21"/>
        </w:rPr>
      </w:pPr>
    </w:p>
    <w:p w14:paraId="2EAC534E">
      <w:pPr>
        <w:adjustRightInd w:val="0"/>
        <w:snapToGrid w:val="0"/>
        <w:spacing w:line="360" w:lineRule="auto"/>
        <w:jc w:val="center"/>
        <w:outlineLvl w:val="0"/>
        <w:rPr>
          <w:rFonts w:hint="eastAsia" w:ascii="宋体" w:hAnsi="宋体" w:cs="宋体"/>
          <w:b/>
          <w:snapToGrid w:val="0"/>
          <w:kern w:val="0"/>
          <w:sz w:val="28"/>
          <w:szCs w:val="28"/>
        </w:rPr>
      </w:pPr>
      <w:r>
        <w:rPr>
          <w:rFonts w:hint="eastAsia" w:ascii="宋体" w:hAnsi="宋体" w:cs="宋体"/>
          <w:b/>
          <w:snapToGrid w:val="0"/>
          <w:kern w:val="0"/>
          <w:sz w:val="28"/>
          <w:szCs w:val="28"/>
        </w:rPr>
        <w:t>第十七章  合同生效、解除与其他</w:t>
      </w:r>
    </w:p>
    <w:p w14:paraId="7FD9AB4B">
      <w:pPr>
        <w:adjustRightInd w:val="0"/>
        <w:snapToGrid w:val="0"/>
        <w:spacing w:line="360" w:lineRule="auto"/>
        <w:ind w:firstLine="431" w:firstLineChars="196"/>
        <w:outlineLvl w:val="1"/>
        <w:rPr>
          <w:rFonts w:hint="eastAsia" w:ascii="宋体" w:hAnsi="宋体" w:cs="宋体"/>
          <w:b/>
          <w:bCs/>
          <w:snapToGrid w:val="0"/>
          <w:kern w:val="0"/>
          <w:szCs w:val="21"/>
        </w:rPr>
      </w:pPr>
      <w:r>
        <w:rPr>
          <w:rFonts w:hint="eastAsia" w:ascii="宋体" w:hAnsi="宋体" w:cs="宋体"/>
          <w:b/>
          <w:bCs/>
          <w:snapToGrid w:val="0"/>
          <w:kern w:val="0"/>
          <w:szCs w:val="21"/>
        </w:rPr>
        <w:t>26.合同生效、解除及其他</w:t>
      </w:r>
    </w:p>
    <w:p w14:paraId="18C35096">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26.1</w:t>
      </w:r>
      <w:r>
        <w:rPr>
          <w:rFonts w:hint="eastAsia" w:cs="宋体"/>
          <w:snapToGrid w:val="0"/>
          <w:sz w:val="21"/>
          <w:szCs w:val="21"/>
        </w:rPr>
        <w:t>本合同的生效及终止按本合同协议书第16条的约定执行。</w:t>
      </w:r>
    </w:p>
    <w:p w14:paraId="4EB307F2">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26.2</w:t>
      </w:r>
      <w:r>
        <w:rPr>
          <w:rFonts w:hint="eastAsia" w:cs="宋体"/>
          <w:snapToGrid w:val="0"/>
          <w:sz w:val="21"/>
          <w:szCs w:val="21"/>
        </w:rPr>
        <w:t>本合同第三篇所列的附件均为本合同不可分割的组成部分。</w:t>
      </w:r>
    </w:p>
    <w:p w14:paraId="70294ADD">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26.3</w:t>
      </w:r>
      <w:r>
        <w:rPr>
          <w:rFonts w:hint="eastAsia" w:cs="宋体"/>
          <w:snapToGrid w:val="0"/>
          <w:sz w:val="21"/>
          <w:szCs w:val="21"/>
        </w:rPr>
        <w:t>各方经协商一致，可以解除合同。</w:t>
      </w:r>
    </w:p>
    <w:p w14:paraId="6CB4C788">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26.4</w:t>
      </w:r>
      <w:r>
        <w:rPr>
          <w:rFonts w:hint="eastAsia" w:cs="宋体"/>
          <w:snapToGrid w:val="0"/>
          <w:sz w:val="21"/>
          <w:szCs w:val="21"/>
        </w:rPr>
        <w:t>发生下列情形之一，发包人、承包人任何一方均可解除合同，但应以书面形式向对方发出解除合同的通知，通知到达时合同即解除。对解除合同有争议的，按本合同条款第</w:t>
      </w:r>
      <w:r>
        <w:rPr>
          <w:rFonts w:hint="eastAsia" w:cs="宋体"/>
          <w:snapToGrid w:val="0"/>
          <w:sz w:val="21"/>
          <w:szCs w:val="21"/>
          <w:lang w:val="en-US" w:eastAsia="zh-CN"/>
        </w:rPr>
        <w:t>2</w:t>
      </w:r>
      <w:r>
        <w:rPr>
          <w:rFonts w:hint="eastAsia" w:cs="宋体"/>
          <w:snapToGrid w:val="0"/>
          <w:sz w:val="21"/>
          <w:szCs w:val="21"/>
        </w:rPr>
        <w:t>3.2条的约定处理。（1）</w:t>
      </w:r>
      <w:r>
        <w:rPr>
          <w:rFonts w:hint="eastAsia" w:cs="宋体"/>
          <w:snapToGrid w:val="0"/>
          <w:sz w:val="21"/>
          <w:szCs w:val="21"/>
          <w:u w:val="single"/>
        </w:rPr>
        <w:t>因不可抗力致使合同无法履行</w:t>
      </w:r>
      <w:r>
        <w:rPr>
          <w:rFonts w:hint="eastAsia" w:cs="宋体"/>
          <w:snapToGrid w:val="0"/>
          <w:sz w:val="21"/>
          <w:szCs w:val="21"/>
        </w:rPr>
        <w:t>；（2）</w:t>
      </w:r>
      <w:r>
        <w:rPr>
          <w:rFonts w:hint="eastAsia" w:cs="宋体"/>
          <w:snapToGrid w:val="0"/>
          <w:sz w:val="21"/>
          <w:szCs w:val="21"/>
          <w:u w:val="single"/>
        </w:rPr>
        <w:t>因一方违约致使合同无法履行</w:t>
      </w:r>
      <w:r>
        <w:rPr>
          <w:rFonts w:hint="eastAsia" w:cs="宋体"/>
          <w:snapToGrid w:val="0"/>
          <w:sz w:val="21"/>
          <w:szCs w:val="21"/>
        </w:rPr>
        <w:t>。</w:t>
      </w:r>
    </w:p>
    <w:p w14:paraId="3769A124">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26.5</w:t>
      </w:r>
      <w:r>
        <w:rPr>
          <w:rFonts w:hint="eastAsia" w:cs="宋体"/>
          <w:snapToGrid w:val="0"/>
          <w:sz w:val="21"/>
          <w:szCs w:val="21"/>
        </w:rPr>
        <w:t>合同解除后，不影响各方在合同中约定的结算和清理条款的效力。承包人应妥善做好已完工项目的保护和移交工作。同时，有过错方应当向无过错方赔偿因解除合同所造成的损失。</w:t>
      </w:r>
    </w:p>
    <w:p w14:paraId="5F67DBB9">
      <w:pPr>
        <w:pStyle w:val="18"/>
        <w:adjustRightInd w:val="0"/>
        <w:snapToGrid w:val="0"/>
        <w:spacing w:before="0" w:beforeAutospacing="0" w:after="0" w:afterAutospacing="0" w:line="360" w:lineRule="auto"/>
        <w:ind w:firstLine="420" w:firstLineChars="200"/>
        <w:rPr>
          <w:rFonts w:hint="eastAsia" w:cs="宋体"/>
          <w:snapToGrid w:val="0"/>
          <w:sz w:val="21"/>
          <w:szCs w:val="21"/>
        </w:rPr>
      </w:pPr>
      <w:r>
        <w:rPr>
          <w:rFonts w:hint="eastAsia" w:cs="宋体"/>
          <w:b/>
          <w:snapToGrid w:val="0"/>
          <w:sz w:val="21"/>
          <w:szCs w:val="21"/>
        </w:rPr>
        <w:t>26.6</w:t>
      </w:r>
      <w:r>
        <w:rPr>
          <w:rFonts w:hint="eastAsia" w:cs="宋体"/>
          <w:snapToGrid w:val="0"/>
          <w:sz w:val="21"/>
          <w:szCs w:val="21"/>
        </w:rPr>
        <w:t>承包人承诺严格按照合同规定履行义务，并同意发包人将其执行国家强制性规范、标准和履行合同的情况（包括但不限于由发包人组织的考核、考评通报、违约责任处理决定等）在发包人网站和广州市建设项目</w:t>
      </w:r>
      <w:r>
        <w:rPr>
          <w:rFonts w:hint="eastAsia" w:cs="宋体"/>
          <w:snapToGrid w:val="0"/>
          <w:sz w:val="21"/>
          <w:szCs w:val="21"/>
          <w:lang w:val="en-US" w:eastAsia="zh-CN"/>
        </w:rPr>
        <w:t>相关</w:t>
      </w:r>
      <w:r>
        <w:rPr>
          <w:rFonts w:hint="eastAsia" w:cs="宋体"/>
          <w:snapToGrid w:val="0"/>
          <w:sz w:val="21"/>
          <w:szCs w:val="21"/>
        </w:rPr>
        <w:t>网站及其他媒体上公开披露。</w:t>
      </w:r>
    </w:p>
    <w:p w14:paraId="3F9E523E">
      <w:pPr>
        <w:pStyle w:val="18"/>
        <w:adjustRightInd w:val="0"/>
        <w:snapToGrid w:val="0"/>
        <w:spacing w:before="0" w:beforeAutospacing="0" w:after="0" w:afterAutospacing="0" w:line="360" w:lineRule="auto"/>
        <w:ind w:firstLine="420" w:firstLineChars="200"/>
        <w:rPr>
          <w:rFonts w:hint="eastAsia" w:cs="宋体"/>
          <w:b/>
          <w:snapToGrid w:val="0"/>
          <w:sz w:val="21"/>
          <w:szCs w:val="21"/>
        </w:rPr>
      </w:pPr>
    </w:p>
    <w:p w14:paraId="3448216A">
      <w:pPr>
        <w:adjustRightInd w:val="0"/>
        <w:snapToGrid w:val="0"/>
        <w:spacing w:line="360" w:lineRule="auto"/>
        <w:jc w:val="center"/>
        <w:outlineLvl w:val="0"/>
        <w:rPr>
          <w:rFonts w:hint="eastAsia" w:ascii="宋体" w:hAnsi="宋体" w:cs="宋体"/>
          <w:b/>
          <w:snapToGrid w:val="0"/>
          <w:kern w:val="0"/>
          <w:sz w:val="28"/>
          <w:szCs w:val="28"/>
        </w:rPr>
      </w:pPr>
      <w:r>
        <w:rPr>
          <w:rFonts w:hint="eastAsia" w:ascii="宋体" w:hAnsi="宋体" w:cs="宋体"/>
          <w:b/>
          <w:snapToGrid w:val="0"/>
          <w:kern w:val="0"/>
          <w:sz w:val="28"/>
          <w:szCs w:val="28"/>
        </w:rPr>
        <w:t>第十八章  档案管理规定</w:t>
      </w:r>
    </w:p>
    <w:p w14:paraId="42EA177A">
      <w:pPr>
        <w:adjustRightInd w:val="0"/>
        <w:snapToGrid w:val="0"/>
        <w:spacing w:line="360" w:lineRule="auto"/>
        <w:ind w:firstLine="440" w:firstLineChars="200"/>
        <w:outlineLvl w:val="1"/>
        <w:rPr>
          <w:rFonts w:hint="eastAsia" w:ascii="宋体" w:hAnsi="宋体" w:cs="宋体"/>
          <w:b/>
          <w:bCs/>
          <w:kern w:val="0"/>
          <w:szCs w:val="21"/>
          <w:lang w:val="zh-CN"/>
        </w:rPr>
      </w:pPr>
      <w:r>
        <w:rPr>
          <w:rFonts w:hint="eastAsia" w:ascii="宋体" w:hAnsi="宋体" w:cs="宋体"/>
          <w:b/>
          <w:bCs/>
          <w:kern w:val="0"/>
          <w:szCs w:val="21"/>
          <w:lang w:val="zh-CN"/>
        </w:rPr>
        <w:t>2</w:t>
      </w:r>
      <w:r>
        <w:rPr>
          <w:rFonts w:hint="eastAsia" w:ascii="宋体" w:hAnsi="宋体" w:cs="宋体"/>
          <w:b/>
          <w:bCs/>
          <w:kern w:val="0"/>
          <w:szCs w:val="21"/>
        </w:rPr>
        <w:t>7.</w:t>
      </w:r>
      <w:r>
        <w:rPr>
          <w:rFonts w:hint="eastAsia" w:ascii="宋体" w:hAnsi="宋体" w:cs="宋体"/>
          <w:b w:val="0"/>
          <w:bCs w:val="0"/>
          <w:snapToGrid w:val="0"/>
          <w:kern w:val="0"/>
          <w:szCs w:val="21"/>
          <w:lang w:val="zh-CN"/>
        </w:rPr>
        <w:t>根据</w:t>
      </w:r>
      <w:r>
        <w:rPr>
          <w:rFonts w:hint="eastAsia" w:ascii="宋体" w:hAnsi="宋体" w:cs="宋体"/>
          <w:bCs/>
          <w:kern w:val="0"/>
          <w:szCs w:val="21"/>
          <w:lang w:val="zh-CN"/>
        </w:rPr>
        <w:t>《南沙区重点建设项目档案工作管理办法》，承包人应做好项目建设的档案管理工作，包括但不限于以下工作：</w:t>
      </w:r>
    </w:p>
    <w:p w14:paraId="7CCFF531">
      <w:pPr>
        <w:shd w:val="clear" w:color="auto" w:fill="FFFFFF"/>
        <w:adjustRightInd w:val="0"/>
        <w:spacing w:line="360" w:lineRule="auto"/>
        <w:ind w:firstLine="440" w:firstLineChars="200"/>
        <w:rPr>
          <w:rFonts w:hint="eastAsia" w:ascii="宋体" w:hAnsi="宋体" w:cs="宋体"/>
          <w:kern w:val="0"/>
          <w:szCs w:val="21"/>
          <w:lang w:val="zh-CN"/>
        </w:rPr>
      </w:pPr>
      <w:r>
        <w:rPr>
          <w:rFonts w:hint="eastAsia" w:ascii="宋体" w:hAnsi="宋体" w:cs="宋体"/>
          <w:kern w:val="0"/>
          <w:szCs w:val="21"/>
        </w:rPr>
        <w:t>27.1</w:t>
      </w:r>
      <w:r>
        <w:rPr>
          <w:rFonts w:hint="eastAsia" w:ascii="宋体" w:hAnsi="宋体" w:cs="宋体"/>
          <w:kern w:val="0"/>
          <w:szCs w:val="21"/>
          <w:lang w:val="zh-CN"/>
        </w:rPr>
        <w:t>制定此项目的档案工作计划，建立健全项目档案工作各项规章制度；明确分管档案工作的负责人，建立与项目相适应的档案管理机构，配备档案管理人员，制定档案管理制度，安全、集中统一管理本项目的档案工作。</w:t>
      </w:r>
    </w:p>
    <w:p w14:paraId="3A577984">
      <w:pPr>
        <w:shd w:val="clear" w:color="auto" w:fill="FFFFFF"/>
        <w:adjustRightInd w:val="0"/>
        <w:spacing w:line="360" w:lineRule="auto"/>
        <w:ind w:firstLine="440" w:firstLineChars="200"/>
        <w:rPr>
          <w:rFonts w:hint="eastAsia" w:ascii="宋体" w:hAnsi="宋体" w:cs="宋体"/>
          <w:kern w:val="0"/>
          <w:szCs w:val="21"/>
          <w:lang w:val="zh-CN"/>
        </w:rPr>
      </w:pPr>
      <w:r>
        <w:rPr>
          <w:rFonts w:hint="eastAsia" w:ascii="宋体" w:hAnsi="宋体" w:cs="宋体"/>
          <w:kern w:val="0"/>
          <w:szCs w:val="21"/>
        </w:rPr>
        <w:t>27.2</w:t>
      </w:r>
      <w:r>
        <w:rPr>
          <w:rFonts w:hint="eastAsia" w:ascii="宋体" w:hAnsi="宋体" w:cs="宋体"/>
          <w:kern w:val="0"/>
          <w:szCs w:val="21"/>
          <w:lang w:val="zh-CN"/>
        </w:rPr>
        <w:t>收集、整理本单位在合同期内形成的项目文件材料归档整理；除按规定向有关单位移交项目档案外，工程竣工时应移交建设单位</w:t>
      </w:r>
      <w:r>
        <w:rPr>
          <w:rFonts w:hint="eastAsia" w:ascii="宋体" w:hAnsi="宋体" w:cs="宋体"/>
          <w:kern w:val="0"/>
          <w:szCs w:val="21"/>
          <w:u w:val="single"/>
        </w:rPr>
        <w:t>2</w:t>
      </w:r>
      <w:r>
        <w:rPr>
          <w:rFonts w:hint="eastAsia" w:ascii="宋体" w:hAnsi="宋体" w:cs="宋体"/>
          <w:kern w:val="0"/>
          <w:szCs w:val="21"/>
          <w:lang w:val="zh-CN"/>
        </w:rPr>
        <w:t>套设计全过程产生的完整项目档案。</w:t>
      </w:r>
    </w:p>
    <w:p w14:paraId="2AC7057F">
      <w:pPr>
        <w:shd w:val="clear" w:color="auto" w:fill="FFFFFF"/>
        <w:adjustRightInd w:val="0"/>
        <w:spacing w:line="360" w:lineRule="auto"/>
        <w:ind w:firstLine="440" w:firstLineChars="200"/>
        <w:rPr>
          <w:rFonts w:hint="eastAsia" w:ascii="宋体" w:hAnsi="宋体" w:cs="宋体"/>
          <w:kern w:val="0"/>
          <w:szCs w:val="21"/>
          <w:lang w:val="zh-CN"/>
        </w:rPr>
      </w:pPr>
      <w:r>
        <w:rPr>
          <w:rFonts w:hint="eastAsia" w:ascii="宋体" w:hAnsi="宋体" w:cs="宋体"/>
          <w:kern w:val="0"/>
          <w:szCs w:val="21"/>
        </w:rPr>
        <w:t>27.3</w:t>
      </w:r>
      <w:r>
        <w:rPr>
          <w:rFonts w:hint="eastAsia" w:ascii="宋体" w:hAnsi="宋体" w:cs="宋体"/>
          <w:kern w:val="0"/>
          <w:szCs w:val="21"/>
          <w:lang w:val="zh-CN"/>
        </w:rPr>
        <w:t>档案管理的整理工作应符合《国家重大建设项目文件归档要求与档案整理规范》（DA/T28-2002），具体按《建设工程档案编制规范》（DBJ440100/T153-2012）的要求整理。</w:t>
      </w:r>
    </w:p>
    <w:p w14:paraId="2BB24F19">
      <w:pPr>
        <w:widowControl/>
        <w:spacing w:line="360" w:lineRule="auto"/>
        <w:jc w:val="left"/>
        <w:rPr>
          <w:rFonts w:hint="eastAsia" w:ascii="宋体" w:hAnsi="宋体" w:cs="宋体"/>
          <w:kern w:val="0"/>
          <w:szCs w:val="21"/>
          <w:lang w:val="zh-CN"/>
        </w:rPr>
      </w:pPr>
      <w:r>
        <w:rPr>
          <w:rFonts w:hint="eastAsia" w:ascii="宋体" w:hAnsi="宋体" w:cs="宋体"/>
          <w:kern w:val="0"/>
          <w:szCs w:val="21"/>
          <w:lang w:val="zh-CN"/>
        </w:rPr>
        <w:br w:type="page"/>
      </w:r>
    </w:p>
    <w:p w14:paraId="279B0AED">
      <w:pPr>
        <w:widowControl/>
        <w:jc w:val="center"/>
        <w:outlineLvl w:val="0"/>
        <w:rPr>
          <w:rFonts w:hint="eastAsia" w:ascii="宋体" w:hAnsi="宋体" w:cs="宋体"/>
          <w:b/>
          <w:bCs/>
          <w:snapToGrid w:val="0"/>
          <w:kern w:val="0"/>
          <w:sz w:val="36"/>
          <w:szCs w:val="36"/>
        </w:rPr>
      </w:pPr>
      <w:r>
        <w:rPr>
          <w:rFonts w:hint="eastAsia" w:ascii="宋体" w:hAnsi="宋体" w:cs="宋体"/>
          <w:b/>
          <w:bCs/>
          <w:snapToGrid w:val="0"/>
          <w:kern w:val="0"/>
          <w:sz w:val="36"/>
          <w:szCs w:val="36"/>
        </w:rPr>
        <w:t>第三篇  合同附件</w:t>
      </w:r>
    </w:p>
    <w:p w14:paraId="7EB20EB8">
      <w:pPr>
        <w:adjustRightInd w:val="0"/>
        <w:snapToGrid w:val="0"/>
        <w:spacing w:line="360" w:lineRule="auto"/>
        <w:rPr>
          <w:rFonts w:hint="eastAsia" w:ascii="宋体" w:hAnsi="宋体" w:cs="宋体"/>
          <w:b/>
          <w:bCs/>
          <w:snapToGrid w:val="0"/>
          <w:kern w:val="0"/>
          <w:szCs w:val="21"/>
        </w:rPr>
      </w:pPr>
    </w:p>
    <w:p w14:paraId="1DDFACB2">
      <w:pPr>
        <w:adjustRightInd w:val="0"/>
        <w:snapToGrid w:val="0"/>
        <w:spacing w:line="360" w:lineRule="auto"/>
        <w:rPr>
          <w:rFonts w:hint="eastAsia" w:ascii="宋体" w:hAnsi="宋体" w:cs="宋体"/>
          <w:b/>
          <w:bCs/>
          <w:snapToGrid w:val="0"/>
          <w:kern w:val="0"/>
          <w:szCs w:val="21"/>
        </w:rPr>
      </w:pPr>
      <w:r>
        <w:rPr>
          <w:rFonts w:hint="eastAsia" w:ascii="宋体" w:hAnsi="宋体" w:cs="宋体"/>
          <w:b/>
          <w:bCs/>
          <w:snapToGrid w:val="0"/>
          <w:kern w:val="0"/>
          <w:szCs w:val="21"/>
        </w:rPr>
        <w:t>附件1：</w:t>
      </w:r>
    </w:p>
    <w:p w14:paraId="642CCFA1">
      <w:pPr>
        <w:spacing w:line="360" w:lineRule="auto"/>
        <w:jc w:val="center"/>
        <w:rPr>
          <w:rFonts w:hint="eastAsia" w:ascii="宋体" w:hAnsi="宋体" w:cs="宋体"/>
          <w:b/>
          <w:sz w:val="36"/>
          <w:szCs w:val="36"/>
        </w:rPr>
      </w:pPr>
      <w:r>
        <w:rPr>
          <w:rFonts w:hint="eastAsia" w:ascii="宋体" w:hAnsi="宋体" w:cs="宋体"/>
          <w:b/>
          <w:sz w:val="36"/>
          <w:szCs w:val="36"/>
        </w:rPr>
        <w:t>工程建设廉洁协议书</w:t>
      </w:r>
    </w:p>
    <w:p w14:paraId="705C7C9D">
      <w:pPr>
        <w:adjustRightInd w:val="0"/>
        <w:snapToGrid w:val="0"/>
        <w:spacing w:line="360" w:lineRule="auto"/>
        <w:rPr>
          <w:rFonts w:hint="eastAsia" w:ascii="宋体" w:hAnsi="宋体" w:cs="宋体"/>
          <w:bCs/>
          <w:snapToGrid w:val="0"/>
          <w:kern w:val="0"/>
          <w:sz w:val="24"/>
        </w:rPr>
      </w:pPr>
    </w:p>
    <w:p w14:paraId="7A243220">
      <w:pPr>
        <w:spacing w:line="360" w:lineRule="auto"/>
        <w:ind w:left="1476" w:hanging="1541" w:hangingChars="700"/>
        <w:jc w:val="left"/>
        <w:rPr>
          <w:rFonts w:hint="eastAsia" w:ascii="宋体" w:hAnsi="宋体" w:cs="宋体"/>
          <w:b/>
          <w:spacing w:val="-2"/>
          <w:szCs w:val="21"/>
          <w:u w:val="single"/>
        </w:rPr>
      </w:pPr>
      <w:r>
        <w:rPr>
          <w:rFonts w:hint="eastAsia" w:ascii="宋体" w:hAnsi="宋体" w:cs="宋体"/>
          <w:b/>
          <w:szCs w:val="21"/>
        </w:rPr>
        <w:t>项目名称：</w:t>
      </w:r>
      <w:r>
        <w:rPr>
          <w:rFonts w:hint="eastAsia" w:ascii="宋体" w:hAnsi="宋体" w:cs="宋体"/>
          <w:b/>
          <w:spacing w:val="-2"/>
          <w:szCs w:val="21"/>
          <w:u w:val="single"/>
        </w:rPr>
        <w:t>前锋水乡首开区提升改造建设方案设计项目</w:t>
      </w:r>
    </w:p>
    <w:p w14:paraId="3FA3752F">
      <w:pPr>
        <w:spacing w:line="360" w:lineRule="auto"/>
        <w:rPr>
          <w:rFonts w:hint="eastAsia" w:ascii="宋体" w:hAnsi="宋体" w:cs="宋体"/>
          <w:b/>
          <w:szCs w:val="21"/>
        </w:rPr>
      </w:pPr>
      <w:r>
        <w:rPr>
          <w:rFonts w:hint="eastAsia" w:ascii="宋体" w:hAnsi="宋体" w:cs="宋体"/>
          <w:b/>
          <w:szCs w:val="21"/>
        </w:rPr>
        <w:t>发包人（甲方）：</w:t>
      </w:r>
      <w:r>
        <w:rPr>
          <w:rFonts w:hint="eastAsia" w:ascii="宋体" w:hAnsi="宋体" w:cs="宋体"/>
          <w:b/>
          <w:szCs w:val="21"/>
          <w:u w:val="single"/>
        </w:rPr>
        <w:t>广州南沙科技投资有限公司</w:t>
      </w:r>
    </w:p>
    <w:p w14:paraId="30A714A6">
      <w:pPr>
        <w:spacing w:line="360" w:lineRule="auto"/>
        <w:rPr>
          <w:rFonts w:hint="eastAsia" w:ascii="宋体" w:hAnsi="宋体" w:cs="宋体"/>
          <w:b/>
          <w:szCs w:val="21"/>
        </w:rPr>
      </w:pPr>
      <w:r>
        <w:rPr>
          <w:rFonts w:hint="eastAsia" w:ascii="宋体" w:hAnsi="宋体" w:cs="宋体"/>
          <w:b/>
          <w:szCs w:val="21"/>
        </w:rPr>
        <w:t>承包人（乙方）：</w:t>
      </w:r>
      <w:r>
        <w:rPr>
          <w:rFonts w:hint="eastAsia" w:ascii="宋体" w:hAnsi="宋体" w:cs="宋体"/>
          <w:b/>
          <w:szCs w:val="21"/>
          <w:u w:val="single"/>
        </w:rPr>
        <w:t xml:space="preserve">                            </w:t>
      </w:r>
    </w:p>
    <w:p w14:paraId="12ED13D1">
      <w:pPr>
        <w:adjustRightInd w:val="0"/>
        <w:snapToGrid w:val="0"/>
        <w:spacing w:line="360" w:lineRule="auto"/>
        <w:ind w:firstLine="440" w:firstLineChars="200"/>
        <w:rPr>
          <w:rFonts w:hint="eastAsia" w:ascii="宋体" w:hAnsi="宋体" w:cs="宋体"/>
          <w:b/>
          <w:szCs w:val="21"/>
        </w:rPr>
      </w:pPr>
    </w:p>
    <w:p w14:paraId="540B4D30">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为切实加强廉洁工程建设，规范合同双方的各项建筑活动，预防本工程违法违纪等腐败现象的发生，保障工程建设优质、安全和廉洁，根据《广州市建筑市场廉洁准入规定（试行）》及相关法律法规的规定，特订立协议书。</w:t>
      </w:r>
    </w:p>
    <w:p w14:paraId="56925769">
      <w:pPr>
        <w:adjustRightInd w:val="0"/>
        <w:snapToGrid w:val="0"/>
        <w:spacing w:line="360" w:lineRule="auto"/>
        <w:ind w:firstLine="440" w:firstLineChars="200"/>
        <w:outlineLvl w:val="1"/>
        <w:rPr>
          <w:rFonts w:hint="eastAsia" w:ascii="宋体" w:hAnsi="宋体" w:cs="宋体"/>
          <w:b/>
          <w:bCs/>
          <w:snapToGrid w:val="0"/>
          <w:kern w:val="0"/>
          <w:szCs w:val="21"/>
        </w:rPr>
      </w:pPr>
      <w:r>
        <w:rPr>
          <w:rFonts w:hint="eastAsia" w:ascii="宋体" w:hAnsi="宋体" w:cs="宋体"/>
          <w:b/>
          <w:bCs/>
          <w:snapToGrid w:val="0"/>
          <w:kern w:val="0"/>
          <w:szCs w:val="21"/>
        </w:rPr>
        <w:t>第一条 各方责任</w:t>
      </w:r>
    </w:p>
    <w:p w14:paraId="3E382F8F">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（一）严格遵守国家有关法律法规和政策规定，以及廉政建设的各项约定。</w:t>
      </w:r>
    </w:p>
    <w:p w14:paraId="01361BE8">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（二）严格执行建设工程项目承发包合同文件，自觉按合同办事。</w:t>
      </w:r>
    </w:p>
    <w:p w14:paraId="7BDCA0B5">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三）建筑活动必须坚持公开、公平、公正、诚信、透明的原则（除法律法规另有规定者外），不得为获取不正当的利益，损害国家、集体和对方利益，不得违反国家、省、市和发包人有关工程建设管理的规章制度。</w:t>
      </w:r>
    </w:p>
    <w:p w14:paraId="24CD6249">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（四）发现对方在建筑活动中存在违规、违纪、违法行为的，有权向其上级主管部门或纪检监察、检察等有关机关举报。</w:t>
      </w:r>
    </w:p>
    <w:p w14:paraId="0135E6C8">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（五）合同双方应充分发挥各自职能作用，积极互动形成纵向监督合力，依照本协议书规定，对本工程项目承发包合同履行情况实施监督，及时制止不廉洁行为的发生。</w:t>
      </w:r>
    </w:p>
    <w:p w14:paraId="118E9B30">
      <w:pPr>
        <w:adjustRightInd w:val="0"/>
        <w:snapToGrid w:val="0"/>
        <w:spacing w:line="360" w:lineRule="auto"/>
        <w:ind w:firstLine="440" w:firstLineChars="200"/>
        <w:outlineLvl w:val="1"/>
        <w:rPr>
          <w:rFonts w:hint="eastAsia" w:ascii="宋体" w:hAnsi="宋体" w:cs="宋体"/>
          <w:b/>
          <w:bCs/>
          <w:snapToGrid w:val="0"/>
          <w:kern w:val="0"/>
          <w:szCs w:val="21"/>
        </w:rPr>
      </w:pPr>
      <w:r>
        <w:rPr>
          <w:rFonts w:hint="eastAsia" w:ascii="宋体" w:hAnsi="宋体" w:cs="宋体"/>
          <w:b/>
          <w:bCs/>
          <w:snapToGrid w:val="0"/>
          <w:kern w:val="0"/>
          <w:szCs w:val="21"/>
        </w:rPr>
        <w:t>第二条 发包人责任</w:t>
      </w:r>
    </w:p>
    <w:p w14:paraId="249F33A5">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（一）发包人领导干部和从事该工程建设的管理人员，在建筑活动中须严格遵守以下廉洁从业规定：</w:t>
      </w:r>
    </w:p>
    <w:p w14:paraId="7099D611">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1.不准向承包人和相关单位或个人索取钱物或接受回扣、礼金、各种有价证券、信用卡和好处费、感谢费以及其它支付凭证等。</w:t>
      </w:r>
    </w:p>
    <w:p w14:paraId="3FAFC889">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2.不准接受可能影响公正执行公务的承包人和相关单位或个人的礼物馈赠、宴请、各种形式俱乐部会员资格、高消费娱乐活动。</w:t>
      </w:r>
    </w:p>
    <w:p w14:paraId="31F2D806">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3.不准在承包人和相关单位报销任何应由发包人或个人负担的费用。</w:t>
      </w:r>
    </w:p>
    <w:p w14:paraId="533645D7">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4.不准要求、暗示或接受承包人和相关单位或个人为自己、配偶、子女、其他亲属朋友及身边工作人员的装修住房、婚丧嫁娶、工作安排、学习培训、经商办企业以及出国（境）、旅游、度假等支付费用。</w:t>
      </w:r>
    </w:p>
    <w:p w14:paraId="786A5F5C">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5.不准向承包人介绍配偶、子女、其他亲属朋友及身边工作人员参与同发包人项目工程合同有关的设备、材料、工程分包、劳务等经济活动。</w:t>
      </w:r>
    </w:p>
    <w:p w14:paraId="442BC2CC">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6.不得以任何理由向承包人和相关单位推荐分包单位和要求或暗示承包人购买项目工程合同规定外的材料、设备等。</w:t>
      </w:r>
    </w:p>
    <w:p w14:paraId="358AF33E">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（二）合同签订后组织与承包人相关廉洁责任人见面会，进行廉洁工程建设交底，明确廉洁工程建设责任和目标任务、举报方式。</w:t>
      </w:r>
    </w:p>
    <w:p w14:paraId="43CF76EE">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（三）加强对合同支付、合同结算等建设管理环节的监督管理，特别是审批效能方面的监察检查，提高建设管理服务水平。</w:t>
      </w:r>
    </w:p>
    <w:p w14:paraId="133FC6A0">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（四）组织开展图片展览、法制讲座、参观监狱等活动，加强对员工的法律法规、廉洁和职业道德教育。</w:t>
      </w:r>
    </w:p>
    <w:p w14:paraId="3835C666">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（五）成立监督工作机构，不定期对合同履行情况开展监督检查，对发现的有关问题，及时协调给予解决。</w:t>
      </w:r>
    </w:p>
    <w:p w14:paraId="7D16D9C1">
      <w:pPr>
        <w:adjustRightInd w:val="0"/>
        <w:snapToGrid w:val="0"/>
        <w:spacing w:line="360" w:lineRule="auto"/>
        <w:ind w:firstLine="440" w:firstLineChars="200"/>
        <w:outlineLvl w:val="1"/>
        <w:rPr>
          <w:rFonts w:hint="eastAsia" w:ascii="宋体" w:hAnsi="宋体" w:cs="宋体"/>
          <w:b/>
          <w:bCs/>
          <w:snapToGrid w:val="0"/>
          <w:kern w:val="0"/>
          <w:szCs w:val="21"/>
        </w:rPr>
      </w:pPr>
      <w:r>
        <w:rPr>
          <w:rFonts w:hint="eastAsia" w:ascii="宋体" w:hAnsi="宋体" w:cs="宋体"/>
          <w:b/>
          <w:bCs/>
          <w:snapToGrid w:val="0"/>
          <w:kern w:val="0"/>
          <w:szCs w:val="21"/>
        </w:rPr>
        <w:t>第三条 承包人责任</w:t>
      </w:r>
    </w:p>
    <w:p w14:paraId="24569EDE">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（一）与发包人保持正常的业务交往，遵守以下规定：</w:t>
      </w:r>
    </w:p>
    <w:p w14:paraId="53CBF1E1">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1.不准以任何理由向发包人人员行贿或赠送回扣、礼金、各种有价证券、信用卡和好处费、感谢费及其它支付凭证等。</w:t>
      </w:r>
    </w:p>
    <w:p w14:paraId="6765091D">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2.不准以任何理由为发包人人员组织有可能影响公正执行公务的宴请、各种形式俱乐部及高消费娱乐等活动。</w:t>
      </w:r>
    </w:p>
    <w:p w14:paraId="05B4587F">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3.不准以任何理由为发包人或个人报销应由对方或个人支付的费用。</w:t>
      </w:r>
    </w:p>
    <w:p w14:paraId="2E7E0EFD">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4.不准暗示或要求为发包人人员及其配偶、子女、其他亲属朋友及身边工作人员的装修住房、婚丧嫁娶、工作安排、学习培训、经商办企业以及出国（境）、旅游、度假提供方便和支付费用。</w:t>
      </w:r>
    </w:p>
    <w:p w14:paraId="08E1D29C">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5.不准介绍和安排发包人人员及其配偶、子女、其他亲属朋友及身边工作人员参与同发包人工程项目有关的设备、材料、工程分包、劳务等经济活动。</w:t>
      </w:r>
    </w:p>
    <w:p w14:paraId="06DD6195">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（二）组织项目负责人及相关管理人员层层签订廉洁从业责任状，明确廉洁责任，形成有效的内部监督管理机制。</w:t>
      </w:r>
    </w:p>
    <w:p w14:paraId="2E867B76">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（三）按发包人要求参加廉政座谈、法制讲座、参观监狱等活动，加强对项目负责人及相关管理人员的法律法规、廉洁和职业道德教育，共同筑牢防腐防线。</w:t>
      </w:r>
    </w:p>
    <w:p w14:paraId="174A4B7C">
      <w:pPr>
        <w:adjustRightInd w:val="0"/>
        <w:snapToGrid w:val="0"/>
        <w:spacing w:line="360" w:lineRule="auto"/>
        <w:ind w:firstLine="440" w:firstLineChars="200"/>
        <w:outlineLvl w:val="1"/>
        <w:rPr>
          <w:rFonts w:hint="eastAsia" w:ascii="宋体" w:hAnsi="宋体" w:cs="宋体"/>
          <w:b/>
          <w:bCs/>
          <w:snapToGrid w:val="0"/>
          <w:kern w:val="0"/>
          <w:szCs w:val="21"/>
        </w:rPr>
      </w:pPr>
      <w:r>
        <w:rPr>
          <w:rFonts w:hint="eastAsia" w:ascii="宋体" w:hAnsi="宋体" w:cs="宋体"/>
          <w:b/>
          <w:bCs/>
          <w:snapToGrid w:val="0"/>
          <w:kern w:val="0"/>
          <w:szCs w:val="21"/>
        </w:rPr>
        <w:t>第四条 违约责任</w:t>
      </w:r>
    </w:p>
    <w:p w14:paraId="6D980952">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（一）发包人违约责任</w:t>
      </w:r>
    </w:p>
    <w:p w14:paraId="69342917">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1.发包人不履行或不完全履行本协议书有关责任义务给承包人造成损失的，在承包人提交足够证据并经查证属实的情况下，发包人赔偿其直接经济损失。</w:t>
      </w:r>
    </w:p>
    <w:p w14:paraId="28AF0829">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2.发包人人员出现受贿等严重违法违纪违规行为的，按照管理权限，依据有关法律法规和规定给予党纪、政纪处分或组织处理；涉嫌犯罪的，移交司法机关追究刑事责任。</w:t>
      </w:r>
    </w:p>
    <w:p w14:paraId="47D6B7C4">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（二）承包人违约责任</w:t>
      </w:r>
    </w:p>
    <w:p w14:paraId="7376CA0C">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1.承包人不履行或不完全履行本协议书有关责任义务的，按本合同规定须承担一次一般违约责任。情节较轻的，可给予书面警告；情节较重的，须承担一次严重违约责任。</w:t>
      </w:r>
    </w:p>
    <w:p w14:paraId="726009EE">
      <w:pPr>
        <w:adjustRightInd w:val="0"/>
        <w:snapToGrid w:val="0"/>
        <w:spacing w:line="360" w:lineRule="auto"/>
        <w:ind w:firstLine="440" w:firstLineChars="200"/>
        <w:rPr>
          <w:rFonts w:hint="eastAsia" w:ascii="宋体" w:hAnsi="宋体" w:cs="宋体"/>
          <w:bCs/>
          <w:snapToGrid w:val="0"/>
          <w:kern w:val="0"/>
          <w:szCs w:val="21"/>
        </w:rPr>
      </w:pPr>
      <w:r>
        <w:rPr>
          <w:rFonts w:hint="eastAsia" w:ascii="宋体" w:hAnsi="宋体" w:cs="宋体"/>
          <w:bCs/>
          <w:snapToGrid w:val="0"/>
          <w:kern w:val="0"/>
          <w:szCs w:val="21"/>
        </w:rPr>
        <w:t>2.承包人出现严重违法违纪违规行为的，发包人将上报市检察院或监察机关依法查处，并提请建设行政主管部门根据《广州市建筑市场廉洁准入规定》进行处理。</w:t>
      </w:r>
    </w:p>
    <w:p w14:paraId="1854C149">
      <w:pPr>
        <w:adjustRightInd w:val="0"/>
        <w:snapToGrid w:val="0"/>
        <w:spacing w:line="360" w:lineRule="auto"/>
        <w:ind w:firstLine="440" w:firstLineChars="200"/>
        <w:outlineLvl w:val="1"/>
        <w:rPr>
          <w:rFonts w:hint="eastAsia" w:ascii="宋体" w:hAnsi="宋体" w:cs="宋体"/>
          <w:b/>
          <w:bCs/>
          <w:snapToGrid w:val="0"/>
          <w:kern w:val="0"/>
          <w:szCs w:val="21"/>
        </w:rPr>
      </w:pPr>
      <w:r>
        <w:rPr>
          <w:rFonts w:hint="eastAsia" w:ascii="宋体" w:hAnsi="宋体" w:cs="宋体"/>
          <w:b/>
          <w:bCs/>
          <w:snapToGrid w:val="0"/>
          <w:kern w:val="0"/>
          <w:szCs w:val="21"/>
        </w:rPr>
        <w:t>第五条 本协议书作为合同的附件，与合同具有同等法律效力。经各方签字盖章后生效。</w:t>
      </w:r>
    </w:p>
    <w:p w14:paraId="4981DA9C">
      <w:pPr>
        <w:adjustRightInd w:val="0"/>
        <w:snapToGrid w:val="0"/>
        <w:spacing w:line="360" w:lineRule="auto"/>
        <w:ind w:firstLine="440" w:firstLineChars="200"/>
        <w:outlineLvl w:val="1"/>
        <w:rPr>
          <w:rFonts w:hint="eastAsia" w:ascii="宋体" w:hAnsi="宋体" w:cs="宋体"/>
          <w:b/>
          <w:bCs/>
          <w:snapToGrid w:val="0"/>
          <w:kern w:val="0"/>
          <w:szCs w:val="21"/>
        </w:rPr>
      </w:pPr>
      <w:r>
        <w:rPr>
          <w:rFonts w:hint="eastAsia" w:ascii="宋体" w:hAnsi="宋体" w:cs="宋体"/>
          <w:b/>
          <w:bCs/>
          <w:snapToGrid w:val="0"/>
          <w:kern w:val="0"/>
          <w:szCs w:val="21"/>
        </w:rPr>
        <w:t>第六条 本协议书一式8份，双方各执4份。有效期为签字盖章之日起至所属工程项目合同履行完毕时止。</w:t>
      </w:r>
    </w:p>
    <w:p w14:paraId="1F35A52D">
      <w:pPr>
        <w:adjustRightInd w:val="0"/>
        <w:snapToGrid w:val="0"/>
        <w:spacing w:line="360" w:lineRule="auto"/>
        <w:ind w:firstLine="440" w:firstLineChars="200"/>
        <w:outlineLvl w:val="1"/>
        <w:rPr>
          <w:rFonts w:hint="eastAsia" w:ascii="宋体" w:hAnsi="宋体" w:cs="宋体"/>
          <w:b/>
          <w:bCs/>
          <w:snapToGrid w:val="0"/>
          <w:kern w:val="0"/>
          <w:szCs w:val="21"/>
        </w:rPr>
      </w:pPr>
      <w:r>
        <w:rPr>
          <w:rFonts w:hint="eastAsia" w:ascii="宋体" w:hAnsi="宋体" w:cs="宋体"/>
          <w:b/>
          <w:bCs/>
          <w:snapToGrid w:val="0"/>
          <w:kern w:val="0"/>
          <w:szCs w:val="21"/>
        </w:rPr>
        <w:t>第七条 未尽事宜，由各方协商解决。</w:t>
      </w:r>
    </w:p>
    <w:p w14:paraId="7249376D">
      <w:pPr>
        <w:adjustRightInd w:val="0"/>
        <w:snapToGrid w:val="0"/>
        <w:spacing w:line="360" w:lineRule="auto"/>
        <w:rPr>
          <w:rFonts w:hint="eastAsia" w:ascii="宋体" w:hAnsi="宋体" w:cs="宋体"/>
          <w:b/>
          <w:bCs/>
          <w:snapToGrid w:val="0"/>
          <w:kern w:val="0"/>
          <w:szCs w:val="21"/>
        </w:rPr>
      </w:pPr>
    </w:p>
    <w:tbl>
      <w:tblPr>
        <w:tblStyle w:val="52"/>
        <w:tblW w:w="9640" w:type="dxa"/>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8"/>
        <w:gridCol w:w="284"/>
        <w:gridCol w:w="4678"/>
      </w:tblGrid>
      <w:tr w14:paraId="06477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678" w:type="dxa"/>
            <w:vAlign w:val="center"/>
          </w:tcPr>
          <w:p w14:paraId="19F6D455">
            <w:pPr>
              <w:widowControl/>
              <w:spacing w:line="360" w:lineRule="auto"/>
              <w:rPr>
                <w:rFonts w:hint="eastAsia" w:ascii="宋体" w:hAnsi="宋体" w:cs="宋体"/>
                <w:kern w:val="0"/>
                <w:sz w:val="24"/>
                <w:szCs w:val="24"/>
              </w:rPr>
            </w:pPr>
            <w:r>
              <w:rPr>
                <w:rFonts w:hint="eastAsia" w:ascii="宋体" w:hAnsi="宋体" w:cs="宋体"/>
                <w:kern w:val="0"/>
                <w:sz w:val="24"/>
                <w:szCs w:val="24"/>
              </w:rPr>
              <w:br w:type="page"/>
            </w:r>
            <w:r>
              <w:rPr>
                <w:rFonts w:hint="eastAsia" w:ascii="宋体" w:hAnsi="宋体" w:cs="宋体"/>
                <w:snapToGrid w:val="0"/>
                <w:kern w:val="0"/>
                <w:sz w:val="24"/>
                <w:szCs w:val="24"/>
              </w:rPr>
              <w:t>发包人（甲方）：</w:t>
            </w:r>
          </w:p>
        </w:tc>
        <w:tc>
          <w:tcPr>
            <w:tcW w:w="284" w:type="dxa"/>
            <w:vAlign w:val="center"/>
          </w:tcPr>
          <w:p w14:paraId="40BB5A0C">
            <w:pPr>
              <w:widowControl/>
              <w:spacing w:line="360" w:lineRule="auto"/>
              <w:rPr>
                <w:rFonts w:hint="eastAsia" w:ascii="宋体" w:hAnsi="宋体" w:cs="宋体"/>
                <w:snapToGrid w:val="0"/>
                <w:kern w:val="0"/>
                <w:sz w:val="24"/>
                <w:szCs w:val="24"/>
              </w:rPr>
            </w:pPr>
          </w:p>
        </w:tc>
        <w:tc>
          <w:tcPr>
            <w:tcW w:w="4678" w:type="dxa"/>
            <w:vAlign w:val="center"/>
          </w:tcPr>
          <w:p w14:paraId="360CB118">
            <w:pPr>
              <w:widowControl/>
              <w:spacing w:line="360" w:lineRule="auto"/>
              <w:rPr>
                <w:rFonts w:hint="eastAsia" w:ascii="宋体" w:hAnsi="宋体" w:cs="宋体"/>
                <w:kern w:val="0"/>
                <w:sz w:val="24"/>
                <w:szCs w:val="24"/>
                <w:lang w:val="zh-CN"/>
              </w:rPr>
            </w:pPr>
            <w:r>
              <w:rPr>
                <w:rFonts w:hint="eastAsia" w:ascii="宋体" w:hAnsi="宋体" w:cs="宋体"/>
                <w:snapToGrid w:val="0"/>
                <w:kern w:val="0"/>
                <w:sz w:val="24"/>
                <w:szCs w:val="24"/>
              </w:rPr>
              <w:t>承包人（乙方）：</w:t>
            </w:r>
          </w:p>
        </w:tc>
      </w:tr>
      <w:tr w14:paraId="6FBBD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4678" w:type="dxa"/>
            <w:vAlign w:val="center"/>
          </w:tcPr>
          <w:p w14:paraId="4058A61B">
            <w:pPr>
              <w:widowControl/>
              <w:spacing w:line="360" w:lineRule="auto"/>
              <w:jc w:val="left"/>
              <w:rPr>
                <w:rFonts w:hint="eastAsia" w:ascii="宋体" w:hAnsi="宋体" w:cs="宋体"/>
                <w:kern w:val="0"/>
                <w:sz w:val="24"/>
                <w:szCs w:val="24"/>
                <w:lang w:val="zh-CN"/>
              </w:rPr>
            </w:pPr>
            <w:r>
              <w:rPr>
                <w:rFonts w:hint="eastAsia" w:ascii="宋体" w:hAnsi="宋体" w:cs="宋体"/>
                <w:b/>
                <w:snapToGrid w:val="0"/>
                <w:kern w:val="0"/>
                <w:sz w:val="24"/>
                <w:szCs w:val="24"/>
                <w:u w:val="single"/>
              </w:rPr>
              <w:t>广州南沙科技投资有限公司</w:t>
            </w:r>
          </w:p>
        </w:tc>
        <w:tc>
          <w:tcPr>
            <w:tcW w:w="284" w:type="dxa"/>
            <w:vAlign w:val="center"/>
          </w:tcPr>
          <w:p w14:paraId="2D27677C">
            <w:pPr>
              <w:widowControl/>
              <w:spacing w:line="360" w:lineRule="auto"/>
              <w:jc w:val="center"/>
              <w:rPr>
                <w:rFonts w:hint="eastAsia" w:ascii="宋体" w:hAnsi="宋体" w:cs="宋体"/>
                <w:b/>
                <w:snapToGrid w:val="0"/>
                <w:kern w:val="0"/>
                <w:sz w:val="24"/>
                <w:szCs w:val="24"/>
                <w:u w:val="single"/>
              </w:rPr>
            </w:pPr>
          </w:p>
        </w:tc>
        <w:tc>
          <w:tcPr>
            <w:tcW w:w="4678" w:type="dxa"/>
            <w:vAlign w:val="center"/>
          </w:tcPr>
          <w:p w14:paraId="267A0729">
            <w:pPr>
              <w:widowControl/>
              <w:spacing w:line="360" w:lineRule="auto"/>
              <w:jc w:val="left"/>
              <w:rPr>
                <w:rFonts w:hint="eastAsia" w:ascii="宋体" w:hAnsi="宋体" w:cs="宋体"/>
                <w:kern w:val="0"/>
                <w:sz w:val="24"/>
                <w:szCs w:val="24"/>
                <w:lang w:val="zh-CN"/>
              </w:rPr>
            </w:pPr>
          </w:p>
        </w:tc>
      </w:tr>
      <w:tr w14:paraId="723E4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6" w:hRule="atLeast"/>
        </w:trPr>
        <w:tc>
          <w:tcPr>
            <w:tcW w:w="4678" w:type="dxa"/>
            <w:vAlign w:val="center"/>
          </w:tcPr>
          <w:p w14:paraId="0A2E5BE7">
            <w:pPr>
              <w:widowControl/>
              <w:spacing w:line="360" w:lineRule="auto"/>
              <w:jc w:val="left"/>
              <w:rPr>
                <w:rFonts w:hint="eastAsia" w:ascii="宋体" w:hAnsi="宋体" w:cs="宋体"/>
                <w:kern w:val="0"/>
                <w:sz w:val="24"/>
                <w:szCs w:val="24"/>
              </w:rPr>
            </w:pPr>
            <w:r>
              <w:rPr>
                <w:rFonts w:hint="eastAsia" w:ascii="宋体" w:hAnsi="宋体" w:cs="宋体"/>
                <w:kern w:val="0"/>
                <w:sz w:val="24"/>
                <w:szCs w:val="24"/>
                <w:lang w:val="zh-CN"/>
              </w:rPr>
              <w:t>法定代表人</w:t>
            </w:r>
            <w:r>
              <w:rPr>
                <w:rFonts w:hint="eastAsia" w:ascii="宋体" w:hAnsi="宋体" w:cs="宋体"/>
                <w:kern w:val="0"/>
                <w:sz w:val="24"/>
                <w:szCs w:val="24"/>
              </w:rPr>
              <w:t>：</w:t>
            </w:r>
          </w:p>
          <w:p w14:paraId="54D52055">
            <w:pPr>
              <w:widowControl/>
              <w:spacing w:line="360" w:lineRule="auto"/>
              <w:jc w:val="left"/>
              <w:rPr>
                <w:rFonts w:hint="eastAsia" w:ascii="宋体" w:hAnsi="宋体" w:cs="宋体"/>
                <w:kern w:val="0"/>
                <w:sz w:val="24"/>
                <w:szCs w:val="24"/>
              </w:rPr>
            </w:pPr>
            <w:r>
              <w:rPr>
                <w:rFonts w:hint="eastAsia" w:ascii="宋体" w:hAnsi="宋体" w:cs="宋体"/>
                <w:kern w:val="0"/>
                <w:sz w:val="24"/>
                <w:szCs w:val="24"/>
                <w:lang w:val="zh-CN"/>
              </w:rPr>
              <w:t>或委托代理人</w:t>
            </w:r>
            <w:r>
              <w:rPr>
                <w:rFonts w:hint="eastAsia" w:ascii="宋体" w:hAnsi="宋体" w:cs="宋体"/>
                <w:kern w:val="0"/>
                <w:sz w:val="24"/>
                <w:szCs w:val="24"/>
              </w:rPr>
              <w:t>：</w:t>
            </w:r>
          </w:p>
        </w:tc>
        <w:tc>
          <w:tcPr>
            <w:tcW w:w="284" w:type="dxa"/>
            <w:vAlign w:val="center"/>
          </w:tcPr>
          <w:p w14:paraId="7EB71098">
            <w:pPr>
              <w:widowControl/>
              <w:spacing w:line="360" w:lineRule="auto"/>
              <w:jc w:val="center"/>
              <w:rPr>
                <w:rFonts w:hint="eastAsia" w:ascii="宋体" w:hAnsi="宋体" w:cs="宋体"/>
                <w:kern w:val="0"/>
                <w:sz w:val="24"/>
                <w:szCs w:val="24"/>
              </w:rPr>
            </w:pPr>
          </w:p>
        </w:tc>
        <w:tc>
          <w:tcPr>
            <w:tcW w:w="4678" w:type="dxa"/>
            <w:vAlign w:val="center"/>
          </w:tcPr>
          <w:p w14:paraId="3D36A879">
            <w:pPr>
              <w:widowControl/>
              <w:spacing w:line="360" w:lineRule="auto"/>
              <w:jc w:val="left"/>
              <w:rPr>
                <w:rFonts w:hint="eastAsia" w:ascii="宋体" w:hAnsi="宋体" w:cs="宋体"/>
                <w:kern w:val="0"/>
                <w:sz w:val="24"/>
                <w:szCs w:val="24"/>
              </w:rPr>
            </w:pPr>
            <w:r>
              <w:rPr>
                <w:rFonts w:hint="eastAsia" w:ascii="宋体" w:hAnsi="宋体" w:cs="宋体"/>
                <w:kern w:val="0"/>
                <w:sz w:val="24"/>
                <w:szCs w:val="24"/>
                <w:lang w:val="zh-CN"/>
              </w:rPr>
              <w:t>法定代表人</w:t>
            </w:r>
            <w:r>
              <w:rPr>
                <w:rFonts w:hint="eastAsia" w:ascii="宋体" w:hAnsi="宋体" w:cs="宋体"/>
                <w:kern w:val="0"/>
                <w:sz w:val="24"/>
                <w:szCs w:val="24"/>
              </w:rPr>
              <w:t>：</w:t>
            </w:r>
          </w:p>
          <w:p w14:paraId="50DDE5CE">
            <w:pPr>
              <w:widowControl/>
              <w:spacing w:line="360" w:lineRule="auto"/>
              <w:jc w:val="left"/>
              <w:rPr>
                <w:rFonts w:hint="eastAsia" w:ascii="宋体" w:hAnsi="宋体" w:cs="宋体"/>
                <w:kern w:val="0"/>
                <w:sz w:val="24"/>
                <w:szCs w:val="24"/>
              </w:rPr>
            </w:pPr>
            <w:r>
              <w:rPr>
                <w:rFonts w:hint="eastAsia" w:ascii="宋体" w:hAnsi="宋体" w:cs="宋体"/>
                <w:kern w:val="0"/>
                <w:sz w:val="24"/>
                <w:szCs w:val="24"/>
                <w:lang w:val="zh-CN"/>
              </w:rPr>
              <w:t>或委托代理人</w:t>
            </w:r>
            <w:r>
              <w:rPr>
                <w:rFonts w:hint="eastAsia" w:ascii="宋体" w:hAnsi="宋体" w:cs="宋体"/>
                <w:kern w:val="0"/>
                <w:sz w:val="24"/>
                <w:szCs w:val="24"/>
              </w:rPr>
              <w:t>：</w:t>
            </w:r>
          </w:p>
        </w:tc>
      </w:tr>
      <w:tr w14:paraId="420BA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trPr>
        <w:tc>
          <w:tcPr>
            <w:tcW w:w="4678" w:type="dxa"/>
            <w:vAlign w:val="center"/>
          </w:tcPr>
          <w:p w14:paraId="1193D014">
            <w:pPr>
              <w:widowControl/>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 xml:space="preserve">地址： </w:t>
            </w:r>
          </w:p>
        </w:tc>
        <w:tc>
          <w:tcPr>
            <w:tcW w:w="284" w:type="dxa"/>
            <w:vAlign w:val="center"/>
          </w:tcPr>
          <w:p w14:paraId="3C19BDC7">
            <w:pPr>
              <w:widowControl/>
              <w:spacing w:line="360" w:lineRule="auto"/>
              <w:jc w:val="center"/>
              <w:rPr>
                <w:rFonts w:hint="eastAsia" w:ascii="宋体" w:hAnsi="宋体" w:cs="宋体"/>
                <w:snapToGrid w:val="0"/>
                <w:kern w:val="0"/>
                <w:sz w:val="24"/>
                <w:szCs w:val="24"/>
              </w:rPr>
            </w:pPr>
          </w:p>
        </w:tc>
        <w:tc>
          <w:tcPr>
            <w:tcW w:w="4678" w:type="dxa"/>
            <w:vAlign w:val="center"/>
          </w:tcPr>
          <w:p w14:paraId="225E2EB3">
            <w:pPr>
              <w:widowControl/>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地址：</w:t>
            </w:r>
          </w:p>
        </w:tc>
      </w:tr>
      <w:tr w14:paraId="6B3D9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4678" w:type="dxa"/>
            <w:vAlign w:val="center"/>
          </w:tcPr>
          <w:p w14:paraId="3A333D64">
            <w:pPr>
              <w:widowControl/>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统一社会信用代码：</w:t>
            </w:r>
          </w:p>
        </w:tc>
        <w:tc>
          <w:tcPr>
            <w:tcW w:w="284" w:type="dxa"/>
            <w:vAlign w:val="center"/>
          </w:tcPr>
          <w:p w14:paraId="024719E3">
            <w:pPr>
              <w:widowControl/>
              <w:spacing w:line="360" w:lineRule="auto"/>
              <w:jc w:val="center"/>
              <w:rPr>
                <w:rFonts w:hint="eastAsia" w:ascii="宋体" w:hAnsi="宋体" w:cs="宋体"/>
                <w:kern w:val="0"/>
                <w:sz w:val="24"/>
                <w:szCs w:val="24"/>
                <w:lang w:val="zh-CN"/>
              </w:rPr>
            </w:pPr>
          </w:p>
        </w:tc>
        <w:tc>
          <w:tcPr>
            <w:tcW w:w="4678" w:type="dxa"/>
            <w:vAlign w:val="center"/>
          </w:tcPr>
          <w:p w14:paraId="29D0609C">
            <w:pPr>
              <w:widowControl/>
              <w:spacing w:line="360" w:lineRule="auto"/>
              <w:ind w:left="1200" w:hanging="1200" w:hangingChars="500"/>
              <w:jc w:val="left"/>
              <w:rPr>
                <w:rFonts w:hint="eastAsia" w:ascii="宋体" w:hAnsi="宋体" w:cs="宋体"/>
                <w:snapToGrid w:val="0"/>
                <w:kern w:val="0"/>
                <w:sz w:val="24"/>
                <w:szCs w:val="24"/>
              </w:rPr>
            </w:pPr>
            <w:r>
              <w:rPr>
                <w:rFonts w:hint="eastAsia" w:ascii="宋体" w:hAnsi="宋体" w:cs="宋体"/>
                <w:snapToGrid w:val="0"/>
                <w:kern w:val="0"/>
                <w:sz w:val="24"/>
                <w:szCs w:val="24"/>
              </w:rPr>
              <w:t>统一社会信用代码：</w:t>
            </w:r>
          </w:p>
        </w:tc>
      </w:tr>
      <w:tr w14:paraId="26688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4678" w:type="dxa"/>
            <w:vAlign w:val="center"/>
          </w:tcPr>
          <w:p w14:paraId="55F86F90">
            <w:pPr>
              <w:widowControl/>
              <w:spacing w:line="360" w:lineRule="auto"/>
              <w:jc w:val="left"/>
              <w:rPr>
                <w:rFonts w:hint="eastAsia" w:ascii="宋体" w:hAnsi="宋体" w:cs="宋体"/>
                <w:snapToGrid w:val="0"/>
                <w:kern w:val="0"/>
                <w:sz w:val="24"/>
                <w:szCs w:val="24"/>
              </w:rPr>
            </w:pPr>
          </w:p>
        </w:tc>
        <w:tc>
          <w:tcPr>
            <w:tcW w:w="284" w:type="dxa"/>
            <w:vAlign w:val="center"/>
          </w:tcPr>
          <w:p w14:paraId="01F6CEFB">
            <w:pPr>
              <w:widowControl/>
              <w:spacing w:line="360" w:lineRule="auto"/>
              <w:jc w:val="center"/>
              <w:rPr>
                <w:rFonts w:hint="eastAsia" w:ascii="宋体" w:hAnsi="宋体" w:cs="宋体"/>
                <w:kern w:val="0"/>
                <w:sz w:val="24"/>
                <w:szCs w:val="24"/>
                <w:lang w:val="zh-CN"/>
              </w:rPr>
            </w:pPr>
          </w:p>
        </w:tc>
        <w:tc>
          <w:tcPr>
            <w:tcW w:w="4678" w:type="dxa"/>
            <w:vAlign w:val="center"/>
          </w:tcPr>
          <w:p w14:paraId="5D001043">
            <w:pPr>
              <w:widowControl/>
              <w:spacing w:line="360" w:lineRule="auto"/>
              <w:ind w:left="1200" w:hanging="1200" w:hangingChars="500"/>
              <w:jc w:val="left"/>
              <w:rPr>
                <w:rFonts w:hint="eastAsia" w:ascii="宋体" w:hAnsi="宋体" w:cs="宋体"/>
                <w:snapToGrid w:val="0"/>
                <w:kern w:val="0"/>
                <w:sz w:val="24"/>
                <w:szCs w:val="24"/>
              </w:rPr>
            </w:pPr>
            <w:r>
              <w:rPr>
                <w:rFonts w:hint="eastAsia" w:ascii="宋体" w:hAnsi="宋体" w:cs="宋体"/>
                <w:snapToGrid w:val="0"/>
                <w:kern w:val="0"/>
                <w:sz w:val="24"/>
                <w:szCs w:val="24"/>
              </w:rPr>
              <w:t>开户银行：</w:t>
            </w:r>
          </w:p>
        </w:tc>
      </w:tr>
      <w:tr w14:paraId="502A8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4678" w:type="dxa"/>
            <w:vAlign w:val="center"/>
          </w:tcPr>
          <w:p w14:paraId="5794B176">
            <w:pPr>
              <w:widowControl/>
              <w:spacing w:line="360" w:lineRule="auto"/>
              <w:jc w:val="left"/>
              <w:rPr>
                <w:rFonts w:hint="eastAsia" w:ascii="宋体" w:hAnsi="宋体" w:cs="宋体"/>
                <w:snapToGrid w:val="0"/>
                <w:kern w:val="0"/>
                <w:sz w:val="24"/>
                <w:szCs w:val="24"/>
              </w:rPr>
            </w:pPr>
          </w:p>
        </w:tc>
        <w:tc>
          <w:tcPr>
            <w:tcW w:w="284" w:type="dxa"/>
            <w:vAlign w:val="center"/>
          </w:tcPr>
          <w:p w14:paraId="4F6DD653">
            <w:pPr>
              <w:widowControl/>
              <w:spacing w:line="360" w:lineRule="auto"/>
              <w:jc w:val="center"/>
              <w:rPr>
                <w:rFonts w:hint="eastAsia" w:ascii="宋体" w:hAnsi="宋体" w:cs="宋体"/>
                <w:kern w:val="0"/>
                <w:sz w:val="24"/>
                <w:szCs w:val="24"/>
                <w:lang w:val="zh-CN"/>
              </w:rPr>
            </w:pPr>
          </w:p>
        </w:tc>
        <w:tc>
          <w:tcPr>
            <w:tcW w:w="4678" w:type="dxa"/>
            <w:vAlign w:val="center"/>
          </w:tcPr>
          <w:p w14:paraId="63727400">
            <w:pPr>
              <w:widowControl/>
              <w:spacing w:line="360" w:lineRule="auto"/>
              <w:ind w:left="1200" w:hanging="1200" w:hangingChars="500"/>
              <w:jc w:val="left"/>
              <w:rPr>
                <w:rFonts w:hint="eastAsia" w:ascii="宋体" w:hAnsi="宋体" w:cs="宋体"/>
                <w:snapToGrid w:val="0"/>
                <w:kern w:val="0"/>
                <w:sz w:val="24"/>
                <w:szCs w:val="24"/>
              </w:rPr>
            </w:pPr>
            <w:r>
              <w:rPr>
                <w:rFonts w:hint="eastAsia" w:ascii="宋体" w:hAnsi="宋体" w:cs="宋体"/>
                <w:snapToGrid w:val="0"/>
                <w:kern w:val="0"/>
                <w:sz w:val="24"/>
                <w:szCs w:val="24"/>
              </w:rPr>
              <w:t>银行账号：</w:t>
            </w:r>
          </w:p>
        </w:tc>
      </w:tr>
      <w:tr w14:paraId="10DCF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4678" w:type="dxa"/>
            <w:vAlign w:val="center"/>
          </w:tcPr>
          <w:p w14:paraId="42EF8D27">
            <w:pPr>
              <w:widowControl/>
              <w:spacing w:line="360" w:lineRule="auto"/>
              <w:jc w:val="left"/>
              <w:rPr>
                <w:rFonts w:hint="eastAsia" w:ascii="宋体" w:hAnsi="宋体" w:cs="宋体"/>
                <w:kern w:val="0"/>
                <w:sz w:val="24"/>
                <w:szCs w:val="24"/>
                <w:lang w:val="zh-CN"/>
              </w:rPr>
            </w:pPr>
            <w:r>
              <w:rPr>
                <w:rFonts w:hint="eastAsia" w:ascii="宋体" w:hAnsi="宋体" w:cs="宋体"/>
                <w:snapToGrid w:val="0"/>
                <w:kern w:val="0"/>
                <w:sz w:val="24"/>
                <w:szCs w:val="24"/>
              </w:rPr>
              <w:t>电话：</w:t>
            </w:r>
          </w:p>
        </w:tc>
        <w:tc>
          <w:tcPr>
            <w:tcW w:w="284" w:type="dxa"/>
            <w:vAlign w:val="center"/>
          </w:tcPr>
          <w:p w14:paraId="1A7EC23D">
            <w:pPr>
              <w:widowControl/>
              <w:spacing w:line="360" w:lineRule="auto"/>
              <w:jc w:val="center"/>
              <w:rPr>
                <w:rFonts w:hint="eastAsia" w:ascii="宋体" w:hAnsi="宋体" w:cs="宋体"/>
                <w:kern w:val="0"/>
                <w:sz w:val="24"/>
                <w:szCs w:val="24"/>
                <w:lang w:val="zh-CN"/>
              </w:rPr>
            </w:pPr>
          </w:p>
        </w:tc>
        <w:tc>
          <w:tcPr>
            <w:tcW w:w="4678" w:type="dxa"/>
            <w:vAlign w:val="center"/>
          </w:tcPr>
          <w:p w14:paraId="474B64D0">
            <w:pPr>
              <w:widowControl/>
              <w:spacing w:line="360" w:lineRule="auto"/>
              <w:jc w:val="left"/>
              <w:rPr>
                <w:rFonts w:hint="eastAsia" w:ascii="宋体" w:hAnsi="宋体" w:cs="宋体"/>
                <w:kern w:val="0"/>
                <w:sz w:val="24"/>
                <w:szCs w:val="24"/>
                <w:lang w:val="zh-CN"/>
              </w:rPr>
            </w:pPr>
            <w:r>
              <w:rPr>
                <w:rFonts w:hint="eastAsia" w:ascii="宋体" w:hAnsi="宋体" w:cs="宋体"/>
                <w:snapToGrid w:val="0"/>
                <w:kern w:val="0"/>
                <w:sz w:val="24"/>
                <w:szCs w:val="24"/>
              </w:rPr>
              <w:t>电话：</w:t>
            </w:r>
          </w:p>
        </w:tc>
      </w:tr>
      <w:tr w14:paraId="70E95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640" w:type="dxa"/>
            <w:gridSpan w:val="3"/>
            <w:vAlign w:val="center"/>
          </w:tcPr>
          <w:p w14:paraId="49B243DE">
            <w:pPr>
              <w:widowControl/>
              <w:spacing w:line="360" w:lineRule="auto"/>
              <w:ind w:left="799" w:hanging="799" w:hangingChars="333"/>
              <w:jc w:val="center"/>
              <w:rPr>
                <w:rFonts w:hint="eastAsia" w:ascii="宋体" w:hAnsi="宋体" w:cs="宋体"/>
                <w:snapToGrid w:val="0"/>
                <w:kern w:val="0"/>
                <w:sz w:val="24"/>
                <w:szCs w:val="24"/>
              </w:rPr>
            </w:pPr>
          </w:p>
          <w:p w14:paraId="4F81BE31">
            <w:pPr>
              <w:widowControl/>
              <w:spacing w:line="360" w:lineRule="auto"/>
              <w:ind w:left="799" w:hanging="799" w:hangingChars="333"/>
              <w:jc w:val="center"/>
              <w:rPr>
                <w:rFonts w:hint="eastAsia" w:ascii="宋体" w:hAnsi="宋体" w:cs="宋体"/>
                <w:snapToGrid w:val="0"/>
                <w:kern w:val="0"/>
                <w:sz w:val="24"/>
                <w:szCs w:val="24"/>
              </w:rPr>
            </w:pPr>
            <w:r>
              <w:rPr>
                <w:rFonts w:hint="eastAsia" w:ascii="宋体" w:hAnsi="宋体" w:cs="宋体"/>
                <w:snapToGrid w:val="0"/>
                <w:kern w:val="0"/>
                <w:sz w:val="24"/>
                <w:szCs w:val="24"/>
              </w:rPr>
              <w:t>签订时间：2025年   月    日</w:t>
            </w:r>
          </w:p>
          <w:p w14:paraId="31603596">
            <w:pPr>
              <w:widowControl/>
              <w:spacing w:line="360" w:lineRule="auto"/>
              <w:jc w:val="center"/>
              <w:rPr>
                <w:rFonts w:hint="eastAsia" w:ascii="宋体" w:hAnsi="宋体" w:cs="宋体"/>
                <w:snapToGrid w:val="0"/>
                <w:kern w:val="0"/>
                <w:sz w:val="24"/>
                <w:szCs w:val="24"/>
              </w:rPr>
            </w:pPr>
          </w:p>
        </w:tc>
      </w:tr>
    </w:tbl>
    <w:p w14:paraId="5389B63D">
      <w:pPr>
        <w:widowControl/>
        <w:spacing w:line="360" w:lineRule="auto"/>
        <w:jc w:val="left"/>
        <w:rPr>
          <w:rFonts w:hint="eastAsia" w:ascii="宋体" w:hAnsi="宋体" w:cs="宋体"/>
          <w:b/>
          <w:bCs/>
          <w:szCs w:val="21"/>
          <w:lang w:val="zh-CN"/>
        </w:rPr>
        <w:sectPr>
          <w:footerReference r:id="rId9" w:type="first"/>
          <w:footerReference r:id="rId8" w:type="default"/>
          <w:pgSz w:w="11907" w:h="16840"/>
          <w:pgMar w:top="1134" w:right="1417" w:bottom="1134" w:left="1417" w:header="851" w:footer="680" w:gutter="0"/>
          <w:pgNumType w:start="1"/>
          <w:cols w:space="720" w:num="1"/>
          <w:docGrid w:type="lines" w:linePitch="312" w:charSpace="0"/>
        </w:sectPr>
      </w:pPr>
      <w:r>
        <w:rPr>
          <w:rFonts w:hint="eastAsia" w:ascii="宋体" w:hAnsi="宋体" w:cs="宋体"/>
          <w:b/>
          <w:bCs/>
          <w:szCs w:val="21"/>
          <w:lang w:val="zh-CN"/>
        </w:rPr>
        <w:br w:type="page"/>
      </w:r>
    </w:p>
    <w:p w14:paraId="37C41DFA">
      <w:pPr>
        <w:adjustRightInd w:val="0"/>
        <w:snapToGrid w:val="0"/>
        <w:spacing w:line="360" w:lineRule="auto"/>
        <w:outlineLvl w:val="0"/>
        <w:rPr>
          <w:rFonts w:hint="eastAsia" w:ascii="宋体" w:hAnsi="宋体" w:cs="宋体"/>
          <w:b/>
          <w:snapToGrid w:val="0"/>
          <w:kern w:val="0"/>
          <w:szCs w:val="21"/>
        </w:rPr>
      </w:pPr>
      <w:r>
        <w:rPr>
          <w:rFonts w:hint="eastAsia" w:ascii="宋体" w:hAnsi="宋体" w:cs="宋体"/>
          <w:b/>
          <w:snapToGrid w:val="0"/>
          <w:kern w:val="0"/>
          <w:szCs w:val="21"/>
        </w:rPr>
        <w:t>附件1：拟投入设计人员表</w:t>
      </w:r>
    </w:p>
    <w:p w14:paraId="5B172AD0">
      <w:pPr>
        <w:spacing w:line="360" w:lineRule="auto"/>
        <w:jc w:val="left"/>
        <w:rPr>
          <w:rFonts w:hint="eastAsia" w:ascii="宋体" w:hAnsi="宋体" w:cs="宋体"/>
        </w:rPr>
      </w:pPr>
    </w:p>
    <w:p w14:paraId="25986305">
      <w:pPr>
        <w:adjustRightInd w:val="0"/>
        <w:snapToGrid w:val="0"/>
        <w:spacing w:line="360" w:lineRule="auto"/>
        <w:rPr>
          <w:rFonts w:hint="eastAsia" w:ascii="宋体" w:hAnsi="宋体" w:cs="宋体"/>
          <w:b/>
          <w:snapToGrid w:val="0"/>
          <w:kern w:val="0"/>
          <w:sz w:val="24"/>
        </w:rPr>
      </w:pPr>
    </w:p>
    <w:p w14:paraId="0D8B1586">
      <w:pPr>
        <w:adjustRightInd w:val="0"/>
        <w:snapToGrid w:val="0"/>
        <w:spacing w:line="360" w:lineRule="auto"/>
        <w:rPr>
          <w:rFonts w:hint="eastAsia" w:ascii="宋体" w:hAnsi="宋体" w:cs="宋体"/>
          <w:b/>
          <w:snapToGrid w:val="0"/>
          <w:kern w:val="0"/>
          <w:sz w:val="24"/>
        </w:rPr>
        <w:sectPr>
          <w:footerReference r:id="rId10" w:type="default"/>
          <w:pgSz w:w="16840" w:h="11907" w:orient="landscape"/>
          <w:pgMar w:top="1134" w:right="1440" w:bottom="1134" w:left="1440" w:header="851" w:footer="680" w:gutter="0"/>
          <w:cols w:space="720" w:num="1"/>
          <w:titlePg/>
          <w:docGrid w:type="linesAndChars" w:linePitch="312" w:charSpace="0"/>
        </w:sectPr>
      </w:pPr>
    </w:p>
    <w:p w14:paraId="7FF9A2F1">
      <w:pPr>
        <w:adjustRightInd w:val="0"/>
        <w:snapToGrid w:val="0"/>
        <w:spacing w:line="360" w:lineRule="auto"/>
        <w:outlineLvl w:val="0"/>
        <w:rPr>
          <w:rFonts w:hint="eastAsia" w:ascii="宋体" w:hAnsi="宋体" w:cs="宋体"/>
          <w:b/>
          <w:snapToGrid w:val="0"/>
          <w:kern w:val="0"/>
          <w:sz w:val="30"/>
          <w:szCs w:val="30"/>
        </w:rPr>
        <w:sectPr>
          <w:pgSz w:w="11907" w:h="16840"/>
          <w:pgMar w:top="1440" w:right="1276" w:bottom="1440" w:left="1559" w:header="851" w:footer="680" w:gutter="0"/>
          <w:cols w:space="720" w:num="1"/>
          <w:titlePg/>
          <w:docGrid w:type="linesAndChars" w:linePitch="312" w:charSpace="0"/>
        </w:sectPr>
      </w:pPr>
      <w:r>
        <w:rPr>
          <w:rFonts w:hint="eastAsia" w:ascii="宋体" w:hAnsi="宋体" w:cs="宋体"/>
          <w:b/>
          <w:snapToGrid w:val="0"/>
          <w:kern w:val="0"/>
          <w:szCs w:val="21"/>
        </w:rPr>
        <w:t>附件2：中标通知书</w:t>
      </w:r>
    </w:p>
    <w:p w14:paraId="307CFB72">
      <w:pPr>
        <w:adjustRightInd w:val="0"/>
        <w:snapToGrid w:val="0"/>
        <w:spacing w:line="360" w:lineRule="auto"/>
        <w:outlineLvl w:val="0"/>
        <w:rPr>
          <w:rFonts w:hint="eastAsia" w:ascii="宋体" w:hAnsi="宋体" w:cs="宋体"/>
          <w:b/>
          <w:szCs w:val="21"/>
        </w:rPr>
      </w:pPr>
      <w:r>
        <w:rPr>
          <w:rFonts w:hint="eastAsia" w:ascii="宋体" w:hAnsi="宋体" w:cs="宋体"/>
          <w:b/>
          <w:snapToGrid w:val="0"/>
          <w:kern w:val="0"/>
          <w:szCs w:val="21"/>
        </w:rPr>
        <w:t>附件3：</w:t>
      </w:r>
      <w:r>
        <w:rPr>
          <w:rFonts w:hint="eastAsia" w:ascii="宋体" w:hAnsi="宋体" w:cs="宋体"/>
          <w:b/>
          <w:szCs w:val="21"/>
        </w:rPr>
        <w:t>设计任务书</w:t>
      </w:r>
    </w:p>
    <w:p w14:paraId="1F4264E8">
      <w:pPr>
        <w:ind w:right="3"/>
        <w:jc w:val="center"/>
        <w:rPr>
          <w:rFonts w:ascii="宋体" w:hAnsi="宋体" w:eastAsia="宋体"/>
          <w:color w:val="auto"/>
          <w:highlight w:val="none"/>
          <w:lang w:eastAsia="zh-CN"/>
        </w:rPr>
      </w:pPr>
      <w:bookmarkStart w:id="58" w:name="_Toc25152748"/>
      <w:bookmarkStart w:id="59" w:name="_Toc25138016"/>
      <w:r>
        <w:rPr>
          <w:rFonts w:ascii="宋体" w:hAnsi="宋体" w:eastAsia="宋体"/>
          <w:color w:val="auto"/>
          <w:highlight w:val="none"/>
          <w:lang w:eastAsia="zh-CN"/>
        </w:rPr>
        <w:br w:type="page"/>
      </w:r>
    </w:p>
    <w:p w14:paraId="380614EB">
      <w:pPr>
        <w:pStyle w:val="2"/>
        <w:spacing w:line="738" w:lineRule="exact"/>
        <w:ind w:right="3"/>
        <w:jc w:val="center"/>
        <w:rPr>
          <w:rFonts w:ascii="宋体" w:hAnsi="宋体" w:eastAsia="宋体"/>
          <w:color w:val="auto"/>
          <w:highlight w:val="none"/>
          <w:lang w:eastAsia="zh-CN"/>
        </w:rPr>
      </w:pPr>
      <w:r>
        <w:rPr>
          <w:rFonts w:ascii="宋体" w:hAnsi="宋体" w:eastAsia="宋体"/>
          <w:color w:val="auto"/>
          <w:highlight w:val="none"/>
          <w:lang w:eastAsia="zh-CN"/>
        </w:rPr>
        <w:t>第二卷</w:t>
      </w:r>
      <w:bookmarkEnd w:id="58"/>
      <w:bookmarkEnd w:id="59"/>
    </w:p>
    <w:p w14:paraId="0BC72FA5">
      <w:pPr>
        <w:ind w:right="3"/>
        <w:jc w:val="center"/>
        <w:rPr>
          <w:rFonts w:ascii="宋体" w:hAnsi="宋体" w:eastAsia="宋体"/>
          <w:color w:val="auto"/>
          <w:highlight w:val="none"/>
          <w:lang w:eastAsia="zh-CN"/>
        </w:rPr>
      </w:pPr>
      <w:r>
        <w:rPr>
          <w:rFonts w:ascii="宋体" w:hAnsi="宋体" w:eastAsia="宋体"/>
          <w:color w:val="auto"/>
          <w:highlight w:val="none"/>
          <w:lang w:eastAsia="zh-CN"/>
        </w:rPr>
        <w:br w:type="page"/>
      </w:r>
    </w:p>
    <w:p w14:paraId="28FD88B5">
      <w:pPr>
        <w:pStyle w:val="2"/>
        <w:numPr>
          <w:ilvl w:val="0"/>
          <w:numId w:val="2"/>
        </w:numPr>
        <w:jc w:val="center"/>
        <w:rPr>
          <w:rFonts w:ascii="宋体" w:hAnsi="宋体" w:eastAsia="宋体"/>
          <w:color w:val="auto"/>
          <w:highlight w:val="none"/>
          <w:lang w:eastAsia="zh-CN"/>
        </w:rPr>
      </w:pPr>
      <w:bookmarkStart w:id="60" w:name="_Toc25138017"/>
      <w:bookmarkStart w:id="61" w:name="_Toc25152749"/>
      <w:r>
        <w:rPr>
          <w:rFonts w:hint="eastAsia" w:ascii="宋体" w:hAnsi="宋体" w:eastAsia="宋体"/>
          <w:color w:val="auto"/>
          <w:highlight w:val="none"/>
          <w:lang w:eastAsia="zh-CN"/>
        </w:rPr>
        <w:t xml:space="preserve"> </w:t>
      </w:r>
      <w:bookmarkEnd w:id="60"/>
      <w:r>
        <w:rPr>
          <w:rFonts w:hint="eastAsia" w:ascii="宋体" w:hAnsi="宋体" w:eastAsia="宋体"/>
          <w:color w:val="auto"/>
          <w:highlight w:val="none"/>
          <w:lang w:val="en-US" w:eastAsia="zh-CN"/>
        </w:rPr>
        <w:t>招标</w:t>
      </w:r>
      <w:r>
        <w:rPr>
          <w:rFonts w:hint="eastAsia" w:ascii="宋体" w:hAnsi="宋体" w:eastAsia="宋体"/>
          <w:color w:val="auto"/>
          <w:highlight w:val="none"/>
          <w:lang w:eastAsia="zh-CN"/>
        </w:rPr>
        <w:t>人要求</w:t>
      </w:r>
    </w:p>
    <w:p w14:paraId="1FCD5821">
      <w:pPr>
        <w:pStyle w:val="7"/>
        <w:rPr>
          <w:color w:val="auto"/>
          <w:highlight w:val="none"/>
          <w:lang w:eastAsia="zh-CN"/>
        </w:rPr>
      </w:pPr>
    </w:p>
    <w:p w14:paraId="1E63893B">
      <w:pPr>
        <w:pStyle w:val="7"/>
        <w:rPr>
          <w:color w:val="auto"/>
          <w:highlight w:val="none"/>
          <w:lang w:eastAsia="zh-CN"/>
        </w:rPr>
      </w:pPr>
    </w:p>
    <w:bookmarkEnd w:id="61"/>
    <w:p w14:paraId="45ADA47F">
      <w:pPr>
        <w:pStyle w:val="3"/>
        <w:numPr>
          <w:ilvl w:val="0"/>
          <w:numId w:val="3"/>
        </w:numPr>
        <w:bidi w:val="0"/>
        <w:spacing w:line="360" w:lineRule="auto"/>
        <w:rPr>
          <w:rFonts w:hint="eastAsia"/>
          <w:color w:val="auto"/>
          <w:highlight w:val="none"/>
        </w:rPr>
      </w:pPr>
      <w:bookmarkStart w:id="62" w:name="_Toc196727008"/>
      <w:r>
        <w:rPr>
          <w:rFonts w:hint="eastAsia"/>
          <w:color w:val="auto"/>
          <w:highlight w:val="none"/>
        </w:rPr>
        <w:t>项目概况</w:t>
      </w:r>
      <w:bookmarkEnd w:id="62"/>
    </w:p>
    <w:p w14:paraId="780DFA18">
      <w:pPr>
        <w:pStyle w:val="50"/>
        <w:numPr>
          <w:ilvl w:val="0"/>
          <w:numId w:val="4"/>
        </w:numPr>
        <w:spacing w:line="360" w:lineRule="auto"/>
        <w:ind w:firstLineChars="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工程项目名称：</w:t>
      </w:r>
      <w:r>
        <w:rPr>
          <w:rFonts w:hint="eastAsia" w:asciiTheme="minorEastAsia" w:hAnsiTheme="minorEastAsia" w:eastAsiaTheme="minorEastAsia"/>
          <w:color w:val="auto"/>
          <w:sz w:val="24"/>
          <w:highlight w:val="none"/>
        </w:rPr>
        <w:t>前锋水乡首开区提升改造建设方案设计项目（以下简称：首开区项目）</w:t>
      </w:r>
    </w:p>
    <w:p w14:paraId="4DF10A0E">
      <w:pPr>
        <w:pStyle w:val="45"/>
        <w:widowControl/>
        <w:numPr>
          <w:ilvl w:val="0"/>
          <w:numId w:val="4"/>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项目位置以及四至：</w:t>
      </w:r>
      <w:r>
        <w:rPr>
          <w:rFonts w:hint="eastAsia" w:asciiTheme="minorEastAsia" w:hAnsiTheme="minorEastAsia" w:eastAsiaTheme="minorEastAsia"/>
          <w:color w:val="auto"/>
          <w:sz w:val="24"/>
          <w:highlight w:val="none"/>
        </w:rPr>
        <w:t>广州市南沙区珠江街道前锋社区，范围详见规划图及测绘图。</w:t>
      </w:r>
    </w:p>
    <w:p w14:paraId="0AF420CE">
      <w:pPr>
        <w:pStyle w:val="45"/>
        <w:widowControl/>
        <w:numPr>
          <w:ilvl w:val="0"/>
          <w:numId w:val="4"/>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工程概况：</w:t>
      </w:r>
      <w:r>
        <w:rPr>
          <w:rFonts w:hint="eastAsia" w:asciiTheme="minorEastAsia" w:hAnsiTheme="minorEastAsia" w:eastAsiaTheme="minorEastAsia"/>
          <w:color w:val="auto"/>
          <w:sz w:val="24"/>
          <w:highlight w:val="none"/>
        </w:rPr>
        <w:t>首开区占地约12公顷（180亩），物业138栋，总建筑面积约16500</w:t>
      </w:r>
      <w:r>
        <w:rPr>
          <w:rFonts w:hint="eastAsia" w:asciiTheme="minorEastAsia" w:hAnsiTheme="minorEastAsia" w:eastAsiaTheme="minorEastAsia"/>
          <w:color w:val="auto"/>
          <w:sz w:val="24"/>
          <w:highlight w:val="none"/>
          <w:lang w:eastAsia="zh-CN"/>
        </w:rPr>
        <w:t>平方米</w:t>
      </w:r>
      <w:r>
        <w:rPr>
          <w:rFonts w:hint="eastAsia" w:asciiTheme="minorEastAsia" w:hAnsiTheme="minorEastAsia" w:eastAsiaTheme="minorEastAsia"/>
          <w:color w:val="auto"/>
          <w:sz w:val="24"/>
          <w:highlight w:val="none"/>
        </w:rPr>
        <w:t>。</w:t>
      </w:r>
    </w:p>
    <w:p w14:paraId="67041C15">
      <w:pPr>
        <w:pStyle w:val="45"/>
        <w:widowControl/>
        <w:numPr>
          <w:ilvl w:val="0"/>
          <w:numId w:val="4"/>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地形地貌：</w:t>
      </w:r>
      <w:r>
        <w:rPr>
          <w:rFonts w:hint="eastAsia" w:asciiTheme="minorEastAsia" w:hAnsiTheme="minorEastAsia" w:eastAsiaTheme="minorEastAsia"/>
          <w:color w:val="auto"/>
          <w:sz w:val="24"/>
          <w:highlight w:val="none"/>
        </w:rPr>
        <w:t>河涌两岸自然形成村落肌理，以平地为主，包含建筑、园地等。</w:t>
      </w:r>
    </w:p>
    <w:p w14:paraId="67130CE4">
      <w:pPr>
        <w:pStyle w:val="45"/>
        <w:widowControl/>
        <w:numPr>
          <w:ilvl w:val="0"/>
          <w:numId w:val="4"/>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绿化植被：</w:t>
      </w:r>
      <w:r>
        <w:rPr>
          <w:rFonts w:hint="eastAsia" w:asciiTheme="minorEastAsia" w:hAnsiTheme="minorEastAsia" w:eastAsiaTheme="minorEastAsia"/>
          <w:color w:val="auto"/>
          <w:sz w:val="24"/>
          <w:highlight w:val="none"/>
        </w:rPr>
        <w:t>村庄原始绿化。</w:t>
      </w:r>
    </w:p>
    <w:p w14:paraId="40998666">
      <w:pPr>
        <w:pStyle w:val="3"/>
        <w:numPr>
          <w:ilvl w:val="0"/>
          <w:numId w:val="3"/>
        </w:numPr>
        <w:bidi w:val="0"/>
        <w:spacing w:line="360" w:lineRule="auto"/>
        <w:rPr>
          <w:rFonts w:hint="eastAsia"/>
          <w:color w:val="auto"/>
          <w:highlight w:val="none"/>
        </w:rPr>
      </w:pPr>
      <w:bookmarkStart w:id="63" w:name="_Toc196727009"/>
      <w:r>
        <w:rPr>
          <w:rFonts w:hint="eastAsia"/>
          <w:color w:val="auto"/>
          <w:highlight w:val="none"/>
        </w:rPr>
        <w:t>设计依据及基础资料</w:t>
      </w:r>
      <w:bookmarkEnd w:id="63"/>
    </w:p>
    <w:p w14:paraId="29B76535">
      <w:pPr>
        <w:pStyle w:val="45"/>
        <w:widowControl/>
        <w:numPr>
          <w:ilvl w:val="0"/>
          <w:numId w:val="5"/>
        </w:numPr>
        <w:spacing w:line="360" w:lineRule="auto"/>
        <w:ind w:firstLine="482"/>
        <w:jc w:val="left"/>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依据</w:t>
      </w:r>
    </w:p>
    <w:p w14:paraId="21235C97">
      <w:pPr>
        <w:pStyle w:val="45"/>
        <w:widowControl/>
        <w:numPr>
          <w:ilvl w:val="0"/>
          <w:numId w:val="6"/>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国家相关</w:t>
      </w:r>
      <w:r>
        <w:rPr>
          <w:rFonts w:hint="eastAsia" w:asciiTheme="minorEastAsia" w:hAnsiTheme="minorEastAsia" w:eastAsiaTheme="minorEastAsia"/>
          <w:color w:val="auto"/>
          <w:sz w:val="24"/>
          <w:highlight w:val="none"/>
          <w:lang w:eastAsia="zh-CN"/>
        </w:rPr>
        <w:t>法律法规</w:t>
      </w:r>
      <w:r>
        <w:rPr>
          <w:rFonts w:hint="eastAsia" w:asciiTheme="minorEastAsia" w:hAnsiTheme="minorEastAsia" w:eastAsiaTheme="minorEastAsia"/>
          <w:color w:val="auto"/>
          <w:sz w:val="24"/>
          <w:highlight w:val="none"/>
        </w:rPr>
        <w:t>、规定、条例</w:t>
      </w:r>
    </w:p>
    <w:p w14:paraId="36E3079C">
      <w:pPr>
        <w:pStyle w:val="45"/>
        <w:widowControl/>
        <w:numPr>
          <w:ilvl w:val="0"/>
          <w:numId w:val="6"/>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当地行政主管部门相关规定、条例</w:t>
      </w:r>
    </w:p>
    <w:p w14:paraId="276A4607">
      <w:pPr>
        <w:pStyle w:val="45"/>
        <w:widowControl/>
        <w:numPr>
          <w:ilvl w:val="0"/>
          <w:numId w:val="6"/>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国家现行设计规范、标准</w:t>
      </w:r>
    </w:p>
    <w:p w14:paraId="1DBDDF83">
      <w:pPr>
        <w:pStyle w:val="45"/>
        <w:widowControl/>
        <w:numPr>
          <w:ilvl w:val="0"/>
          <w:numId w:val="6"/>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当地行政主管部门相关设计条例、指引</w:t>
      </w:r>
    </w:p>
    <w:p w14:paraId="4832E1F1">
      <w:pPr>
        <w:pStyle w:val="45"/>
        <w:widowControl/>
        <w:numPr>
          <w:ilvl w:val="0"/>
          <w:numId w:val="6"/>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当地行政主管部门相关批文、意见</w:t>
      </w:r>
    </w:p>
    <w:p w14:paraId="4B5F6C2B">
      <w:pPr>
        <w:pStyle w:val="45"/>
        <w:widowControl/>
        <w:numPr>
          <w:ilvl w:val="0"/>
          <w:numId w:val="6"/>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前锋水乡项目概念性规划</w:t>
      </w:r>
    </w:p>
    <w:p w14:paraId="73EEE250">
      <w:pPr>
        <w:pStyle w:val="45"/>
        <w:widowControl/>
        <w:numPr>
          <w:ilvl w:val="0"/>
          <w:numId w:val="6"/>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本设计任务书</w:t>
      </w:r>
    </w:p>
    <w:p w14:paraId="47EF48C4">
      <w:pPr>
        <w:pStyle w:val="45"/>
        <w:widowControl/>
        <w:spacing w:line="360" w:lineRule="auto"/>
        <w:ind w:left="720" w:firstLine="0" w:firstLineChars="0"/>
        <w:jc w:val="left"/>
        <w:rPr>
          <w:rFonts w:hint="eastAsia" w:asciiTheme="minorEastAsia" w:hAnsiTheme="minorEastAsia" w:eastAsiaTheme="minorEastAsia"/>
          <w:color w:val="auto"/>
          <w:sz w:val="24"/>
          <w:highlight w:val="none"/>
        </w:rPr>
      </w:pPr>
    </w:p>
    <w:p w14:paraId="55DD9906">
      <w:pPr>
        <w:pStyle w:val="45"/>
        <w:widowControl/>
        <w:numPr>
          <w:ilvl w:val="0"/>
          <w:numId w:val="5"/>
        </w:numPr>
        <w:spacing w:line="360" w:lineRule="auto"/>
        <w:ind w:firstLine="482"/>
        <w:jc w:val="left"/>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基础资料</w:t>
      </w:r>
    </w:p>
    <w:p w14:paraId="5B1FAD39">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项目地块已具备的基础测绘图、树木测量图、建筑测绘、鉴定图等基础图纸素材，以及周边的市政排水、供水、供电、燃气、电信等基础设施及管线综合，</w:t>
      </w: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需自行到各行政主管部门进行征询并获取书面指导意见。</w:t>
      </w:r>
    </w:p>
    <w:p w14:paraId="0A229E3B">
      <w:pPr>
        <w:pStyle w:val="45"/>
        <w:widowControl/>
        <w:spacing w:line="360" w:lineRule="auto"/>
        <w:ind w:left="720" w:firstLine="480"/>
        <w:jc w:val="left"/>
        <w:rPr>
          <w:rFonts w:hint="eastAsia" w:asciiTheme="minorEastAsia" w:hAnsiTheme="minorEastAsia" w:eastAsiaTheme="minorEastAsia"/>
          <w:color w:val="auto"/>
          <w:sz w:val="24"/>
          <w:highlight w:val="none"/>
        </w:rPr>
      </w:pPr>
    </w:p>
    <w:p w14:paraId="4B41005A">
      <w:pPr>
        <w:pStyle w:val="45"/>
        <w:widowControl/>
        <w:numPr>
          <w:ilvl w:val="0"/>
          <w:numId w:val="5"/>
        </w:numPr>
        <w:spacing w:line="360" w:lineRule="auto"/>
        <w:ind w:firstLine="482"/>
        <w:jc w:val="left"/>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规划条件</w:t>
      </w:r>
    </w:p>
    <w:p w14:paraId="79F76B8D">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竖向界限：详见测绘平面</w:t>
      </w:r>
    </w:p>
    <w:p w14:paraId="5405CDE8">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改造方式：在现有物业及布局基础上，按照改造提升方式进行方案设计；</w:t>
      </w:r>
    </w:p>
    <w:p w14:paraId="4365A39F">
      <w:pPr>
        <w:pStyle w:val="3"/>
        <w:numPr>
          <w:ilvl w:val="0"/>
          <w:numId w:val="3"/>
        </w:numPr>
        <w:bidi w:val="0"/>
        <w:spacing w:line="360" w:lineRule="auto"/>
        <w:rPr>
          <w:rFonts w:hint="eastAsia"/>
          <w:color w:val="auto"/>
          <w:highlight w:val="none"/>
        </w:rPr>
      </w:pPr>
      <w:bookmarkStart w:id="64" w:name="_Toc196727010"/>
      <w:r>
        <w:rPr>
          <w:rFonts w:hint="eastAsia"/>
          <w:color w:val="auto"/>
          <w:highlight w:val="none"/>
        </w:rPr>
        <w:t>设计范围及服务</w:t>
      </w:r>
      <w:bookmarkEnd w:id="64"/>
      <w:r>
        <w:rPr>
          <w:rFonts w:hint="eastAsia" w:eastAsia="宋体"/>
          <w:color w:val="auto"/>
          <w:highlight w:val="none"/>
          <w:lang w:eastAsia="zh-CN"/>
        </w:rPr>
        <w:t>（</w:t>
      </w:r>
      <w:r>
        <w:rPr>
          <w:rFonts w:hint="eastAsia" w:eastAsia="宋体"/>
          <w:color w:val="auto"/>
          <w:highlight w:val="none"/>
          <w:lang w:val="en-US" w:eastAsia="zh-CN"/>
        </w:rPr>
        <w:t>任务书）</w:t>
      </w:r>
    </w:p>
    <w:p w14:paraId="164D94EF">
      <w:pPr>
        <w:pStyle w:val="45"/>
        <w:widowControl/>
        <w:numPr>
          <w:ilvl w:val="0"/>
          <w:numId w:val="1"/>
        </w:numPr>
        <w:spacing w:line="360" w:lineRule="auto"/>
        <w:ind w:firstLine="482"/>
        <w:jc w:val="left"/>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设计范围</w:t>
      </w:r>
    </w:p>
    <w:p w14:paraId="60BB245C">
      <w:pPr>
        <w:pStyle w:val="45"/>
        <w:widowControl/>
        <w:spacing w:line="360" w:lineRule="auto"/>
        <w:ind w:left="4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首开区占地约12公顷（180亩），物业138栋，总建筑面积约16500</w:t>
      </w:r>
      <w:r>
        <w:rPr>
          <w:rFonts w:hint="eastAsia" w:asciiTheme="minorEastAsia" w:hAnsiTheme="minorEastAsia" w:eastAsiaTheme="minorEastAsia"/>
          <w:color w:val="auto"/>
          <w:sz w:val="24"/>
          <w:highlight w:val="none"/>
          <w:lang w:eastAsia="zh-CN"/>
        </w:rPr>
        <w:t>平方米</w:t>
      </w:r>
      <w:r>
        <w:rPr>
          <w:rFonts w:hint="eastAsia" w:asciiTheme="minorEastAsia" w:hAnsiTheme="minorEastAsia" w:eastAsiaTheme="minorEastAsia"/>
          <w:color w:val="auto"/>
          <w:sz w:val="24"/>
          <w:highlight w:val="none"/>
        </w:rPr>
        <w:t>。</w:t>
      </w:r>
    </w:p>
    <w:p w14:paraId="51AF20BB">
      <w:pPr>
        <w:pStyle w:val="45"/>
        <w:widowControl/>
        <w:spacing w:line="360" w:lineRule="auto"/>
        <w:ind w:left="420" w:firstLine="480"/>
        <w:jc w:val="left"/>
        <w:rPr>
          <w:rFonts w:hint="eastAsia" w:asciiTheme="minorEastAsia" w:hAnsiTheme="minorEastAsia" w:eastAsiaTheme="minorEastAsia"/>
          <w:color w:val="auto"/>
          <w:sz w:val="24"/>
          <w:highlight w:val="none"/>
        </w:rPr>
      </w:pPr>
    </w:p>
    <w:p w14:paraId="434FDB5E">
      <w:pPr>
        <w:pStyle w:val="45"/>
        <w:widowControl/>
        <w:numPr>
          <w:ilvl w:val="0"/>
          <w:numId w:val="1"/>
        </w:numPr>
        <w:spacing w:line="360" w:lineRule="auto"/>
        <w:ind w:firstLine="482"/>
        <w:jc w:val="left"/>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设计内容</w:t>
      </w:r>
    </w:p>
    <w:p w14:paraId="65282D8B">
      <w:pPr>
        <w:pStyle w:val="45"/>
        <w:widowControl/>
        <w:numPr>
          <w:ilvl w:val="0"/>
          <w:numId w:val="7"/>
        </w:numPr>
        <w:spacing w:line="360" w:lineRule="auto"/>
        <w:ind w:left="425" w:leftChars="0" w:hanging="425"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应充分对项目进行调研，充分理解项目区位、交通、自然生态及人文底蕴等综合资源禀赋及优势，按照“农、文、商、旅”融合的需求，同时结合乡村振兴及百千万工程，将项目打造成“南沙窗口、湾区客厅”的新质乡村综合体，并据此定位展开规划及设计。按照初步设计深度要求，完成如下板块项目设计，并完成方案设计、建筑单体设计、全套初步设计图纸、现场设计全程把控、项目总结等。</w:t>
      </w:r>
    </w:p>
    <w:p w14:paraId="70133753">
      <w:pPr>
        <w:pStyle w:val="18"/>
        <w:numPr>
          <w:ilvl w:val="0"/>
          <w:numId w:val="7"/>
        </w:numPr>
        <w:spacing w:before="0" w:beforeAutospacing="0" w:after="0" w:afterAutospacing="0" w:line="360" w:lineRule="auto"/>
        <w:ind w:left="425" w:leftChars="0" w:hanging="425" w:firstLineChars="0"/>
        <w:rPr>
          <w:rFonts w:hint="eastAsia" w:cs="Times New Roman" w:asciiTheme="minorEastAsia" w:hAnsiTheme="minorEastAsia" w:eastAsiaTheme="minorEastAsia"/>
          <w:color w:val="auto"/>
          <w:kern w:val="2"/>
          <w:highlight w:val="none"/>
        </w:rPr>
      </w:pPr>
      <w:r>
        <w:rPr>
          <w:rFonts w:hint="eastAsia" w:cs="Times New Roman" w:asciiTheme="minorEastAsia" w:hAnsiTheme="minorEastAsia" w:eastAsiaTheme="minorEastAsia"/>
          <w:color w:val="auto"/>
          <w:kern w:val="2"/>
          <w:highlight w:val="none"/>
        </w:rPr>
        <w:t>首开区规划及建筑改造方案（含规划专题研究）；</w:t>
      </w:r>
    </w:p>
    <w:p w14:paraId="7879B0EB">
      <w:pPr>
        <w:pStyle w:val="18"/>
        <w:numPr>
          <w:ilvl w:val="0"/>
          <w:numId w:val="7"/>
        </w:numPr>
        <w:spacing w:before="0" w:beforeAutospacing="0" w:after="0" w:afterAutospacing="0" w:line="360" w:lineRule="auto"/>
        <w:ind w:left="425" w:leftChars="0" w:hanging="425" w:firstLineChars="0"/>
        <w:rPr>
          <w:rFonts w:hint="eastAsia" w:cs="Times New Roman" w:asciiTheme="minorEastAsia" w:hAnsiTheme="minorEastAsia" w:eastAsiaTheme="minorEastAsia"/>
          <w:color w:val="auto"/>
          <w:kern w:val="2"/>
          <w:highlight w:val="none"/>
        </w:rPr>
      </w:pPr>
      <w:r>
        <w:rPr>
          <w:rFonts w:hint="eastAsia" w:cs="Times New Roman" w:asciiTheme="minorEastAsia" w:hAnsiTheme="minorEastAsia" w:eastAsiaTheme="minorEastAsia"/>
          <w:color w:val="auto"/>
          <w:kern w:val="2"/>
          <w:highlight w:val="none"/>
        </w:rPr>
        <w:t>首开区园林景观方案、小市政工程改造方案（含项目红线范围内的中、小型桥梁及小型钢结构）；</w:t>
      </w:r>
    </w:p>
    <w:p w14:paraId="1AE7D504">
      <w:pPr>
        <w:pStyle w:val="18"/>
        <w:numPr>
          <w:ilvl w:val="0"/>
          <w:numId w:val="7"/>
        </w:numPr>
        <w:spacing w:before="0" w:beforeAutospacing="0" w:after="0" w:afterAutospacing="0" w:line="360" w:lineRule="auto"/>
        <w:ind w:left="425" w:leftChars="0" w:hanging="425" w:firstLineChars="0"/>
        <w:rPr>
          <w:rFonts w:hint="eastAsia" w:cs="Times New Roman" w:asciiTheme="minorEastAsia" w:hAnsiTheme="minorEastAsia" w:eastAsiaTheme="minorEastAsia"/>
          <w:color w:val="auto"/>
          <w:kern w:val="2"/>
          <w:highlight w:val="none"/>
        </w:rPr>
      </w:pPr>
      <w:r>
        <w:rPr>
          <w:rFonts w:hint="eastAsia" w:cs="Times New Roman" w:asciiTheme="minorEastAsia" w:hAnsiTheme="minorEastAsia" w:eastAsiaTheme="minorEastAsia"/>
          <w:color w:val="auto"/>
          <w:kern w:val="2"/>
          <w:highlight w:val="none"/>
        </w:rPr>
        <w:t>首开区建筑及景观泛光方案设计、环境导视标识方案设计、海绵城市专项；</w:t>
      </w:r>
    </w:p>
    <w:p w14:paraId="1B1F9691">
      <w:pPr>
        <w:pStyle w:val="18"/>
        <w:numPr>
          <w:ilvl w:val="0"/>
          <w:numId w:val="7"/>
        </w:numPr>
        <w:spacing w:before="0" w:beforeAutospacing="0" w:after="0" w:afterAutospacing="0" w:line="360" w:lineRule="auto"/>
        <w:ind w:left="425" w:leftChars="0" w:hanging="425" w:firstLineChars="0"/>
        <w:rPr>
          <w:rFonts w:hint="eastAsia" w:cs="Times New Roman" w:asciiTheme="minorEastAsia" w:hAnsiTheme="minorEastAsia" w:eastAsiaTheme="minorEastAsia"/>
          <w:color w:val="auto"/>
          <w:kern w:val="2"/>
          <w:highlight w:val="none"/>
        </w:rPr>
      </w:pPr>
      <w:r>
        <w:rPr>
          <w:rFonts w:hint="eastAsia" w:cs="Times New Roman" w:asciiTheme="minorEastAsia" w:hAnsiTheme="minorEastAsia" w:eastAsiaTheme="minorEastAsia"/>
          <w:color w:val="auto"/>
          <w:kern w:val="2"/>
          <w:highlight w:val="none"/>
        </w:rPr>
        <w:t>首开区全专业初步设计及初步设计概算；</w:t>
      </w:r>
    </w:p>
    <w:p w14:paraId="266FE3A1">
      <w:pPr>
        <w:pStyle w:val="18"/>
        <w:numPr>
          <w:ilvl w:val="0"/>
          <w:numId w:val="7"/>
        </w:numPr>
        <w:spacing w:before="0" w:beforeAutospacing="0" w:after="0" w:afterAutospacing="0" w:line="360" w:lineRule="auto"/>
        <w:ind w:left="425" w:leftChars="0" w:hanging="425" w:firstLineChars="0"/>
        <w:rPr>
          <w:rFonts w:hint="eastAsia" w:cs="Times New Roman" w:asciiTheme="minorEastAsia" w:hAnsiTheme="minorEastAsia" w:eastAsiaTheme="minorEastAsia"/>
          <w:color w:val="auto"/>
          <w:kern w:val="2"/>
          <w:highlight w:val="none"/>
        </w:rPr>
      </w:pPr>
      <w:r>
        <w:rPr>
          <w:rFonts w:hint="eastAsia" w:cs="Times New Roman" w:asciiTheme="minorEastAsia" w:hAnsiTheme="minorEastAsia" w:eastAsiaTheme="minorEastAsia"/>
          <w:color w:val="auto"/>
          <w:kern w:val="2"/>
          <w:highlight w:val="none"/>
        </w:rPr>
        <w:t>二涌区域小市政改造方案及初步设计。</w:t>
      </w:r>
    </w:p>
    <w:p w14:paraId="4E2A6EBC">
      <w:pPr>
        <w:pStyle w:val="45"/>
        <w:widowControl/>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包括的内容1：首开区规划设计、建筑结构初步设计图、外立面深化设计图、单体建筑初步设计图、结构专业、电气专业、给排水专业、通风专业、防雷等初步设计图，以及</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要求之示范区内效果图设计与制作。</w:t>
      </w:r>
    </w:p>
    <w:p w14:paraId="091A6D97">
      <w:pPr>
        <w:pStyle w:val="45"/>
        <w:widowControl/>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包括的内容2：首开区公建配套的</w:t>
      </w:r>
      <w:r>
        <w:rPr>
          <w:rFonts w:hint="eastAsia" w:asciiTheme="minorEastAsia" w:hAnsiTheme="minorEastAsia" w:eastAsiaTheme="minorEastAsia"/>
          <w:color w:val="auto"/>
          <w:sz w:val="24"/>
          <w:highlight w:val="none"/>
          <w:lang w:val="en-US" w:eastAsia="zh-CN"/>
        </w:rPr>
        <w:t>建筑</w:t>
      </w:r>
      <w:r>
        <w:rPr>
          <w:rFonts w:hint="eastAsia" w:asciiTheme="minorEastAsia" w:hAnsiTheme="minorEastAsia" w:eastAsiaTheme="minorEastAsia"/>
          <w:color w:val="auto"/>
          <w:sz w:val="24"/>
          <w:highlight w:val="none"/>
        </w:rPr>
        <w:t>装修设计；公共部位的</w:t>
      </w:r>
      <w:r>
        <w:rPr>
          <w:rFonts w:hint="eastAsia" w:asciiTheme="minorEastAsia" w:hAnsiTheme="minorEastAsia" w:eastAsiaTheme="minorEastAsia"/>
          <w:color w:val="auto"/>
          <w:sz w:val="24"/>
          <w:highlight w:val="none"/>
          <w:lang w:val="en-US" w:eastAsia="zh-CN"/>
        </w:rPr>
        <w:t>建筑</w:t>
      </w:r>
      <w:r>
        <w:rPr>
          <w:rFonts w:hint="eastAsia" w:asciiTheme="minorEastAsia" w:hAnsiTheme="minorEastAsia" w:eastAsiaTheme="minorEastAsia"/>
          <w:color w:val="auto"/>
          <w:sz w:val="24"/>
          <w:highlight w:val="none"/>
        </w:rPr>
        <w:t>装修设计。</w:t>
      </w:r>
    </w:p>
    <w:p w14:paraId="5CB27FFE">
      <w:pPr>
        <w:pStyle w:val="45"/>
        <w:widowControl/>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包括的内容3：室外部分电缆从低压房出线端到每栋（每层）入户电表箱的点位及走向分布，（包括相应的系统图设计，每栋根据业态用电负荷计算），水从房屋水表到红线市政接水点的设计点位包括相应的系统图设计，统筹协助</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指定的有关专业公司或设计院完成的工作，包括：排污管第一个砂井以外的排污设施、人防、环保、园林环境、电视、电讯、智能化、消防、室外管线设计及市政设施、煤气、特殊设备房等。</w:t>
      </w:r>
    </w:p>
    <w:p w14:paraId="088CC293">
      <w:pPr>
        <w:spacing w:line="360" w:lineRule="auto"/>
        <w:rPr>
          <w:rFonts w:hint="eastAsia" w:ascii="宋体" w:hAnsi="宋体" w:cs="Courier New"/>
          <w:b/>
          <w:bCs/>
          <w:color w:val="auto"/>
          <w:sz w:val="24"/>
          <w:szCs w:val="24"/>
          <w:highlight w:val="none"/>
        </w:rPr>
      </w:pPr>
      <w:r>
        <w:rPr>
          <w:rFonts w:hint="eastAsia" w:ascii="宋体" w:hAnsi="宋体" w:cs="Courier New"/>
          <w:b/>
          <w:bCs/>
          <w:color w:val="auto"/>
          <w:sz w:val="24"/>
          <w:szCs w:val="24"/>
          <w:highlight w:val="none"/>
        </w:rPr>
        <w:br w:type="page"/>
      </w:r>
    </w:p>
    <w:p w14:paraId="0A539C8F">
      <w:pPr>
        <w:pStyle w:val="45"/>
        <w:widowControl/>
        <w:numPr>
          <w:ilvl w:val="0"/>
          <w:numId w:val="1"/>
        </w:numPr>
        <w:spacing w:line="360" w:lineRule="auto"/>
        <w:ind w:left="0" w:leftChars="0" w:firstLine="482" w:firstLineChars="200"/>
        <w:jc w:val="left"/>
        <w:rPr>
          <w:rFonts w:hint="eastAsia" w:ascii="宋体" w:hAnsi="宋体" w:cs="Courier New"/>
          <w:b/>
          <w:bCs/>
          <w:color w:val="auto"/>
          <w:sz w:val="24"/>
          <w:szCs w:val="24"/>
          <w:highlight w:val="none"/>
        </w:rPr>
      </w:pPr>
      <w:r>
        <w:rPr>
          <w:rFonts w:hint="eastAsia" w:ascii="宋体" w:hAnsi="宋体" w:cs="Courier New"/>
          <w:b/>
          <w:bCs/>
          <w:color w:val="auto"/>
          <w:sz w:val="24"/>
          <w:szCs w:val="24"/>
          <w:highlight w:val="none"/>
        </w:rPr>
        <w:t>设计服务人员配备要求表</w:t>
      </w:r>
    </w:p>
    <w:p w14:paraId="5A02DE81">
      <w:pPr>
        <w:pStyle w:val="45"/>
        <w:widowControl/>
        <w:numPr>
          <w:ilvl w:val="0"/>
          <w:numId w:val="0"/>
        </w:numPr>
        <w:spacing w:line="360" w:lineRule="auto"/>
        <w:jc w:val="left"/>
        <w:rPr>
          <w:rFonts w:hint="eastAsia" w:ascii="宋体" w:hAnsi="宋体" w:cs="Courier New"/>
          <w:b/>
          <w:bCs/>
          <w:color w:val="auto"/>
          <w:sz w:val="24"/>
          <w:szCs w:val="24"/>
          <w:highlight w:val="none"/>
        </w:rPr>
      </w:pPr>
    </w:p>
    <w:tbl>
      <w:tblPr>
        <w:tblStyle w:val="22"/>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5266"/>
        <w:gridCol w:w="1646"/>
      </w:tblGrid>
      <w:tr w14:paraId="4F8D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blHeader/>
          <w:jc w:val="center"/>
        </w:trPr>
        <w:tc>
          <w:tcPr>
            <w:tcW w:w="9209" w:type="dxa"/>
            <w:gridSpan w:val="3"/>
            <w:tcBorders>
              <w:top w:val="single" w:color="auto" w:sz="4" w:space="0"/>
              <w:left w:val="single" w:color="auto" w:sz="4" w:space="0"/>
              <w:bottom w:val="single" w:color="auto" w:sz="4" w:space="0"/>
              <w:right w:val="single" w:color="auto" w:sz="4" w:space="0"/>
            </w:tcBorders>
            <w:noWrap/>
            <w:vAlign w:val="center"/>
          </w:tcPr>
          <w:p w14:paraId="7C71A3A9">
            <w:pPr>
              <w:spacing w:line="360" w:lineRule="auto"/>
              <w:jc w:val="center"/>
              <w:rPr>
                <w:rFonts w:ascii="宋体" w:hAnsi="宋体" w:cs="Courier New"/>
                <w:b/>
                <w:bCs/>
                <w:color w:val="auto"/>
                <w:sz w:val="24"/>
                <w:szCs w:val="24"/>
                <w:highlight w:val="none"/>
              </w:rPr>
            </w:pPr>
            <w:r>
              <w:rPr>
                <w:rFonts w:hint="eastAsia" w:ascii="宋体" w:hAnsi="宋体" w:cs="Courier New"/>
                <w:b/>
                <w:bCs/>
                <w:color w:val="auto"/>
                <w:sz w:val="24"/>
                <w:szCs w:val="24"/>
                <w:highlight w:val="none"/>
              </w:rPr>
              <w:t>设计服务人员配备要求表</w:t>
            </w:r>
          </w:p>
        </w:tc>
      </w:tr>
      <w:tr w14:paraId="2807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blHeader/>
          <w:jc w:val="center"/>
        </w:trPr>
        <w:tc>
          <w:tcPr>
            <w:tcW w:w="2297" w:type="dxa"/>
            <w:tcBorders>
              <w:top w:val="single" w:color="auto" w:sz="4" w:space="0"/>
              <w:left w:val="single" w:color="auto" w:sz="4" w:space="0"/>
              <w:bottom w:val="single" w:color="auto" w:sz="4" w:space="0"/>
              <w:right w:val="single" w:color="auto" w:sz="4" w:space="0"/>
            </w:tcBorders>
            <w:noWrap/>
            <w:vAlign w:val="center"/>
          </w:tcPr>
          <w:p w14:paraId="4E35F361">
            <w:pPr>
              <w:spacing w:line="360" w:lineRule="auto"/>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岗位人员</w:t>
            </w:r>
          </w:p>
        </w:tc>
        <w:tc>
          <w:tcPr>
            <w:tcW w:w="5266" w:type="dxa"/>
            <w:tcBorders>
              <w:top w:val="single" w:color="auto" w:sz="4" w:space="0"/>
              <w:left w:val="single" w:color="auto" w:sz="4" w:space="0"/>
              <w:bottom w:val="single" w:color="auto" w:sz="4" w:space="0"/>
              <w:right w:val="single" w:color="auto" w:sz="4" w:space="0"/>
            </w:tcBorders>
            <w:noWrap/>
            <w:vAlign w:val="center"/>
          </w:tcPr>
          <w:p w14:paraId="47307D67">
            <w:pPr>
              <w:spacing w:line="360" w:lineRule="auto"/>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职称与资格要求</w:t>
            </w:r>
          </w:p>
        </w:tc>
        <w:tc>
          <w:tcPr>
            <w:tcW w:w="1646" w:type="dxa"/>
            <w:tcBorders>
              <w:top w:val="single" w:color="auto" w:sz="4" w:space="0"/>
              <w:left w:val="single" w:color="auto" w:sz="4" w:space="0"/>
              <w:bottom w:val="single" w:color="auto" w:sz="4" w:space="0"/>
              <w:right w:val="single" w:color="auto" w:sz="4" w:space="0"/>
            </w:tcBorders>
            <w:noWrap/>
            <w:vAlign w:val="center"/>
          </w:tcPr>
          <w:p w14:paraId="0542BDC0">
            <w:pPr>
              <w:spacing w:line="360" w:lineRule="auto"/>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最低人数要求</w:t>
            </w:r>
          </w:p>
        </w:tc>
      </w:tr>
      <w:tr w14:paraId="6C08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2297" w:type="dxa"/>
            <w:tcBorders>
              <w:top w:val="single" w:color="auto" w:sz="4" w:space="0"/>
              <w:left w:val="single" w:color="auto" w:sz="4" w:space="0"/>
              <w:bottom w:val="single" w:color="auto" w:sz="4" w:space="0"/>
              <w:right w:val="single" w:color="auto" w:sz="4" w:space="0"/>
            </w:tcBorders>
            <w:noWrap/>
            <w:vAlign w:val="center"/>
          </w:tcPr>
          <w:p w14:paraId="2F20F2EE">
            <w:pPr>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en-US" w:eastAsia="zh-CN"/>
              </w:rPr>
              <w:t>项目</w:t>
            </w:r>
            <w:r>
              <w:rPr>
                <w:rFonts w:hint="eastAsia" w:ascii="宋体" w:hAnsi="宋体" w:cs="宋体"/>
                <w:color w:val="auto"/>
                <w:kern w:val="0"/>
                <w:sz w:val="24"/>
                <w:szCs w:val="24"/>
                <w:highlight w:val="none"/>
                <w:lang w:val="zh-CN"/>
              </w:rPr>
              <w:t>负责人</w:t>
            </w:r>
          </w:p>
        </w:tc>
        <w:tc>
          <w:tcPr>
            <w:tcW w:w="5266" w:type="dxa"/>
            <w:tcBorders>
              <w:top w:val="single" w:color="auto" w:sz="4" w:space="0"/>
              <w:left w:val="single" w:color="auto" w:sz="4" w:space="0"/>
              <w:bottom w:val="single" w:color="auto" w:sz="4" w:space="0"/>
              <w:right w:val="single" w:color="auto" w:sz="4" w:space="0"/>
            </w:tcBorders>
            <w:noWrap/>
            <w:vAlign w:val="center"/>
          </w:tcPr>
          <w:p w14:paraId="41993D7A">
            <w:pPr>
              <w:spacing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由投标人现任本单位副总经理及以上职务的领导担任，具有10年或以上设计经历，且具有高级（或以上）技术职称。</w:t>
            </w:r>
          </w:p>
        </w:tc>
        <w:tc>
          <w:tcPr>
            <w:tcW w:w="1646" w:type="dxa"/>
            <w:tcBorders>
              <w:top w:val="single" w:color="auto" w:sz="4" w:space="0"/>
              <w:left w:val="single" w:color="auto" w:sz="4" w:space="0"/>
              <w:bottom w:val="single" w:color="auto" w:sz="4" w:space="0"/>
              <w:right w:val="single" w:color="auto" w:sz="4" w:space="0"/>
            </w:tcBorders>
            <w:noWrap/>
            <w:vAlign w:val="center"/>
          </w:tcPr>
          <w:p w14:paraId="3C70029E">
            <w:pPr>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r>
      <w:tr w14:paraId="2465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2297" w:type="dxa"/>
            <w:tcBorders>
              <w:top w:val="single" w:color="auto" w:sz="4" w:space="0"/>
              <w:left w:val="single" w:color="auto" w:sz="4" w:space="0"/>
              <w:bottom w:val="single" w:color="auto" w:sz="4" w:space="0"/>
              <w:right w:val="single" w:color="auto" w:sz="4" w:space="0"/>
            </w:tcBorders>
            <w:noWrap/>
            <w:vAlign w:val="center"/>
          </w:tcPr>
          <w:p w14:paraId="40B528A5">
            <w:pPr>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建筑专业负责人</w:t>
            </w:r>
          </w:p>
        </w:tc>
        <w:tc>
          <w:tcPr>
            <w:tcW w:w="5266" w:type="dxa"/>
            <w:tcBorders>
              <w:top w:val="single" w:color="auto" w:sz="4" w:space="0"/>
              <w:left w:val="single" w:color="auto" w:sz="4" w:space="0"/>
              <w:bottom w:val="single" w:color="auto" w:sz="4" w:space="0"/>
              <w:right w:val="single" w:color="auto" w:sz="4" w:space="0"/>
            </w:tcBorders>
            <w:noWrap/>
            <w:vAlign w:val="center"/>
          </w:tcPr>
          <w:p w14:paraId="12B2EBA8">
            <w:pPr>
              <w:spacing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一级注册建筑师，10年或以上设计经历，具有</w:t>
            </w:r>
            <w:r>
              <w:rPr>
                <w:rFonts w:hint="eastAsia" w:ascii="宋体" w:hAnsi="宋体" w:cs="等线"/>
                <w:color w:val="auto"/>
                <w:sz w:val="24"/>
                <w:szCs w:val="24"/>
                <w:highlight w:val="none"/>
                <w:lang w:val="zh-CN"/>
              </w:rPr>
              <w:t>建筑类相关专业</w:t>
            </w:r>
            <w:r>
              <w:rPr>
                <w:rFonts w:hint="eastAsia" w:ascii="宋体" w:hAnsi="宋体" w:cs="宋体"/>
                <w:color w:val="auto"/>
                <w:kern w:val="0"/>
                <w:sz w:val="24"/>
                <w:szCs w:val="24"/>
                <w:highlight w:val="none"/>
                <w:lang w:val="zh-CN"/>
              </w:rPr>
              <w:t>高级（或以上）技术职称。</w:t>
            </w:r>
          </w:p>
        </w:tc>
        <w:tc>
          <w:tcPr>
            <w:tcW w:w="1646" w:type="dxa"/>
            <w:tcBorders>
              <w:top w:val="single" w:color="auto" w:sz="4" w:space="0"/>
              <w:left w:val="single" w:color="auto" w:sz="4" w:space="0"/>
              <w:bottom w:val="single" w:color="auto" w:sz="4" w:space="0"/>
              <w:right w:val="single" w:color="auto" w:sz="4" w:space="0"/>
            </w:tcBorders>
            <w:noWrap/>
            <w:vAlign w:val="center"/>
          </w:tcPr>
          <w:p w14:paraId="0305C622">
            <w:pPr>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r>
      <w:tr w14:paraId="5D80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2297" w:type="dxa"/>
            <w:tcBorders>
              <w:top w:val="single" w:color="auto" w:sz="4" w:space="0"/>
              <w:left w:val="single" w:color="auto" w:sz="4" w:space="0"/>
              <w:bottom w:val="single" w:color="auto" w:sz="4" w:space="0"/>
              <w:right w:val="single" w:color="auto" w:sz="4" w:space="0"/>
            </w:tcBorders>
            <w:noWrap/>
            <w:vAlign w:val="center"/>
          </w:tcPr>
          <w:p w14:paraId="006B6078">
            <w:pPr>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结构专业负责人</w:t>
            </w:r>
          </w:p>
        </w:tc>
        <w:tc>
          <w:tcPr>
            <w:tcW w:w="5266" w:type="dxa"/>
            <w:tcBorders>
              <w:top w:val="single" w:color="auto" w:sz="4" w:space="0"/>
              <w:left w:val="single" w:color="auto" w:sz="4" w:space="0"/>
              <w:bottom w:val="single" w:color="auto" w:sz="4" w:space="0"/>
              <w:right w:val="single" w:color="auto" w:sz="4" w:space="0"/>
            </w:tcBorders>
            <w:noWrap/>
            <w:vAlign w:val="center"/>
          </w:tcPr>
          <w:p w14:paraId="0A0D478C">
            <w:pPr>
              <w:spacing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一级注册结构工程师，10年或以上设计经历，具有</w:t>
            </w:r>
            <w:r>
              <w:rPr>
                <w:rFonts w:hint="eastAsia" w:ascii="宋体" w:hAnsi="宋体" w:cs="等线"/>
                <w:color w:val="auto"/>
                <w:sz w:val="24"/>
                <w:szCs w:val="24"/>
                <w:highlight w:val="none"/>
                <w:lang w:val="zh-CN"/>
              </w:rPr>
              <w:t>结构类相关专业</w:t>
            </w:r>
            <w:r>
              <w:rPr>
                <w:rFonts w:hint="eastAsia" w:ascii="宋体" w:hAnsi="宋体" w:cs="宋体"/>
                <w:color w:val="auto"/>
                <w:kern w:val="0"/>
                <w:sz w:val="24"/>
                <w:szCs w:val="24"/>
                <w:highlight w:val="none"/>
                <w:lang w:val="zh-CN"/>
              </w:rPr>
              <w:t>高级（或以上）技术职称。</w:t>
            </w:r>
          </w:p>
        </w:tc>
        <w:tc>
          <w:tcPr>
            <w:tcW w:w="1646" w:type="dxa"/>
            <w:tcBorders>
              <w:top w:val="single" w:color="auto" w:sz="4" w:space="0"/>
              <w:left w:val="single" w:color="auto" w:sz="4" w:space="0"/>
              <w:bottom w:val="single" w:color="auto" w:sz="4" w:space="0"/>
              <w:right w:val="single" w:color="auto" w:sz="4" w:space="0"/>
            </w:tcBorders>
            <w:noWrap/>
            <w:vAlign w:val="center"/>
          </w:tcPr>
          <w:p w14:paraId="287D4F80">
            <w:pPr>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w:t>
            </w:r>
          </w:p>
        </w:tc>
      </w:tr>
      <w:tr w14:paraId="183A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297" w:type="dxa"/>
            <w:tcBorders>
              <w:top w:val="single" w:color="auto" w:sz="4" w:space="0"/>
              <w:left w:val="single" w:color="auto" w:sz="4" w:space="0"/>
              <w:bottom w:val="single" w:color="auto" w:sz="4" w:space="0"/>
              <w:right w:val="single" w:color="auto" w:sz="4" w:space="0"/>
            </w:tcBorders>
            <w:noWrap/>
            <w:vAlign w:val="center"/>
          </w:tcPr>
          <w:p w14:paraId="64975325">
            <w:pPr>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给排水专业负责人</w:t>
            </w:r>
          </w:p>
        </w:tc>
        <w:tc>
          <w:tcPr>
            <w:tcW w:w="5266" w:type="dxa"/>
            <w:tcBorders>
              <w:top w:val="single" w:color="auto" w:sz="4" w:space="0"/>
              <w:left w:val="single" w:color="auto" w:sz="4" w:space="0"/>
              <w:bottom w:val="single" w:color="auto" w:sz="4" w:space="0"/>
              <w:right w:val="single" w:color="auto" w:sz="4" w:space="0"/>
            </w:tcBorders>
            <w:noWrap/>
            <w:vAlign w:val="center"/>
          </w:tcPr>
          <w:p w14:paraId="3C096883">
            <w:pPr>
              <w:spacing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具有</w:t>
            </w:r>
            <w:r>
              <w:rPr>
                <w:rFonts w:hint="eastAsia" w:ascii="宋体" w:hAnsi="宋体" w:cs="等线"/>
                <w:color w:val="auto"/>
                <w:sz w:val="24"/>
                <w:szCs w:val="24"/>
                <w:highlight w:val="none"/>
                <w:lang w:val="zh-CN"/>
              </w:rPr>
              <w:t>给排水类相关专业</w:t>
            </w:r>
            <w:r>
              <w:rPr>
                <w:rFonts w:hint="eastAsia" w:ascii="宋体" w:hAnsi="宋体" w:cs="宋体"/>
                <w:color w:val="auto"/>
                <w:kern w:val="0"/>
                <w:sz w:val="24"/>
                <w:szCs w:val="24"/>
                <w:highlight w:val="none"/>
                <w:lang w:val="zh-CN"/>
              </w:rPr>
              <w:t>高级（或以上）技术职称。</w:t>
            </w:r>
          </w:p>
        </w:tc>
        <w:tc>
          <w:tcPr>
            <w:tcW w:w="1646" w:type="dxa"/>
            <w:tcBorders>
              <w:top w:val="single" w:color="auto" w:sz="4" w:space="0"/>
              <w:left w:val="single" w:color="auto" w:sz="4" w:space="0"/>
              <w:bottom w:val="single" w:color="auto" w:sz="4" w:space="0"/>
              <w:right w:val="single" w:color="auto" w:sz="4" w:space="0"/>
            </w:tcBorders>
            <w:noWrap/>
            <w:vAlign w:val="center"/>
          </w:tcPr>
          <w:p w14:paraId="7E921F1D">
            <w:pPr>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w:t>
            </w:r>
          </w:p>
        </w:tc>
      </w:tr>
      <w:tr w14:paraId="2283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297" w:type="dxa"/>
            <w:tcBorders>
              <w:top w:val="single" w:color="auto" w:sz="4" w:space="0"/>
              <w:left w:val="single" w:color="auto" w:sz="4" w:space="0"/>
              <w:bottom w:val="single" w:color="auto" w:sz="4" w:space="0"/>
              <w:right w:val="single" w:color="auto" w:sz="4" w:space="0"/>
            </w:tcBorders>
            <w:noWrap/>
            <w:vAlign w:val="center"/>
          </w:tcPr>
          <w:p w14:paraId="71D21ABF">
            <w:pPr>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rPr>
              <w:t>暖通空调专业负责人</w:t>
            </w:r>
          </w:p>
        </w:tc>
        <w:tc>
          <w:tcPr>
            <w:tcW w:w="5266" w:type="dxa"/>
            <w:tcBorders>
              <w:top w:val="single" w:color="auto" w:sz="4" w:space="0"/>
              <w:left w:val="single" w:color="auto" w:sz="4" w:space="0"/>
              <w:bottom w:val="single" w:color="auto" w:sz="4" w:space="0"/>
              <w:right w:val="single" w:color="auto" w:sz="4" w:space="0"/>
            </w:tcBorders>
            <w:noWrap/>
            <w:vAlign w:val="center"/>
          </w:tcPr>
          <w:p w14:paraId="0F453521">
            <w:pPr>
              <w:spacing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具有</w:t>
            </w:r>
            <w:r>
              <w:rPr>
                <w:rFonts w:hint="eastAsia" w:ascii="宋体" w:hAnsi="宋体" w:cs="宋体"/>
                <w:color w:val="auto"/>
                <w:kern w:val="0"/>
                <w:sz w:val="24"/>
                <w:szCs w:val="24"/>
                <w:highlight w:val="none"/>
              </w:rPr>
              <w:t>暖通空调</w:t>
            </w:r>
            <w:r>
              <w:rPr>
                <w:rFonts w:hint="eastAsia" w:ascii="宋体" w:hAnsi="宋体" w:cs="等线"/>
                <w:color w:val="auto"/>
                <w:sz w:val="24"/>
                <w:szCs w:val="24"/>
                <w:highlight w:val="none"/>
                <w:lang w:val="zh-CN"/>
              </w:rPr>
              <w:t>类相关专业</w:t>
            </w:r>
            <w:r>
              <w:rPr>
                <w:rFonts w:hint="eastAsia" w:ascii="宋体" w:hAnsi="宋体" w:cs="宋体"/>
                <w:color w:val="auto"/>
                <w:kern w:val="0"/>
                <w:sz w:val="24"/>
                <w:szCs w:val="24"/>
                <w:highlight w:val="none"/>
                <w:lang w:val="zh-CN"/>
              </w:rPr>
              <w:t>高级（或以上）技术职称。</w:t>
            </w:r>
          </w:p>
        </w:tc>
        <w:tc>
          <w:tcPr>
            <w:tcW w:w="1646" w:type="dxa"/>
            <w:tcBorders>
              <w:top w:val="single" w:color="auto" w:sz="4" w:space="0"/>
              <w:left w:val="single" w:color="auto" w:sz="4" w:space="0"/>
              <w:bottom w:val="single" w:color="auto" w:sz="4" w:space="0"/>
              <w:right w:val="single" w:color="auto" w:sz="4" w:space="0"/>
            </w:tcBorders>
            <w:noWrap/>
            <w:vAlign w:val="center"/>
          </w:tcPr>
          <w:p w14:paraId="5FCFC111">
            <w:pPr>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r>
      <w:tr w14:paraId="7130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297" w:type="dxa"/>
            <w:tcBorders>
              <w:top w:val="single" w:color="auto" w:sz="4" w:space="0"/>
              <w:left w:val="single" w:color="auto" w:sz="4" w:space="0"/>
              <w:bottom w:val="single" w:color="auto" w:sz="4" w:space="0"/>
              <w:right w:val="single" w:color="auto" w:sz="4" w:space="0"/>
            </w:tcBorders>
            <w:noWrap/>
            <w:vAlign w:val="center"/>
          </w:tcPr>
          <w:p w14:paraId="047CEC89">
            <w:pPr>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电气专业负责人</w:t>
            </w:r>
          </w:p>
        </w:tc>
        <w:tc>
          <w:tcPr>
            <w:tcW w:w="5266" w:type="dxa"/>
            <w:tcBorders>
              <w:top w:val="single" w:color="auto" w:sz="4" w:space="0"/>
              <w:left w:val="single" w:color="auto" w:sz="4" w:space="0"/>
              <w:bottom w:val="single" w:color="auto" w:sz="4" w:space="0"/>
              <w:right w:val="single" w:color="auto" w:sz="4" w:space="0"/>
            </w:tcBorders>
            <w:noWrap/>
            <w:vAlign w:val="center"/>
          </w:tcPr>
          <w:p w14:paraId="6CA4807F">
            <w:pPr>
              <w:spacing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具有电气</w:t>
            </w:r>
            <w:r>
              <w:rPr>
                <w:rFonts w:hint="eastAsia" w:ascii="宋体" w:hAnsi="宋体" w:cs="等线"/>
                <w:color w:val="auto"/>
                <w:sz w:val="24"/>
                <w:szCs w:val="24"/>
                <w:highlight w:val="none"/>
                <w:lang w:val="zh-CN"/>
              </w:rPr>
              <w:t>类相关专业</w:t>
            </w:r>
            <w:r>
              <w:rPr>
                <w:rFonts w:hint="eastAsia" w:ascii="宋体" w:hAnsi="宋体" w:cs="宋体"/>
                <w:color w:val="auto"/>
                <w:kern w:val="0"/>
                <w:sz w:val="24"/>
                <w:szCs w:val="24"/>
                <w:highlight w:val="none"/>
                <w:lang w:val="zh-CN"/>
              </w:rPr>
              <w:t>高级（或以上）技术职称。</w:t>
            </w:r>
          </w:p>
        </w:tc>
        <w:tc>
          <w:tcPr>
            <w:tcW w:w="1646" w:type="dxa"/>
            <w:tcBorders>
              <w:top w:val="single" w:color="auto" w:sz="4" w:space="0"/>
              <w:left w:val="single" w:color="auto" w:sz="4" w:space="0"/>
              <w:bottom w:val="single" w:color="auto" w:sz="4" w:space="0"/>
              <w:right w:val="single" w:color="auto" w:sz="4" w:space="0"/>
            </w:tcBorders>
            <w:noWrap/>
            <w:vAlign w:val="center"/>
          </w:tcPr>
          <w:p w14:paraId="2C886382">
            <w:pPr>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r>
      <w:tr w14:paraId="30DD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97" w:type="dxa"/>
            <w:tcBorders>
              <w:top w:val="single" w:color="auto" w:sz="4" w:space="0"/>
              <w:left w:val="single" w:color="auto" w:sz="4" w:space="0"/>
              <w:bottom w:val="single" w:color="auto" w:sz="4" w:space="0"/>
              <w:right w:val="single" w:color="auto" w:sz="4" w:space="0"/>
            </w:tcBorders>
            <w:noWrap/>
            <w:vAlign w:val="center"/>
          </w:tcPr>
          <w:p w14:paraId="147C95E6">
            <w:pPr>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设计造价专业负责人</w:t>
            </w:r>
          </w:p>
        </w:tc>
        <w:tc>
          <w:tcPr>
            <w:tcW w:w="5266" w:type="dxa"/>
            <w:tcBorders>
              <w:top w:val="single" w:color="auto" w:sz="4" w:space="0"/>
              <w:left w:val="single" w:color="auto" w:sz="4" w:space="0"/>
              <w:bottom w:val="single" w:color="auto" w:sz="4" w:space="0"/>
              <w:right w:val="single" w:color="auto" w:sz="4" w:space="0"/>
            </w:tcBorders>
            <w:noWrap/>
            <w:vAlign w:val="center"/>
          </w:tcPr>
          <w:p w14:paraId="2B2C7B5B">
            <w:pPr>
              <w:spacing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10年或以上工作经历，具有高级（或以上）技术职称。</w:t>
            </w:r>
          </w:p>
        </w:tc>
        <w:tc>
          <w:tcPr>
            <w:tcW w:w="1646" w:type="dxa"/>
            <w:tcBorders>
              <w:top w:val="single" w:color="auto" w:sz="4" w:space="0"/>
              <w:left w:val="single" w:color="auto" w:sz="4" w:space="0"/>
              <w:bottom w:val="single" w:color="auto" w:sz="4" w:space="0"/>
              <w:right w:val="single" w:color="auto" w:sz="4" w:space="0"/>
            </w:tcBorders>
            <w:noWrap/>
            <w:vAlign w:val="center"/>
          </w:tcPr>
          <w:p w14:paraId="2DF62DA5">
            <w:pPr>
              <w:spacing w:line="360" w:lineRule="auto"/>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r>
    </w:tbl>
    <w:p w14:paraId="6477B9A3">
      <w:pPr>
        <w:spacing w:line="360" w:lineRule="auto"/>
        <w:rPr>
          <w:rFonts w:hint="default" w:asciiTheme="minorEastAsia" w:hAnsiTheme="minorEastAsia" w:eastAsiaTheme="minorEastAsia"/>
          <w:b/>
          <w:bCs/>
          <w:color w:val="auto"/>
          <w:sz w:val="24"/>
          <w:highlight w:val="none"/>
          <w:lang w:val="en-US" w:eastAsia="zh-CN"/>
        </w:rPr>
      </w:pPr>
      <w:r>
        <w:rPr>
          <w:rFonts w:hint="eastAsia" w:asciiTheme="minorEastAsia" w:hAnsiTheme="minorEastAsia" w:eastAsiaTheme="minorEastAsia"/>
          <w:b/>
          <w:bCs/>
          <w:color w:val="auto"/>
          <w:sz w:val="24"/>
          <w:highlight w:val="none"/>
          <w:lang w:val="en-US" w:eastAsia="zh-CN"/>
        </w:rPr>
        <w:t>注：此项为资格性审核项</w:t>
      </w:r>
    </w:p>
    <w:p w14:paraId="520FA1D8">
      <w:pPr>
        <w:pStyle w:val="45"/>
        <w:widowControl/>
        <w:numPr>
          <w:ilvl w:val="0"/>
          <w:numId w:val="1"/>
        </w:numPr>
        <w:spacing w:line="360" w:lineRule="auto"/>
        <w:ind w:firstLine="482"/>
        <w:jc w:val="left"/>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设计原则：</w:t>
      </w:r>
    </w:p>
    <w:p w14:paraId="615B7A15">
      <w:pPr>
        <w:pStyle w:val="45"/>
        <w:widowControl/>
        <w:numPr>
          <w:ilvl w:val="0"/>
          <w:numId w:val="8"/>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塑造高品质产品的原则</w:t>
      </w:r>
    </w:p>
    <w:p w14:paraId="550D3200">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根据项目产品定位，致力于建设成为在本地区领先的高品质“农、文、商、旅”结合的新质乡村综合体。</w:t>
      </w: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要秉承塑造高品质产品的原则贡献自己最大的能力。</w:t>
      </w:r>
    </w:p>
    <w:p w14:paraId="0CF4F3AE">
      <w:pPr>
        <w:pStyle w:val="45"/>
        <w:widowControl/>
        <w:numPr>
          <w:ilvl w:val="0"/>
          <w:numId w:val="8"/>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经济、合理、适用的原则</w:t>
      </w:r>
    </w:p>
    <w:p w14:paraId="4445AC76">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在不违反国家及地方有关政策、规范、条例的前提下，</w:t>
      </w: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各专业设计中，在为创造高品质产品的设计过程中，也要注意经济、合理、适用的设计原则，灵活应对相关规定，避免无谓的浪费和不经济的设计。</w:t>
      </w:r>
    </w:p>
    <w:p w14:paraId="55688482">
      <w:pPr>
        <w:pStyle w:val="45"/>
        <w:widowControl/>
        <w:numPr>
          <w:ilvl w:val="0"/>
          <w:numId w:val="8"/>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大胆创新的原则</w:t>
      </w:r>
    </w:p>
    <w:p w14:paraId="5505F7C2">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积极大胆地向</w:t>
      </w: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推荐、双方协商后运用新技术、新工艺、新材料、新的设计手段，取得节约、节能、创新、树立行业标杆的效果。</w:t>
      </w:r>
    </w:p>
    <w:p w14:paraId="115913F1">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在创新的同时也要注意项目全生命周期综合运行成本合理、可操作性强、具有可推广性，易于维护运营管理。</w:t>
      </w:r>
    </w:p>
    <w:p w14:paraId="55456343">
      <w:pPr>
        <w:pStyle w:val="45"/>
        <w:widowControl/>
        <w:numPr>
          <w:ilvl w:val="0"/>
          <w:numId w:val="8"/>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严格细致把控设计质量的原则</w:t>
      </w:r>
    </w:p>
    <w:p w14:paraId="026C486B">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要建立并认真执行一整套严密的设计成果质量把控体系；忠实并创造性地实现方案设计的意图；切实实现</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的产品开发意图；要做到设计标准一致，避免因人因时而异的产品出现；</w:t>
      </w:r>
    </w:p>
    <w:p w14:paraId="3B213502">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各阶段出版图纸、特殊需要的再版图纸、各类设计变更都要有完整的、规范的、系统的编号，都要切实执行三级校审、各专业会签等质量监督体系，集体把控产品质量，以保证设计水准和图纸设计标准的一致，做到责任到人、出现问题可责任回溯到人的监督；及时向</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对口资料文档管理部门进行传送，同时做事项</w:t>
      </w:r>
      <w:r>
        <w:rPr>
          <w:rFonts w:hint="eastAsia" w:asciiTheme="minorEastAsia" w:hAnsiTheme="minorEastAsia" w:eastAsiaTheme="minorEastAsia"/>
          <w:color w:val="auto"/>
          <w:sz w:val="24"/>
          <w:highlight w:val="none"/>
          <w:lang w:eastAsia="zh-CN"/>
        </w:rPr>
        <w:t>记录</w:t>
      </w:r>
      <w:r>
        <w:rPr>
          <w:rFonts w:hint="eastAsia" w:asciiTheme="minorEastAsia" w:hAnsiTheme="minorEastAsia" w:eastAsiaTheme="minorEastAsia"/>
          <w:color w:val="auto"/>
          <w:sz w:val="24"/>
          <w:highlight w:val="none"/>
        </w:rPr>
        <w:t>。</w:t>
      </w:r>
    </w:p>
    <w:p w14:paraId="5CB35A14">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定</w:t>
      </w:r>
      <w:r>
        <w:rPr>
          <w:rFonts w:hint="eastAsia" w:asciiTheme="minorEastAsia" w:hAnsiTheme="minorEastAsia" w:eastAsiaTheme="minorEastAsia"/>
          <w:color w:val="auto"/>
          <w:sz w:val="24"/>
          <w:highlight w:val="none"/>
          <w:lang w:eastAsia="zh-CN"/>
        </w:rPr>
        <w:t>期召</w:t>
      </w:r>
      <w:r>
        <w:rPr>
          <w:rFonts w:hint="eastAsia" w:asciiTheme="minorEastAsia" w:hAnsiTheme="minorEastAsia" w:eastAsiaTheme="minorEastAsia"/>
          <w:color w:val="auto"/>
          <w:sz w:val="24"/>
          <w:highlight w:val="none"/>
        </w:rPr>
        <w:t>开项目例会及跨专业例会，积极暴露问题并解决问题；做到各事项要有记录，各重大成果节点要有系统的资料备份；</w:t>
      </w:r>
    </w:p>
    <w:p w14:paraId="53E11D23">
      <w:pPr>
        <w:pStyle w:val="45"/>
        <w:widowControl/>
        <w:numPr>
          <w:ilvl w:val="0"/>
          <w:numId w:val="8"/>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积极主动解决问题的原则</w:t>
      </w:r>
    </w:p>
    <w:p w14:paraId="26B5B106">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在全设计工作过程和后续服务过程中，要积极提出并发现问题，并积极联系</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解决问题，争取把问题发现并解决在前期。能站在</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的立场上考虑，为</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想到</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没有想到的很多问题。有时能站在项目以外的角度来思考更多的现实问题。</w:t>
      </w:r>
    </w:p>
    <w:p w14:paraId="2D2E4F04">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如发现设计问题和现场实际问题不能隐瞒不报，要积极和</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沟通，高效高质的解决问题，</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可以根据</w:t>
      </w: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的服务态度和实际后果酌情进行适当的责任处理。</w:t>
      </w:r>
    </w:p>
    <w:p w14:paraId="2F8DF678">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针对这些设计问题或者实际现场问题的解决方式，按阶段的总结经验教训并形成相应的案例技术文档手册，并和</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互通分享，避免今后再出现同样的问题。</w:t>
      </w:r>
    </w:p>
    <w:p w14:paraId="1AC92248">
      <w:pPr>
        <w:pStyle w:val="45"/>
        <w:widowControl/>
        <w:numPr>
          <w:ilvl w:val="0"/>
          <w:numId w:val="8"/>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高效优质的服务原则</w:t>
      </w:r>
    </w:p>
    <w:p w14:paraId="76D01989">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要严格执行合同条款，积极响应</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的合理要求，高效高质的进行产品设计服务和后续服务。以配合</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的开发步骤有序的完成工作。</w:t>
      </w:r>
    </w:p>
    <w:p w14:paraId="04EF1537">
      <w:pPr>
        <w:pStyle w:val="18"/>
        <w:spacing w:before="0" w:beforeAutospacing="0" w:after="0" w:afterAutospacing="0" w:line="360" w:lineRule="auto"/>
        <w:rPr>
          <w:rFonts w:hint="eastAsia" w:cs="Times New Roman" w:asciiTheme="minorEastAsia" w:hAnsiTheme="minorEastAsia" w:eastAsiaTheme="minorEastAsia"/>
          <w:color w:val="auto"/>
          <w:kern w:val="2"/>
          <w:highlight w:val="none"/>
        </w:rPr>
      </w:pPr>
    </w:p>
    <w:p w14:paraId="53BFA7D2">
      <w:pPr>
        <w:pStyle w:val="45"/>
        <w:widowControl/>
        <w:spacing w:line="360" w:lineRule="auto"/>
        <w:ind w:left="420" w:firstLine="0" w:firstLineChars="0"/>
        <w:jc w:val="left"/>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（四）设计要求</w:t>
      </w:r>
      <w:r>
        <w:rPr>
          <w:rFonts w:asciiTheme="minorEastAsia" w:hAnsiTheme="minorEastAsia" w:eastAsiaTheme="minorEastAsia"/>
          <w:b/>
          <w:bCs/>
          <w:color w:val="auto"/>
          <w:sz w:val="24"/>
          <w:highlight w:val="none"/>
        </w:rPr>
        <w:t>：</w:t>
      </w:r>
    </w:p>
    <w:p w14:paraId="3B3ED4B7">
      <w:pPr>
        <w:pStyle w:val="45"/>
        <w:widowControl/>
        <w:numPr>
          <w:ilvl w:val="0"/>
          <w:numId w:val="9"/>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按照</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要求完成相关的设计内容；</w:t>
      </w:r>
    </w:p>
    <w:p w14:paraId="58AEAF3B">
      <w:pPr>
        <w:pStyle w:val="45"/>
        <w:widowControl/>
        <w:numPr>
          <w:ilvl w:val="0"/>
          <w:numId w:val="9"/>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大胆提出对项目改造的创意及想法，需要有一定的特色及前瞻性的设计，同时符合岭南水乡特质；</w:t>
      </w:r>
    </w:p>
    <w:p w14:paraId="66DF5374">
      <w:pPr>
        <w:pStyle w:val="45"/>
        <w:widowControl/>
        <w:numPr>
          <w:ilvl w:val="0"/>
          <w:numId w:val="9"/>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提供的概念规划，设计中需要包含对产业定位的思考；</w:t>
      </w:r>
    </w:p>
    <w:p w14:paraId="5B2DF530">
      <w:pPr>
        <w:pStyle w:val="45"/>
        <w:widowControl/>
        <w:numPr>
          <w:ilvl w:val="0"/>
          <w:numId w:val="9"/>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设计单位应有专业的结构团队，包括注册结构师对本项目图纸常态化的审核和校对；</w:t>
      </w:r>
    </w:p>
    <w:p w14:paraId="20970762">
      <w:pPr>
        <w:pStyle w:val="45"/>
        <w:widowControl/>
        <w:numPr>
          <w:ilvl w:val="0"/>
          <w:numId w:val="9"/>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严格按照</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首开区总造价（1亿元左右）的要求进行限额设计；</w:t>
      </w:r>
    </w:p>
    <w:p w14:paraId="2A89877D">
      <w:pPr>
        <w:pStyle w:val="45"/>
        <w:widowControl/>
        <w:numPr>
          <w:ilvl w:val="0"/>
          <w:numId w:val="9"/>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为了配合乡村设计工作特点，以及沟通的及时性，需要派驻不少于1名建筑或结构设计师现场办公，对现场问题及时沟通反馈以及及时解决；</w:t>
      </w:r>
    </w:p>
    <w:p w14:paraId="0D7E79DA">
      <w:pPr>
        <w:pStyle w:val="45"/>
        <w:widowControl/>
        <w:numPr>
          <w:ilvl w:val="0"/>
          <w:numId w:val="9"/>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设计范围内有数据调整时，及时对变化条件进行相应的设计调整；</w:t>
      </w:r>
    </w:p>
    <w:p w14:paraId="58ADBECE">
      <w:pPr>
        <w:pStyle w:val="45"/>
        <w:widowControl/>
        <w:numPr>
          <w:ilvl w:val="0"/>
          <w:numId w:val="9"/>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按照</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要求按时提交成果；</w:t>
      </w:r>
    </w:p>
    <w:p w14:paraId="6A170945">
      <w:pPr>
        <w:pStyle w:val="45"/>
        <w:widowControl/>
        <w:numPr>
          <w:ilvl w:val="0"/>
          <w:numId w:val="9"/>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设计单位应充分研读规范法规，包括以下内容</w:t>
      </w:r>
    </w:p>
    <w:p w14:paraId="34268ADF">
      <w:pPr>
        <w:pStyle w:val="45"/>
        <w:widowControl/>
        <w:numPr>
          <w:ilvl w:val="1"/>
          <w:numId w:val="10"/>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满足规划要求，包括限高、退距等要求；</w:t>
      </w:r>
    </w:p>
    <w:p w14:paraId="0D6CD075">
      <w:pPr>
        <w:pStyle w:val="45"/>
        <w:widowControl/>
        <w:numPr>
          <w:ilvl w:val="1"/>
          <w:numId w:val="10"/>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满足建筑规范设计要求，包括层高、楼梯、开窗等要求；</w:t>
      </w:r>
    </w:p>
    <w:p w14:paraId="5B326066">
      <w:pPr>
        <w:pStyle w:val="45"/>
        <w:widowControl/>
        <w:numPr>
          <w:ilvl w:val="1"/>
          <w:numId w:val="10"/>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按照</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对业态的要求，满足乡村消防规范要求，包括疏散、间距、通风等要求，并提出解决方案。</w:t>
      </w:r>
    </w:p>
    <w:p w14:paraId="32CA48B0">
      <w:pPr>
        <w:pStyle w:val="18"/>
        <w:spacing w:before="0" w:beforeAutospacing="0" w:after="0" w:afterAutospacing="0" w:line="360" w:lineRule="auto"/>
        <w:ind w:left="420"/>
        <w:rPr>
          <w:rFonts w:hint="eastAsia" w:cs="Times New Roman" w:asciiTheme="minorEastAsia" w:hAnsiTheme="minorEastAsia" w:eastAsiaTheme="minorEastAsia"/>
          <w:color w:val="auto"/>
          <w:kern w:val="2"/>
          <w:highlight w:val="none"/>
        </w:rPr>
      </w:pPr>
    </w:p>
    <w:p w14:paraId="0C9F4565">
      <w:pPr>
        <w:pStyle w:val="45"/>
        <w:widowControl/>
        <w:spacing w:line="360" w:lineRule="auto"/>
        <w:ind w:left="420" w:firstLine="0" w:firstLineChars="0"/>
        <w:jc w:val="left"/>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（五）交付标准对应表</w:t>
      </w:r>
    </w:p>
    <w:p w14:paraId="6EE1435D">
      <w:pPr>
        <w:pStyle w:val="45"/>
        <w:widowControl/>
        <w:spacing w:line="360" w:lineRule="auto"/>
        <w:ind w:left="420" w:firstLine="0"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建造标准对应表</w:t>
      </w:r>
    </w:p>
    <w:tbl>
      <w:tblPr>
        <w:tblStyle w:val="23"/>
        <w:tblW w:w="873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9"/>
        <w:gridCol w:w="6449"/>
      </w:tblGrid>
      <w:tr w14:paraId="626B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289" w:type="dxa"/>
          </w:tcPr>
          <w:p w14:paraId="2C44D708">
            <w:pPr>
              <w:pStyle w:val="45"/>
              <w:widowControl/>
              <w:spacing w:line="360" w:lineRule="auto"/>
              <w:ind w:firstLine="0" w:firstLineChars="0"/>
              <w:jc w:val="center"/>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深度要求</w:t>
            </w:r>
          </w:p>
        </w:tc>
        <w:tc>
          <w:tcPr>
            <w:tcW w:w="6449" w:type="dxa"/>
          </w:tcPr>
          <w:p w14:paraId="321FFD04">
            <w:pPr>
              <w:pStyle w:val="45"/>
              <w:widowControl/>
              <w:spacing w:line="360" w:lineRule="auto"/>
              <w:ind w:firstLine="0" w:firstLineChars="0"/>
              <w:jc w:val="center"/>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备注</w:t>
            </w:r>
          </w:p>
        </w:tc>
      </w:tr>
      <w:tr w14:paraId="5362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289" w:type="dxa"/>
          </w:tcPr>
          <w:p w14:paraId="33701676">
            <w:pPr>
              <w:pStyle w:val="45"/>
              <w:widowControl/>
              <w:spacing w:line="360" w:lineRule="auto"/>
              <w:ind w:firstLine="0" w:firstLineChars="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首开区规划</w:t>
            </w:r>
          </w:p>
        </w:tc>
        <w:tc>
          <w:tcPr>
            <w:tcW w:w="6449" w:type="dxa"/>
          </w:tcPr>
          <w:p w14:paraId="7C95716D">
            <w:pPr>
              <w:pStyle w:val="45"/>
              <w:widowControl/>
              <w:spacing w:line="360" w:lineRule="auto"/>
              <w:ind w:firstLine="0" w:firstLineChars="0"/>
              <w:jc w:val="center"/>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完成包含基础研究、动线规划等规划成果输出</w:t>
            </w:r>
          </w:p>
        </w:tc>
      </w:tr>
      <w:tr w14:paraId="287C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289" w:type="dxa"/>
          </w:tcPr>
          <w:p w14:paraId="6CC0D3CA">
            <w:pPr>
              <w:pStyle w:val="45"/>
              <w:widowControl/>
              <w:spacing w:line="360" w:lineRule="auto"/>
              <w:ind w:firstLine="0" w:firstLineChars="0"/>
              <w:jc w:val="center"/>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建筑</w:t>
            </w:r>
            <w:r>
              <w:rPr>
                <w:rFonts w:hint="eastAsia" w:asciiTheme="minorEastAsia" w:hAnsiTheme="minorEastAsia" w:eastAsiaTheme="minorEastAsia"/>
                <w:color w:val="auto"/>
                <w:sz w:val="24"/>
                <w:highlight w:val="none"/>
                <w:lang w:eastAsia="zh-CN"/>
              </w:rPr>
              <w:t>平立面</w:t>
            </w:r>
          </w:p>
        </w:tc>
        <w:tc>
          <w:tcPr>
            <w:tcW w:w="6449" w:type="dxa"/>
          </w:tcPr>
          <w:p w14:paraId="338B7CD1">
            <w:pPr>
              <w:pStyle w:val="45"/>
              <w:widowControl/>
              <w:spacing w:line="360" w:lineRule="auto"/>
              <w:ind w:firstLine="0" w:firstLineChars="0"/>
              <w:jc w:val="center"/>
              <w:rPr>
                <w:rFonts w:hint="eastAsia"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按照</w:t>
            </w:r>
            <w:r>
              <w:rPr>
                <w:rFonts w:hint="eastAsia" w:asciiTheme="minorEastAsia" w:hAnsiTheme="minorEastAsia" w:eastAsiaTheme="minorEastAsia"/>
                <w:color w:val="auto"/>
                <w:szCs w:val="21"/>
                <w:highlight w:val="none"/>
              </w:rPr>
              <w:t>规范</w:t>
            </w:r>
            <w:r>
              <w:rPr>
                <w:rFonts w:asciiTheme="minorEastAsia" w:hAnsiTheme="minorEastAsia" w:eastAsiaTheme="minorEastAsia"/>
                <w:color w:val="auto"/>
                <w:szCs w:val="21"/>
                <w:highlight w:val="none"/>
              </w:rPr>
              <w:t>要求</w:t>
            </w:r>
            <w:r>
              <w:rPr>
                <w:rFonts w:hint="eastAsia" w:asciiTheme="minorEastAsia" w:hAnsiTheme="minorEastAsia" w:eastAsiaTheme="minorEastAsia"/>
                <w:color w:val="auto"/>
                <w:szCs w:val="21"/>
                <w:highlight w:val="none"/>
              </w:rPr>
              <w:t>，</w:t>
            </w:r>
            <w:r>
              <w:rPr>
                <w:rFonts w:asciiTheme="minorEastAsia" w:hAnsiTheme="minorEastAsia" w:eastAsiaTheme="minorEastAsia"/>
                <w:color w:val="auto"/>
                <w:szCs w:val="21"/>
                <w:highlight w:val="none"/>
              </w:rPr>
              <w:t>完成</w:t>
            </w:r>
            <w:r>
              <w:rPr>
                <w:rFonts w:hint="eastAsia" w:asciiTheme="minorEastAsia" w:hAnsiTheme="minorEastAsia" w:eastAsiaTheme="minorEastAsia"/>
                <w:color w:val="auto"/>
                <w:szCs w:val="21"/>
                <w:highlight w:val="none"/>
              </w:rPr>
              <w:t>单体初步设计图纸</w:t>
            </w:r>
          </w:p>
        </w:tc>
      </w:tr>
      <w:tr w14:paraId="40F6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289" w:type="dxa"/>
          </w:tcPr>
          <w:p w14:paraId="0DDE6D80">
            <w:pPr>
              <w:pStyle w:val="45"/>
              <w:widowControl/>
              <w:spacing w:line="360" w:lineRule="auto"/>
              <w:ind w:firstLine="0" w:firstLineChars="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新建设计图</w:t>
            </w:r>
          </w:p>
        </w:tc>
        <w:tc>
          <w:tcPr>
            <w:tcW w:w="6449" w:type="dxa"/>
          </w:tcPr>
          <w:p w14:paraId="4A53B188">
            <w:pPr>
              <w:pStyle w:val="45"/>
              <w:widowControl/>
              <w:spacing w:line="360" w:lineRule="auto"/>
              <w:ind w:firstLine="0" w:firstLineChars="0"/>
              <w:jc w:val="center"/>
              <w:rPr>
                <w:rFonts w:hint="eastAsia"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完成</w:t>
            </w:r>
            <w:r>
              <w:rPr>
                <w:rFonts w:hint="eastAsia" w:asciiTheme="minorEastAsia" w:hAnsiTheme="minorEastAsia" w:eastAsiaTheme="minorEastAsia"/>
                <w:color w:val="auto"/>
                <w:szCs w:val="21"/>
                <w:highlight w:val="none"/>
              </w:rPr>
              <w:t>对新建房屋</w:t>
            </w:r>
            <w:r>
              <w:rPr>
                <w:rFonts w:asciiTheme="minorEastAsia" w:hAnsiTheme="minorEastAsia" w:eastAsiaTheme="minorEastAsia"/>
                <w:color w:val="auto"/>
                <w:szCs w:val="21"/>
                <w:highlight w:val="none"/>
              </w:rPr>
              <w:t>相关</w:t>
            </w:r>
            <w:r>
              <w:rPr>
                <w:rFonts w:hint="eastAsia" w:asciiTheme="minorEastAsia" w:hAnsiTheme="minorEastAsia" w:eastAsiaTheme="minorEastAsia"/>
                <w:color w:val="auto"/>
                <w:szCs w:val="21"/>
                <w:highlight w:val="none"/>
              </w:rPr>
              <w:t>初步</w:t>
            </w:r>
            <w:r>
              <w:rPr>
                <w:rFonts w:asciiTheme="minorEastAsia" w:hAnsiTheme="minorEastAsia" w:eastAsiaTheme="minorEastAsia"/>
                <w:color w:val="auto"/>
                <w:szCs w:val="21"/>
                <w:highlight w:val="none"/>
              </w:rPr>
              <w:t>设计</w:t>
            </w:r>
            <w:r>
              <w:rPr>
                <w:rFonts w:hint="eastAsia" w:asciiTheme="minorEastAsia" w:hAnsiTheme="minorEastAsia" w:eastAsiaTheme="minorEastAsia"/>
                <w:color w:val="auto"/>
                <w:szCs w:val="21"/>
                <w:highlight w:val="none"/>
              </w:rPr>
              <w:t>图纸（新建/复建）</w:t>
            </w:r>
          </w:p>
        </w:tc>
      </w:tr>
      <w:tr w14:paraId="784C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289" w:type="dxa"/>
          </w:tcPr>
          <w:p w14:paraId="0F504BED">
            <w:pPr>
              <w:pStyle w:val="45"/>
              <w:widowControl/>
              <w:spacing w:line="360" w:lineRule="auto"/>
              <w:ind w:firstLine="0" w:firstLineChars="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加固设计图</w:t>
            </w:r>
          </w:p>
        </w:tc>
        <w:tc>
          <w:tcPr>
            <w:tcW w:w="6449" w:type="dxa"/>
          </w:tcPr>
          <w:p w14:paraId="1112C591">
            <w:pPr>
              <w:pStyle w:val="45"/>
              <w:widowControl/>
              <w:spacing w:line="360" w:lineRule="auto"/>
              <w:ind w:firstLine="0" w:firstLineChars="0"/>
              <w:jc w:val="center"/>
              <w:rPr>
                <w:rFonts w:hint="eastAsia"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完成</w:t>
            </w:r>
            <w:r>
              <w:rPr>
                <w:rFonts w:hint="eastAsia" w:asciiTheme="minorEastAsia" w:hAnsiTheme="minorEastAsia" w:eastAsiaTheme="minorEastAsia"/>
                <w:color w:val="auto"/>
                <w:szCs w:val="21"/>
                <w:highlight w:val="none"/>
              </w:rPr>
              <w:t>对旧有房屋</w:t>
            </w:r>
            <w:r>
              <w:rPr>
                <w:rFonts w:asciiTheme="minorEastAsia" w:hAnsiTheme="minorEastAsia" w:eastAsiaTheme="minorEastAsia"/>
                <w:color w:val="auto"/>
                <w:szCs w:val="21"/>
                <w:highlight w:val="none"/>
              </w:rPr>
              <w:t>相关</w:t>
            </w:r>
            <w:r>
              <w:rPr>
                <w:rFonts w:hint="eastAsia" w:asciiTheme="minorEastAsia" w:hAnsiTheme="minorEastAsia" w:eastAsiaTheme="minorEastAsia"/>
                <w:color w:val="auto"/>
                <w:szCs w:val="21"/>
                <w:highlight w:val="none"/>
              </w:rPr>
              <w:t>初步</w:t>
            </w:r>
            <w:r>
              <w:rPr>
                <w:rFonts w:asciiTheme="minorEastAsia" w:hAnsiTheme="minorEastAsia" w:eastAsiaTheme="minorEastAsia"/>
                <w:color w:val="auto"/>
                <w:szCs w:val="21"/>
                <w:highlight w:val="none"/>
              </w:rPr>
              <w:t>设计</w:t>
            </w:r>
            <w:r>
              <w:rPr>
                <w:rFonts w:hint="eastAsia" w:asciiTheme="minorEastAsia" w:hAnsiTheme="minorEastAsia" w:eastAsiaTheme="minorEastAsia"/>
                <w:color w:val="auto"/>
                <w:szCs w:val="21"/>
                <w:highlight w:val="none"/>
              </w:rPr>
              <w:t>图纸（加固/修缮）</w:t>
            </w:r>
          </w:p>
        </w:tc>
      </w:tr>
      <w:tr w14:paraId="76AC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289" w:type="dxa"/>
          </w:tcPr>
          <w:p w14:paraId="0AD3B1AE">
            <w:pPr>
              <w:pStyle w:val="45"/>
              <w:widowControl/>
              <w:spacing w:line="360" w:lineRule="auto"/>
              <w:ind w:firstLine="0" w:firstLineChars="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公共设施、景观设计、导览标识、景观泛光设计图</w:t>
            </w:r>
          </w:p>
        </w:tc>
        <w:tc>
          <w:tcPr>
            <w:tcW w:w="6449" w:type="dxa"/>
          </w:tcPr>
          <w:p w14:paraId="6D353BDE">
            <w:pPr>
              <w:pStyle w:val="45"/>
              <w:widowControl/>
              <w:spacing w:line="360" w:lineRule="auto"/>
              <w:ind w:firstLine="0" w:firstLineChars="0"/>
              <w:jc w:val="center"/>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完成公共建筑方案，例如水泵房、公厕、变配电房等公共设施及景观、导览标识、景观泛光方案初步设计图纸</w:t>
            </w:r>
          </w:p>
        </w:tc>
      </w:tr>
      <w:tr w14:paraId="5434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289" w:type="dxa"/>
          </w:tcPr>
          <w:p w14:paraId="227DC468">
            <w:pPr>
              <w:pStyle w:val="45"/>
              <w:widowControl/>
              <w:spacing w:line="360" w:lineRule="auto"/>
              <w:ind w:firstLine="0" w:firstLineChars="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小市政、海绵城市设计图</w:t>
            </w:r>
          </w:p>
        </w:tc>
        <w:tc>
          <w:tcPr>
            <w:tcW w:w="6449" w:type="dxa"/>
          </w:tcPr>
          <w:p w14:paraId="1D2F7FC8">
            <w:pPr>
              <w:pStyle w:val="45"/>
              <w:widowControl/>
              <w:spacing w:line="360" w:lineRule="auto"/>
              <w:ind w:firstLine="0" w:firstLineChars="0"/>
              <w:jc w:val="center"/>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完成二涌全域小市政、海绵城市专章等初步设计图纸</w:t>
            </w:r>
          </w:p>
        </w:tc>
      </w:tr>
    </w:tbl>
    <w:p w14:paraId="7F72F3ED">
      <w:pPr>
        <w:pStyle w:val="45"/>
        <w:widowControl/>
        <w:spacing w:line="360" w:lineRule="auto"/>
        <w:ind w:firstLineChars="0"/>
        <w:jc w:val="left"/>
        <w:rPr>
          <w:rFonts w:hint="eastAsia" w:asciiTheme="minorEastAsia" w:hAnsiTheme="minorEastAsia" w:eastAsiaTheme="minorEastAsia"/>
          <w:color w:val="auto"/>
          <w:sz w:val="24"/>
          <w:highlight w:val="none"/>
        </w:rPr>
      </w:pPr>
    </w:p>
    <w:p w14:paraId="6E02FB05">
      <w:pPr>
        <w:pStyle w:val="45"/>
        <w:widowControl/>
        <w:spacing w:line="360" w:lineRule="auto"/>
        <w:ind w:left="420" w:firstLine="0" w:firstLineChars="0"/>
        <w:jc w:val="left"/>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（六）服务流程</w:t>
      </w:r>
    </w:p>
    <w:p w14:paraId="4896F27B">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方案设计阶段</w:t>
      </w:r>
    </w:p>
    <w:p w14:paraId="1F559ABB">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在获取</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要求后，</w:t>
      </w: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进行单体建筑方案以及组团方案设计。在此阶段</w:t>
      </w: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应提出概念性的草图及相关意象图并与</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讨论修正，选择并将其中一个制作成此阶段成果。</w:t>
      </w:r>
    </w:p>
    <w:p w14:paraId="1692C1DA">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目标：确定方案的构思意图和布局特点，以及原有建筑、利用、改造(改建)方面的总体设想；确定</w:t>
      </w:r>
      <w:r>
        <w:rPr>
          <w:rFonts w:hint="eastAsia" w:asciiTheme="minorEastAsia" w:hAnsiTheme="minorEastAsia" w:eastAsiaTheme="minorEastAsia"/>
          <w:color w:val="auto"/>
          <w:sz w:val="24"/>
          <w:highlight w:val="none"/>
          <w:lang w:eastAsia="zh-CN"/>
        </w:rPr>
        <w:t>建筑外立面</w:t>
      </w:r>
      <w:r>
        <w:rPr>
          <w:rFonts w:hint="eastAsia" w:asciiTheme="minorEastAsia" w:hAnsiTheme="minorEastAsia" w:eastAsiaTheme="minorEastAsia"/>
          <w:color w:val="auto"/>
          <w:sz w:val="24"/>
          <w:highlight w:val="none"/>
        </w:rPr>
        <w:t>尺度、材质、色彩等清晰表达设计效果。完成平面布置、组团内交通组织、消防设计。</w:t>
      </w:r>
    </w:p>
    <w:p w14:paraId="33AE8C59">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要求在出正式方案前提供不少于2个方案供比较选择，方案必须提供对应的经济技术指标，经讨论确定后出正式文本。</w:t>
      </w:r>
    </w:p>
    <w:p w14:paraId="77A4663E">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扩初深化设计阶段</w:t>
      </w:r>
    </w:p>
    <w:p w14:paraId="77B701FA">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在设计方案成果确认的基础上，进一步进行扩初深化图纸设计。向</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明确施工图设计项目标准（或设计大纲），内容包括但不限于本阶段各专业设计依据、设计等级、材料及参数的选用、设计要点、质量、进度保证措施、成本控制措施、分解的造价或材料用量控制目标等，严格控制既定目标成本限制，在得到</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的认可后，依据</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确认的内容进行设计。</w:t>
      </w:r>
    </w:p>
    <w:p w14:paraId="440EEB86">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应严格按照</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要求以及合同约定，对设计要求参数进行把控，如果出现异常，应及时向</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反馈。设计过程中，</w:t>
      </w: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根据</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要求，委派不少于1名具有丰富工作经验的设计师全过程负责本项目的设计服务，随时积极主动的答疑，发现问题并组织解决问题；按时参加项目组织的专题例会；</w:t>
      </w:r>
    </w:p>
    <w:p w14:paraId="323B365E">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目标：控制设计意图设计效果在后期设计过程中不变形。</w:t>
      </w:r>
    </w:p>
    <w:p w14:paraId="631E645D">
      <w:pPr>
        <w:pStyle w:val="3"/>
        <w:numPr>
          <w:ilvl w:val="0"/>
          <w:numId w:val="3"/>
        </w:numPr>
        <w:bidi w:val="0"/>
        <w:spacing w:line="360" w:lineRule="auto"/>
        <w:rPr>
          <w:rFonts w:hint="eastAsia"/>
          <w:color w:val="auto"/>
          <w:highlight w:val="none"/>
        </w:rPr>
      </w:pPr>
      <w:bookmarkStart w:id="65" w:name="_Toc196727011"/>
      <w:r>
        <w:rPr>
          <w:rFonts w:hint="eastAsia"/>
          <w:color w:val="auto"/>
          <w:highlight w:val="none"/>
        </w:rPr>
        <w:t>设计深度及过程控制</w:t>
      </w:r>
      <w:bookmarkEnd w:id="65"/>
    </w:p>
    <w:p w14:paraId="1DA12913">
      <w:pPr>
        <w:pStyle w:val="45"/>
        <w:widowControl/>
        <w:numPr>
          <w:ilvl w:val="0"/>
          <w:numId w:val="12"/>
        </w:numPr>
        <w:spacing w:line="360" w:lineRule="auto"/>
        <w:ind w:left="220" w:leftChars="10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深度</w:t>
      </w:r>
    </w:p>
    <w:p w14:paraId="238B3F4E">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各阶段设计成果应满足中华人民共和国建设部《建筑工程设计文件编制深度规定》现行版本的要求。</w:t>
      </w:r>
    </w:p>
    <w:p w14:paraId="7D56436B">
      <w:pPr>
        <w:pStyle w:val="45"/>
        <w:widowControl/>
        <w:numPr>
          <w:ilvl w:val="0"/>
          <w:numId w:val="12"/>
        </w:numPr>
        <w:spacing w:line="360" w:lineRule="auto"/>
        <w:ind w:left="220" w:leftChars="10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过程控制</w:t>
      </w:r>
    </w:p>
    <w:p w14:paraId="59A6B088">
      <w:pPr>
        <w:pStyle w:val="45"/>
        <w:widowControl/>
        <w:numPr>
          <w:ilvl w:val="0"/>
          <w:numId w:val="13"/>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设计意图阶段</w:t>
      </w:r>
    </w:p>
    <w:p w14:paraId="2986CD2B">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收集整理项目各类基础资料、项目开发方向、设计需求等向</w:t>
      </w: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进行规划及建筑改造方案设计交底，同时组织</w:t>
      </w: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和</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运营、设计管理等相关部门进行交流，向</w:t>
      </w: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宣贯设计意图及开发意图。</w:t>
      </w: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rPr>
        <w:t>提出书面意见，</w:t>
      </w:r>
      <w:r>
        <w:rPr>
          <w:rFonts w:hint="eastAsia" w:asciiTheme="minorEastAsia" w:hAnsiTheme="minorEastAsia" w:eastAsiaTheme="minorEastAsia"/>
          <w:color w:val="auto"/>
          <w:sz w:val="24"/>
          <w:highlight w:val="none"/>
          <w:lang w:val="en-US" w:eastAsia="zh-CN"/>
        </w:rPr>
        <w:t>招标人</w:t>
      </w:r>
      <w:r>
        <w:rPr>
          <w:rFonts w:hint="eastAsia" w:asciiTheme="minorEastAsia" w:hAnsiTheme="minorEastAsia" w:eastAsiaTheme="minorEastAsia"/>
          <w:color w:val="auto"/>
          <w:sz w:val="24"/>
          <w:highlight w:val="none"/>
        </w:rPr>
        <w:t>负责组织相关答疑，负责收集、准备、整理提供相关材料给</w:t>
      </w:r>
      <w:r>
        <w:rPr>
          <w:rFonts w:hint="eastAsia" w:asciiTheme="minorEastAsia" w:hAnsiTheme="minorEastAsia" w:eastAsiaTheme="minorEastAsia"/>
          <w:color w:val="auto"/>
          <w:sz w:val="24"/>
          <w:highlight w:val="none"/>
          <w:lang w:eastAsia="zh-CN"/>
        </w:rPr>
        <w:t>中标人</w:t>
      </w:r>
      <w:r>
        <w:rPr>
          <w:rFonts w:hint="eastAsia" w:asciiTheme="minorEastAsia" w:hAnsiTheme="minorEastAsia" w:eastAsiaTheme="minorEastAsia"/>
          <w:color w:val="auto"/>
          <w:sz w:val="24"/>
          <w:highlight w:val="none"/>
        </w:rPr>
        <w:t>。</w:t>
      </w:r>
    </w:p>
    <w:p w14:paraId="1E68C3AC">
      <w:pPr>
        <w:pStyle w:val="45"/>
        <w:widowControl/>
        <w:numPr>
          <w:ilvl w:val="0"/>
          <w:numId w:val="13"/>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初步设计段工作</w:t>
      </w:r>
    </w:p>
    <w:p w14:paraId="30A795A0">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方案初步阶段，设计过程中随时与</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管理人员保持沟通。</w:t>
      </w:r>
    </w:p>
    <w:p w14:paraId="4751C74D">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各阶段工作，须提前7天以上提交成果给予供</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预审，经</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审核，满足该阶段需要时，</w:t>
      </w:r>
      <w:r>
        <w:rPr>
          <w:rFonts w:hint="eastAsia" w:asciiTheme="minorEastAsia" w:hAnsiTheme="minorEastAsia" w:eastAsiaTheme="minorEastAsia"/>
          <w:color w:val="auto"/>
          <w:sz w:val="24"/>
          <w:highlight w:val="none"/>
          <w:lang w:eastAsia="zh-CN"/>
        </w:rPr>
        <w:t>中标人</w:t>
      </w:r>
      <w:r>
        <w:rPr>
          <w:rFonts w:hint="eastAsia" w:asciiTheme="minorEastAsia" w:hAnsiTheme="minorEastAsia" w:eastAsiaTheme="minorEastAsia"/>
          <w:color w:val="auto"/>
          <w:sz w:val="24"/>
          <w:highlight w:val="none"/>
        </w:rPr>
        <w:t>向</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提出书面验收申请，并获得</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签署书面确认书，方可进行下一阶段工作。每阶段重大修改与成果汇报，均须前往</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公司作汇报，以</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书面通知为准，直至满足各阶段需要。</w:t>
      </w:r>
    </w:p>
    <w:p w14:paraId="2D245C35">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同时，</w:t>
      </w:r>
      <w:r>
        <w:rPr>
          <w:rFonts w:hint="eastAsia" w:asciiTheme="minorEastAsia" w:hAnsiTheme="minorEastAsia" w:eastAsiaTheme="minorEastAsia"/>
          <w:color w:val="auto"/>
          <w:sz w:val="24"/>
          <w:highlight w:val="none"/>
          <w:lang w:eastAsia="zh-CN"/>
        </w:rPr>
        <w:t>中标人</w:t>
      </w:r>
      <w:r>
        <w:rPr>
          <w:rFonts w:hint="eastAsia" w:asciiTheme="minorEastAsia" w:hAnsiTheme="minorEastAsia" w:eastAsiaTheme="minorEastAsia"/>
          <w:color w:val="auto"/>
          <w:sz w:val="24"/>
          <w:highlight w:val="none"/>
        </w:rPr>
        <w:t>负责制作相关的各专业资料条件图，并提供给大市政、精装等相关专业设计单位，由</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负责与各相关专业设计单位之间的协调工作。</w:t>
      </w:r>
    </w:p>
    <w:p w14:paraId="7AE40B7B">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若有任何疑问或争议问题要及时和</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协商解决，遇到以下情形，</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可以采取相应的措施：</w:t>
      </w:r>
    </w:p>
    <w:p w14:paraId="3046B231">
      <w:pPr>
        <w:pStyle w:val="45"/>
        <w:widowControl/>
        <w:numPr>
          <w:ilvl w:val="0"/>
          <w:numId w:val="14"/>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如</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对</w:t>
      </w:r>
      <w:r>
        <w:rPr>
          <w:rFonts w:hint="eastAsia" w:asciiTheme="minorEastAsia" w:hAnsiTheme="minorEastAsia" w:eastAsiaTheme="minorEastAsia"/>
          <w:color w:val="auto"/>
          <w:sz w:val="24"/>
          <w:highlight w:val="none"/>
          <w:lang w:eastAsia="zh-CN"/>
        </w:rPr>
        <w:t>中标人</w:t>
      </w:r>
      <w:r>
        <w:rPr>
          <w:rFonts w:hint="eastAsia" w:asciiTheme="minorEastAsia" w:hAnsiTheme="minorEastAsia" w:eastAsiaTheme="minorEastAsia"/>
          <w:color w:val="auto"/>
          <w:sz w:val="24"/>
          <w:highlight w:val="none"/>
        </w:rPr>
        <w:t>的方案不满意，经多次调整仍无法达到</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要求，</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有</w:t>
      </w:r>
      <w:r>
        <w:rPr>
          <w:rFonts w:hint="eastAsia" w:asciiTheme="minorEastAsia" w:hAnsiTheme="minorEastAsia" w:eastAsiaTheme="minorEastAsia"/>
          <w:color w:val="auto"/>
          <w:sz w:val="24"/>
          <w:highlight w:val="none"/>
          <w:lang w:eastAsia="zh-CN"/>
        </w:rPr>
        <w:t>权利</w:t>
      </w:r>
      <w:r>
        <w:rPr>
          <w:rFonts w:hint="eastAsia" w:asciiTheme="minorEastAsia" w:hAnsiTheme="minorEastAsia" w:eastAsiaTheme="minorEastAsia"/>
          <w:color w:val="auto"/>
          <w:sz w:val="24"/>
          <w:highlight w:val="none"/>
        </w:rPr>
        <w:t>提出对方案的费用进行扣减；</w:t>
      </w:r>
    </w:p>
    <w:p w14:paraId="0E7C6982">
      <w:pPr>
        <w:pStyle w:val="45"/>
        <w:widowControl/>
        <w:numPr>
          <w:ilvl w:val="0"/>
          <w:numId w:val="14"/>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如</w:t>
      </w:r>
      <w:r>
        <w:rPr>
          <w:rFonts w:hint="eastAsia" w:asciiTheme="minorEastAsia" w:hAnsiTheme="minorEastAsia" w:eastAsiaTheme="minorEastAsia"/>
          <w:color w:val="auto"/>
          <w:sz w:val="24"/>
          <w:highlight w:val="none"/>
          <w:lang w:eastAsia="zh-CN"/>
        </w:rPr>
        <w:t>中标人</w:t>
      </w:r>
      <w:r>
        <w:rPr>
          <w:rFonts w:hint="eastAsia" w:asciiTheme="minorEastAsia" w:hAnsiTheme="minorEastAsia" w:eastAsiaTheme="minorEastAsia"/>
          <w:color w:val="auto"/>
          <w:sz w:val="24"/>
          <w:highlight w:val="none"/>
        </w:rPr>
        <w:t>在设计过程中，未能按照双方协议时间进行图纸提交工作，</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有权力对</w:t>
      </w:r>
      <w:r>
        <w:rPr>
          <w:rFonts w:hint="eastAsia" w:asciiTheme="minorEastAsia" w:hAnsiTheme="minorEastAsia" w:eastAsiaTheme="minorEastAsia"/>
          <w:color w:val="auto"/>
          <w:sz w:val="24"/>
          <w:highlight w:val="none"/>
          <w:lang w:eastAsia="zh-CN"/>
        </w:rPr>
        <w:t>中标人</w:t>
      </w:r>
      <w:r>
        <w:rPr>
          <w:rFonts w:hint="eastAsia" w:asciiTheme="minorEastAsia" w:hAnsiTheme="minorEastAsia" w:eastAsiaTheme="minorEastAsia"/>
          <w:color w:val="auto"/>
          <w:sz w:val="24"/>
          <w:highlight w:val="none"/>
        </w:rPr>
        <w:t>进行书面警告并每次5000元罚款，超过三次警告，</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有权力解除双方合同，按照双方认可并确认的已完成工作量进行结算；</w:t>
      </w:r>
    </w:p>
    <w:p w14:paraId="3264D9EB">
      <w:pPr>
        <w:pStyle w:val="45"/>
        <w:widowControl/>
        <w:numPr>
          <w:ilvl w:val="0"/>
          <w:numId w:val="13"/>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后续设计服务工作阶段</w:t>
      </w:r>
    </w:p>
    <w:p w14:paraId="2DFF51BE">
      <w:pPr>
        <w:pStyle w:val="45"/>
        <w:widowControl/>
        <w:spacing w:line="360" w:lineRule="auto"/>
        <w:ind w:left="720"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中标人</w:t>
      </w:r>
      <w:r>
        <w:rPr>
          <w:rFonts w:hint="eastAsia" w:asciiTheme="minorEastAsia" w:hAnsiTheme="minorEastAsia" w:eastAsiaTheme="minorEastAsia"/>
          <w:color w:val="auto"/>
          <w:sz w:val="24"/>
          <w:highlight w:val="none"/>
        </w:rPr>
        <w:t>按</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需要，在方案设计过程中积极提供一些新的设计措施、新颖的工艺技术、材料物料、设备系统等备选信息进行参考，并做好技术资料整理，对接后续施工图方案设计。</w:t>
      </w:r>
    </w:p>
    <w:p w14:paraId="72AC5231">
      <w:pPr>
        <w:pStyle w:val="3"/>
        <w:numPr>
          <w:ilvl w:val="0"/>
          <w:numId w:val="3"/>
        </w:numPr>
        <w:bidi w:val="0"/>
        <w:spacing w:line="360" w:lineRule="auto"/>
        <w:rPr>
          <w:rFonts w:hint="eastAsia"/>
          <w:color w:val="auto"/>
          <w:highlight w:val="none"/>
        </w:rPr>
      </w:pPr>
      <w:bookmarkStart w:id="66" w:name="_Toc196727012"/>
      <w:r>
        <w:rPr>
          <w:rFonts w:hint="eastAsia"/>
          <w:color w:val="auto"/>
          <w:highlight w:val="none"/>
        </w:rPr>
        <w:t>设计成果要求</w:t>
      </w:r>
      <w:bookmarkEnd w:id="66"/>
    </w:p>
    <w:p w14:paraId="5E86BF21">
      <w:pPr>
        <w:pStyle w:val="45"/>
        <w:widowControl/>
        <w:numPr>
          <w:ilvl w:val="0"/>
          <w:numId w:val="15"/>
        </w:numPr>
        <w:spacing w:line="360" w:lineRule="auto"/>
        <w:ind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方案设计阶段</w:t>
      </w:r>
    </w:p>
    <w:p w14:paraId="7B2D413A">
      <w:pPr>
        <w:pStyle w:val="45"/>
        <w:widowControl/>
        <w:spacing w:line="360" w:lineRule="auto"/>
        <w:ind w:left="1276" w:firstLine="343" w:firstLineChars="143"/>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提交方案平立面图CAD予</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确认，成果为A3白纸图，方案及初步设计阶段，内容包括但不限于如下：</w:t>
      </w:r>
    </w:p>
    <w:p w14:paraId="6017A49E">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经济技术指标，包括总建筑面积，</w:t>
      </w:r>
      <w:r>
        <w:rPr>
          <w:rFonts w:asciiTheme="minorEastAsia" w:hAnsiTheme="minorEastAsia" w:eastAsiaTheme="minorEastAsia"/>
          <w:color w:val="auto"/>
          <w:sz w:val="24"/>
          <w:highlight w:val="none"/>
        </w:rPr>
        <w:t xml:space="preserve"> 栋数</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建筑密度</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绿化率等</w:t>
      </w:r>
    </w:p>
    <w:p w14:paraId="34104002">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单体平面图、立面图（含材料明细）、剖面图</w:t>
      </w:r>
    </w:p>
    <w:p w14:paraId="62DB8131">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平立面分色图（含材料明细以及选型建议）</w:t>
      </w:r>
    </w:p>
    <w:p w14:paraId="739C4D46">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各户型平面图</w:t>
      </w:r>
    </w:p>
    <w:p w14:paraId="6A891DF0">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园林</w:t>
      </w:r>
      <w:r>
        <w:rPr>
          <w:rFonts w:hint="eastAsia" w:asciiTheme="minorEastAsia" w:hAnsiTheme="minorEastAsia" w:eastAsiaTheme="minorEastAsia"/>
          <w:color w:val="auto"/>
          <w:sz w:val="24"/>
          <w:highlight w:val="none"/>
        </w:rPr>
        <w:t>景观、</w:t>
      </w:r>
      <w:r>
        <w:rPr>
          <w:rFonts w:asciiTheme="minorEastAsia" w:hAnsiTheme="minorEastAsia" w:eastAsiaTheme="minorEastAsia"/>
          <w:color w:val="auto"/>
          <w:sz w:val="24"/>
          <w:highlight w:val="none"/>
        </w:rPr>
        <w:t>泛光</w:t>
      </w:r>
      <w:r>
        <w:rPr>
          <w:rFonts w:hint="eastAsia" w:asciiTheme="minorEastAsia" w:hAnsiTheme="minorEastAsia" w:eastAsiaTheme="minorEastAsia"/>
          <w:color w:val="auto"/>
          <w:sz w:val="24"/>
          <w:highlight w:val="none"/>
        </w:rPr>
        <w:t>设计、标识导览</w:t>
      </w:r>
    </w:p>
    <w:p w14:paraId="63B9134A">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装修设计</w:t>
      </w:r>
      <w:r>
        <w:rPr>
          <w:rFonts w:hint="eastAsia" w:asciiTheme="minorEastAsia" w:hAnsiTheme="minorEastAsia" w:eastAsiaTheme="minorEastAsia"/>
          <w:color w:val="auto"/>
          <w:sz w:val="24"/>
          <w:highlight w:val="none"/>
        </w:rPr>
        <w:t>意向</w:t>
      </w:r>
      <w:r>
        <w:rPr>
          <w:rFonts w:asciiTheme="minorEastAsia" w:hAnsiTheme="minorEastAsia" w:eastAsiaTheme="minorEastAsia"/>
          <w:color w:val="auto"/>
          <w:sz w:val="24"/>
          <w:highlight w:val="none"/>
        </w:rPr>
        <w:t>指引</w:t>
      </w:r>
    </w:p>
    <w:p w14:paraId="41B1A23C">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建筑图</w:t>
      </w:r>
    </w:p>
    <w:p w14:paraId="53080C37">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结构图</w:t>
      </w:r>
    </w:p>
    <w:p w14:paraId="097ED005">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电气图</w:t>
      </w:r>
    </w:p>
    <w:p w14:paraId="42977D97">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给排水图</w:t>
      </w:r>
    </w:p>
    <w:p w14:paraId="65E4AD1C">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暖通图</w:t>
      </w:r>
    </w:p>
    <w:p w14:paraId="26974CA6">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结构加固图</w:t>
      </w:r>
    </w:p>
    <w:p w14:paraId="667F269A">
      <w:pPr>
        <w:pStyle w:val="45"/>
        <w:widowControl/>
        <w:numPr>
          <w:ilvl w:val="0"/>
          <w:numId w:val="11"/>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海绵城市专章</w:t>
      </w:r>
    </w:p>
    <w:p w14:paraId="1E61ED4B">
      <w:pPr>
        <w:pStyle w:val="45"/>
        <w:widowControl/>
        <w:numPr>
          <w:ilvl w:val="0"/>
          <w:numId w:val="15"/>
        </w:numPr>
        <w:spacing w:line="360" w:lineRule="auto"/>
        <w:ind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其它</w:t>
      </w:r>
    </w:p>
    <w:p w14:paraId="37018B58">
      <w:pPr>
        <w:pStyle w:val="45"/>
        <w:widowControl/>
        <w:numPr>
          <w:ilvl w:val="0"/>
          <w:numId w:val="16"/>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尺寸应以公制单位标注；</w:t>
      </w:r>
    </w:p>
    <w:p w14:paraId="46D2C3E1">
      <w:pPr>
        <w:pStyle w:val="45"/>
        <w:widowControl/>
        <w:numPr>
          <w:ilvl w:val="0"/>
          <w:numId w:val="16"/>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设计中间交流及设计成果中提交图纸的所有文字均应为中文简体；</w:t>
      </w:r>
    </w:p>
    <w:p w14:paraId="5F7F5309">
      <w:pPr>
        <w:pStyle w:val="45"/>
        <w:widowControl/>
        <w:numPr>
          <w:ilvl w:val="0"/>
          <w:numId w:val="16"/>
        </w:numPr>
        <w:spacing w:line="360" w:lineRule="auto"/>
        <w:ind w:firstLineChars="0"/>
        <w:jc w:val="left"/>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提交C</w:t>
      </w:r>
      <w:r>
        <w:rPr>
          <w:rFonts w:hint="eastAsia" w:asciiTheme="minorEastAsia" w:hAnsiTheme="minorEastAsia" w:eastAsiaTheme="minorEastAsia"/>
          <w:color w:val="auto"/>
          <w:sz w:val="24"/>
          <w:highlight w:val="none"/>
        </w:rPr>
        <w:t>ad版本应不高于CAD2004版本；</w:t>
      </w:r>
    </w:p>
    <w:p w14:paraId="77866CBD">
      <w:pPr>
        <w:pStyle w:val="45"/>
        <w:widowControl/>
        <w:numPr>
          <w:ilvl w:val="0"/>
          <w:numId w:val="16"/>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工作内容应满足</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提出的设计合同、设计任务书及中间交流书面文件（传真、邮件等）的要求；</w:t>
      </w:r>
    </w:p>
    <w:p w14:paraId="7AE3CF96">
      <w:pPr>
        <w:pStyle w:val="45"/>
        <w:widowControl/>
        <w:numPr>
          <w:ilvl w:val="0"/>
          <w:numId w:val="15"/>
        </w:numPr>
        <w:spacing w:line="360" w:lineRule="auto"/>
        <w:ind w:firstLine="48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文件的版权/著作权</w:t>
      </w:r>
    </w:p>
    <w:p w14:paraId="5A575810">
      <w:pPr>
        <w:pStyle w:val="51"/>
        <w:numPr>
          <w:ilvl w:val="0"/>
          <w:numId w:val="17"/>
        </w:numPr>
        <w:spacing w:line="360" w:lineRule="auto"/>
        <w:ind w:firstLineChars="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每次向</w:t>
      </w:r>
      <w:r>
        <w:rPr>
          <w:rFonts w:hint="eastAsia" w:asciiTheme="minorEastAsia" w:hAnsiTheme="minorEastAsia" w:eastAsiaTheme="minorEastAsia"/>
          <w:color w:val="auto"/>
          <w:sz w:val="24"/>
          <w:highlight w:val="none"/>
          <w:lang w:eastAsia="zh-CN"/>
        </w:rPr>
        <w:t>中标人</w:t>
      </w:r>
      <w:r>
        <w:rPr>
          <w:rFonts w:hint="eastAsia" w:asciiTheme="minorEastAsia" w:hAnsiTheme="minorEastAsia" w:eastAsiaTheme="minorEastAsia"/>
          <w:color w:val="auto"/>
          <w:sz w:val="24"/>
          <w:highlight w:val="none"/>
        </w:rPr>
        <w:t>支付设计费后，</w:t>
      </w:r>
      <w:r>
        <w:rPr>
          <w:rFonts w:hint="eastAsia" w:asciiTheme="minorEastAsia" w:hAnsiTheme="minorEastAsia" w:eastAsiaTheme="minorEastAsia"/>
          <w:color w:val="auto"/>
          <w:sz w:val="24"/>
          <w:highlight w:val="none"/>
          <w:lang w:eastAsia="zh-CN"/>
        </w:rPr>
        <w:t>中标人</w:t>
      </w:r>
      <w:r>
        <w:rPr>
          <w:rFonts w:hint="eastAsia" w:asciiTheme="minorEastAsia" w:hAnsiTheme="minorEastAsia" w:eastAsiaTheme="minorEastAsia"/>
          <w:color w:val="auto"/>
          <w:sz w:val="24"/>
          <w:highlight w:val="none"/>
        </w:rPr>
        <w:t>向</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提供的相应图纸、资料的著作权归</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所有，</w:t>
      </w:r>
      <w:r>
        <w:rPr>
          <w:rFonts w:hint="eastAsia" w:asciiTheme="minorEastAsia" w:hAnsiTheme="minorEastAsia" w:eastAsiaTheme="minorEastAsia"/>
          <w:color w:val="auto"/>
          <w:sz w:val="24"/>
          <w:highlight w:val="none"/>
          <w:lang w:eastAsia="zh-CN"/>
        </w:rPr>
        <w:t>中标人</w:t>
      </w:r>
      <w:r>
        <w:rPr>
          <w:rFonts w:hint="eastAsia" w:asciiTheme="minorEastAsia" w:hAnsiTheme="minorEastAsia" w:eastAsiaTheme="minorEastAsia"/>
          <w:color w:val="auto"/>
          <w:sz w:val="24"/>
          <w:highlight w:val="none"/>
        </w:rPr>
        <w:t>需按合同要求的份数，及其电子文件一并交予</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w:t>
      </w:r>
    </w:p>
    <w:p w14:paraId="4A11128F">
      <w:pPr>
        <w:pStyle w:val="51"/>
        <w:numPr>
          <w:ilvl w:val="0"/>
          <w:numId w:val="17"/>
        </w:numPr>
        <w:spacing w:line="360" w:lineRule="auto"/>
        <w:ind w:firstLineChars="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中标人</w:t>
      </w:r>
      <w:r>
        <w:rPr>
          <w:rFonts w:hint="eastAsia" w:asciiTheme="minorEastAsia" w:hAnsiTheme="minorEastAsia" w:eastAsiaTheme="minorEastAsia"/>
          <w:color w:val="auto"/>
          <w:sz w:val="24"/>
          <w:highlight w:val="none"/>
        </w:rPr>
        <w:t>应保证其提交的设计成果不侵犯第三人的知识产权或其它合法权利，否则应由</w:t>
      </w:r>
      <w:r>
        <w:rPr>
          <w:rFonts w:hint="eastAsia" w:asciiTheme="minorEastAsia" w:hAnsiTheme="minorEastAsia" w:eastAsiaTheme="minorEastAsia"/>
          <w:color w:val="auto"/>
          <w:sz w:val="24"/>
          <w:highlight w:val="none"/>
          <w:lang w:eastAsia="zh-CN"/>
        </w:rPr>
        <w:t>中标人</w:t>
      </w:r>
      <w:r>
        <w:rPr>
          <w:rFonts w:hint="eastAsia" w:asciiTheme="minorEastAsia" w:hAnsiTheme="minorEastAsia" w:eastAsiaTheme="minorEastAsia"/>
          <w:color w:val="auto"/>
          <w:sz w:val="24"/>
          <w:highlight w:val="none"/>
        </w:rPr>
        <w:t>承担由此产生的一切责任，并赔偿</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损失。</w:t>
      </w:r>
    </w:p>
    <w:p w14:paraId="769D6F8E">
      <w:pPr>
        <w:pStyle w:val="45"/>
        <w:widowControl/>
        <w:numPr>
          <w:ilvl w:val="0"/>
          <w:numId w:val="17"/>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未经合同对方书面同意，任何一方不得全部或部分转让其在本合同项下的权利和义务。</w:t>
      </w:r>
    </w:p>
    <w:p w14:paraId="4ADED793">
      <w:pPr>
        <w:pStyle w:val="45"/>
        <w:widowControl/>
        <w:numPr>
          <w:ilvl w:val="0"/>
          <w:numId w:val="17"/>
        </w:numPr>
        <w:spacing w:line="360" w:lineRule="auto"/>
        <w:ind w:firstLineChars="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所有完成成果的电子文件，应无偿提供源文件于</w:t>
      </w:r>
      <w:r>
        <w:rPr>
          <w:rFonts w:hint="eastAsia" w:asciiTheme="minorEastAsia" w:hAnsiTheme="minorEastAsia" w:eastAsiaTheme="minorEastAsia"/>
          <w:color w:val="auto"/>
          <w:sz w:val="24"/>
          <w:highlight w:val="none"/>
          <w:lang w:eastAsia="zh-CN"/>
        </w:rPr>
        <w:t>招标人</w:t>
      </w:r>
      <w:r>
        <w:rPr>
          <w:rFonts w:hint="eastAsia" w:asciiTheme="minorEastAsia" w:hAnsiTheme="minorEastAsia" w:eastAsiaTheme="minorEastAsia"/>
          <w:color w:val="auto"/>
          <w:sz w:val="24"/>
          <w:highlight w:val="none"/>
        </w:rPr>
        <w:t>，包括图纸CAD文件、文本PPT、效果图PSD及模型等。</w:t>
      </w:r>
    </w:p>
    <w:p w14:paraId="6A5769F2">
      <w:pPr>
        <w:pStyle w:val="45"/>
        <w:widowControl/>
        <w:numPr>
          <w:ilvl w:val="0"/>
          <w:numId w:val="15"/>
        </w:numPr>
        <w:spacing w:line="360" w:lineRule="auto"/>
        <w:ind w:firstLineChars="0"/>
        <w:jc w:val="left"/>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保密条款</w:t>
      </w:r>
    </w:p>
    <w:p w14:paraId="3D62E29B">
      <w:pPr>
        <w:pStyle w:val="51"/>
        <w:numPr>
          <w:ilvl w:val="0"/>
          <w:numId w:val="18"/>
        </w:numPr>
        <w:spacing w:line="360" w:lineRule="auto"/>
        <w:ind w:firstLineChars="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在本合同订立前、履行中、终止后未经合同其他方书面同意，任何一方对本合同和各方相互提供的资料、信息（包括但不限于商业秘密、技术资料、图纸、数据、以及与业务有关的客户的信息及其他信息等）负保密责任。</w:t>
      </w:r>
    </w:p>
    <w:p w14:paraId="2CDFA2DA">
      <w:pPr>
        <w:pStyle w:val="51"/>
        <w:numPr>
          <w:ilvl w:val="0"/>
          <w:numId w:val="18"/>
        </w:numPr>
        <w:spacing w:line="360" w:lineRule="auto"/>
        <w:ind w:firstLineChars="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任何一方违反上述约定，责任方应按合同总设计费的10%向合同他方支付违约金，违约金不足以赔偿合同他方损失的，应按合同他方的实际损失赔偿。</w:t>
      </w:r>
    </w:p>
    <w:p w14:paraId="3E5B417B">
      <w:pPr>
        <w:pStyle w:val="51"/>
        <w:numPr>
          <w:ilvl w:val="0"/>
          <w:numId w:val="18"/>
        </w:numPr>
        <w:spacing w:line="360" w:lineRule="auto"/>
        <w:ind w:firstLineChars="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本保密条款具有独立性，不受本合同的终止或解除的影响。</w:t>
      </w:r>
    </w:p>
    <w:p w14:paraId="47D48D4F">
      <w:pPr>
        <w:pStyle w:val="3"/>
        <w:numPr>
          <w:ilvl w:val="0"/>
          <w:numId w:val="3"/>
        </w:numPr>
        <w:bidi w:val="0"/>
        <w:spacing w:line="360" w:lineRule="auto"/>
        <w:rPr>
          <w:rFonts w:hint="eastAsia"/>
          <w:color w:val="auto"/>
          <w:highlight w:val="none"/>
        </w:rPr>
      </w:pPr>
      <w:bookmarkStart w:id="67" w:name="_Toc196727013"/>
      <w:r>
        <w:rPr>
          <w:rFonts w:hint="eastAsia"/>
          <w:color w:val="auto"/>
          <w:highlight w:val="none"/>
        </w:rPr>
        <w:t>附件</w:t>
      </w:r>
      <w:bookmarkEnd w:id="67"/>
    </w:p>
    <w:p w14:paraId="7E88C149">
      <w:pPr>
        <w:pStyle w:val="45"/>
        <w:widowControl/>
        <w:numPr>
          <w:ilvl w:val="0"/>
          <w:numId w:val="19"/>
        </w:numPr>
        <w:tabs>
          <w:tab w:val="left" w:pos="-200"/>
        </w:tabs>
        <w:spacing w:line="360" w:lineRule="auto"/>
        <w:ind w:left="-209" w:leftChars="-95" w:firstLine="482" w:firstLineChars="201"/>
        <w:jc w:val="left"/>
        <w:rPr>
          <w:rFonts w:hint="eastAsia"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项目红线图（测绘图CAD）</w:t>
      </w:r>
    </w:p>
    <w:p w14:paraId="53EB78CD">
      <w:pPr>
        <w:pStyle w:val="45"/>
        <w:widowControl/>
        <w:numPr>
          <w:ilvl w:val="0"/>
          <w:numId w:val="19"/>
        </w:numPr>
        <w:tabs>
          <w:tab w:val="left" w:pos="-200"/>
        </w:tabs>
        <w:spacing w:line="360" w:lineRule="auto"/>
        <w:ind w:left="-209" w:leftChars="-95" w:firstLine="482" w:firstLineChars="201"/>
        <w:jc w:val="left"/>
        <w:rPr>
          <w:rFonts w:hint="eastAsia"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项目单体测绘平面</w:t>
      </w:r>
    </w:p>
    <w:p w14:paraId="7E7546BF">
      <w:pPr>
        <w:pStyle w:val="45"/>
        <w:widowControl/>
        <w:numPr>
          <w:ilvl w:val="0"/>
          <w:numId w:val="19"/>
        </w:numPr>
        <w:tabs>
          <w:tab w:val="left" w:pos="-200"/>
        </w:tabs>
        <w:spacing w:line="360" w:lineRule="auto"/>
        <w:ind w:left="-209" w:leftChars="-95" w:firstLine="482" w:firstLineChars="201"/>
        <w:jc w:val="left"/>
        <w:rPr>
          <w:rFonts w:hint="eastAsia"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项目单体危房等级评估报告</w:t>
      </w:r>
    </w:p>
    <w:p w14:paraId="4057855A">
      <w:pPr>
        <w:pStyle w:val="45"/>
        <w:widowControl/>
        <w:numPr>
          <w:ilvl w:val="0"/>
          <w:numId w:val="19"/>
        </w:numPr>
        <w:tabs>
          <w:tab w:val="left" w:pos="-200"/>
        </w:tabs>
        <w:spacing w:line="360" w:lineRule="auto"/>
        <w:ind w:left="-209" w:leftChars="-95" w:firstLine="482" w:firstLineChars="201"/>
        <w:jc w:val="left"/>
        <w:rPr>
          <w:rFonts w:hint="eastAsia"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项目概念性规划方案</w:t>
      </w:r>
    </w:p>
    <w:p w14:paraId="25F7260F">
      <w:pPr>
        <w:pStyle w:val="45"/>
        <w:widowControl/>
        <w:numPr>
          <w:ilvl w:val="0"/>
          <w:numId w:val="19"/>
        </w:numPr>
        <w:tabs>
          <w:tab w:val="left" w:pos="-200"/>
        </w:tabs>
        <w:spacing w:line="360" w:lineRule="auto"/>
        <w:ind w:firstLine="703" w:firstLineChars="293"/>
        <w:jc w:val="left"/>
        <w:rPr>
          <w:rFonts w:hint="eastAsia"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其他相关资料</w:t>
      </w:r>
    </w:p>
    <w:p w14:paraId="41D82290">
      <w:pP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br w:type="page"/>
      </w:r>
    </w:p>
    <w:p w14:paraId="3A8D0B0A">
      <w:pPr>
        <w:pStyle w:val="45"/>
        <w:widowControl/>
        <w:tabs>
          <w:tab w:val="left" w:pos="-420"/>
          <w:tab w:val="left" w:pos="-200"/>
        </w:tabs>
        <w:ind w:left="-199" w:firstLine="0" w:firstLineChars="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设计范围示意图</w:t>
      </w:r>
    </w:p>
    <w:p w14:paraId="6EC12840">
      <w:pPr>
        <w:pStyle w:val="45"/>
        <w:widowControl/>
        <w:tabs>
          <w:tab w:val="left" w:pos="-420"/>
          <w:tab w:val="left" w:pos="-200"/>
        </w:tabs>
        <w:ind w:left="-199" w:firstLine="0" w:firstLineChars="0"/>
        <w:jc w:val="center"/>
        <w:rPr>
          <w:color w:val="auto"/>
          <w:highlight w:val="none"/>
        </w:rPr>
      </w:pPr>
      <w:r>
        <w:rPr>
          <w:color w:val="auto"/>
          <w:highlight w:val="none"/>
        </w:rPr>
        <w:drawing>
          <wp:inline distT="0" distB="0" distL="0" distR="0">
            <wp:extent cx="5759450" cy="4166235"/>
            <wp:effectExtent l="0" t="0" r="127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5759450" cy="4166235"/>
                    </a:xfrm>
                    <a:prstGeom prst="rect">
                      <a:avLst/>
                    </a:prstGeom>
                  </pic:spPr>
                </pic:pic>
              </a:graphicData>
            </a:graphic>
          </wp:inline>
        </w:drawing>
      </w:r>
    </w:p>
    <w:p w14:paraId="4F666CA7">
      <w:pPr>
        <w:pStyle w:val="45"/>
        <w:widowControl/>
        <w:tabs>
          <w:tab w:val="left" w:pos="-420"/>
          <w:tab w:val="left" w:pos="-200"/>
        </w:tabs>
        <w:ind w:left="-199" w:firstLine="0" w:firstLineChars="0"/>
        <w:jc w:val="center"/>
        <w:rPr>
          <w:rFonts w:hint="eastAsia"/>
          <w:color w:val="auto"/>
          <w:highlight w:val="none"/>
          <w:lang w:val="en-US" w:eastAsia="zh-CN"/>
        </w:rPr>
      </w:pPr>
    </w:p>
    <w:p w14:paraId="5ADE83EA">
      <w:pPr>
        <w:pStyle w:val="45"/>
        <w:widowControl/>
        <w:tabs>
          <w:tab w:val="left" w:pos="-420"/>
          <w:tab w:val="left" w:pos="-200"/>
        </w:tabs>
        <w:ind w:left="0" w:firstLine="0" w:firstLineChars="0"/>
        <w:jc w:val="center"/>
        <w:rPr>
          <w:color w:val="auto"/>
          <w:highlight w:val="none"/>
          <w:lang w:eastAsia="zh-CN"/>
        </w:rPr>
      </w:pPr>
      <w:r>
        <w:rPr>
          <w:rFonts w:hint="eastAsia"/>
          <w:color w:val="auto"/>
          <w:highlight w:val="none"/>
          <w:lang w:val="en-US" w:eastAsia="zh-CN"/>
        </w:rPr>
        <w:t>项目总范围图</w:t>
      </w:r>
      <w:r>
        <w:rPr>
          <w:color w:val="auto"/>
          <w:highlight w:val="none"/>
          <w:lang w:eastAsia="zh-CN"/>
        </w:rPr>
        <w:drawing>
          <wp:inline distT="0" distB="0" distL="114300" distR="114300">
            <wp:extent cx="5773420" cy="3237865"/>
            <wp:effectExtent l="0" t="0" r="2540" b="8255"/>
            <wp:docPr id="6" name="图片 6" descr="微信截图_2025061911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50619113147"/>
                    <pic:cNvPicPr>
                      <a:picLocks noChangeAspect="1"/>
                    </pic:cNvPicPr>
                  </pic:nvPicPr>
                  <pic:blipFill>
                    <a:blip r:embed="rId17"/>
                    <a:stretch>
                      <a:fillRect/>
                    </a:stretch>
                  </pic:blipFill>
                  <pic:spPr>
                    <a:xfrm>
                      <a:off x="0" y="0"/>
                      <a:ext cx="5773420" cy="3237865"/>
                    </a:xfrm>
                    <a:prstGeom prst="rect">
                      <a:avLst/>
                    </a:prstGeom>
                  </pic:spPr>
                </pic:pic>
              </a:graphicData>
            </a:graphic>
          </wp:inline>
        </w:drawing>
      </w:r>
    </w:p>
    <w:p w14:paraId="1CECC737">
      <w:pPr>
        <w:pStyle w:val="7"/>
        <w:rPr>
          <w:color w:val="auto"/>
          <w:highlight w:val="none"/>
          <w:lang w:eastAsia="zh-CN"/>
        </w:rPr>
      </w:pPr>
    </w:p>
    <w:p w14:paraId="094FDBE5">
      <w:pPr>
        <w:pStyle w:val="7"/>
        <w:rPr>
          <w:color w:val="auto"/>
          <w:highlight w:val="none"/>
          <w:lang w:eastAsia="zh-CN"/>
        </w:rPr>
      </w:pPr>
    </w:p>
    <w:p w14:paraId="3E091D6A">
      <w:pPr>
        <w:pStyle w:val="5"/>
        <w:rPr>
          <w:color w:val="auto"/>
          <w:highlight w:val="none"/>
        </w:rPr>
      </w:pPr>
    </w:p>
    <w:p w14:paraId="566F3C4A">
      <w:pPr>
        <w:pStyle w:val="5"/>
        <w:rPr>
          <w:color w:val="auto"/>
          <w:highlight w:val="none"/>
        </w:rPr>
      </w:pPr>
    </w:p>
    <w:p w14:paraId="5A46BDB8">
      <w:pPr>
        <w:pStyle w:val="5"/>
        <w:rPr>
          <w:color w:val="auto"/>
          <w:highlight w:val="none"/>
        </w:rPr>
      </w:pPr>
    </w:p>
    <w:p w14:paraId="3BE6A583">
      <w:pPr>
        <w:pStyle w:val="5"/>
        <w:rPr>
          <w:color w:val="auto"/>
          <w:highlight w:val="none"/>
        </w:rPr>
      </w:pPr>
    </w:p>
    <w:p w14:paraId="35BA7620">
      <w:pPr>
        <w:pStyle w:val="5"/>
        <w:rPr>
          <w:color w:val="auto"/>
          <w:highlight w:val="none"/>
        </w:rPr>
      </w:pPr>
    </w:p>
    <w:p w14:paraId="6EF51C59">
      <w:pPr>
        <w:pStyle w:val="5"/>
        <w:rPr>
          <w:color w:val="auto"/>
          <w:highlight w:val="none"/>
        </w:rPr>
      </w:pPr>
    </w:p>
    <w:p w14:paraId="7632C29B">
      <w:pPr>
        <w:pStyle w:val="5"/>
        <w:rPr>
          <w:color w:val="auto"/>
          <w:highlight w:val="none"/>
        </w:rPr>
      </w:pPr>
    </w:p>
    <w:p w14:paraId="20A49B7A">
      <w:pPr>
        <w:pStyle w:val="5"/>
        <w:rPr>
          <w:color w:val="auto"/>
          <w:highlight w:val="none"/>
        </w:rPr>
      </w:pPr>
    </w:p>
    <w:p w14:paraId="555F48FF">
      <w:pPr>
        <w:pStyle w:val="5"/>
        <w:rPr>
          <w:color w:val="auto"/>
          <w:highlight w:val="none"/>
        </w:rPr>
      </w:pPr>
    </w:p>
    <w:p w14:paraId="7A0D38BB">
      <w:pPr>
        <w:pStyle w:val="5"/>
        <w:rPr>
          <w:color w:val="auto"/>
          <w:highlight w:val="none"/>
        </w:rPr>
      </w:pPr>
    </w:p>
    <w:p w14:paraId="3673C221">
      <w:pPr>
        <w:pStyle w:val="5"/>
        <w:rPr>
          <w:color w:val="auto"/>
          <w:highlight w:val="none"/>
        </w:rPr>
      </w:pPr>
    </w:p>
    <w:p w14:paraId="30A9A648">
      <w:pPr>
        <w:pStyle w:val="5"/>
        <w:rPr>
          <w:color w:val="auto"/>
          <w:highlight w:val="none"/>
        </w:rPr>
      </w:pPr>
    </w:p>
    <w:p w14:paraId="075D5032">
      <w:pPr>
        <w:pStyle w:val="5"/>
        <w:rPr>
          <w:color w:val="auto"/>
          <w:highlight w:val="none"/>
        </w:rPr>
      </w:pPr>
    </w:p>
    <w:p w14:paraId="644997DA">
      <w:pPr>
        <w:pStyle w:val="5"/>
        <w:rPr>
          <w:color w:val="auto"/>
          <w:highlight w:val="none"/>
        </w:rPr>
      </w:pPr>
    </w:p>
    <w:p w14:paraId="45E340DA">
      <w:pPr>
        <w:pStyle w:val="5"/>
        <w:rPr>
          <w:color w:val="auto"/>
          <w:highlight w:val="none"/>
        </w:rPr>
      </w:pPr>
    </w:p>
    <w:p w14:paraId="1E521BEE">
      <w:pPr>
        <w:pStyle w:val="5"/>
        <w:rPr>
          <w:color w:val="auto"/>
          <w:highlight w:val="none"/>
        </w:rPr>
      </w:pPr>
    </w:p>
    <w:p w14:paraId="08C2E2EF">
      <w:pPr>
        <w:pStyle w:val="5"/>
        <w:rPr>
          <w:color w:val="auto"/>
          <w:highlight w:val="none"/>
        </w:rPr>
      </w:pPr>
    </w:p>
    <w:p w14:paraId="00847BE4">
      <w:pPr>
        <w:pStyle w:val="5"/>
        <w:rPr>
          <w:color w:val="auto"/>
          <w:highlight w:val="none"/>
        </w:rPr>
      </w:pPr>
    </w:p>
    <w:p w14:paraId="6FD8F5AC">
      <w:pPr>
        <w:pStyle w:val="5"/>
        <w:rPr>
          <w:color w:val="auto"/>
          <w:highlight w:val="none"/>
        </w:rPr>
      </w:pPr>
    </w:p>
    <w:p w14:paraId="48B45EFF">
      <w:pPr>
        <w:pStyle w:val="5"/>
        <w:rPr>
          <w:color w:val="auto"/>
          <w:highlight w:val="none"/>
        </w:rPr>
      </w:pPr>
    </w:p>
    <w:p w14:paraId="39C59A10">
      <w:pPr>
        <w:pStyle w:val="5"/>
        <w:rPr>
          <w:color w:val="auto"/>
          <w:highlight w:val="none"/>
        </w:rPr>
      </w:pPr>
    </w:p>
    <w:p w14:paraId="1AB3213A">
      <w:pPr>
        <w:pStyle w:val="5"/>
        <w:rPr>
          <w:color w:val="auto"/>
          <w:highlight w:val="none"/>
        </w:rPr>
      </w:pPr>
    </w:p>
    <w:p w14:paraId="392FDE9C">
      <w:pPr>
        <w:pStyle w:val="5"/>
        <w:rPr>
          <w:color w:val="auto"/>
          <w:highlight w:val="none"/>
        </w:rPr>
      </w:pPr>
    </w:p>
    <w:p w14:paraId="06B876B1">
      <w:pPr>
        <w:pStyle w:val="5"/>
        <w:rPr>
          <w:color w:val="auto"/>
          <w:highlight w:val="none"/>
        </w:rPr>
      </w:pPr>
    </w:p>
    <w:p w14:paraId="58DA2748">
      <w:pPr>
        <w:jc w:val="both"/>
        <w:rPr>
          <w:rFonts w:ascii="宋体" w:hAnsi="宋体" w:eastAsia="宋体"/>
          <w:color w:val="auto"/>
          <w:sz w:val="24"/>
          <w:szCs w:val="24"/>
          <w:highlight w:val="none"/>
          <w:lang w:eastAsia="zh-CN"/>
        </w:rPr>
      </w:pPr>
    </w:p>
    <w:p w14:paraId="14679ABA">
      <w:pPr>
        <w:pStyle w:val="2"/>
        <w:spacing w:line="589" w:lineRule="exact"/>
        <w:ind w:left="0" w:right="3"/>
        <w:jc w:val="both"/>
        <w:rPr>
          <w:rFonts w:ascii="宋体" w:hAnsi="宋体" w:eastAsia="宋体"/>
          <w:color w:val="auto"/>
          <w:highlight w:val="none"/>
          <w:lang w:eastAsia="zh-CN"/>
        </w:rPr>
        <w:sectPr>
          <w:footerReference r:id="rId12" w:type="first"/>
          <w:footerReference r:id="rId11" w:type="default"/>
          <w:pgSz w:w="11907" w:h="16839"/>
          <w:pgMar w:top="1440" w:right="1440" w:bottom="1440" w:left="1440" w:header="0" w:footer="921" w:gutter="0"/>
          <w:cols w:space="720" w:num="1"/>
          <w:titlePg/>
          <w:docGrid w:linePitch="299" w:charSpace="0"/>
        </w:sectPr>
      </w:pPr>
      <w:bookmarkStart w:id="68" w:name="_Toc25138019"/>
      <w:bookmarkStart w:id="69" w:name="_Toc25152751"/>
    </w:p>
    <w:p w14:paraId="6AFD7D8F">
      <w:pPr>
        <w:pStyle w:val="7"/>
        <w:rPr>
          <w:color w:val="auto"/>
          <w:highlight w:val="none"/>
          <w:lang w:eastAsia="zh-CN"/>
        </w:rPr>
      </w:pPr>
    </w:p>
    <w:p w14:paraId="78B52C64">
      <w:pPr>
        <w:pStyle w:val="7"/>
        <w:rPr>
          <w:color w:val="auto"/>
          <w:highlight w:val="none"/>
          <w:lang w:eastAsia="zh-CN"/>
        </w:rPr>
      </w:pPr>
    </w:p>
    <w:p w14:paraId="682FB1EF">
      <w:pPr>
        <w:pStyle w:val="7"/>
        <w:rPr>
          <w:color w:val="auto"/>
          <w:highlight w:val="none"/>
          <w:lang w:eastAsia="zh-CN"/>
        </w:rPr>
      </w:pPr>
    </w:p>
    <w:p w14:paraId="3C92FB22">
      <w:pPr>
        <w:pStyle w:val="7"/>
        <w:rPr>
          <w:color w:val="auto"/>
          <w:highlight w:val="none"/>
          <w:lang w:eastAsia="zh-CN"/>
        </w:rPr>
      </w:pPr>
    </w:p>
    <w:p w14:paraId="037AE189">
      <w:pPr>
        <w:pStyle w:val="7"/>
        <w:rPr>
          <w:color w:val="auto"/>
          <w:highlight w:val="none"/>
          <w:lang w:eastAsia="zh-CN"/>
        </w:rPr>
      </w:pPr>
    </w:p>
    <w:p w14:paraId="11D8F444">
      <w:pPr>
        <w:pStyle w:val="7"/>
        <w:rPr>
          <w:color w:val="auto"/>
          <w:highlight w:val="none"/>
          <w:lang w:eastAsia="zh-CN"/>
        </w:rPr>
      </w:pPr>
    </w:p>
    <w:p w14:paraId="407668C2">
      <w:pPr>
        <w:pStyle w:val="7"/>
        <w:rPr>
          <w:color w:val="auto"/>
          <w:highlight w:val="none"/>
          <w:lang w:eastAsia="zh-CN"/>
        </w:rPr>
      </w:pPr>
    </w:p>
    <w:p w14:paraId="50F12C0B">
      <w:pPr>
        <w:pStyle w:val="2"/>
        <w:spacing w:line="589" w:lineRule="exact"/>
        <w:ind w:left="0" w:right="3"/>
        <w:jc w:val="center"/>
        <w:rPr>
          <w:rFonts w:ascii="宋体" w:hAnsi="宋体" w:eastAsia="宋体"/>
          <w:b w:val="0"/>
          <w:bCs w:val="0"/>
          <w:color w:val="auto"/>
          <w:highlight w:val="none"/>
          <w:lang w:eastAsia="zh-CN"/>
        </w:rPr>
      </w:pPr>
      <w:r>
        <w:rPr>
          <w:rFonts w:ascii="宋体" w:hAnsi="宋体" w:eastAsia="宋体"/>
          <w:color w:val="auto"/>
          <w:highlight w:val="none"/>
          <w:lang w:eastAsia="zh-CN"/>
        </w:rPr>
        <w:t>第三卷</w:t>
      </w:r>
      <w:bookmarkEnd w:id="68"/>
      <w:bookmarkEnd w:id="69"/>
    </w:p>
    <w:p w14:paraId="190CBD2F">
      <w:pPr>
        <w:spacing w:line="589" w:lineRule="exact"/>
        <w:jc w:val="center"/>
        <w:rPr>
          <w:rFonts w:ascii="宋体" w:hAnsi="宋体" w:eastAsia="宋体"/>
          <w:color w:val="auto"/>
          <w:highlight w:val="none"/>
          <w:lang w:eastAsia="zh-CN"/>
        </w:rPr>
        <w:sectPr>
          <w:pgSz w:w="11907" w:h="16839"/>
          <w:pgMar w:top="1440" w:right="1440" w:bottom="1440" w:left="1440" w:header="0" w:footer="921" w:gutter="0"/>
          <w:cols w:space="720" w:num="1"/>
          <w:titlePg/>
          <w:docGrid w:linePitch="299" w:charSpace="0"/>
        </w:sectPr>
      </w:pPr>
    </w:p>
    <w:p w14:paraId="31B64261">
      <w:pPr>
        <w:pStyle w:val="7"/>
        <w:rPr>
          <w:color w:val="auto"/>
          <w:highlight w:val="none"/>
          <w:lang w:eastAsia="zh-CN"/>
        </w:rPr>
      </w:pPr>
      <w:bookmarkStart w:id="70" w:name="_Toc25152752"/>
      <w:bookmarkStart w:id="71" w:name="_Toc25138020"/>
    </w:p>
    <w:p w14:paraId="4CDFF0EB">
      <w:pPr>
        <w:pStyle w:val="7"/>
        <w:rPr>
          <w:color w:val="auto"/>
          <w:highlight w:val="none"/>
          <w:lang w:eastAsia="zh-CN"/>
        </w:rPr>
      </w:pPr>
    </w:p>
    <w:p w14:paraId="66071830">
      <w:pPr>
        <w:pStyle w:val="7"/>
        <w:rPr>
          <w:color w:val="auto"/>
          <w:highlight w:val="none"/>
          <w:lang w:eastAsia="zh-CN"/>
        </w:rPr>
      </w:pPr>
    </w:p>
    <w:p w14:paraId="0F46DDCB">
      <w:pPr>
        <w:pStyle w:val="7"/>
        <w:rPr>
          <w:color w:val="auto"/>
          <w:highlight w:val="none"/>
          <w:lang w:eastAsia="zh-CN"/>
        </w:rPr>
      </w:pPr>
    </w:p>
    <w:p w14:paraId="121937B4">
      <w:pPr>
        <w:pStyle w:val="7"/>
        <w:rPr>
          <w:color w:val="auto"/>
          <w:highlight w:val="none"/>
          <w:lang w:eastAsia="zh-CN"/>
        </w:rPr>
      </w:pPr>
    </w:p>
    <w:p w14:paraId="7A847036">
      <w:pPr>
        <w:pStyle w:val="7"/>
        <w:rPr>
          <w:color w:val="auto"/>
          <w:highlight w:val="none"/>
          <w:lang w:eastAsia="zh-CN"/>
        </w:rPr>
      </w:pPr>
    </w:p>
    <w:p w14:paraId="37B40649">
      <w:pPr>
        <w:pStyle w:val="7"/>
        <w:rPr>
          <w:color w:val="auto"/>
          <w:highlight w:val="none"/>
          <w:lang w:eastAsia="zh-CN"/>
        </w:rPr>
      </w:pPr>
    </w:p>
    <w:p w14:paraId="17B0593B">
      <w:pPr>
        <w:pStyle w:val="7"/>
        <w:rPr>
          <w:color w:val="auto"/>
          <w:highlight w:val="none"/>
          <w:lang w:eastAsia="zh-CN"/>
        </w:rPr>
      </w:pPr>
    </w:p>
    <w:p w14:paraId="1FEEFEE1">
      <w:pPr>
        <w:pStyle w:val="7"/>
        <w:rPr>
          <w:color w:val="auto"/>
          <w:highlight w:val="none"/>
          <w:lang w:eastAsia="zh-CN"/>
        </w:rPr>
      </w:pPr>
    </w:p>
    <w:p w14:paraId="33A2D1A5">
      <w:pPr>
        <w:pStyle w:val="7"/>
        <w:rPr>
          <w:color w:val="auto"/>
          <w:highlight w:val="none"/>
          <w:lang w:eastAsia="zh-CN"/>
        </w:rPr>
      </w:pPr>
    </w:p>
    <w:p w14:paraId="665AE97E">
      <w:pPr>
        <w:pStyle w:val="7"/>
        <w:rPr>
          <w:color w:val="auto"/>
          <w:highlight w:val="none"/>
          <w:lang w:eastAsia="zh-CN"/>
        </w:rPr>
      </w:pPr>
    </w:p>
    <w:p w14:paraId="18B5C815">
      <w:pPr>
        <w:pStyle w:val="7"/>
        <w:rPr>
          <w:color w:val="auto"/>
          <w:highlight w:val="none"/>
          <w:lang w:eastAsia="zh-CN"/>
        </w:rPr>
      </w:pPr>
    </w:p>
    <w:p w14:paraId="60C1D60B">
      <w:pPr>
        <w:pStyle w:val="7"/>
        <w:rPr>
          <w:color w:val="auto"/>
          <w:highlight w:val="none"/>
          <w:lang w:eastAsia="zh-CN"/>
        </w:rPr>
      </w:pPr>
    </w:p>
    <w:p w14:paraId="08224395">
      <w:pPr>
        <w:pStyle w:val="2"/>
        <w:jc w:val="center"/>
        <w:rPr>
          <w:rFonts w:ascii="宋体" w:hAnsi="宋体" w:eastAsia="宋体"/>
          <w:color w:val="auto"/>
          <w:highlight w:val="none"/>
          <w:lang w:eastAsia="zh-CN"/>
        </w:rPr>
      </w:pPr>
      <w:r>
        <w:rPr>
          <w:rFonts w:ascii="宋体" w:hAnsi="宋体" w:eastAsia="宋体"/>
          <w:color w:val="auto"/>
          <w:highlight w:val="none"/>
          <w:lang w:eastAsia="zh-CN"/>
        </w:rPr>
        <w:t>第六章</w:t>
      </w:r>
      <w:r>
        <w:rPr>
          <w:rFonts w:hint="eastAsia" w:ascii="宋体" w:hAnsi="宋体" w:eastAsia="宋体"/>
          <w:color w:val="auto"/>
          <w:highlight w:val="none"/>
          <w:lang w:eastAsia="zh-CN"/>
        </w:rPr>
        <w:t xml:space="preserve">  </w:t>
      </w:r>
      <w:r>
        <w:rPr>
          <w:rFonts w:ascii="宋体" w:hAnsi="宋体" w:eastAsia="宋体"/>
          <w:color w:val="auto"/>
          <w:highlight w:val="none"/>
          <w:lang w:eastAsia="zh-CN"/>
        </w:rPr>
        <w:t>投标文件格式</w:t>
      </w:r>
      <w:bookmarkEnd w:id="70"/>
      <w:bookmarkEnd w:id="71"/>
    </w:p>
    <w:p w14:paraId="5753F4F1">
      <w:pPr>
        <w:rPr>
          <w:rFonts w:eastAsia="宋体"/>
          <w:color w:val="auto"/>
          <w:highlight w:val="none"/>
          <w:lang w:eastAsia="zh-CN"/>
        </w:rPr>
      </w:pPr>
    </w:p>
    <w:p w14:paraId="43FBFB59">
      <w:pPr>
        <w:pStyle w:val="2"/>
        <w:jc w:val="center"/>
        <w:rPr>
          <w:rFonts w:ascii="宋体" w:hAnsi="宋体" w:eastAsia="宋体"/>
          <w:color w:val="auto"/>
          <w:highlight w:val="none"/>
          <w:lang w:eastAsia="zh-CN"/>
        </w:rPr>
        <w:sectPr>
          <w:pgSz w:w="11907" w:h="16839"/>
          <w:pgMar w:top="1440" w:right="1440" w:bottom="1440" w:left="1440" w:header="0" w:footer="921" w:gutter="0"/>
          <w:cols w:space="720" w:num="1"/>
        </w:sectPr>
      </w:pPr>
    </w:p>
    <w:p w14:paraId="695EC0E3">
      <w:pPr>
        <w:pStyle w:val="3"/>
        <w:spacing w:line="360" w:lineRule="auto"/>
        <w:jc w:val="center"/>
        <w:rPr>
          <w:rFonts w:ascii="宋体" w:hAnsi="宋体" w:eastAsia="宋体" w:cs="宋体"/>
          <w:color w:val="auto"/>
          <w:highlight w:val="none"/>
          <w:lang w:eastAsia="zh-CN"/>
        </w:rPr>
      </w:pPr>
      <w:bookmarkStart w:id="72" w:name="_Toc25072139"/>
      <w:bookmarkStart w:id="73" w:name="_Toc25138022"/>
      <w:bookmarkStart w:id="74" w:name="_Toc25152753"/>
      <w:bookmarkStart w:id="75" w:name="_Toc25151932"/>
      <w:r>
        <w:rPr>
          <w:rFonts w:hint="eastAsia" w:ascii="宋体" w:hAnsi="宋体" w:eastAsia="宋体"/>
          <w:color w:val="auto"/>
          <w:highlight w:val="none"/>
          <w:lang w:eastAsia="zh-CN"/>
        </w:rPr>
        <w:t>设计投标文件编制要求</w:t>
      </w:r>
    </w:p>
    <w:p w14:paraId="72F0145A">
      <w:pPr>
        <w:pStyle w:val="3"/>
        <w:spacing w:line="360" w:lineRule="auto"/>
        <w:ind w:left="0" w:firstLine="482" w:firstLine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1.投标文件</w:t>
      </w:r>
    </w:p>
    <w:p w14:paraId="576A7906">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1.1  投标文件由商务文件（含资格审查部分、资信业绩部分）、技术文件（含设计方案部分）两个部分组成。各部分投标文件应分别编制。资信文件（含资格审查文件）和设计方案文件两部分组成的总页数不限，设计方案电子文档（上传系统文件）大小不超</w:t>
      </w:r>
      <w:r>
        <w:rPr>
          <w:rFonts w:ascii="宋体" w:hAnsi="宋体" w:eastAsia="宋体"/>
          <w:color w:val="auto"/>
          <w:sz w:val="24"/>
          <w:szCs w:val="24"/>
          <w:highlight w:val="none"/>
          <w:lang w:eastAsia="zh-CN"/>
        </w:rPr>
        <w:t>1000M</w:t>
      </w:r>
      <w:r>
        <w:rPr>
          <w:rFonts w:hint="eastAsia" w:ascii="宋体" w:hAnsi="宋体" w:eastAsia="宋体"/>
          <w:color w:val="auto"/>
          <w:sz w:val="24"/>
          <w:szCs w:val="24"/>
          <w:highlight w:val="none"/>
          <w:lang w:eastAsia="zh-CN"/>
        </w:rPr>
        <w:t>。</w:t>
      </w:r>
    </w:p>
    <w:p w14:paraId="743EEEC5">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1.2  投标文件应做到清晰、完整，文本、图纸规格应当尽量统一。除非另有规定，否则投标文件的计量单位宜采用国际标准计量单位，尺寸齐全、准确，所有文字说明和文字标注以中文为准，报价均为人民币，时间均为北京时间。</w:t>
      </w:r>
    </w:p>
    <w:p w14:paraId="51714AD1">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1.3  每个投标人报送一个投标方案，投标文件应达到招标文件规定的深度，满足评审需要。不响应招标文件要求的投标文件可能被拒绝，责任由投标人自负。</w:t>
      </w:r>
    </w:p>
    <w:p w14:paraId="0E392BF3">
      <w:pPr>
        <w:pStyle w:val="3"/>
        <w:spacing w:line="360" w:lineRule="auto"/>
        <w:ind w:left="0" w:firstLine="482" w:firstLine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w:t>
      </w:r>
      <w:r>
        <w:rPr>
          <w:rFonts w:hint="eastAsia" w:ascii="宋体" w:hAnsi="宋体" w:eastAsia="宋体"/>
          <w:color w:val="auto"/>
          <w:sz w:val="24"/>
          <w:szCs w:val="24"/>
          <w:highlight w:val="none"/>
          <w:lang w:eastAsia="zh-CN"/>
        </w:rPr>
        <w:t>商务文件（含资格审查部分、资信业绩部分）编制要求</w:t>
      </w:r>
    </w:p>
    <w:p w14:paraId="672E8DC4">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2.1  商务文件（含资格审查部分、资信业绩部分）由下列资料组成：</w:t>
      </w:r>
    </w:p>
    <w:p w14:paraId="0005978D">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w:t>
      </w:r>
      <w:r>
        <w:rPr>
          <w:rFonts w:hint="eastAsia" w:ascii="宋体" w:hAnsi="宋体" w:eastAsia="宋体"/>
          <w:color w:val="auto"/>
          <w:sz w:val="24"/>
          <w:szCs w:val="24"/>
          <w:highlight w:val="none"/>
          <w:lang w:eastAsia="zh-CN"/>
        </w:rPr>
        <w:t>）封面：写明项目名称、商务文件（含资格审查部分、资信业绩部分）、投标人单位及年月日；加盖投标人公章。</w:t>
      </w:r>
    </w:p>
    <w:p w14:paraId="113347BE">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2</w:t>
      </w:r>
      <w:r>
        <w:rPr>
          <w:rFonts w:hint="eastAsia" w:ascii="宋体" w:hAnsi="宋体" w:eastAsia="宋体"/>
          <w:color w:val="auto"/>
          <w:sz w:val="24"/>
          <w:szCs w:val="24"/>
          <w:highlight w:val="none"/>
          <w:lang w:eastAsia="zh-CN"/>
        </w:rPr>
        <w:t>）目录。</w:t>
      </w:r>
    </w:p>
    <w:p w14:paraId="3ACC9BED">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3</w:t>
      </w:r>
      <w:r>
        <w:rPr>
          <w:rFonts w:hint="eastAsia" w:ascii="宋体" w:hAnsi="宋体" w:eastAsia="宋体"/>
          <w:color w:val="auto"/>
          <w:sz w:val="24"/>
          <w:szCs w:val="24"/>
          <w:highlight w:val="none"/>
          <w:lang w:eastAsia="zh-CN"/>
        </w:rPr>
        <w:t>）填妥并签字盖章的《投标书》（格式见格式一）</w:t>
      </w:r>
    </w:p>
    <w:p w14:paraId="6497A45D">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4</w:t>
      </w:r>
      <w:r>
        <w:rPr>
          <w:rFonts w:hint="eastAsia" w:ascii="宋体" w:hAnsi="宋体" w:eastAsia="宋体"/>
          <w:color w:val="auto"/>
          <w:sz w:val="24"/>
          <w:szCs w:val="24"/>
          <w:highlight w:val="none"/>
          <w:lang w:eastAsia="zh-CN"/>
        </w:rPr>
        <w:t>）填妥并签字盖章的《法人代表身份证明》和《授权委托书》（格式见格式二）</w:t>
      </w:r>
    </w:p>
    <w:p w14:paraId="6E40AF61">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5</w:t>
      </w:r>
      <w:r>
        <w:rPr>
          <w:rFonts w:hint="eastAsia" w:ascii="宋体" w:hAnsi="宋体" w:eastAsia="宋体"/>
          <w:color w:val="auto"/>
          <w:sz w:val="24"/>
          <w:szCs w:val="24"/>
          <w:highlight w:val="none"/>
          <w:lang w:eastAsia="zh-CN"/>
        </w:rPr>
        <w:t>）填妥并签字盖章的《投标人声明》（格式见格式四）</w:t>
      </w:r>
    </w:p>
    <w:p w14:paraId="0835BFB3">
      <w:pPr>
        <w:spacing w:line="360" w:lineRule="auto"/>
        <w:ind w:firstLine="480" w:firstLineChars="200"/>
        <w:rPr>
          <w:rFonts w:ascii="宋体" w:hAnsi="宋体" w:eastAsia="宋体"/>
          <w:strike/>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6</w:t>
      </w:r>
      <w:r>
        <w:rPr>
          <w:rFonts w:hint="eastAsia" w:ascii="宋体" w:hAnsi="宋体" w:eastAsia="宋体"/>
          <w:color w:val="auto"/>
          <w:sz w:val="24"/>
          <w:szCs w:val="24"/>
          <w:highlight w:val="none"/>
          <w:lang w:eastAsia="zh-CN"/>
        </w:rPr>
        <w:t>）填妥并签字盖章的《合作设计协议》（外国或香港、澳门、台湾的设计企业提供）（格式见格式三）（如有）</w:t>
      </w:r>
    </w:p>
    <w:p w14:paraId="5912D69F">
      <w:pPr>
        <w:spacing w:line="360" w:lineRule="auto"/>
        <w:ind w:firstLine="480" w:firstLineChars="200"/>
        <w:rPr>
          <w:rFonts w:ascii="宋体" w:hAnsi="宋体" w:eastAsia="宋体"/>
          <w:strike/>
          <w:color w:val="auto"/>
          <w:sz w:val="24"/>
          <w:szCs w:val="24"/>
          <w:highlight w:val="none"/>
          <w:lang w:eastAsia="zh-CN"/>
        </w:rPr>
      </w:pPr>
      <w:r>
        <w:rPr>
          <w:rFonts w:hint="eastAsia" w:ascii="宋体" w:hAnsi="宋体" w:eastAsia="宋体"/>
          <w:strike/>
          <w:color w:val="auto"/>
          <w:sz w:val="24"/>
          <w:szCs w:val="24"/>
          <w:highlight w:val="none"/>
          <w:lang w:eastAsia="zh-CN"/>
        </w:rPr>
        <w:t>（7）填妥并签字盖章的《联合体共同投标协议》（联合体投标人提供）（格式见格式五）（如有）</w:t>
      </w:r>
    </w:p>
    <w:p w14:paraId="4BB9E5C2">
      <w:pPr>
        <w:spacing w:line="360" w:lineRule="auto"/>
        <w:ind w:firstLine="480" w:firstLineChars="200"/>
        <w:rPr>
          <w:rFonts w:ascii="宋体" w:hAnsi="宋体" w:eastAsia="宋体"/>
          <w:strike/>
          <w:color w:val="auto"/>
          <w:sz w:val="24"/>
          <w:szCs w:val="24"/>
          <w:highlight w:val="none"/>
          <w:lang w:eastAsia="zh-CN"/>
        </w:rPr>
      </w:pPr>
      <w:r>
        <w:rPr>
          <w:rFonts w:hint="eastAsia" w:ascii="宋体" w:hAnsi="宋体" w:eastAsia="宋体"/>
          <w:strike/>
          <w:color w:val="auto"/>
          <w:sz w:val="24"/>
          <w:szCs w:val="24"/>
          <w:highlight w:val="none"/>
          <w:lang w:eastAsia="zh-CN"/>
        </w:rPr>
        <w:t>（8）投标保证金（如有，提供投标保证金凭证扫描件）；</w:t>
      </w:r>
    </w:p>
    <w:p w14:paraId="121E8DF8">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（9）投标人资质证书扫描件</w:t>
      </w:r>
    </w:p>
    <w:p w14:paraId="0F660A3B">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（10）企业营业执照扫描件</w:t>
      </w:r>
    </w:p>
    <w:p w14:paraId="6D0C0B75">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（11）投标人及项目负责人已在广州市住房和城乡建设局建立信用档案</w:t>
      </w:r>
    </w:p>
    <w:p w14:paraId="79CDAA5F">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w:t>
      </w:r>
      <w:r>
        <w:rPr>
          <w:rFonts w:hint="eastAsia" w:ascii="宋体" w:hAnsi="宋体" w:eastAsia="宋体"/>
          <w:color w:val="auto"/>
          <w:sz w:val="24"/>
          <w:szCs w:val="24"/>
          <w:highlight w:val="none"/>
          <w:lang w:eastAsia="zh-CN"/>
        </w:rPr>
        <w:t>2）拟派项目负责人注册执业资格证书扫描件</w:t>
      </w:r>
    </w:p>
    <w:p w14:paraId="7DB7F300">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w:t>
      </w:r>
      <w:r>
        <w:rPr>
          <w:rFonts w:hint="eastAsia" w:ascii="宋体" w:hAnsi="宋体" w:eastAsia="宋体"/>
          <w:color w:val="auto"/>
          <w:sz w:val="24"/>
          <w:szCs w:val="24"/>
          <w:highlight w:val="none"/>
          <w:lang w:eastAsia="zh-CN"/>
        </w:rPr>
        <w:t>3）投标人认为有必要提供的其他资格要求证明资料扫描件</w:t>
      </w:r>
    </w:p>
    <w:p w14:paraId="11620DCF">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w:t>
      </w:r>
      <w:r>
        <w:rPr>
          <w:rFonts w:hint="eastAsia" w:ascii="宋体" w:hAnsi="宋体" w:eastAsia="宋体"/>
          <w:color w:val="auto"/>
          <w:sz w:val="24"/>
          <w:szCs w:val="24"/>
          <w:highlight w:val="none"/>
          <w:lang w:eastAsia="zh-CN"/>
        </w:rPr>
        <w:t>4）填妥并签字盖章的《设计费报价汇总表》（格式见格式六）</w:t>
      </w:r>
    </w:p>
    <w:p w14:paraId="334DB5BF">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w:t>
      </w:r>
      <w:r>
        <w:rPr>
          <w:rFonts w:hint="eastAsia" w:ascii="宋体" w:hAnsi="宋体" w:eastAsia="宋体"/>
          <w:color w:val="auto"/>
          <w:sz w:val="24"/>
          <w:szCs w:val="24"/>
          <w:highlight w:val="none"/>
          <w:lang w:eastAsia="zh-CN"/>
        </w:rPr>
        <w:t>5）类似项目业绩证明资料扫描件</w:t>
      </w:r>
      <w:r>
        <w:rPr>
          <w:rFonts w:hint="eastAsia" w:ascii="宋体" w:hAnsi="宋体" w:eastAsia="宋体"/>
          <w:strike/>
          <w:color w:val="auto"/>
          <w:sz w:val="24"/>
          <w:szCs w:val="24"/>
          <w:highlight w:val="none"/>
          <w:lang w:eastAsia="zh-CN"/>
        </w:rPr>
        <w:t>，不在表内的业绩不作为评审依据</w:t>
      </w:r>
      <w:r>
        <w:rPr>
          <w:rFonts w:hint="eastAsia" w:ascii="宋体" w:hAnsi="宋体" w:eastAsia="宋体"/>
          <w:color w:val="auto"/>
          <w:sz w:val="24"/>
          <w:szCs w:val="24"/>
          <w:highlight w:val="none"/>
          <w:lang w:eastAsia="zh-CN"/>
        </w:rPr>
        <w:t>（格式见格式八）</w:t>
      </w:r>
    </w:p>
    <w:p w14:paraId="57115739">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w:t>
      </w:r>
      <w:r>
        <w:rPr>
          <w:rFonts w:hint="eastAsia" w:ascii="宋体" w:hAnsi="宋体" w:eastAsia="宋体"/>
          <w:color w:val="auto"/>
          <w:sz w:val="24"/>
          <w:szCs w:val="24"/>
          <w:highlight w:val="none"/>
          <w:lang w:eastAsia="zh-CN"/>
        </w:rPr>
        <w:t>6）企业业绩获奖证明资料扫描件（格式见格式九）</w:t>
      </w:r>
    </w:p>
    <w:p w14:paraId="2F085370">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w:t>
      </w:r>
      <w:r>
        <w:rPr>
          <w:rFonts w:hint="eastAsia" w:ascii="宋体" w:hAnsi="宋体" w:eastAsia="宋体"/>
          <w:color w:val="auto"/>
          <w:sz w:val="24"/>
          <w:szCs w:val="24"/>
          <w:highlight w:val="none"/>
          <w:lang w:eastAsia="zh-CN"/>
        </w:rPr>
        <w:t>7）项目负责人设计经历及业务能力证明材料扫描件</w:t>
      </w:r>
    </w:p>
    <w:p w14:paraId="2D9BFA5E">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w:t>
      </w:r>
      <w:r>
        <w:rPr>
          <w:rFonts w:hint="eastAsia" w:ascii="宋体" w:hAnsi="宋体" w:eastAsia="宋体"/>
          <w:color w:val="auto"/>
          <w:sz w:val="24"/>
          <w:szCs w:val="24"/>
          <w:highlight w:val="none"/>
          <w:lang w:eastAsia="zh-CN"/>
        </w:rPr>
        <w:t>8）为本项目拟投入的技术力量。主要包括各专业负责人的职称、注册执业资格等证明材料，并能保证材料的真实性。（格式见格式七）</w:t>
      </w:r>
    </w:p>
    <w:p w14:paraId="03A55D74">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w:t>
      </w:r>
      <w:r>
        <w:rPr>
          <w:rFonts w:hint="eastAsia" w:ascii="宋体" w:hAnsi="宋体" w:eastAsia="宋体"/>
          <w:color w:val="auto"/>
          <w:sz w:val="24"/>
          <w:szCs w:val="24"/>
          <w:highlight w:val="none"/>
          <w:lang w:eastAsia="zh-CN"/>
        </w:rPr>
        <w:t>9）信誉证明材料扫描件</w:t>
      </w:r>
    </w:p>
    <w:p w14:paraId="502DC9C7">
      <w:pPr>
        <w:spacing w:line="36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A</w:t>
      </w:r>
      <w:r>
        <w:rPr>
          <w:rFonts w:hint="eastAsia" w:ascii="宋体" w:hAnsi="宋体" w:eastAsia="宋体"/>
          <w:color w:val="auto"/>
          <w:sz w:val="24"/>
          <w:szCs w:val="24"/>
          <w:highlight w:val="none"/>
          <w:lang w:eastAsia="zh-CN"/>
        </w:rPr>
        <w:t>、质量管理体系、环境管理体系和职业健康安全管理体系认证证书扫描件</w:t>
      </w:r>
    </w:p>
    <w:p w14:paraId="0CCFA595">
      <w:pPr>
        <w:spacing w:line="36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B</w:t>
      </w:r>
      <w:r>
        <w:rPr>
          <w:rFonts w:hint="eastAsia" w:ascii="宋体" w:hAnsi="宋体" w:eastAsia="宋体"/>
          <w:color w:val="auto"/>
          <w:sz w:val="24"/>
          <w:szCs w:val="24"/>
          <w:highlight w:val="none"/>
          <w:lang w:eastAsia="zh-CN"/>
        </w:rPr>
        <w:t>、纳税信用等级A级纳税人证书扫描件</w:t>
      </w:r>
    </w:p>
    <w:p w14:paraId="1AB254CA">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（20）投标人认为有必要提供的其他资料。</w:t>
      </w:r>
    </w:p>
    <w:p w14:paraId="77D021BE">
      <w:pPr>
        <w:spacing w:line="360" w:lineRule="auto"/>
        <w:ind w:firstLine="480" w:firstLineChars="200"/>
        <w:rPr>
          <w:rFonts w:ascii="宋体" w:hAnsi="宋体" w:eastAsia="宋体"/>
          <w:strike/>
          <w:color w:val="auto"/>
          <w:sz w:val="24"/>
          <w:szCs w:val="24"/>
          <w:highlight w:val="none"/>
          <w:lang w:eastAsia="zh-CN"/>
        </w:rPr>
      </w:pPr>
      <w:r>
        <w:rPr>
          <w:rFonts w:hint="eastAsia" w:ascii="宋体" w:hAnsi="宋体" w:eastAsia="宋体"/>
          <w:strike/>
          <w:color w:val="auto"/>
          <w:sz w:val="24"/>
          <w:szCs w:val="24"/>
          <w:highlight w:val="none"/>
          <w:lang w:eastAsia="zh-CN"/>
        </w:rPr>
        <w:t>注：</w:t>
      </w:r>
      <w:r>
        <w:rPr>
          <w:rFonts w:hint="eastAsia" w:ascii="宋体" w:hAnsi="宋体" w:eastAsia="宋体" w:cs="微软雅黑"/>
          <w:strike/>
          <w:color w:val="auto"/>
          <w:sz w:val="24"/>
          <w:szCs w:val="24"/>
          <w:highlight w:val="none"/>
          <w:u w:val="single"/>
          <w:lang w:eastAsia="zh-CN"/>
        </w:rPr>
        <w:t>商务文件中的（9）取自广州市住房和城乡建设局企业信用档案信息库，投标人平台中记录的该部分上传件将被视为投标人递交投标文件的一部分，不需重复提交。评标委员会对该部分资料的审查将以投标截止时间在广州市住建行业信用管理平台内上传件为依据。若招标人延长投标截止时间的，以上资料的评审时点也相应延长。投标人应及时维护其在广州市住建行业信用管理平台登记的信息及上传件，确保各项信息及上传件在有效期内。</w:t>
      </w:r>
    </w:p>
    <w:p w14:paraId="2EB0BBE7">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投标人在评标过程中作出的符合法律法规和招标文件规定的澄清确认，构成投标文件的组成部分。</w:t>
      </w:r>
    </w:p>
    <w:p w14:paraId="741E8207">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2.2  接收投标文件备用光盘时，如果包封上没有按规定密封并加写标志，招标人将不承担投标文件错放或提前开封的责任，由此造成的提前开封的投标文件，招标人予以拒绝，并退还给投标人。</w:t>
      </w:r>
    </w:p>
    <w:p w14:paraId="53D73289">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2.3  签署要求：按格式要求签字盖章。</w:t>
      </w:r>
    </w:p>
    <w:p w14:paraId="79C15FD7">
      <w:pPr>
        <w:pStyle w:val="3"/>
        <w:spacing w:line="360" w:lineRule="auto"/>
        <w:ind w:left="0" w:firstLine="482" w:firstLine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w:t>
      </w:r>
      <w:r>
        <w:rPr>
          <w:rFonts w:hint="eastAsia" w:ascii="宋体" w:hAnsi="宋体" w:eastAsia="宋体"/>
          <w:color w:val="auto"/>
          <w:sz w:val="24"/>
          <w:szCs w:val="24"/>
          <w:highlight w:val="none"/>
          <w:lang w:eastAsia="zh-CN"/>
        </w:rPr>
        <w:t>技术文件（含设计方案部分）编制要求（暗标，不得标注名称、印章、商标、图形等记认符号，使人辨认出投标人或其专业技术人员的身份，上传系统，电子文档上传不超</w:t>
      </w:r>
      <w:r>
        <w:rPr>
          <w:rFonts w:ascii="宋体" w:hAnsi="宋体" w:eastAsia="宋体"/>
          <w:color w:val="auto"/>
          <w:sz w:val="24"/>
          <w:szCs w:val="24"/>
          <w:highlight w:val="none"/>
          <w:lang w:eastAsia="zh-CN"/>
        </w:rPr>
        <w:t>1000M</w:t>
      </w:r>
      <w:r>
        <w:rPr>
          <w:rFonts w:hint="eastAsia" w:ascii="宋体" w:hAnsi="宋体" w:eastAsia="宋体"/>
          <w:color w:val="auto"/>
          <w:sz w:val="24"/>
          <w:szCs w:val="24"/>
          <w:highlight w:val="none"/>
          <w:lang w:eastAsia="zh-CN"/>
        </w:rPr>
        <w:t>）</w:t>
      </w:r>
    </w:p>
    <w:p w14:paraId="68C0034A">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3.1  技术文件（含设计方案部分）由下列资料组成：</w:t>
      </w:r>
    </w:p>
    <w:p w14:paraId="05DA501C">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w:t>
      </w:r>
      <w:r>
        <w:rPr>
          <w:rFonts w:hint="eastAsia" w:ascii="宋体" w:hAnsi="宋体" w:eastAsia="宋体"/>
          <w:color w:val="auto"/>
          <w:sz w:val="24"/>
          <w:szCs w:val="24"/>
          <w:highlight w:val="none"/>
          <w:lang w:eastAsia="zh-CN"/>
        </w:rPr>
        <w:t>）首页：写明项目名称、设计作品主题（不宜超过</w:t>
      </w:r>
      <w:r>
        <w:rPr>
          <w:rFonts w:ascii="宋体" w:hAnsi="宋体" w:eastAsia="宋体"/>
          <w:color w:val="auto"/>
          <w:sz w:val="24"/>
          <w:szCs w:val="24"/>
          <w:highlight w:val="none"/>
          <w:lang w:eastAsia="zh-CN"/>
        </w:rPr>
        <w:t>20</w:t>
      </w:r>
      <w:r>
        <w:rPr>
          <w:rFonts w:hint="eastAsia" w:ascii="宋体" w:hAnsi="宋体" w:eastAsia="宋体"/>
          <w:color w:val="auto"/>
          <w:sz w:val="24"/>
          <w:szCs w:val="24"/>
          <w:highlight w:val="none"/>
          <w:lang w:eastAsia="zh-CN"/>
        </w:rPr>
        <w:t>个字）、编制年月；</w:t>
      </w:r>
    </w:p>
    <w:p w14:paraId="63D685A3">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2</w:t>
      </w:r>
      <w:r>
        <w:rPr>
          <w:rFonts w:hint="eastAsia" w:ascii="宋体" w:hAnsi="宋体" w:eastAsia="宋体"/>
          <w:color w:val="auto"/>
          <w:sz w:val="24"/>
          <w:szCs w:val="24"/>
          <w:highlight w:val="none"/>
          <w:lang w:eastAsia="zh-CN"/>
        </w:rPr>
        <w:t>）目录；</w:t>
      </w:r>
    </w:p>
    <w:p w14:paraId="4015786A">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3</w:t>
      </w:r>
      <w:r>
        <w:rPr>
          <w:rFonts w:hint="eastAsia" w:ascii="宋体" w:hAnsi="宋体" w:eastAsia="宋体"/>
          <w:color w:val="auto"/>
          <w:sz w:val="24"/>
          <w:szCs w:val="24"/>
          <w:highlight w:val="none"/>
          <w:lang w:eastAsia="zh-CN"/>
        </w:rPr>
        <w:t>）设计说明书；</w:t>
      </w:r>
    </w:p>
    <w:p w14:paraId="22958506">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4</w:t>
      </w:r>
      <w:r>
        <w:rPr>
          <w:rFonts w:hint="eastAsia" w:ascii="宋体" w:hAnsi="宋体" w:eastAsia="宋体"/>
          <w:color w:val="auto"/>
          <w:sz w:val="24"/>
          <w:szCs w:val="24"/>
          <w:highlight w:val="none"/>
          <w:lang w:eastAsia="zh-CN"/>
        </w:rPr>
        <w:t>）设计图纸（需包括总平面图、鸟瞰效果图、必要的分析示意图等 ； 单体设计图纸：选取3栋典型建筑作为改造风格展示，图纸包含各层平面图、剖面图、立面图、低点效果图 。（可以水平或垂直展示)）；</w:t>
      </w:r>
    </w:p>
    <w:p w14:paraId="015611D1">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5</w:t>
      </w:r>
      <w:r>
        <w:rPr>
          <w:rFonts w:hint="eastAsia" w:ascii="宋体" w:hAnsi="宋体" w:eastAsia="宋体"/>
          <w:color w:val="auto"/>
          <w:sz w:val="24"/>
          <w:szCs w:val="24"/>
          <w:highlight w:val="none"/>
          <w:lang w:eastAsia="zh-CN"/>
        </w:rPr>
        <w:t>）《工期计划表》（方案修改、初步设计）；</w:t>
      </w:r>
    </w:p>
    <w:p w14:paraId="0DFCEB26">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6</w:t>
      </w:r>
      <w:r>
        <w:rPr>
          <w:rFonts w:hint="eastAsia" w:ascii="宋体" w:hAnsi="宋体" w:eastAsia="宋体"/>
          <w:color w:val="auto"/>
          <w:sz w:val="24"/>
          <w:szCs w:val="24"/>
          <w:highlight w:val="none"/>
          <w:lang w:eastAsia="zh-CN"/>
        </w:rPr>
        <w:t>）投标人提出的建议、工程创新和替代方案（如果有）；</w:t>
      </w:r>
    </w:p>
    <w:p w14:paraId="4A5B7018">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7</w:t>
      </w:r>
      <w:r>
        <w:rPr>
          <w:rFonts w:hint="eastAsia" w:ascii="宋体" w:hAnsi="宋体" w:eastAsia="宋体"/>
          <w:color w:val="auto"/>
          <w:sz w:val="24"/>
          <w:szCs w:val="24"/>
          <w:highlight w:val="none"/>
          <w:lang w:eastAsia="zh-CN"/>
        </w:rPr>
        <w:t>）完成本项目的难点，保障工期、质量的主要措施；</w:t>
      </w:r>
    </w:p>
    <w:p w14:paraId="2C2A400A">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8</w:t>
      </w:r>
      <w:r>
        <w:rPr>
          <w:rFonts w:hint="eastAsia" w:ascii="宋体" w:hAnsi="宋体" w:eastAsia="宋体"/>
          <w:color w:val="auto"/>
          <w:sz w:val="24"/>
          <w:szCs w:val="24"/>
          <w:highlight w:val="none"/>
          <w:lang w:eastAsia="zh-CN"/>
        </w:rPr>
        <w:t>）投标人认为有必要提供的其他资料。</w:t>
      </w:r>
    </w:p>
    <w:p w14:paraId="1F34F973">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注：技术文件（含设计方案部分）为暗标。技术标中不能辨认出投标人或其专业技术人员的身份。不在设计方案上标注或做任何可以辨认投标人及专业技术人员身份的名称、印章、商标、图形等记认符号。</w:t>
      </w:r>
    </w:p>
    <w:p w14:paraId="551644F4">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投标人在评标过程中作出的符合法律法规和招标文件规定的澄清确认，构成投标文件的组成部分。</w:t>
      </w:r>
    </w:p>
    <w:p w14:paraId="3EDDB60E">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3.2  技术文件（含设计方案部分）必须隐匿投标人及专业技术人员的名称，投标人不得在设计方案文件的设计方案、计算机文件、展示图纸上标注或做任何可以辨认投标人及专业技术人员身份的名称、印章、商标、图形等记认符号。</w:t>
      </w:r>
    </w:p>
    <w:p w14:paraId="401780C1">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3.3  技术文件备用光盘（暗标，不得标注名称、印章、商标、图形等记认符号，使人辨认出投标人或其专业技术人员的身份）及保密信封（此部分为纸质资料，与投标文件光盘（备用）一起提交）。</w:t>
      </w:r>
    </w:p>
    <w:p w14:paraId="4A87573B">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3.4  保密信封</w:t>
      </w:r>
      <w:r>
        <w:rPr>
          <w:rFonts w:hint="eastAsia" w:ascii="宋体" w:hAnsi="宋体" w:eastAsia="宋体"/>
          <w:b/>
          <w:color w:val="auto"/>
          <w:sz w:val="24"/>
          <w:szCs w:val="24"/>
          <w:highlight w:val="none"/>
          <w:lang w:eastAsia="zh-CN"/>
        </w:rPr>
        <w:t>（此部分为纸质资料，与投标文件光盘（备用）一起提交）</w:t>
      </w:r>
    </w:p>
    <w:p w14:paraId="34A0AF61">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（1）设计投标保密信封，内附</w:t>
      </w:r>
      <w:r>
        <w:rPr>
          <w:rFonts w:ascii="宋体" w:hAnsi="宋体" w:eastAsia="宋体"/>
          <w:color w:val="auto"/>
          <w:sz w:val="24"/>
          <w:szCs w:val="24"/>
          <w:highlight w:val="none"/>
          <w:lang w:eastAsia="zh-CN"/>
        </w:rPr>
        <w:t>A3</w:t>
      </w:r>
      <w:r>
        <w:rPr>
          <w:rFonts w:hint="eastAsia" w:ascii="宋体" w:hAnsi="宋体" w:eastAsia="宋体"/>
          <w:color w:val="auto"/>
          <w:sz w:val="24"/>
          <w:szCs w:val="24"/>
          <w:highlight w:val="none"/>
          <w:lang w:eastAsia="zh-CN"/>
        </w:rPr>
        <w:t>规格制作的表现图</w:t>
      </w:r>
      <w:r>
        <w:rPr>
          <w:rFonts w:ascii="宋体" w:hAnsi="宋体" w:eastAsia="宋体"/>
          <w:color w:val="auto"/>
          <w:sz w:val="24"/>
          <w:szCs w:val="24"/>
          <w:highlight w:val="none"/>
          <w:lang w:eastAsia="zh-CN"/>
        </w:rPr>
        <w:t>1</w:t>
      </w:r>
      <w:r>
        <w:rPr>
          <w:rFonts w:hint="eastAsia" w:ascii="宋体" w:hAnsi="宋体" w:eastAsia="宋体"/>
          <w:color w:val="auto"/>
          <w:sz w:val="24"/>
          <w:szCs w:val="24"/>
          <w:highlight w:val="none"/>
          <w:lang w:eastAsia="zh-CN"/>
        </w:rPr>
        <w:t>张，加盖投标人公章，项目负责人署名。表现图内容应与设计方案一致（并注明表现图在设计方案中的页码或图号），用于分辨投标文件对应的投标人身份。</w:t>
      </w:r>
    </w:p>
    <w:p w14:paraId="3FC1470E">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（2）保密信封用不透明信封独立密封。</w:t>
      </w:r>
    </w:p>
    <w:p w14:paraId="08CDDDD0">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3.5  备用光盘</w:t>
      </w:r>
    </w:p>
    <w:p w14:paraId="43D62C1A">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u w:val="single"/>
          <w:lang w:eastAsia="zh-CN"/>
        </w:rPr>
        <w:t>投标人可制作非加密的商务文件光盘、技术文件光盘各1个及制作保密信封（1个），在招标公告规定的时间、地点提交备用。刻录好的投标文件光盘及保密信封密封在密封袋中。密封袋上应写明项目名称和招标人名称。递交的投标文件光盘（备用）不得加密。备用光盘无法读取或导入的，则视为未提交投标文件光盘（备用）。</w:t>
      </w:r>
    </w:p>
    <w:p w14:paraId="45DCAE5E">
      <w:pPr>
        <w:pStyle w:val="3"/>
        <w:spacing w:line="360" w:lineRule="auto"/>
        <w:ind w:left="0" w:firstLine="482" w:firstLineChars="200"/>
        <w:rPr>
          <w:rFonts w:ascii="宋体" w:hAnsi="宋体" w:eastAsia="宋体"/>
          <w:color w:val="auto"/>
          <w:highlight w:val="none"/>
          <w:lang w:eastAsia="zh-CN"/>
        </w:rPr>
      </w:pPr>
      <w:r>
        <w:rPr>
          <w:rFonts w:hint="eastAsia" w:ascii="宋体" w:hAnsi="宋体" w:eastAsia="宋体" w:cs="宋体"/>
          <w:color w:val="auto"/>
          <w:sz w:val="24"/>
          <w:szCs w:val="24"/>
          <w:highlight w:val="none"/>
          <w:lang w:eastAsia="zh-CN"/>
        </w:rPr>
        <w:t>4.</w:t>
      </w:r>
      <w:r>
        <w:rPr>
          <w:rFonts w:hint="eastAsia" w:ascii="宋体" w:hAnsi="宋体" w:eastAsia="宋体"/>
          <w:color w:val="auto"/>
          <w:sz w:val="24"/>
          <w:szCs w:val="24"/>
          <w:highlight w:val="none"/>
          <w:lang w:eastAsia="zh-CN"/>
        </w:rPr>
        <w:t>接收投标文件备用光盘时，如果包封上没有按规定密封并加写标志，招标人将不承担投标文件错放或提前开封的责任，由此造成的提前开封的投标文件，招标人予以拒绝，并退还给投标人。</w:t>
      </w:r>
      <w:r>
        <w:rPr>
          <w:rFonts w:ascii="宋体" w:hAnsi="宋体" w:eastAsia="宋体"/>
          <w:color w:val="auto"/>
          <w:highlight w:val="none"/>
          <w:lang w:eastAsia="zh-CN"/>
        </w:rPr>
        <w:br w:type="page"/>
      </w:r>
      <w:r>
        <w:rPr>
          <w:rFonts w:hint="eastAsia" w:ascii="宋体" w:hAnsi="宋体" w:eastAsia="宋体"/>
          <w:color w:val="auto"/>
          <w:highlight w:val="none"/>
          <w:lang w:eastAsia="zh-CN"/>
        </w:rPr>
        <w:t xml:space="preserve">格式一  </w:t>
      </w:r>
      <w:r>
        <w:rPr>
          <w:rFonts w:hint="eastAsia" w:ascii="宋体" w:hAnsi="宋体" w:eastAsia="宋体" w:cs="宋体"/>
          <w:color w:val="auto"/>
          <w:highlight w:val="none"/>
          <w:lang w:eastAsia="zh-CN"/>
        </w:rPr>
        <w:t>投标书</w:t>
      </w:r>
      <w:bookmarkEnd w:id="72"/>
    </w:p>
    <w:p w14:paraId="76353684">
      <w:pPr>
        <w:autoSpaceDE w:val="0"/>
        <w:autoSpaceDN w:val="0"/>
        <w:adjustRightInd w:val="0"/>
        <w:spacing w:before="7" w:line="180" w:lineRule="exact"/>
        <w:rPr>
          <w:rFonts w:ascii="宋体" w:hAnsi="宋体" w:eastAsia="宋体"/>
          <w:color w:val="auto"/>
          <w:sz w:val="18"/>
          <w:szCs w:val="18"/>
          <w:highlight w:val="none"/>
          <w:lang w:eastAsia="zh-CN"/>
        </w:rPr>
      </w:pPr>
    </w:p>
    <w:p w14:paraId="388102D0">
      <w:pPr>
        <w:autoSpaceDE w:val="0"/>
        <w:autoSpaceDN w:val="0"/>
        <w:adjustRightInd w:val="0"/>
        <w:spacing w:line="200" w:lineRule="exact"/>
        <w:rPr>
          <w:rFonts w:ascii="宋体" w:hAnsi="宋体" w:eastAsia="宋体"/>
          <w:color w:val="auto"/>
          <w:sz w:val="20"/>
          <w:szCs w:val="20"/>
          <w:highlight w:val="none"/>
          <w:lang w:eastAsia="zh-CN"/>
        </w:rPr>
      </w:pPr>
    </w:p>
    <w:p w14:paraId="668C9539">
      <w:pPr>
        <w:jc w:val="center"/>
        <w:rPr>
          <w:rFonts w:ascii="宋体" w:hAnsi="宋体" w:eastAsia="宋体"/>
          <w:b/>
          <w:bCs/>
          <w:color w:val="auto"/>
          <w:sz w:val="32"/>
          <w:szCs w:val="32"/>
          <w:highlight w:val="none"/>
          <w:lang w:eastAsia="zh-CN"/>
        </w:rPr>
      </w:pPr>
      <w:r>
        <w:rPr>
          <w:rFonts w:hint="eastAsia" w:ascii="宋体" w:hAnsi="宋体" w:eastAsia="宋体"/>
          <w:b/>
          <w:bCs/>
          <w:color w:val="auto"/>
          <w:sz w:val="32"/>
          <w:szCs w:val="32"/>
          <w:highlight w:val="none"/>
          <w:lang w:eastAsia="zh-CN"/>
        </w:rPr>
        <w:t>投标书</w:t>
      </w:r>
    </w:p>
    <w:p w14:paraId="76CBF545">
      <w:pPr>
        <w:rPr>
          <w:rFonts w:ascii="宋体" w:hAnsi="宋体" w:eastAsia="宋体"/>
          <w:color w:val="auto"/>
          <w:szCs w:val="21"/>
          <w:highlight w:val="none"/>
          <w:lang w:eastAsia="zh-CN"/>
        </w:rPr>
      </w:pPr>
    </w:p>
    <w:p w14:paraId="45AB435C">
      <w:pPr>
        <w:spacing w:line="360" w:lineRule="auto"/>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项目名称：</w:t>
      </w:r>
      <w:r>
        <w:rPr>
          <w:rFonts w:hint="eastAsia" w:ascii="宋体" w:hAnsi="宋体" w:eastAsia="宋体"/>
          <w:color w:val="auto"/>
          <w:kern w:val="2"/>
          <w:sz w:val="24"/>
          <w:szCs w:val="24"/>
          <w:highlight w:val="none"/>
          <w:u w:val="single"/>
          <w:lang w:eastAsia="zh-CN"/>
        </w:rPr>
        <w:t xml:space="preserve">                                           </w:t>
      </w:r>
    </w:p>
    <w:p w14:paraId="389C580D">
      <w:pPr>
        <w:pStyle w:val="12"/>
        <w:spacing w:line="360" w:lineRule="auto"/>
        <w:rPr>
          <w:rFonts w:hAnsi="宋体"/>
          <w:color w:val="auto"/>
          <w:sz w:val="24"/>
          <w:szCs w:val="24"/>
          <w:highlight w:val="none"/>
          <w:lang w:eastAsia="zh-CN"/>
        </w:rPr>
      </w:pPr>
      <w:r>
        <w:rPr>
          <w:rFonts w:hint="eastAsia" w:hAnsi="宋体"/>
          <w:color w:val="auto"/>
          <w:sz w:val="24"/>
          <w:szCs w:val="24"/>
          <w:highlight w:val="none"/>
          <w:lang w:eastAsia="zh-CN"/>
        </w:rPr>
        <w:t>致：</w:t>
      </w:r>
      <w:r>
        <w:rPr>
          <w:rFonts w:hint="eastAsia" w:hAnsi="宋体"/>
          <w:color w:val="auto"/>
          <w:sz w:val="24"/>
          <w:szCs w:val="24"/>
          <w:highlight w:val="none"/>
          <w:u w:val="single"/>
          <w:lang w:eastAsia="zh-CN"/>
        </w:rPr>
        <w:t xml:space="preserve">                                           </w:t>
      </w:r>
      <w:r>
        <w:rPr>
          <w:rFonts w:hint="eastAsia" w:hAnsi="宋体"/>
          <w:color w:val="auto"/>
          <w:sz w:val="24"/>
          <w:szCs w:val="24"/>
          <w:highlight w:val="none"/>
          <w:lang w:eastAsia="zh-CN"/>
        </w:rPr>
        <w:t>（招标人名称）</w:t>
      </w:r>
    </w:p>
    <w:p w14:paraId="658FC8BA">
      <w:pPr>
        <w:spacing w:line="360" w:lineRule="auto"/>
        <w:ind w:firstLine="480" w:firstLineChars="200"/>
        <w:rPr>
          <w:rFonts w:ascii="宋体" w:hAnsi="宋体" w:eastAsia="宋体"/>
          <w:color w:val="auto"/>
          <w:sz w:val="24"/>
          <w:szCs w:val="24"/>
          <w:highlight w:val="none"/>
          <w:lang w:eastAsia="zh-CN"/>
        </w:rPr>
      </w:pPr>
    </w:p>
    <w:p w14:paraId="778DCE48">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我方</w:t>
      </w:r>
      <w:r>
        <w:rPr>
          <w:rFonts w:hint="eastAsia" w:hAnsi="宋体"/>
          <w:color w:val="auto"/>
          <w:sz w:val="24"/>
          <w:szCs w:val="24"/>
          <w:highlight w:val="none"/>
          <w:u w:val="single"/>
          <w:lang w:eastAsia="zh-CN"/>
        </w:rPr>
        <w:t xml:space="preserve">  （投标人名称）  </w:t>
      </w:r>
      <w:r>
        <w:rPr>
          <w:rFonts w:hint="eastAsia" w:hAnsi="宋体"/>
          <w:color w:val="auto"/>
          <w:sz w:val="24"/>
          <w:szCs w:val="24"/>
          <w:highlight w:val="none"/>
          <w:lang w:eastAsia="zh-CN"/>
        </w:rPr>
        <w:t>已收到并研究了上述项目的招标文件、合同条件、招标人要求、资料表、附件、补充文件和技术规范等文件。我方已检查和核对了这些文件，未发现他们有错误或其他缺陷。据此，我方愿按这些文件的规定，按照本投标书，包括一并提交的所有文件材料和所附建议书，承担上述项目并修补其中任何缺陷。我方愿以《设计费报价汇总表》的投标总报价，承包本次招标所包含的工作，并承担质量缺陷责任。我方项目负责人是</w:t>
      </w:r>
      <w:r>
        <w:rPr>
          <w:rFonts w:hint="eastAsia" w:hAnsi="宋体"/>
          <w:color w:val="auto"/>
          <w:sz w:val="24"/>
          <w:szCs w:val="24"/>
          <w:highlight w:val="none"/>
          <w:u w:val="single"/>
          <w:lang w:eastAsia="zh-CN"/>
        </w:rPr>
        <w:t xml:space="preserve">       </w:t>
      </w:r>
      <w:r>
        <w:rPr>
          <w:rFonts w:hint="eastAsia" w:hAnsi="宋体"/>
          <w:color w:val="auto"/>
          <w:sz w:val="24"/>
          <w:szCs w:val="24"/>
          <w:highlight w:val="none"/>
          <w:lang w:eastAsia="zh-CN"/>
        </w:rPr>
        <w:t>。如我司成为本项目中标候选人，我司同意并授权招标人将我司投标文件资信业绩部分的人员、业绩、奖项等资料进行公开。</w:t>
      </w:r>
    </w:p>
    <w:p w14:paraId="56EA8234">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我方遵守本投标书直至投标有效期满，在该日期前，本投标书对我方一直具有约束力，随时可接受中标。我方承认所附投标文件资料为本投标书的一部分。如果我方投标书含有不符合招标文件规定的内容，我方同意按招标文件规定予以修正。我方接受你方关于任命争端裁决委员会的建议。</w:t>
      </w:r>
    </w:p>
    <w:p w14:paraId="7405F247">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我方认同招标文件规定的评审规则，遵守评标委员会的裁决结果，并且不会采取妨碍项目进展的行为。我方理解你方没有必须接受你方可能收到的最低标或任何投标的义务。</w:t>
      </w:r>
    </w:p>
    <w:p w14:paraId="6E907004">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如果我方中标，我方将提供规定的履约担保，将在合同规定的日期开工，并在竣工时间内，按照上述文件完成项目。</w:t>
      </w:r>
    </w:p>
    <w:p w14:paraId="533DCF6E">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除非制订正式合同协议书并生效，本投标书以及你方中标通知书，应构成你我双方间具有约束力的合同。</w:t>
      </w:r>
    </w:p>
    <w:p w14:paraId="51B93A26">
      <w:pPr>
        <w:spacing w:line="360" w:lineRule="auto"/>
        <w:ind w:firstLine="480" w:firstLineChars="200"/>
        <w:rPr>
          <w:rFonts w:ascii="宋体" w:hAnsi="宋体" w:eastAsia="宋体"/>
          <w:color w:val="auto"/>
          <w:sz w:val="24"/>
          <w:szCs w:val="24"/>
          <w:highlight w:val="none"/>
          <w:lang w:eastAsia="zh-CN"/>
        </w:rPr>
      </w:pPr>
    </w:p>
    <w:p w14:paraId="0874607F">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投标人：（盖章）</w:t>
      </w:r>
    </w:p>
    <w:p w14:paraId="26A4C3F1">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法定代表人：（签字或盖章）</w:t>
      </w:r>
    </w:p>
    <w:p w14:paraId="0DC4E7E7">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委托代理人：（签字或盖章）</w:t>
      </w:r>
    </w:p>
    <w:p w14:paraId="349316D2">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项目负责人：（签字或盖章）</w:t>
      </w:r>
    </w:p>
    <w:p w14:paraId="0A3FBCC5">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地址：</w:t>
      </w:r>
    </w:p>
    <w:p w14:paraId="079CDBC6">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邮政编码：</w:t>
      </w:r>
    </w:p>
    <w:p w14:paraId="23BC035F">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电话/传真：</w:t>
      </w:r>
      <w:r>
        <w:rPr>
          <w:rFonts w:hint="eastAsia" w:hAnsi="宋体"/>
          <w:color w:val="auto"/>
          <w:sz w:val="24"/>
          <w:szCs w:val="24"/>
          <w:highlight w:val="none"/>
          <w:u w:val="single"/>
          <w:lang w:eastAsia="zh-CN"/>
        </w:rPr>
        <w:t xml:space="preserve">                    /FAX              </w:t>
      </w:r>
    </w:p>
    <w:p w14:paraId="61064107">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电子邮箱：</w:t>
      </w:r>
    </w:p>
    <w:p w14:paraId="779695D1">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开户银行名称、账号：</w:t>
      </w:r>
    </w:p>
    <w:p w14:paraId="77C3B0EF">
      <w:pPr>
        <w:pStyle w:val="12"/>
        <w:spacing w:line="360" w:lineRule="auto"/>
        <w:ind w:firstLine="480" w:firstLineChars="200"/>
        <w:rPr>
          <w:rFonts w:hAnsi="宋体"/>
          <w:color w:val="auto"/>
          <w:sz w:val="24"/>
          <w:szCs w:val="24"/>
          <w:highlight w:val="none"/>
          <w:lang w:eastAsia="zh-CN"/>
        </w:rPr>
      </w:pPr>
      <w:r>
        <w:rPr>
          <w:rFonts w:hint="eastAsia" w:hAnsi="宋体"/>
          <w:color w:val="auto"/>
          <w:sz w:val="24"/>
          <w:szCs w:val="24"/>
          <w:highlight w:val="none"/>
          <w:lang w:eastAsia="zh-CN"/>
        </w:rPr>
        <w:t>开户行地址/电话：</w:t>
      </w:r>
    </w:p>
    <w:p w14:paraId="6139EA2F">
      <w:pPr>
        <w:pStyle w:val="12"/>
        <w:spacing w:line="360" w:lineRule="auto"/>
        <w:ind w:firstLine="480" w:firstLineChars="200"/>
        <w:rPr>
          <w:rFonts w:hAnsi="宋体"/>
          <w:color w:val="auto"/>
          <w:sz w:val="24"/>
          <w:szCs w:val="24"/>
          <w:highlight w:val="none"/>
          <w:lang w:eastAsia="zh-CN"/>
        </w:rPr>
      </w:pPr>
    </w:p>
    <w:p w14:paraId="55CEEF99">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 xml:space="preserve">                                     日期：       年    月    日</w:t>
      </w:r>
    </w:p>
    <w:p w14:paraId="75376066">
      <w:pPr>
        <w:jc w:val="center"/>
        <w:rPr>
          <w:rFonts w:ascii="宋体" w:hAnsi="宋体" w:eastAsia="宋体"/>
          <w:b/>
          <w:bCs/>
          <w:color w:val="auto"/>
          <w:sz w:val="32"/>
          <w:szCs w:val="32"/>
          <w:highlight w:val="none"/>
        </w:rPr>
      </w:pPr>
      <w:r>
        <w:rPr>
          <w:rFonts w:ascii="宋体" w:hAnsi="宋体" w:eastAsia="宋体"/>
          <w:b/>
          <w:bCs/>
          <w:color w:val="auto"/>
          <w:sz w:val="32"/>
          <w:szCs w:val="32"/>
          <w:highlight w:val="none"/>
          <w:lang w:eastAsia="zh-CN"/>
        </w:rPr>
        <w:br w:type="page"/>
      </w:r>
      <w:r>
        <w:rPr>
          <w:rFonts w:hint="eastAsia" w:ascii="宋体" w:hAnsi="宋体" w:eastAsia="宋体"/>
          <w:b/>
          <w:bCs/>
          <w:color w:val="auto"/>
          <w:sz w:val="32"/>
          <w:szCs w:val="32"/>
          <w:highlight w:val="none"/>
        </w:rPr>
        <w:t>投标书附录</w:t>
      </w:r>
    </w:p>
    <w:p w14:paraId="67EACA88">
      <w:pPr>
        <w:pStyle w:val="8"/>
        <w:kinsoku w:val="0"/>
        <w:overflowPunct w:val="0"/>
        <w:spacing w:before="3" w:line="360" w:lineRule="auto"/>
        <w:ind w:left="102"/>
        <w:rPr>
          <w:color w:val="auto"/>
          <w:sz w:val="23"/>
          <w:szCs w:val="23"/>
          <w:highlight w:val="none"/>
        </w:rPr>
      </w:pPr>
    </w:p>
    <w:tbl>
      <w:tblPr>
        <w:tblStyle w:val="22"/>
        <w:tblW w:w="0" w:type="auto"/>
        <w:tblInd w:w="0" w:type="dxa"/>
        <w:tblLayout w:type="fixed"/>
        <w:tblCellMar>
          <w:top w:w="0" w:type="dxa"/>
          <w:left w:w="0" w:type="dxa"/>
          <w:bottom w:w="0" w:type="dxa"/>
          <w:right w:w="0" w:type="dxa"/>
        </w:tblCellMar>
      </w:tblPr>
      <w:tblGrid>
        <w:gridCol w:w="1303"/>
        <w:gridCol w:w="2950"/>
        <w:gridCol w:w="2858"/>
        <w:gridCol w:w="1906"/>
      </w:tblGrid>
      <w:tr w14:paraId="61223D5B">
        <w:tblPrEx>
          <w:tblCellMar>
            <w:top w:w="0" w:type="dxa"/>
            <w:left w:w="0" w:type="dxa"/>
            <w:bottom w:w="0" w:type="dxa"/>
            <w:right w:w="0" w:type="dxa"/>
          </w:tblCellMar>
        </w:tblPrEx>
        <w:trPr>
          <w:trHeight w:val="538" w:hRule="atLeast"/>
        </w:trPr>
        <w:tc>
          <w:tcPr>
            <w:tcW w:w="1303" w:type="dxa"/>
            <w:tcBorders>
              <w:top w:val="single" w:color="000000" w:sz="4" w:space="0"/>
              <w:left w:val="single" w:color="000000" w:sz="4" w:space="0"/>
              <w:bottom w:val="single" w:color="000000" w:sz="4" w:space="0"/>
              <w:right w:val="single" w:color="000000" w:sz="4" w:space="0"/>
            </w:tcBorders>
            <w:vAlign w:val="center"/>
          </w:tcPr>
          <w:p w14:paraId="36A1C765">
            <w:pPr>
              <w:pStyle w:val="43"/>
              <w:kinsoku w:val="0"/>
              <w:overflowPunct w:val="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950" w:type="dxa"/>
            <w:tcBorders>
              <w:top w:val="single" w:color="000000" w:sz="4" w:space="0"/>
              <w:left w:val="nil"/>
              <w:bottom w:val="single" w:color="000000" w:sz="4" w:space="0"/>
              <w:right w:val="single" w:color="000000" w:sz="4" w:space="0"/>
            </w:tcBorders>
            <w:vAlign w:val="center"/>
          </w:tcPr>
          <w:p w14:paraId="2F00772F">
            <w:pPr>
              <w:pStyle w:val="43"/>
              <w:kinsoku w:val="0"/>
              <w:overflowPunct w:val="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条款名称</w:t>
            </w:r>
          </w:p>
        </w:tc>
        <w:tc>
          <w:tcPr>
            <w:tcW w:w="2858" w:type="dxa"/>
            <w:tcBorders>
              <w:top w:val="single" w:color="000000" w:sz="4" w:space="0"/>
              <w:left w:val="nil"/>
              <w:bottom w:val="single" w:color="000000" w:sz="4" w:space="0"/>
              <w:right w:val="single" w:color="000000" w:sz="4" w:space="0"/>
            </w:tcBorders>
            <w:vAlign w:val="center"/>
          </w:tcPr>
          <w:p w14:paraId="126FA006">
            <w:pPr>
              <w:pStyle w:val="43"/>
              <w:kinsoku w:val="0"/>
              <w:overflowPunct w:val="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约定内容</w:t>
            </w:r>
          </w:p>
        </w:tc>
        <w:tc>
          <w:tcPr>
            <w:tcW w:w="1906" w:type="dxa"/>
            <w:tcBorders>
              <w:top w:val="single" w:color="000000" w:sz="4" w:space="0"/>
              <w:left w:val="nil"/>
              <w:bottom w:val="single" w:color="000000" w:sz="4" w:space="0"/>
              <w:right w:val="single" w:color="000000" w:sz="4" w:space="0"/>
            </w:tcBorders>
            <w:vAlign w:val="center"/>
          </w:tcPr>
          <w:p w14:paraId="5B6BE009">
            <w:pPr>
              <w:pStyle w:val="43"/>
              <w:kinsoku w:val="0"/>
              <w:overflowPunct w:val="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53361B62">
        <w:tblPrEx>
          <w:tblCellMar>
            <w:top w:w="0" w:type="dxa"/>
            <w:left w:w="0" w:type="dxa"/>
            <w:bottom w:w="0" w:type="dxa"/>
            <w:right w:w="0" w:type="dxa"/>
          </w:tblCellMar>
        </w:tblPrEx>
        <w:trPr>
          <w:trHeight w:val="451" w:hRule="atLeast"/>
        </w:trPr>
        <w:tc>
          <w:tcPr>
            <w:tcW w:w="1303" w:type="dxa"/>
            <w:tcBorders>
              <w:top w:val="single" w:color="000000" w:sz="4" w:space="0"/>
              <w:left w:val="single" w:color="000000" w:sz="4" w:space="0"/>
              <w:bottom w:val="single" w:color="000000" w:sz="4" w:space="0"/>
              <w:right w:val="single" w:color="000000" w:sz="4" w:space="0"/>
            </w:tcBorders>
            <w:vAlign w:val="center"/>
          </w:tcPr>
          <w:p w14:paraId="1C3F6061">
            <w:pPr>
              <w:pStyle w:val="43"/>
              <w:kinsoku w:val="0"/>
              <w:overflowPunct w:val="0"/>
              <w:jc w:val="center"/>
              <w:rPr>
                <w:rFonts w:ascii="宋体" w:hAnsi="宋体" w:eastAsia="宋体"/>
                <w:color w:val="auto"/>
                <w:sz w:val="21"/>
                <w:szCs w:val="21"/>
                <w:highlight w:val="none"/>
              </w:rPr>
            </w:pPr>
            <w:r>
              <w:rPr>
                <w:rFonts w:ascii="宋体" w:hAnsi="宋体" w:eastAsia="宋体"/>
                <w:color w:val="auto"/>
                <w:sz w:val="21"/>
                <w:szCs w:val="21"/>
                <w:highlight w:val="none"/>
              </w:rPr>
              <w:t>1</w:t>
            </w:r>
          </w:p>
        </w:tc>
        <w:tc>
          <w:tcPr>
            <w:tcW w:w="2950" w:type="dxa"/>
            <w:tcBorders>
              <w:top w:val="single" w:color="000000" w:sz="4" w:space="0"/>
              <w:left w:val="nil"/>
              <w:bottom w:val="single" w:color="000000" w:sz="4" w:space="0"/>
              <w:right w:val="single" w:color="000000" w:sz="4" w:space="0"/>
            </w:tcBorders>
            <w:vAlign w:val="center"/>
          </w:tcPr>
          <w:p w14:paraId="46E4E7FE">
            <w:pPr>
              <w:pStyle w:val="43"/>
              <w:kinsoku w:val="0"/>
              <w:overflowPunct w:val="0"/>
              <w:jc w:val="both"/>
              <w:rPr>
                <w:rFonts w:ascii="宋体" w:hAnsi="宋体" w:eastAsia="宋体"/>
                <w:color w:val="auto"/>
                <w:sz w:val="21"/>
                <w:szCs w:val="21"/>
                <w:highlight w:val="none"/>
              </w:rPr>
            </w:pPr>
            <w:r>
              <w:rPr>
                <w:rFonts w:hint="eastAsia" w:ascii="宋体" w:hAnsi="宋体" w:eastAsia="宋体"/>
                <w:color w:val="auto"/>
                <w:spacing w:val="-1"/>
                <w:sz w:val="21"/>
                <w:szCs w:val="21"/>
                <w:highlight w:val="none"/>
              </w:rPr>
              <w:t>项目负责人</w:t>
            </w:r>
          </w:p>
        </w:tc>
        <w:tc>
          <w:tcPr>
            <w:tcW w:w="2858" w:type="dxa"/>
            <w:tcBorders>
              <w:top w:val="single" w:color="000000" w:sz="4" w:space="0"/>
              <w:left w:val="nil"/>
              <w:bottom w:val="single" w:color="000000" w:sz="4" w:space="0"/>
              <w:right w:val="single" w:color="000000" w:sz="4" w:space="0"/>
            </w:tcBorders>
            <w:vAlign w:val="center"/>
          </w:tcPr>
          <w:p w14:paraId="0EB4D5AE">
            <w:pPr>
              <w:pStyle w:val="43"/>
              <w:kinsoku w:val="0"/>
              <w:overflowPunct w:val="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姓名：</w:t>
            </w:r>
          </w:p>
        </w:tc>
        <w:tc>
          <w:tcPr>
            <w:tcW w:w="1906" w:type="dxa"/>
            <w:tcBorders>
              <w:top w:val="single" w:color="000000" w:sz="4" w:space="0"/>
              <w:left w:val="nil"/>
              <w:bottom w:val="single" w:color="000000" w:sz="4" w:space="0"/>
              <w:right w:val="single" w:color="000000" w:sz="4" w:space="0"/>
            </w:tcBorders>
            <w:vAlign w:val="center"/>
          </w:tcPr>
          <w:p w14:paraId="16163FE5">
            <w:pPr>
              <w:jc w:val="both"/>
              <w:rPr>
                <w:rFonts w:ascii="宋体" w:hAnsi="宋体" w:eastAsia="宋体"/>
                <w:color w:val="auto"/>
                <w:sz w:val="21"/>
                <w:szCs w:val="21"/>
                <w:highlight w:val="none"/>
              </w:rPr>
            </w:pPr>
          </w:p>
        </w:tc>
      </w:tr>
      <w:tr w14:paraId="14744718">
        <w:tblPrEx>
          <w:tblCellMar>
            <w:top w:w="0" w:type="dxa"/>
            <w:left w:w="0" w:type="dxa"/>
            <w:bottom w:w="0" w:type="dxa"/>
            <w:right w:w="0" w:type="dxa"/>
          </w:tblCellMar>
        </w:tblPrEx>
        <w:trPr>
          <w:trHeight w:val="449" w:hRule="atLeast"/>
        </w:trPr>
        <w:tc>
          <w:tcPr>
            <w:tcW w:w="1303" w:type="dxa"/>
            <w:tcBorders>
              <w:top w:val="single" w:color="000000" w:sz="4" w:space="0"/>
              <w:left w:val="single" w:color="000000" w:sz="4" w:space="0"/>
              <w:bottom w:val="single" w:color="000000" w:sz="4" w:space="0"/>
              <w:right w:val="single" w:color="000000" w:sz="4" w:space="0"/>
            </w:tcBorders>
            <w:vAlign w:val="center"/>
          </w:tcPr>
          <w:p w14:paraId="1591D879">
            <w:pPr>
              <w:pStyle w:val="43"/>
              <w:kinsoku w:val="0"/>
              <w:overflowPunct w:val="0"/>
              <w:jc w:val="center"/>
              <w:rPr>
                <w:rFonts w:ascii="宋体" w:hAnsi="宋体" w:eastAsia="宋体"/>
                <w:color w:val="auto"/>
                <w:sz w:val="21"/>
                <w:szCs w:val="21"/>
                <w:highlight w:val="none"/>
              </w:rPr>
            </w:pPr>
            <w:r>
              <w:rPr>
                <w:rFonts w:ascii="宋体" w:hAnsi="宋体" w:eastAsia="宋体"/>
                <w:color w:val="auto"/>
                <w:sz w:val="21"/>
                <w:szCs w:val="21"/>
                <w:highlight w:val="none"/>
              </w:rPr>
              <w:t>2</w:t>
            </w:r>
          </w:p>
        </w:tc>
        <w:tc>
          <w:tcPr>
            <w:tcW w:w="2950" w:type="dxa"/>
            <w:tcBorders>
              <w:top w:val="single" w:color="000000" w:sz="4" w:space="0"/>
              <w:left w:val="nil"/>
              <w:bottom w:val="single" w:color="000000" w:sz="4" w:space="0"/>
              <w:right w:val="single" w:color="000000" w:sz="4" w:space="0"/>
            </w:tcBorders>
            <w:vAlign w:val="center"/>
          </w:tcPr>
          <w:p w14:paraId="6F246FBA">
            <w:pPr>
              <w:pStyle w:val="43"/>
              <w:kinsoku w:val="0"/>
              <w:overflowPunct w:val="0"/>
              <w:jc w:val="both"/>
              <w:rPr>
                <w:rFonts w:ascii="宋体" w:hAnsi="宋体" w:eastAsia="宋体"/>
                <w:color w:val="auto"/>
                <w:spacing w:val="-1"/>
                <w:sz w:val="21"/>
                <w:szCs w:val="21"/>
                <w:highlight w:val="none"/>
              </w:rPr>
            </w:pPr>
            <w:r>
              <w:rPr>
                <w:rFonts w:hint="eastAsia" w:ascii="宋体" w:hAnsi="宋体" w:eastAsia="宋体"/>
                <w:color w:val="auto"/>
                <w:spacing w:val="-1"/>
                <w:sz w:val="21"/>
                <w:szCs w:val="21"/>
                <w:highlight w:val="none"/>
              </w:rPr>
              <w:t>投标内容</w:t>
            </w:r>
          </w:p>
        </w:tc>
        <w:tc>
          <w:tcPr>
            <w:tcW w:w="2858" w:type="dxa"/>
            <w:tcBorders>
              <w:top w:val="single" w:color="000000" w:sz="4" w:space="0"/>
              <w:left w:val="nil"/>
              <w:bottom w:val="single" w:color="000000" w:sz="4" w:space="0"/>
              <w:right w:val="single" w:color="000000" w:sz="4" w:space="0"/>
            </w:tcBorders>
            <w:vAlign w:val="center"/>
          </w:tcPr>
          <w:p w14:paraId="61468E6E">
            <w:pPr>
              <w:pStyle w:val="43"/>
              <w:kinsoku w:val="0"/>
              <w:overflowPunct w:val="0"/>
              <w:jc w:val="both"/>
              <w:rPr>
                <w:rFonts w:ascii="宋体" w:hAnsi="宋体" w:eastAsia="宋体"/>
                <w:color w:val="auto"/>
                <w:spacing w:val="-1"/>
                <w:sz w:val="21"/>
                <w:szCs w:val="21"/>
                <w:highlight w:val="none"/>
              </w:rPr>
            </w:pPr>
            <w:r>
              <w:rPr>
                <w:rFonts w:hint="eastAsia" w:ascii="宋体" w:hAnsi="宋体" w:eastAsia="宋体"/>
                <w:color w:val="auto"/>
                <w:spacing w:val="-1"/>
                <w:sz w:val="21"/>
                <w:szCs w:val="21"/>
                <w:highlight w:val="none"/>
              </w:rPr>
              <w:t>按招标文件要求</w:t>
            </w:r>
          </w:p>
        </w:tc>
        <w:tc>
          <w:tcPr>
            <w:tcW w:w="1906" w:type="dxa"/>
            <w:tcBorders>
              <w:top w:val="single" w:color="000000" w:sz="4" w:space="0"/>
              <w:left w:val="nil"/>
              <w:bottom w:val="single" w:color="000000" w:sz="4" w:space="0"/>
              <w:right w:val="single" w:color="000000" w:sz="4" w:space="0"/>
            </w:tcBorders>
            <w:vAlign w:val="center"/>
          </w:tcPr>
          <w:p w14:paraId="292B6061">
            <w:pPr>
              <w:jc w:val="both"/>
              <w:rPr>
                <w:rFonts w:ascii="宋体" w:hAnsi="宋体" w:eastAsia="宋体"/>
                <w:color w:val="auto"/>
                <w:sz w:val="21"/>
                <w:szCs w:val="21"/>
                <w:highlight w:val="none"/>
              </w:rPr>
            </w:pPr>
          </w:p>
        </w:tc>
      </w:tr>
      <w:tr w14:paraId="3CBC28E1">
        <w:tblPrEx>
          <w:tblCellMar>
            <w:top w:w="0" w:type="dxa"/>
            <w:left w:w="0" w:type="dxa"/>
            <w:bottom w:w="0" w:type="dxa"/>
            <w:right w:w="0" w:type="dxa"/>
          </w:tblCellMar>
        </w:tblPrEx>
        <w:trPr>
          <w:trHeight w:val="451" w:hRule="atLeast"/>
        </w:trPr>
        <w:tc>
          <w:tcPr>
            <w:tcW w:w="1303" w:type="dxa"/>
            <w:tcBorders>
              <w:top w:val="single" w:color="000000" w:sz="4" w:space="0"/>
              <w:left w:val="single" w:color="000000" w:sz="4" w:space="0"/>
              <w:bottom w:val="single" w:color="000000" w:sz="4" w:space="0"/>
              <w:right w:val="single" w:color="000000" w:sz="4" w:space="0"/>
            </w:tcBorders>
            <w:vAlign w:val="center"/>
          </w:tcPr>
          <w:p w14:paraId="51DD5C1A">
            <w:pPr>
              <w:pStyle w:val="43"/>
              <w:kinsoku w:val="0"/>
              <w:overflowPunct w:val="0"/>
              <w:jc w:val="center"/>
              <w:rPr>
                <w:rFonts w:ascii="宋体" w:hAnsi="宋体" w:eastAsia="宋体"/>
                <w:color w:val="auto"/>
                <w:sz w:val="21"/>
                <w:szCs w:val="21"/>
                <w:highlight w:val="none"/>
              </w:rPr>
            </w:pPr>
            <w:r>
              <w:rPr>
                <w:rFonts w:ascii="宋体" w:hAnsi="宋体" w:eastAsia="宋体"/>
                <w:color w:val="auto"/>
                <w:sz w:val="21"/>
                <w:szCs w:val="21"/>
                <w:highlight w:val="none"/>
              </w:rPr>
              <w:t>3</w:t>
            </w:r>
          </w:p>
        </w:tc>
        <w:tc>
          <w:tcPr>
            <w:tcW w:w="2950" w:type="dxa"/>
            <w:tcBorders>
              <w:top w:val="single" w:color="000000" w:sz="4" w:space="0"/>
              <w:left w:val="nil"/>
              <w:bottom w:val="single" w:color="000000" w:sz="4" w:space="0"/>
              <w:right w:val="single" w:color="000000" w:sz="4" w:space="0"/>
            </w:tcBorders>
            <w:vAlign w:val="center"/>
          </w:tcPr>
          <w:p w14:paraId="4BE3A158">
            <w:pPr>
              <w:pStyle w:val="43"/>
              <w:kinsoku w:val="0"/>
              <w:overflowPunct w:val="0"/>
              <w:jc w:val="both"/>
              <w:rPr>
                <w:rFonts w:ascii="宋体" w:hAnsi="宋体" w:eastAsia="宋体"/>
                <w:color w:val="auto"/>
                <w:spacing w:val="-1"/>
                <w:sz w:val="21"/>
                <w:szCs w:val="21"/>
                <w:highlight w:val="none"/>
              </w:rPr>
            </w:pPr>
            <w:r>
              <w:rPr>
                <w:rFonts w:hint="eastAsia" w:ascii="宋体" w:hAnsi="宋体" w:eastAsia="宋体"/>
                <w:color w:val="auto"/>
                <w:spacing w:val="-1"/>
                <w:sz w:val="21"/>
                <w:szCs w:val="21"/>
                <w:highlight w:val="none"/>
              </w:rPr>
              <w:t>设计服务期限</w:t>
            </w:r>
          </w:p>
        </w:tc>
        <w:tc>
          <w:tcPr>
            <w:tcW w:w="2858" w:type="dxa"/>
            <w:tcBorders>
              <w:top w:val="single" w:color="000000" w:sz="4" w:space="0"/>
              <w:left w:val="nil"/>
              <w:bottom w:val="single" w:color="000000" w:sz="4" w:space="0"/>
              <w:right w:val="single" w:color="000000" w:sz="4" w:space="0"/>
            </w:tcBorders>
            <w:vAlign w:val="center"/>
          </w:tcPr>
          <w:p w14:paraId="3CE4A7E6">
            <w:pPr>
              <w:jc w:val="both"/>
              <w:rPr>
                <w:rFonts w:ascii="宋体" w:hAnsi="宋体" w:eastAsia="宋体"/>
                <w:color w:val="auto"/>
                <w:spacing w:val="-1"/>
                <w:sz w:val="21"/>
                <w:szCs w:val="21"/>
                <w:highlight w:val="none"/>
              </w:rPr>
            </w:pPr>
            <w:r>
              <w:rPr>
                <w:rFonts w:hint="eastAsia" w:ascii="宋体" w:hAnsi="宋体" w:eastAsia="宋体"/>
                <w:color w:val="auto"/>
                <w:spacing w:val="-1"/>
                <w:sz w:val="21"/>
                <w:szCs w:val="21"/>
                <w:highlight w:val="none"/>
              </w:rPr>
              <w:t>按招标文件要求</w:t>
            </w:r>
          </w:p>
        </w:tc>
        <w:tc>
          <w:tcPr>
            <w:tcW w:w="1906" w:type="dxa"/>
            <w:tcBorders>
              <w:top w:val="single" w:color="000000" w:sz="4" w:space="0"/>
              <w:left w:val="nil"/>
              <w:bottom w:val="single" w:color="000000" w:sz="4" w:space="0"/>
              <w:right w:val="single" w:color="000000" w:sz="4" w:space="0"/>
            </w:tcBorders>
            <w:vAlign w:val="center"/>
          </w:tcPr>
          <w:p w14:paraId="1CA86967">
            <w:pPr>
              <w:jc w:val="both"/>
              <w:rPr>
                <w:rFonts w:ascii="宋体" w:hAnsi="宋体" w:eastAsia="宋体"/>
                <w:color w:val="auto"/>
                <w:sz w:val="21"/>
                <w:szCs w:val="21"/>
                <w:highlight w:val="none"/>
              </w:rPr>
            </w:pPr>
          </w:p>
        </w:tc>
      </w:tr>
      <w:tr w14:paraId="38304E09">
        <w:tblPrEx>
          <w:tblCellMar>
            <w:top w:w="0" w:type="dxa"/>
            <w:left w:w="0" w:type="dxa"/>
            <w:bottom w:w="0" w:type="dxa"/>
            <w:right w:w="0" w:type="dxa"/>
          </w:tblCellMar>
        </w:tblPrEx>
        <w:trPr>
          <w:trHeight w:val="449" w:hRule="atLeast"/>
        </w:trPr>
        <w:tc>
          <w:tcPr>
            <w:tcW w:w="1303" w:type="dxa"/>
            <w:tcBorders>
              <w:top w:val="single" w:color="000000" w:sz="4" w:space="0"/>
              <w:left w:val="single" w:color="000000" w:sz="4" w:space="0"/>
              <w:bottom w:val="single" w:color="000000" w:sz="4" w:space="0"/>
              <w:right w:val="single" w:color="000000" w:sz="4" w:space="0"/>
            </w:tcBorders>
            <w:vAlign w:val="center"/>
          </w:tcPr>
          <w:p w14:paraId="62778B70">
            <w:pPr>
              <w:pStyle w:val="43"/>
              <w:kinsoku w:val="0"/>
              <w:overflowPunct w:val="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4</w:t>
            </w:r>
          </w:p>
        </w:tc>
        <w:tc>
          <w:tcPr>
            <w:tcW w:w="2950" w:type="dxa"/>
            <w:tcBorders>
              <w:top w:val="single" w:color="000000" w:sz="4" w:space="0"/>
              <w:left w:val="nil"/>
              <w:bottom w:val="single" w:color="000000" w:sz="4" w:space="0"/>
              <w:right w:val="single" w:color="000000" w:sz="4" w:space="0"/>
            </w:tcBorders>
            <w:vAlign w:val="center"/>
          </w:tcPr>
          <w:p w14:paraId="49113CC7">
            <w:pPr>
              <w:pStyle w:val="43"/>
              <w:kinsoku w:val="0"/>
              <w:overflowPunct w:val="0"/>
              <w:jc w:val="both"/>
              <w:rPr>
                <w:rFonts w:ascii="宋体" w:hAnsi="宋体" w:eastAsia="宋体"/>
                <w:color w:val="auto"/>
                <w:spacing w:val="-1"/>
                <w:sz w:val="21"/>
                <w:szCs w:val="21"/>
                <w:highlight w:val="none"/>
              </w:rPr>
            </w:pPr>
            <w:r>
              <w:rPr>
                <w:rFonts w:hint="eastAsia" w:ascii="宋体" w:hAnsi="宋体" w:eastAsia="宋体"/>
                <w:color w:val="auto"/>
                <w:spacing w:val="-1"/>
                <w:sz w:val="21"/>
                <w:szCs w:val="21"/>
                <w:highlight w:val="none"/>
              </w:rPr>
              <w:t>质量标准</w:t>
            </w:r>
          </w:p>
        </w:tc>
        <w:tc>
          <w:tcPr>
            <w:tcW w:w="2858" w:type="dxa"/>
            <w:tcBorders>
              <w:top w:val="single" w:color="000000" w:sz="4" w:space="0"/>
              <w:left w:val="nil"/>
              <w:bottom w:val="single" w:color="000000" w:sz="4" w:space="0"/>
              <w:right w:val="single" w:color="000000" w:sz="4" w:space="0"/>
            </w:tcBorders>
            <w:vAlign w:val="center"/>
          </w:tcPr>
          <w:p w14:paraId="3C437838">
            <w:pPr>
              <w:jc w:val="both"/>
              <w:rPr>
                <w:rFonts w:ascii="宋体" w:hAnsi="宋体" w:eastAsia="宋体"/>
                <w:color w:val="auto"/>
                <w:spacing w:val="-1"/>
                <w:sz w:val="21"/>
                <w:szCs w:val="21"/>
                <w:highlight w:val="none"/>
              </w:rPr>
            </w:pPr>
            <w:r>
              <w:rPr>
                <w:rFonts w:hint="eastAsia" w:ascii="宋体" w:hAnsi="宋体" w:eastAsia="宋体"/>
                <w:color w:val="auto"/>
                <w:spacing w:val="-1"/>
                <w:sz w:val="21"/>
                <w:szCs w:val="21"/>
                <w:highlight w:val="none"/>
              </w:rPr>
              <w:t>按招标文件要求</w:t>
            </w:r>
          </w:p>
        </w:tc>
        <w:tc>
          <w:tcPr>
            <w:tcW w:w="1906" w:type="dxa"/>
            <w:tcBorders>
              <w:top w:val="single" w:color="000000" w:sz="4" w:space="0"/>
              <w:left w:val="nil"/>
              <w:bottom w:val="single" w:color="000000" w:sz="4" w:space="0"/>
              <w:right w:val="single" w:color="000000" w:sz="4" w:space="0"/>
            </w:tcBorders>
            <w:vAlign w:val="center"/>
          </w:tcPr>
          <w:p w14:paraId="5E08AF25">
            <w:pPr>
              <w:jc w:val="both"/>
              <w:rPr>
                <w:rFonts w:ascii="宋体" w:hAnsi="宋体" w:eastAsia="宋体"/>
                <w:color w:val="auto"/>
                <w:sz w:val="21"/>
                <w:szCs w:val="21"/>
                <w:highlight w:val="none"/>
              </w:rPr>
            </w:pPr>
          </w:p>
        </w:tc>
      </w:tr>
      <w:tr w14:paraId="5E22952E">
        <w:tblPrEx>
          <w:tblCellMar>
            <w:top w:w="0" w:type="dxa"/>
            <w:left w:w="0" w:type="dxa"/>
            <w:bottom w:w="0" w:type="dxa"/>
            <w:right w:w="0" w:type="dxa"/>
          </w:tblCellMar>
        </w:tblPrEx>
        <w:trPr>
          <w:trHeight w:val="451" w:hRule="atLeast"/>
        </w:trPr>
        <w:tc>
          <w:tcPr>
            <w:tcW w:w="1303" w:type="dxa"/>
            <w:tcBorders>
              <w:top w:val="single" w:color="000000" w:sz="4" w:space="0"/>
              <w:left w:val="single" w:color="000000" w:sz="4" w:space="0"/>
              <w:bottom w:val="single" w:color="000000" w:sz="4" w:space="0"/>
              <w:right w:val="single" w:color="000000" w:sz="4" w:space="0"/>
            </w:tcBorders>
            <w:vAlign w:val="center"/>
          </w:tcPr>
          <w:p w14:paraId="4C9C9438">
            <w:pPr>
              <w:pStyle w:val="43"/>
              <w:kinsoku w:val="0"/>
              <w:overflowPunct w:val="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5</w:t>
            </w:r>
          </w:p>
        </w:tc>
        <w:tc>
          <w:tcPr>
            <w:tcW w:w="2950" w:type="dxa"/>
            <w:tcBorders>
              <w:top w:val="single" w:color="000000" w:sz="4" w:space="0"/>
              <w:left w:val="nil"/>
              <w:bottom w:val="single" w:color="000000" w:sz="4" w:space="0"/>
              <w:right w:val="single" w:color="000000" w:sz="4" w:space="0"/>
            </w:tcBorders>
            <w:vAlign w:val="center"/>
          </w:tcPr>
          <w:p w14:paraId="38FF7F45">
            <w:pPr>
              <w:pStyle w:val="43"/>
              <w:kinsoku w:val="0"/>
              <w:overflowPunct w:val="0"/>
              <w:jc w:val="both"/>
              <w:rPr>
                <w:rFonts w:ascii="宋体" w:hAnsi="宋体" w:eastAsia="宋体"/>
                <w:color w:val="auto"/>
                <w:spacing w:val="-1"/>
                <w:sz w:val="21"/>
                <w:szCs w:val="21"/>
                <w:highlight w:val="none"/>
              </w:rPr>
            </w:pPr>
            <w:r>
              <w:rPr>
                <w:rFonts w:hint="eastAsia" w:ascii="宋体" w:hAnsi="宋体" w:eastAsia="宋体"/>
                <w:color w:val="auto"/>
                <w:spacing w:val="-1"/>
                <w:sz w:val="21"/>
                <w:szCs w:val="21"/>
                <w:highlight w:val="none"/>
              </w:rPr>
              <w:t>投标有效期</w:t>
            </w:r>
          </w:p>
        </w:tc>
        <w:tc>
          <w:tcPr>
            <w:tcW w:w="2858" w:type="dxa"/>
            <w:tcBorders>
              <w:top w:val="single" w:color="000000" w:sz="4" w:space="0"/>
              <w:left w:val="nil"/>
              <w:bottom w:val="single" w:color="000000" w:sz="4" w:space="0"/>
              <w:right w:val="single" w:color="000000" w:sz="4" w:space="0"/>
            </w:tcBorders>
            <w:vAlign w:val="center"/>
          </w:tcPr>
          <w:p w14:paraId="22BBAB82">
            <w:pPr>
              <w:jc w:val="both"/>
              <w:rPr>
                <w:rFonts w:ascii="宋体" w:hAnsi="宋体" w:eastAsia="宋体"/>
                <w:color w:val="auto"/>
                <w:spacing w:val="-1"/>
                <w:sz w:val="21"/>
                <w:szCs w:val="21"/>
                <w:highlight w:val="none"/>
              </w:rPr>
            </w:pPr>
            <w:r>
              <w:rPr>
                <w:rFonts w:hint="eastAsia" w:ascii="宋体" w:hAnsi="宋体" w:eastAsia="宋体"/>
                <w:color w:val="auto"/>
                <w:spacing w:val="-1"/>
                <w:sz w:val="21"/>
                <w:szCs w:val="21"/>
                <w:highlight w:val="none"/>
              </w:rPr>
              <w:t>按招标文件要求</w:t>
            </w:r>
          </w:p>
        </w:tc>
        <w:tc>
          <w:tcPr>
            <w:tcW w:w="1906" w:type="dxa"/>
            <w:tcBorders>
              <w:top w:val="single" w:color="000000" w:sz="4" w:space="0"/>
              <w:left w:val="nil"/>
              <w:bottom w:val="single" w:color="000000" w:sz="4" w:space="0"/>
              <w:right w:val="single" w:color="000000" w:sz="4" w:space="0"/>
            </w:tcBorders>
            <w:vAlign w:val="center"/>
          </w:tcPr>
          <w:p w14:paraId="039A1D71">
            <w:pPr>
              <w:jc w:val="both"/>
              <w:rPr>
                <w:rFonts w:ascii="宋体" w:hAnsi="宋体" w:eastAsia="宋体"/>
                <w:color w:val="auto"/>
                <w:sz w:val="21"/>
                <w:szCs w:val="21"/>
                <w:highlight w:val="none"/>
              </w:rPr>
            </w:pPr>
          </w:p>
        </w:tc>
      </w:tr>
    </w:tbl>
    <w:p w14:paraId="28860DA3">
      <w:pPr>
        <w:pStyle w:val="8"/>
        <w:kinsoku w:val="0"/>
        <w:overflowPunct w:val="0"/>
        <w:rPr>
          <w:color w:val="auto"/>
          <w:szCs w:val="20"/>
          <w:highlight w:val="none"/>
        </w:rPr>
      </w:pPr>
    </w:p>
    <w:p w14:paraId="6E715E33">
      <w:pPr>
        <w:pStyle w:val="8"/>
        <w:kinsoku w:val="0"/>
        <w:overflowPunct w:val="0"/>
        <w:spacing w:line="360" w:lineRule="auto"/>
        <w:ind w:left="0" w:firstLine="2409" w:firstLineChars="1000"/>
        <w:rPr>
          <w:b/>
          <w:color w:val="auto"/>
          <w:sz w:val="24"/>
          <w:szCs w:val="24"/>
          <w:highlight w:val="none"/>
          <w:lang w:eastAsia="zh-CN"/>
        </w:rPr>
      </w:pPr>
      <w:r>
        <w:rPr>
          <w:rFonts w:hint="eastAsia"/>
          <w:b/>
          <w:color w:val="auto"/>
          <w:sz w:val="24"/>
          <w:szCs w:val="24"/>
          <w:highlight w:val="none"/>
          <w:lang w:eastAsia="zh-CN"/>
        </w:rPr>
        <w:t>投标</w:t>
      </w:r>
      <w:r>
        <w:rPr>
          <w:rFonts w:hint="eastAsia"/>
          <w:b/>
          <w:color w:val="auto"/>
          <w:spacing w:val="-2"/>
          <w:sz w:val="24"/>
          <w:szCs w:val="24"/>
          <w:highlight w:val="none"/>
          <w:lang w:eastAsia="zh-CN"/>
        </w:rPr>
        <w:t>人：</w:t>
      </w:r>
      <w:r>
        <w:rPr>
          <w:rFonts w:hint="eastAsia"/>
          <w:b/>
          <w:color w:val="auto"/>
          <w:spacing w:val="-2"/>
          <w:sz w:val="24"/>
          <w:szCs w:val="24"/>
          <w:highlight w:val="none"/>
          <w:u w:val="single"/>
          <w:lang w:eastAsia="zh-CN"/>
        </w:rPr>
        <w:t xml:space="preserve">      </w:t>
      </w:r>
      <w:r>
        <w:rPr>
          <w:rFonts w:hint="eastAsia"/>
          <w:b/>
          <w:color w:val="auto"/>
          <w:spacing w:val="-1"/>
          <w:sz w:val="24"/>
          <w:szCs w:val="24"/>
          <w:highlight w:val="none"/>
          <w:lang w:eastAsia="zh-CN"/>
        </w:rPr>
        <w:t>（盖单位章）</w:t>
      </w:r>
    </w:p>
    <w:p w14:paraId="01A87EBD">
      <w:pPr>
        <w:spacing w:line="360" w:lineRule="auto"/>
        <w:ind w:firstLine="2409" w:firstLineChars="1000"/>
        <w:rPr>
          <w:rFonts w:ascii="宋体" w:hAnsi="宋体" w:eastAsia="宋体"/>
          <w:b/>
          <w:bCs/>
          <w:color w:val="auto"/>
          <w:sz w:val="24"/>
          <w:szCs w:val="24"/>
          <w:highlight w:val="none"/>
          <w:lang w:eastAsia="zh-CN"/>
        </w:rPr>
      </w:pPr>
      <w:r>
        <w:rPr>
          <w:rFonts w:hint="eastAsia" w:ascii="宋体" w:hAnsi="宋体" w:eastAsia="宋体"/>
          <w:b/>
          <w:bCs/>
          <w:color w:val="auto"/>
          <w:sz w:val="24"/>
          <w:szCs w:val="24"/>
          <w:highlight w:val="none"/>
          <w:lang w:eastAsia="zh-CN"/>
        </w:rPr>
        <w:t>法定代表人或其委托代理人：</w:t>
      </w:r>
      <w:r>
        <w:rPr>
          <w:rFonts w:hint="eastAsia" w:ascii="宋体" w:hAnsi="宋体" w:eastAsia="宋体"/>
          <w:b/>
          <w:bCs/>
          <w:color w:val="auto"/>
          <w:sz w:val="24"/>
          <w:szCs w:val="24"/>
          <w:highlight w:val="none"/>
          <w:u w:val="single"/>
          <w:lang w:eastAsia="zh-CN"/>
        </w:rPr>
        <w:t xml:space="preserve">     </w:t>
      </w:r>
      <w:r>
        <w:rPr>
          <w:rFonts w:hint="eastAsia" w:ascii="宋体" w:hAnsi="宋体" w:eastAsia="宋体"/>
          <w:b/>
          <w:bCs/>
          <w:color w:val="auto"/>
          <w:sz w:val="24"/>
          <w:szCs w:val="24"/>
          <w:highlight w:val="none"/>
          <w:lang w:eastAsia="zh-CN"/>
        </w:rPr>
        <w:t>（签字或盖章）</w:t>
      </w:r>
    </w:p>
    <w:p w14:paraId="47174C49">
      <w:pPr>
        <w:spacing w:line="360" w:lineRule="auto"/>
        <w:ind w:firstLine="2409" w:firstLineChars="1000"/>
        <w:rPr>
          <w:rFonts w:ascii="宋体" w:hAnsi="宋体" w:eastAsia="宋体"/>
          <w:b/>
          <w:color w:val="auto"/>
          <w:sz w:val="24"/>
          <w:szCs w:val="24"/>
          <w:highlight w:val="none"/>
          <w:lang w:eastAsia="zh-CN"/>
        </w:rPr>
      </w:pPr>
      <w:r>
        <w:rPr>
          <w:rFonts w:hint="eastAsia" w:ascii="宋体" w:hAnsi="宋体" w:eastAsia="宋体"/>
          <w:b/>
          <w:color w:val="auto"/>
          <w:sz w:val="24"/>
          <w:szCs w:val="24"/>
          <w:highlight w:val="none"/>
          <w:lang w:eastAsia="zh-CN"/>
        </w:rPr>
        <w:t>年</w:t>
      </w:r>
      <w:r>
        <w:rPr>
          <w:rFonts w:ascii="宋体" w:hAnsi="宋体" w:eastAsia="宋体"/>
          <w:b/>
          <w:color w:val="auto"/>
          <w:sz w:val="24"/>
          <w:szCs w:val="24"/>
          <w:highlight w:val="none"/>
          <w:u w:val="single"/>
          <w:lang w:eastAsia="zh-CN"/>
        </w:rPr>
        <w:tab/>
      </w:r>
      <w:r>
        <w:rPr>
          <w:rFonts w:hint="eastAsia" w:ascii="宋体" w:hAnsi="宋体" w:eastAsia="宋体"/>
          <w:b/>
          <w:color w:val="auto"/>
          <w:sz w:val="24"/>
          <w:szCs w:val="24"/>
          <w:highlight w:val="none"/>
          <w:lang w:eastAsia="zh-CN"/>
        </w:rPr>
        <w:t>月</w:t>
      </w:r>
      <w:r>
        <w:rPr>
          <w:rFonts w:ascii="宋体" w:hAnsi="宋体" w:eastAsia="宋体"/>
          <w:b/>
          <w:color w:val="auto"/>
          <w:sz w:val="24"/>
          <w:szCs w:val="24"/>
          <w:highlight w:val="none"/>
          <w:u w:val="single"/>
          <w:lang w:eastAsia="zh-CN"/>
        </w:rPr>
        <w:tab/>
      </w:r>
      <w:r>
        <w:rPr>
          <w:rFonts w:hint="eastAsia" w:ascii="宋体" w:hAnsi="宋体" w:eastAsia="宋体"/>
          <w:b/>
          <w:color w:val="auto"/>
          <w:sz w:val="24"/>
          <w:szCs w:val="24"/>
          <w:highlight w:val="none"/>
          <w:lang w:eastAsia="zh-CN"/>
        </w:rPr>
        <w:t>日</w:t>
      </w:r>
    </w:p>
    <w:p w14:paraId="4A49CEE9">
      <w:pPr>
        <w:spacing w:line="360" w:lineRule="auto"/>
        <w:rPr>
          <w:rFonts w:ascii="宋体" w:hAnsi="宋体" w:eastAsia="宋体"/>
          <w:color w:val="auto"/>
          <w:highlight w:val="none"/>
          <w:lang w:eastAsia="zh-CN"/>
        </w:rPr>
      </w:pPr>
    </w:p>
    <w:p w14:paraId="2A2EB033">
      <w:pPr>
        <w:pStyle w:val="3"/>
        <w:spacing w:after="240"/>
        <w:rPr>
          <w:rFonts w:ascii="宋体" w:hAnsi="宋体" w:eastAsia="宋体"/>
          <w:color w:val="auto"/>
          <w:highlight w:val="none"/>
          <w:lang w:eastAsia="zh-CN"/>
        </w:rPr>
      </w:pPr>
      <w:r>
        <w:rPr>
          <w:rFonts w:ascii="宋体" w:hAnsi="宋体" w:eastAsia="宋体"/>
          <w:color w:val="auto"/>
          <w:highlight w:val="none"/>
          <w:lang w:eastAsia="zh-CN"/>
        </w:rPr>
        <w:br w:type="page"/>
      </w:r>
      <w:bookmarkStart w:id="76" w:name="_Toc25072140"/>
      <w:r>
        <w:rPr>
          <w:rFonts w:hint="eastAsia" w:ascii="宋体" w:hAnsi="宋体" w:eastAsia="宋体"/>
          <w:color w:val="auto"/>
          <w:highlight w:val="none"/>
          <w:lang w:eastAsia="zh-CN"/>
        </w:rPr>
        <w:t>格式二  法定代表人身份证明、授权委托书</w:t>
      </w:r>
      <w:bookmarkEnd w:id="76"/>
    </w:p>
    <w:p w14:paraId="0D162F6C">
      <w:pPr>
        <w:jc w:val="center"/>
        <w:rPr>
          <w:rFonts w:ascii="宋体" w:hAnsi="宋体" w:eastAsia="宋体"/>
          <w:b/>
          <w:color w:val="auto"/>
          <w:sz w:val="32"/>
          <w:szCs w:val="36"/>
          <w:highlight w:val="none"/>
          <w:lang w:eastAsia="zh-CN"/>
        </w:rPr>
      </w:pPr>
      <w:r>
        <w:rPr>
          <w:rFonts w:hint="eastAsia" w:ascii="宋体" w:hAnsi="宋体" w:eastAsia="宋体"/>
          <w:b/>
          <w:color w:val="auto"/>
          <w:sz w:val="32"/>
          <w:szCs w:val="36"/>
          <w:highlight w:val="none"/>
          <w:lang w:eastAsia="zh-CN"/>
        </w:rPr>
        <w:t>法定代表人身份证明</w:t>
      </w:r>
    </w:p>
    <w:p w14:paraId="47E1125C">
      <w:pPr>
        <w:spacing w:line="360" w:lineRule="auto"/>
        <w:rPr>
          <w:rFonts w:ascii="宋体" w:hAnsi="宋体" w:eastAsia="宋体"/>
          <w:color w:val="auto"/>
          <w:sz w:val="24"/>
          <w:szCs w:val="24"/>
          <w:highlight w:val="none"/>
          <w:lang w:eastAsia="zh-CN"/>
        </w:rPr>
      </w:pPr>
    </w:p>
    <w:p w14:paraId="5D27C045">
      <w:pPr>
        <w:spacing w:line="360" w:lineRule="auto"/>
        <w:rPr>
          <w:rFonts w:ascii="宋体" w:hAnsi="宋体" w:eastAsia="宋体"/>
          <w:color w:val="auto"/>
          <w:sz w:val="24"/>
          <w:szCs w:val="24"/>
          <w:highlight w:val="none"/>
          <w:u w:val="single"/>
          <w:lang w:eastAsia="zh-CN"/>
        </w:rPr>
      </w:pPr>
      <w:r>
        <w:rPr>
          <w:rFonts w:ascii="宋体" w:hAnsi="宋体" w:eastAsia="宋体"/>
          <w:color w:val="auto"/>
          <w:sz w:val="24"/>
          <w:szCs w:val="24"/>
          <w:highlight w:val="none"/>
          <w:lang w:eastAsia="zh-CN"/>
        </w:rPr>
        <w:t>投标人名称：</w:t>
      </w:r>
      <w:r>
        <w:rPr>
          <w:rFonts w:hint="eastAsia" w:ascii="宋体" w:hAnsi="宋体" w:eastAsia="宋体"/>
          <w:color w:val="auto"/>
          <w:sz w:val="24"/>
          <w:szCs w:val="24"/>
          <w:highlight w:val="none"/>
          <w:u w:val="single"/>
          <w:lang w:eastAsia="zh-CN"/>
        </w:rPr>
        <w:t xml:space="preserve">                             </w:t>
      </w:r>
    </w:p>
    <w:p w14:paraId="79BA7498">
      <w:pPr>
        <w:spacing w:line="360" w:lineRule="auto"/>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姓名：</w:t>
      </w:r>
      <w:r>
        <w:rPr>
          <w:rFonts w:hint="eastAsia" w:ascii="宋体" w:hAnsi="宋体" w:eastAsia="宋体"/>
          <w:color w:val="auto"/>
          <w:sz w:val="24"/>
          <w:szCs w:val="24"/>
          <w:highlight w:val="none"/>
          <w:u w:val="single"/>
          <w:lang w:eastAsia="zh-CN"/>
        </w:rPr>
        <w:t xml:space="preserve">               </w:t>
      </w:r>
      <w:r>
        <w:rPr>
          <w:rFonts w:ascii="宋体" w:hAnsi="宋体" w:eastAsia="宋体"/>
          <w:color w:val="auto"/>
          <w:sz w:val="24"/>
          <w:szCs w:val="24"/>
          <w:highlight w:val="none"/>
          <w:lang w:eastAsia="zh-CN"/>
        </w:rPr>
        <w:t>性别：</w:t>
      </w:r>
      <w:r>
        <w:rPr>
          <w:rFonts w:hint="eastAsia" w:ascii="宋体" w:hAnsi="宋体" w:eastAsia="宋体"/>
          <w:color w:val="auto"/>
          <w:sz w:val="24"/>
          <w:szCs w:val="24"/>
          <w:highlight w:val="none"/>
          <w:u w:val="single"/>
          <w:lang w:eastAsia="zh-CN"/>
        </w:rPr>
        <w:t xml:space="preserve">        </w:t>
      </w:r>
      <w:r>
        <w:rPr>
          <w:rFonts w:ascii="宋体" w:hAnsi="宋体" w:eastAsia="宋体"/>
          <w:color w:val="auto"/>
          <w:sz w:val="24"/>
          <w:szCs w:val="24"/>
          <w:highlight w:val="none"/>
          <w:lang w:eastAsia="zh-CN"/>
        </w:rPr>
        <w:t>年龄：</w:t>
      </w:r>
      <w:r>
        <w:rPr>
          <w:rFonts w:hint="eastAsia" w:ascii="宋体" w:hAnsi="宋体" w:eastAsia="宋体"/>
          <w:color w:val="auto"/>
          <w:sz w:val="24"/>
          <w:szCs w:val="24"/>
          <w:highlight w:val="none"/>
          <w:u w:val="single"/>
          <w:lang w:eastAsia="zh-CN"/>
        </w:rPr>
        <w:t xml:space="preserve">       </w:t>
      </w:r>
      <w:r>
        <w:rPr>
          <w:rFonts w:ascii="宋体" w:hAnsi="宋体" w:eastAsia="宋体"/>
          <w:color w:val="auto"/>
          <w:sz w:val="24"/>
          <w:szCs w:val="24"/>
          <w:highlight w:val="none"/>
          <w:lang w:eastAsia="zh-CN"/>
        </w:rPr>
        <w:t>职务：</w:t>
      </w:r>
      <w:r>
        <w:rPr>
          <w:rFonts w:hint="eastAsia" w:ascii="宋体" w:hAnsi="宋体" w:eastAsia="宋体"/>
          <w:color w:val="auto"/>
          <w:sz w:val="24"/>
          <w:szCs w:val="24"/>
          <w:highlight w:val="none"/>
          <w:u w:val="single"/>
          <w:lang w:eastAsia="zh-CN"/>
        </w:rPr>
        <w:t xml:space="preserve">        </w:t>
      </w:r>
    </w:p>
    <w:p w14:paraId="334757EF">
      <w:pPr>
        <w:spacing w:line="360" w:lineRule="auto"/>
        <w:rPr>
          <w:rFonts w:ascii="宋体" w:hAnsi="宋体" w:eastAsia="宋体"/>
          <w:color w:val="auto"/>
          <w:sz w:val="24"/>
          <w:szCs w:val="24"/>
          <w:highlight w:val="none"/>
          <w:lang w:eastAsia="zh-CN"/>
        </w:rPr>
      </w:pPr>
    </w:p>
    <w:p w14:paraId="210F541C">
      <w:pPr>
        <w:tabs>
          <w:tab w:val="left" w:pos="3080"/>
        </w:tabs>
        <w:spacing w:line="360" w:lineRule="auto"/>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系</w:t>
      </w:r>
      <w:r>
        <w:rPr>
          <w:rFonts w:hint="eastAsia" w:ascii="宋体" w:hAnsi="宋体" w:eastAsia="宋体"/>
          <w:color w:val="auto"/>
          <w:sz w:val="24"/>
          <w:szCs w:val="24"/>
          <w:highlight w:val="none"/>
          <w:u w:val="single"/>
          <w:lang w:eastAsia="zh-CN"/>
        </w:rPr>
        <w:t xml:space="preserve">     </w:t>
      </w:r>
      <w:r>
        <w:rPr>
          <w:rFonts w:ascii="宋体" w:hAnsi="宋体" w:eastAsia="宋体"/>
          <w:color w:val="auto"/>
          <w:sz w:val="24"/>
          <w:szCs w:val="24"/>
          <w:highlight w:val="none"/>
          <w:u w:val="single"/>
          <w:lang w:eastAsia="zh-CN"/>
        </w:rPr>
        <w:t>（投标人名称）</w:t>
      </w:r>
      <w:r>
        <w:rPr>
          <w:rFonts w:hint="eastAsia" w:ascii="宋体" w:hAnsi="宋体" w:eastAsia="宋体"/>
          <w:color w:val="auto"/>
          <w:sz w:val="24"/>
          <w:szCs w:val="24"/>
          <w:highlight w:val="none"/>
          <w:u w:val="single"/>
          <w:lang w:eastAsia="zh-CN"/>
        </w:rPr>
        <w:t xml:space="preserve">       </w:t>
      </w:r>
      <w:r>
        <w:rPr>
          <w:rFonts w:ascii="宋体" w:hAnsi="宋体" w:eastAsia="宋体"/>
          <w:color w:val="auto"/>
          <w:sz w:val="24"/>
          <w:szCs w:val="24"/>
          <w:highlight w:val="none"/>
          <w:lang w:eastAsia="zh-CN"/>
        </w:rPr>
        <w:t>的法定代表人。</w:t>
      </w:r>
    </w:p>
    <w:p w14:paraId="4D8B03FC">
      <w:pPr>
        <w:spacing w:line="360" w:lineRule="auto"/>
        <w:rPr>
          <w:rFonts w:ascii="宋体" w:hAnsi="宋体" w:eastAsia="宋体"/>
          <w:color w:val="auto"/>
          <w:sz w:val="24"/>
          <w:szCs w:val="24"/>
          <w:highlight w:val="none"/>
          <w:lang w:eastAsia="zh-CN"/>
        </w:rPr>
      </w:pPr>
    </w:p>
    <w:p w14:paraId="46B08957">
      <w:pPr>
        <w:spacing w:line="360" w:lineRule="auto"/>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特此证明。</w:t>
      </w:r>
    </w:p>
    <w:p w14:paraId="29CB7687">
      <w:pPr>
        <w:spacing w:line="360" w:lineRule="auto"/>
        <w:rPr>
          <w:rFonts w:ascii="宋体" w:hAnsi="宋体" w:eastAsia="宋体"/>
          <w:color w:val="auto"/>
          <w:sz w:val="24"/>
          <w:szCs w:val="24"/>
          <w:highlight w:val="none"/>
          <w:lang w:eastAsia="zh-CN"/>
        </w:rPr>
      </w:pPr>
    </w:p>
    <w:p w14:paraId="17A24E73">
      <w:pPr>
        <w:spacing w:line="360" w:lineRule="auto"/>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附：法定代表人身份证</w:t>
      </w:r>
      <w:r>
        <w:rPr>
          <w:rFonts w:hint="eastAsia" w:ascii="宋体" w:hAnsi="宋体" w:eastAsia="宋体" w:cs="宋体"/>
          <w:bCs/>
          <w:color w:val="auto"/>
          <w:sz w:val="24"/>
          <w:szCs w:val="24"/>
          <w:highlight w:val="none"/>
          <w:lang w:eastAsia="zh-CN"/>
        </w:rPr>
        <w:t>扫描</w:t>
      </w:r>
      <w:r>
        <w:rPr>
          <w:rFonts w:ascii="宋体" w:hAnsi="宋体" w:eastAsia="宋体"/>
          <w:color w:val="auto"/>
          <w:sz w:val="24"/>
          <w:szCs w:val="24"/>
          <w:highlight w:val="none"/>
          <w:lang w:eastAsia="zh-CN"/>
        </w:rPr>
        <w:t>件。</w:t>
      </w:r>
    </w:p>
    <w:p w14:paraId="0E6E59FD">
      <w:pPr>
        <w:spacing w:line="360" w:lineRule="auto"/>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注：本身份证明需由投标人加盖单位公章。</w:t>
      </w:r>
    </w:p>
    <w:p w14:paraId="1D72CE33">
      <w:pPr>
        <w:spacing w:line="360" w:lineRule="auto"/>
        <w:rPr>
          <w:rFonts w:ascii="宋体" w:hAnsi="宋体" w:eastAsia="宋体"/>
          <w:color w:val="auto"/>
          <w:sz w:val="24"/>
          <w:szCs w:val="24"/>
          <w:highlight w:val="none"/>
          <w:lang w:eastAsia="zh-CN"/>
        </w:rPr>
      </w:pPr>
    </w:p>
    <w:p w14:paraId="3A00D95E">
      <w:pPr>
        <w:tabs>
          <w:tab w:val="left" w:pos="6760"/>
        </w:tabs>
        <w:spacing w:line="360" w:lineRule="auto"/>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投标人：</w:t>
      </w:r>
      <w:r>
        <w:rPr>
          <w:rFonts w:hint="eastAsia" w:ascii="宋体" w:hAnsi="宋体" w:eastAsia="宋体"/>
          <w:color w:val="auto"/>
          <w:sz w:val="24"/>
          <w:szCs w:val="24"/>
          <w:highlight w:val="none"/>
          <w:u w:val="single"/>
          <w:lang w:eastAsia="zh-CN"/>
        </w:rPr>
        <w:t xml:space="preserve">           </w:t>
      </w:r>
      <w:r>
        <w:rPr>
          <w:rFonts w:ascii="宋体" w:hAnsi="宋体" w:eastAsia="宋体"/>
          <w:color w:val="auto"/>
          <w:sz w:val="24"/>
          <w:szCs w:val="24"/>
          <w:highlight w:val="none"/>
          <w:lang w:eastAsia="zh-CN"/>
        </w:rPr>
        <w:t>（盖单位章）</w:t>
      </w:r>
    </w:p>
    <w:p w14:paraId="5DC88177">
      <w:pPr>
        <w:tabs>
          <w:tab w:val="left" w:pos="6440"/>
          <w:tab w:val="left" w:pos="7280"/>
        </w:tabs>
        <w:spacing w:line="36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年</w:t>
      </w:r>
      <w:r>
        <w:rPr>
          <w:rFonts w:hint="eastAsia" w:ascii="宋体" w:hAnsi="宋体" w:eastAsia="宋体"/>
          <w:color w:val="auto"/>
          <w:sz w:val="24"/>
          <w:szCs w:val="24"/>
          <w:highlight w:val="none"/>
          <w:u w:val="single"/>
          <w:lang w:eastAsia="zh-CN"/>
        </w:rPr>
        <w:t xml:space="preserve">        </w:t>
      </w:r>
      <w:r>
        <w:rPr>
          <w:rFonts w:ascii="宋体" w:hAnsi="宋体" w:eastAsia="宋体"/>
          <w:color w:val="auto"/>
          <w:sz w:val="24"/>
          <w:szCs w:val="24"/>
          <w:highlight w:val="none"/>
          <w:lang w:eastAsia="zh-CN"/>
        </w:rPr>
        <w:t>月</w:t>
      </w:r>
      <w:r>
        <w:rPr>
          <w:rFonts w:hint="eastAsia" w:ascii="宋体" w:hAnsi="宋体" w:eastAsia="宋体"/>
          <w:color w:val="auto"/>
          <w:sz w:val="24"/>
          <w:szCs w:val="24"/>
          <w:highlight w:val="none"/>
          <w:u w:val="single"/>
          <w:lang w:eastAsia="zh-CN"/>
        </w:rPr>
        <w:t xml:space="preserve">      </w:t>
      </w:r>
      <w:r>
        <w:rPr>
          <w:rFonts w:ascii="宋体" w:hAnsi="宋体" w:eastAsia="宋体"/>
          <w:color w:val="auto"/>
          <w:sz w:val="24"/>
          <w:szCs w:val="24"/>
          <w:highlight w:val="none"/>
          <w:lang w:eastAsia="zh-CN"/>
        </w:rPr>
        <w:t>日</w:t>
      </w:r>
    </w:p>
    <w:p w14:paraId="56C4B083">
      <w:pPr>
        <w:jc w:val="center"/>
        <w:rPr>
          <w:rFonts w:ascii="宋体" w:hAnsi="宋体" w:eastAsia="宋体"/>
          <w:b/>
          <w:color w:val="auto"/>
          <w:sz w:val="32"/>
          <w:szCs w:val="36"/>
          <w:highlight w:val="none"/>
          <w:lang w:eastAsia="zh-CN"/>
        </w:rPr>
      </w:pPr>
      <w:r>
        <w:rPr>
          <w:rFonts w:ascii="宋体" w:hAnsi="宋体" w:eastAsia="宋体"/>
          <w:color w:val="auto"/>
          <w:sz w:val="24"/>
          <w:szCs w:val="24"/>
          <w:highlight w:val="none"/>
          <w:lang w:eastAsia="zh-CN"/>
        </w:rPr>
        <w:br w:type="page"/>
      </w:r>
      <w:r>
        <w:rPr>
          <w:rFonts w:hint="eastAsia" w:ascii="宋体" w:hAnsi="宋体" w:eastAsia="宋体"/>
          <w:b/>
          <w:color w:val="auto"/>
          <w:sz w:val="32"/>
          <w:szCs w:val="36"/>
          <w:highlight w:val="none"/>
          <w:lang w:eastAsia="zh-CN"/>
        </w:rPr>
        <w:t>授权委托书</w:t>
      </w:r>
    </w:p>
    <w:p w14:paraId="316D1884">
      <w:pPr>
        <w:autoSpaceDE w:val="0"/>
        <w:autoSpaceDN w:val="0"/>
        <w:adjustRightInd w:val="0"/>
        <w:spacing w:before="18" w:line="240" w:lineRule="exact"/>
        <w:rPr>
          <w:rFonts w:ascii="宋体" w:hAnsi="宋体" w:eastAsia="宋体"/>
          <w:color w:val="auto"/>
          <w:sz w:val="24"/>
          <w:highlight w:val="none"/>
          <w:lang w:eastAsia="zh-CN"/>
        </w:rPr>
      </w:pPr>
    </w:p>
    <w:p w14:paraId="1F1A4699">
      <w:pPr>
        <w:autoSpaceDE w:val="0"/>
        <w:autoSpaceDN w:val="0"/>
        <w:adjustRightInd w:val="0"/>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position w:val="-4"/>
          <w:sz w:val="24"/>
          <w:szCs w:val="24"/>
          <w:highlight w:val="none"/>
          <w:lang w:eastAsia="zh-CN"/>
        </w:rPr>
        <w:t>本人</w:t>
      </w:r>
      <w:r>
        <w:rPr>
          <w:rFonts w:hint="eastAsia" w:ascii="宋体" w:hAnsi="宋体" w:eastAsia="宋体"/>
          <w:color w:val="auto"/>
          <w:position w:val="-4"/>
          <w:sz w:val="24"/>
          <w:szCs w:val="24"/>
          <w:highlight w:val="none"/>
          <w:u w:val="single"/>
          <w:lang w:eastAsia="zh-CN"/>
        </w:rPr>
        <w:t xml:space="preserve">    （</w:t>
      </w:r>
      <w:r>
        <w:rPr>
          <w:rFonts w:hint="eastAsia" w:ascii="宋体" w:hAnsi="宋体" w:eastAsia="宋体"/>
          <w:color w:val="auto"/>
          <w:spacing w:val="-2"/>
          <w:position w:val="-4"/>
          <w:sz w:val="24"/>
          <w:szCs w:val="24"/>
          <w:highlight w:val="none"/>
          <w:u w:val="single"/>
          <w:lang w:eastAsia="zh-CN"/>
        </w:rPr>
        <w:t>姓</w:t>
      </w:r>
      <w:r>
        <w:rPr>
          <w:rFonts w:hint="eastAsia" w:ascii="宋体" w:hAnsi="宋体" w:eastAsia="宋体"/>
          <w:color w:val="auto"/>
          <w:position w:val="-4"/>
          <w:sz w:val="24"/>
          <w:szCs w:val="24"/>
          <w:highlight w:val="none"/>
          <w:u w:val="single"/>
          <w:lang w:eastAsia="zh-CN"/>
        </w:rPr>
        <w:t xml:space="preserve">名）    </w:t>
      </w:r>
      <w:r>
        <w:rPr>
          <w:rFonts w:hint="eastAsia" w:ascii="宋体" w:hAnsi="宋体" w:eastAsia="宋体"/>
          <w:color w:val="auto"/>
          <w:position w:val="-4"/>
          <w:sz w:val="24"/>
          <w:szCs w:val="24"/>
          <w:highlight w:val="none"/>
          <w:lang w:eastAsia="zh-CN"/>
        </w:rPr>
        <w:t>系</w:t>
      </w:r>
      <w:r>
        <w:rPr>
          <w:rFonts w:hint="eastAsia" w:ascii="宋体" w:hAnsi="宋体" w:eastAsia="宋体"/>
          <w:color w:val="auto"/>
          <w:position w:val="-4"/>
          <w:sz w:val="24"/>
          <w:szCs w:val="24"/>
          <w:highlight w:val="none"/>
          <w:u w:val="single"/>
          <w:lang w:eastAsia="zh-CN"/>
        </w:rPr>
        <w:t xml:space="preserve">   （投标人</w:t>
      </w:r>
      <w:r>
        <w:rPr>
          <w:rFonts w:hint="eastAsia" w:ascii="宋体" w:hAnsi="宋体" w:eastAsia="宋体"/>
          <w:color w:val="auto"/>
          <w:spacing w:val="-2"/>
          <w:position w:val="-4"/>
          <w:sz w:val="24"/>
          <w:szCs w:val="24"/>
          <w:highlight w:val="none"/>
          <w:u w:val="single"/>
          <w:lang w:eastAsia="zh-CN"/>
        </w:rPr>
        <w:t>名</w:t>
      </w:r>
      <w:r>
        <w:rPr>
          <w:rFonts w:hint="eastAsia" w:ascii="宋体" w:hAnsi="宋体" w:eastAsia="宋体"/>
          <w:color w:val="auto"/>
          <w:position w:val="-4"/>
          <w:sz w:val="24"/>
          <w:szCs w:val="24"/>
          <w:highlight w:val="none"/>
          <w:u w:val="single"/>
          <w:lang w:eastAsia="zh-CN"/>
        </w:rPr>
        <w:t xml:space="preserve">称）    </w:t>
      </w:r>
      <w:r>
        <w:rPr>
          <w:rFonts w:hint="eastAsia" w:ascii="宋体" w:hAnsi="宋体" w:eastAsia="宋体"/>
          <w:color w:val="auto"/>
          <w:position w:val="-4"/>
          <w:sz w:val="24"/>
          <w:szCs w:val="24"/>
          <w:highlight w:val="none"/>
          <w:lang w:eastAsia="zh-CN"/>
        </w:rPr>
        <w:t>的</w:t>
      </w:r>
      <w:r>
        <w:rPr>
          <w:rFonts w:hint="eastAsia" w:ascii="宋体" w:hAnsi="宋体" w:eastAsia="宋体"/>
          <w:color w:val="auto"/>
          <w:spacing w:val="-2"/>
          <w:position w:val="-4"/>
          <w:sz w:val="24"/>
          <w:szCs w:val="24"/>
          <w:highlight w:val="none"/>
          <w:lang w:eastAsia="zh-CN"/>
        </w:rPr>
        <w:t>法定</w:t>
      </w:r>
      <w:r>
        <w:rPr>
          <w:rFonts w:hint="eastAsia" w:ascii="宋体" w:hAnsi="宋体" w:eastAsia="宋体"/>
          <w:color w:val="auto"/>
          <w:position w:val="-4"/>
          <w:sz w:val="24"/>
          <w:szCs w:val="24"/>
          <w:highlight w:val="none"/>
          <w:lang w:eastAsia="zh-CN"/>
        </w:rPr>
        <w:t>代表人</w:t>
      </w:r>
      <w:r>
        <w:rPr>
          <w:rFonts w:hint="eastAsia" w:ascii="宋体" w:hAnsi="宋体" w:eastAsia="宋体"/>
          <w:color w:val="auto"/>
          <w:spacing w:val="-2"/>
          <w:position w:val="-4"/>
          <w:sz w:val="24"/>
          <w:szCs w:val="24"/>
          <w:highlight w:val="none"/>
          <w:lang w:eastAsia="zh-CN"/>
        </w:rPr>
        <w:t>，</w:t>
      </w:r>
      <w:r>
        <w:rPr>
          <w:rFonts w:hint="eastAsia" w:ascii="宋体" w:hAnsi="宋体" w:eastAsia="宋体"/>
          <w:color w:val="auto"/>
          <w:position w:val="-4"/>
          <w:sz w:val="24"/>
          <w:szCs w:val="24"/>
          <w:highlight w:val="none"/>
          <w:lang w:eastAsia="zh-CN"/>
        </w:rPr>
        <w:t>现</w:t>
      </w:r>
      <w:r>
        <w:rPr>
          <w:rFonts w:hint="eastAsia" w:ascii="宋体" w:hAnsi="宋体" w:eastAsia="宋体"/>
          <w:color w:val="auto"/>
          <w:position w:val="-2"/>
          <w:sz w:val="24"/>
          <w:szCs w:val="24"/>
          <w:highlight w:val="none"/>
          <w:lang w:eastAsia="zh-CN"/>
        </w:rPr>
        <w:t>委托</w:t>
      </w:r>
      <w:r>
        <w:rPr>
          <w:rFonts w:hint="eastAsia" w:ascii="宋体" w:hAnsi="宋体" w:eastAsia="宋体"/>
          <w:color w:val="auto"/>
          <w:position w:val="-2"/>
          <w:sz w:val="24"/>
          <w:szCs w:val="24"/>
          <w:highlight w:val="none"/>
          <w:u w:val="single"/>
          <w:lang w:eastAsia="zh-CN"/>
        </w:rPr>
        <w:t xml:space="preserve">   （姓</w:t>
      </w:r>
      <w:r>
        <w:rPr>
          <w:rFonts w:hint="eastAsia" w:ascii="宋体" w:hAnsi="宋体" w:eastAsia="宋体"/>
          <w:color w:val="auto"/>
          <w:spacing w:val="-2"/>
          <w:position w:val="-2"/>
          <w:sz w:val="24"/>
          <w:szCs w:val="24"/>
          <w:highlight w:val="none"/>
          <w:u w:val="single"/>
          <w:lang w:eastAsia="zh-CN"/>
        </w:rPr>
        <w:t>名</w:t>
      </w:r>
      <w:r>
        <w:rPr>
          <w:rFonts w:hint="eastAsia" w:ascii="宋体" w:hAnsi="宋体" w:eastAsia="宋体"/>
          <w:color w:val="auto"/>
          <w:position w:val="-2"/>
          <w:sz w:val="24"/>
          <w:szCs w:val="24"/>
          <w:highlight w:val="none"/>
          <w:u w:val="single"/>
          <w:lang w:eastAsia="zh-CN"/>
        </w:rPr>
        <w:t xml:space="preserve">）  </w:t>
      </w:r>
      <w:r>
        <w:rPr>
          <w:rFonts w:hint="eastAsia" w:ascii="宋体" w:hAnsi="宋体" w:eastAsia="宋体"/>
          <w:color w:val="auto"/>
          <w:position w:val="-2"/>
          <w:sz w:val="24"/>
          <w:szCs w:val="24"/>
          <w:highlight w:val="none"/>
          <w:lang w:eastAsia="zh-CN"/>
        </w:rPr>
        <w:t>为我方代</w:t>
      </w:r>
      <w:r>
        <w:rPr>
          <w:rFonts w:hint="eastAsia" w:ascii="宋体" w:hAnsi="宋体" w:eastAsia="宋体"/>
          <w:color w:val="auto"/>
          <w:spacing w:val="-2"/>
          <w:position w:val="-2"/>
          <w:sz w:val="24"/>
          <w:szCs w:val="24"/>
          <w:highlight w:val="none"/>
          <w:lang w:eastAsia="zh-CN"/>
        </w:rPr>
        <w:t>理</w:t>
      </w:r>
      <w:r>
        <w:rPr>
          <w:rFonts w:hint="eastAsia" w:ascii="宋体" w:hAnsi="宋体" w:eastAsia="宋体"/>
          <w:color w:val="auto"/>
          <w:position w:val="-2"/>
          <w:sz w:val="24"/>
          <w:szCs w:val="24"/>
          <w:highlight w:val="none"/>
          <w:lang w:eastAsia="zh-CN"/>
        </w:rPr>
        <w:t>人。代理</w:t>
      </w:r>
      <w:r>
        <w:rPr>
          <w:rFonts w:hint="eastAsia" w:ascii="宋体" w:hAnsi="宋体" w:eastAsia="宋体"/>
          <w:color w:val="auto"/>
          <w:spacing w:val="-2"/>
          <w:position w:val="-2"/>
          <w:sz w:val="24"/>
          <w:szCs w:val="24"/>
          <w:highlight w:val="none"/>
          <w:lang w:eastAsia="zh-CN"/>
        </w:rPr>
        <w:t>人</w:t>
      </w:r>
      <w:r>
        <w:rPr>
          <w:rFonts w:hint="eastAsia" w:ascii="宋体" w:hAnsi="宋体" w:eastAsia="宋体"/>
          <w:color w:val="auto"/>
          <w:position w:val="-2"/>
          <w:sz w:val="24"/>
          <w:szCs w:val="24"/>
          <w:highlight w:val="none"/>
          <w:lang w:eastAsia="zh-CN"/>
        </w:rPr>
        <w:t>根据授权，</w:t>
      </w:r>
      <w:r>
        <w:rPr>
          <w:rFonts w:hint="eastAsia" w:ascii="宋体" w:hAnsi="宋体" w:eastAsia="宋体"/>
          <w:color w:val="auto"/>
          <w:spacing w:val="-2"/>
          <w:position w:val="-2"/>
          <w:sz w:val="24"/>
          <w:szCs w:val="24"/>
          <w:highlight w:val="none"/>
          <w:lang w:eastAsia="zh-CN"/>
        </w:rPr>
        <w:t>以</w:t>
      </w:r>
      <w:r>
        <w:rPr>
          <w:rFonts w:hint="eastAsia" w:ascii="宋体" w:hAnsi="宋体" w:eastAsia="宋体"/>
          <w:color w:val="auto"/>
          <w:position w:val="-2"/>
          <w:sz w:val="24"/>
          <w:szCs w:val="24"/>
          <w:highlight w:val="none"/>
          <w:lang w:eastAsia="zh-CN"/>
        </w:rPr>
        <w:t>我方名义</w:t>
      </w:r>
      <w:r>
        <w:rPr>
          <w:rFonts w:hint="eastAsia" w:ascii="宋体" w:hAnsi="宋体" w:eastAsia="宋体"/>
          <w:color w:val="auto"/>
          <w:spacing w:val="-2"/>
          <w:position w:val="-2"/>
          <w:sz w:val="24"/>
          <w:szCs w:val="24"/>
          <w:highlight w:val="none"/>
          <w:lang w:eastAsia="zh-CN"/>
        </w:rPr>
        <w:t>签</w:t>
      </w:r>
      <w:r>
        <w:rPr>
          <w:rFonts w:hint="eastAsia" w:ascii="宋体" w:hAnsi="宋体" w:eastAsia="宋体"/>
          <w:color w:val="auto"/>
          <w:position w:val="-2"/>
          <w:sz w:val="24"/>
          <w:szCs w:val="24"/>
          <w:highlight w:val="none"/>
          <w:lang w:eastAsia="zh-CN"/>
        </w:rPr>
        <w:t>署、澄清确</w:t>
      </w:r>
      <w:r>
        <w:rPr>
          <w:rFonts w:hint="eastAsia" w:ascii="宋体" w:hAnsi="宋体" w:eastAsia="宋体"/>
          <w:color w:val="auto"/>
          <w:spacing w:val="-2"/>
          <w:position w:val="-2"/>
          <w:sz w:val="24"/>
          <w:szCs w:val="24"/>
          <w:highlight w:val="none"/>
          <w:lang w:eastAsia="zh-CN"/>
        </w:rPr>
        <w:t>认</w:t>
      </w:r>
      <w:r>
        <w:rPr>
          <w:rFonts w:hint="eastAsia" w:ascii="宋体" w:hAnsi="宋体" w:eastAsia="宋体"/>
          <w:color w:val="auto"/>
          <w:position w:val="-2"/>
          <w:sz w:val="24"/>
          <w:szCs w:val="24"/>
          <w:highlight w:val="none"/>
          <w:lang w:eastAsia="zh-CN"/>
        </w:rPr>
        <w:t>、递</w:t>
      </w:r>
      <w:r>
        <w:rPr>
          <w:rFonts w:hint="eastAsia" w:ascii="宋体" w:hAnsi="宋体" w:eastAsia="宋体"/>
          <w:color w:val="auto"/>
          <w:sz w:val="24"/>
          <w:szCs w:val="24"/>
          <w:highlight w:val="none"/>
          <w:lang w:eastAsia="zh-CN"/>
        </w:rPr>
        <w:t>交、</w:t>
      </w:r>
      <w:r>
        <w:rPr>
          <w:rFonts w:hint="eastAsia" w:ascii="宋体" w:hAnsi="宋体" w:eastAsia="宋体"/>
          <w:color w:val="auto"/>
          <w:spacing w:val="-2"/>
          <w:sz w:val="24"/>
          <w:szCs w:val="24"/>
          <w:highlight w:val="none"/>
          <w:lang w:eastAsia="zh-CN"/>
        </w:rPr>
        <w:t>撤</w:t>
      </w:r>
      <w:r>
        <w:rPr>
          <w:rFonts w:hint="eastAsia" w:ascii="宋体" w:hAnsi="宋体" w:eastAsia="宋体"/>
          <w:color w:val="auto"/>
          <w:sz w:val="24"/>
          <w:szCs w:val="24"/>
          <w:highlight w:val="none"/>
          <w:lang w:eastAsia="zh-CN"/>
        </w:rPr>
        <w:t>回</w:t>
      </w:r>
      <w:r>
        <w:rPr>
          <w:rFonts w:hint="eastAsia" w:ascii="宋体" w:hAnsi="宋体" w:eastAsia="宋体"/>
          <w:color w:val="auto"/>
          <w:spacing w:val="-2"/>
          <w:sz w:val="24"/>
          <w:szCs w:val="24"/>
          <w:highlight w:val="none"/>
          <w:lang w:eastAsia="zh-CN"/>
        </w:rPr>
        <w:t>、</w:t>
      </w:r>
      <w:r>
        <w:rPr>
          <w:rFonts w:hint="eastAsia" w:ascii="宋体" w:hAnsi="宋体" w:eastAsia="宋体"/>
          <w:color w:val="auto"/>
          <w:sz w:val="24"/>
          <w:szCs w:val="24"/>
          <w:highlight w:val="none"/>
          <w:lang w:eastAsia="zh-CN"/>
        </w:rPr>
        <w:t>修</w:t>
      </w:r>
      <w:r>
        <w:rPr>
          <w:rFonts w:hint="eastAsia" w:ascii="宋体" w:hAnsi="宋体" w:eastAsia="宋体"/>
          <w:color w:val="auto"/>
          <w:spacing w:val="-3"/>
          <w:sz w:val="24"/>
          <w:szCs w:val="24"/>
          <w:highlight w:val="none"/>
          <w:lang w:eastAsia="zh-CN"/>
        </w:rPr>
        <w:t>改</w:t>
      </w:r>
      <w:r>
        <w:rPr>
          <w:rFonts w:hint="eastAsia" w:ascii="宋体" w:hAnsi="宋体" w:eastAsia="宋体"/>
          <w:color w:val="auto"/>
          <w:spacing w:val="-2"/>
          <w:sz w:val="24"/>
          <w:szCs w:val="24"/>
          <w:highlight w:val="none"/>
          <w:lang w:eastAsia="zh-CN"/>
        </w:rPr>
        <w:t>投</w:t>
      </w:r>
      <w:r>
        <w:rPr>
          <w:rFonts w:hint="eastAsia" w:ascii="宋体" w:hAnsi="宋体" w:eastAsia="宋体"/>
          <w:color w:val="auto"/>
          <w:sz w:val="24"/>
          <w:szCs w:val="24"/>
          <w:highlight w:val="none"/>
          <w:lang w:eastAsia="zh-CN"/>
        </w:rPr>
        <w:t>标</w:t>
      </w:r>
      <w:r>
        <w:rPr>
          <w:rFonts w:hint="eastAsia" w:ascii="宋体" w:hAnsi="宋体" w:eastAsia="宋体"/>
          <w:color w:val="auto"/>
          <w:spacing w:val="-2"/>
          <w:sz w:val="24"/>
          <w:szCs w:val="24"/>
          <w:highlight w:val="none"/>
          <w:lang w:eastAsia="zh-CN"/>
        </w:rPr>
        <w:t>文</w:t>
      </w:r>
      <w:r>
        <w:rPr>
          <w:rFonts w:hint="eastAsia" w:ascii="宋体" w:hAnsi="宋体" w:eastAsia="宋体"/>
          <w:color w:val="auto"/>
          <w:sz w:val="24"/>
          <w:szCs w:val="24"/>
          <w:highlight w:val="none"/>
          <w:lang w:eastAsia="zh-CN"/>
        </w:rPr>
        <w:t>件</w:t>
      </w:r>
      <w:r>
        <w:rPr>
          <w:rFonts w:hint="eastAsia" w:ascii="宋体" w:hAnsi="宋体" w:eastAsia="宋体"/>
          <w:color w:val="auto"/>
          <w:spacing w:val="-2"/>
          <w:sz w:val="24"/>
          <w:szCs w:val="24"/>
          <w:highlight w:val="none"/>
          <w:lang w:eastAsia="zh-CN"/>
        </w:rPr>
        <w:t>、</w:t>
      </w:r>
      <w:r>
        <w:rPr>
          <w:rFonts w:hint="eastAsia" w:ascii="宋体" w:hAnsi="宋体" w:eastAsia="宋体"/>
          <w:color w:val="auto"/>
          <w:sz w:val="24"/>
          <w:szCs w:val="24"/>
          <w:highlight w:val="none"/>
          <w:lang w:eastAsia="zh-CN"/>
        </w:rPr>
        <w:t>签</w:t>
      </w:r>
      <w:r>
        <w:rPr>
          <w:rFonts w:hint="eastAsia" w:ascii="宋体" w:hAnsi="宋体" w:eastAsia="宋体"/>
          <w:color w:val="auto"/>
          <w:spacing w:val="-2"/>
          <w:sz w:val="24"/>
          <w:szCs w:val="24"/>
          <w:highlight w:val="none"/>
          <w:lang w:eastAsia="zh-CN"/>
        </w:rPr>
        <w:t>订</w:t>
      </w:r>
      <w:r>
        <w:rPr>
          <w:rFonts w:hint="eastAsia" w:ascii="宋体" w:hAnsi="宋体" w:eastAsia="宋体"/>
          <w:color w:val="auto"/>
          <w:sz w:val="24"/>
          <w:szCs w:val="24"/>
          <w:highlight w:val="none"/>
          <w:lang w:eastAsia="zh-CN"/>
        </w:rPr>
        <w:t>合</w:t>
      </w:r>
      <w:r>
        <w:rPr>
          <w:rFonts w:hint="eastAsia" w:ascii="宋体" w:hAnsi="宋体" w:eastAsia="宋体"/>
          <w:color w:val="auto"/>
          <w:spacing w:val="-2"/>
          <w:sz w:val="24"/>
          <w:szCs w:val="24"/>
          <w:highlight w:val="none"/>
          <w:lang w:eastAsia="zh-CN"/>
        </w:rPr>
        <w:t>同</w:t>
      </w:r>
      <w:r>
        <w:rPr>
          <w:rFonts w:hint="eastAsia" w:ascii="宋体" w:hAnsi="宋体" w:eastAsia="宋体"/>
          <w:color w:val="auto"/>
          <w:sz w:val="24"/>
          <w:szCs w:val="24"/>
          <w:highlight w:val="none"/>
          <w:lang w:eastAsia="zh-CN"/>
        </w:rPr>
        <w:t>和处</w:t>
      </w:r>
      <w:r>
        <w:rPr>
          <w:rFonts w:hint="eastAsia" w:ascii="宋体" w:hAnsi="宋体" w:eastAsia="宋体"/>
          <w:color w:val="auto"/>
          <w:spacing w:val="-2"/>
          <w:sz w:val="24"/>
          <w:szCs w:val="24"/>
          <w:highlight w:val="none"/>
          <w:lang w:eastAsia="zh-CN"/>
        </w:rPr>
        <w:t>理</w:t>
      </w:r>
      <w:r>
        <w:rPr>
          <w:rFonts w:hint="eastAsia" w:ascii="宋体" w:hAnsi="宋体" w:eastAsia="宋体"/>
          <w:color w:val="auto"/>
          <w:sz w:val="24"/>
          <w:szCs w:val="24"/>
          <w:highlight w:val="none"/>
          <w:lang w:eastAsia="zh-CN"/>
        </w:rPr>
        <w:t>有</w:t>
      </w:r>
      <w:r>
        <w:rPr>
          <w:rFonts w:hint="eastAsia" w:ascii="宋体" w:hAnsi="宋体" w:eastAsia="宋体"/>
          <w:color w:val="auto"/>
          <w:spacing w:val="-2"/>
          <w:sz w:val="24"/>
          <w:szCs w:val="24"/>
          <w:highlight w:val="none"/>
          <w:lang w:eastAsia="zh-CN"/>
        </w:rPr>
        <w:t>关</w:t>
      </w:r>
      <w:r>
        <w:rPr>
          <w:rFonts w:hint="eastAsia" w:ascii="宋体" w:hAnsi="宋体" w:eastAsia="宋体"/>
          <w:color w:val="auto"/>
          <w:sz w:val="24"/>
          <w:szCs w:val="24"/>
          <w:highlight w:val="none"/>
          <w:lang w:eastAsia="zh-CN"/>
        </w:rPr>
        <w:t>事</w:t>
      </w:r>
      <w:r>
        <w:rPr>
          <w:rFonts w:hint="eastAsia" w:ascii="宋体" w:hAnsi="宋体" w:eastAsia="宋体"/>
          <w:color w:val="auto"/>
          <w:spacing w:val="-2"/>
          <w:sz w:val="24"/>
          <w:szCs w:val="24"/>
          <w:highlight w:val="none"/>
          <w:lang w:eastAsia="zh-CN"/>
        </w:rPr>
        <w:t>宜</w:t>
      </w:r>
      <w:r>
        <w:rPr>
          <w:rFonts w:hint="eastAsia" w:ascii="宋体" w:hAnsi="宋体" w:eastAsia="宋体"/>
          <w:color w:val="auto"/>
          <w:sz w:val="24"/>
          <w:szCs w:val="24"/>
          <w:highlight w:val="none"/>
          <w:lang w:eastAsia="zh-CN"/>
        </w:rPr>
        <w:t>，</w:t>
      </w:r>
      <w:r>
        <w:rPr>
          <w:rFonts w:hint="eastAsia" w:ascii="宋体" w:hAnsi="宋体" w:eastAsia="宋体"/>
          <w:color w:val="auto"/>
          <w:spacing w:val="-2"/>
          <w:sz w:val="24"/>
          <w:szCs w:val="24"/>
          <w:highlight w:val="none"/>
          <w:lang w:eastAsia="zh-CN"/>
        </w:rPr>
        <w:t>其</w:t>
      </w:r>
      <w:r>
        <w:rPr>
          <w:rFonts w:hint="eastAsia" w:ascii="宋体" w:hAnsi="宋体" w:eastAsia="宋体"/>
          <w:color w:val="auto"/>
          <w:sz w:val="24"/>
          <w:szCs w:val="24"/>
          <w:highlight w:val="none"/>
          <w:lang w:eastAsia="zh-CN"/>
        </w:rPr>
        <w:t>法</w:t>
      </w:r>
      <w:r>
        <w:rPr>
          <w:rFonts w:hint="eastAsia" w:ascii="宋体" w:hAnsi="宋体" w:eastAsia="宋体"/>
          <w:color w:val="auto"/>
          <w:spacing w:val="-2"/>
          <w:sz w:val="24"/>
          <w:szCs w:val="24"/>
          <w:highlight w:val="none"/>
          <w:lang w:eastAsia="zh-CN"/>
        </w:rPr>
        <w:t>律</w:t>
      </w:r>
      <w:r>
        <w:rPr>
          <w:rFonts w:hint="eastAsia" w:ascii="宋体" w:hAnsi="宋体" w:eastAsia="宋体"/>
          <w:color w:val="auto"/>
          <w:sz w:val="24"/>
          <w:szCs w:val="24"/>
          <w:highlight w:val="none"/>
          <w:lang w:eastAsia="zh-CN"/>
        </w:rPr>
        <w:t>后果</w:t>
      </w:r>
      <w:r>
        <w:rPr>
          <w:rFonts w:hint="eastAsia" w:ascii="宋体" w:hAnsi="宋体" w:eastAsia="宋体"/>
          <w:color w:val="auto"/>
          <w:spacing w:val="-2"/>
          <w:sz w:val="24"/>
          <w:szCs w:val="24"/>
          <w:highlight w:val="none"/>
          <w:lang w:eastAsia="zh-CN"/>
        </w:rPr>
        <w:t>由</w:t>
      </w:r>
      <w:r>
        <w:rPr>
          <w:rFonts w:hint="eastAsia" w:ascii="宋体" w:hAnsi="宋体" w:eastAsia="宋体"/>
          <w:color w:val="auto"/>
          <w:sz w:val="24"/>
          <w:szCs w:val="24"/>
          <w:highlight w:val="none"/>
          <w:lang w:eastAsia="zh-CN"/>
        </w:rPr>
        <w:t>我</w:t>
      </w:r>
      <w:r>
        <w:rPr>
          <w:rFonts w:hint="eastAsia" w:ascii="宋体" w:hAnsi="宋体" w:eastAsia="宋体"/>
          <w:color w:val="auto"/>
          <w:spacing w:val="-2"/>
          <w:sz w:val="24"/>
          <w:szCs w:val="24"/>
          <w:highlight w:val="none"/>
          <w:lang w:eastAsia="zh-CN"/>
        </w:rPr>
        <w:t>方</w:t>
      </w:r>
      <w:r>
        <w:rPr>
          <w:rFonts w:hint="eastAsia" w:ascii="宋体" w:hAnsi="宋体" w:eastAsia="宋体"/>
          <w:color w:val="auto"/>
          <w:sz w:val="24"/>
          <w:szCs w:val="24"/>
          <w:highlight w:val="none"/>
          <w:lang w:eastAsia="zh-CN"/>
        </w:rPr>
        <w:t>承</w:t>
      </w:r>
      <w:r>
        <w:rPr>
          <w:rFonts w:hint="eastAsia" w:ascii="宋体" w:hAnsi="宋体" w:eastAsia="宋体"/>
          <w:color w:val="auto"/>
          <w:spacing w:val="-2"/>
          <w:sz w:val="24"/>
          <w:szCs w:val="24"/>
          <w:highlight w:val="none"/>
          <w:lang w:eastAsia="zh-CN"/>
        </w:rPr>
        <w:t>担</w:t>
      </w:r>
      <w:r>
        <w:rPr>
          <w:rFonts w:hint="eastAsia" w:ascii="宋体" w:hAnsi="宋体" w:eastAsia="宋体"/>
          <w:color w:val="auto"/>
          <w:sz w:val="24"/>
          <w:szCs w:val="24"/>
          <w:highlight w:val="none"/>
          <w:lang w:eastAsia="zh-CN"/>
        </w:rPr>
        <w:t>。</w:t>
      </w:r>
    </w:p>
    <w:p w14:paraId="4418CF61">
      <w:pPr>
        <w:autoSpaceDE w:val="0"/>
        <w:autoSpaceDN w:val="0"/>
        <w:adjustRightInd w:val="0"/>
        <w:spacing w:line="360" w:lineRule="auto"/>
        <w:rPr>
          <w:rFonts w:ascii="宋体" w:hAnsi="宋体" w:eastAsia="宋体"/>
          <w:color w:val="auto"/>
          <w:sz w:val="24"/>
          <w:szCs w:val="24"/>
          <w:highlight w:val="none"/>
          <w:lang w:eastAsia="zh-CN"/>
        </w:rPr>
      </w:pPr>
      <w:r>
        <w:rPr>
          <w:rFonts w:hint="eastAsia" w:ascii="宋体" w:hAnsi="宋体" w:eastAsia="宋体"/>
          <w:color w:val="auto"/>
          <w:position w:val="-4"/>
          <w:sz w:val="24"/>
          <w:szCs w:val="24"/>
          <w:highlight w:val="none"/>
          <w:lang w:eastAsia="zh-CN"/>
        </w:rPr>
        <w:t>委托</w:t>
      </w:r>
      <w:r>
        <w:rPr>
          <w:rFonts w:hint="eastAsia" w:ascii="宋体" w:hAnsi="宋体" w:eastAsia="宋体"/>
          <w:color w:val="auto"/>
          <w:spacing w:val="-2"/>
          <w:position w:val="-4"/>
          <w:sz w:val="24"/>
          <w:szCs w:val="24"/>
          <w:highlight w:val="none"/>
          <w:lang w:eastAsia="zh-CN"/>
        </w:rPr>
        <w:t>期</w:t>
      </w:r>
      <w:r>
        <w:rPr>
          <w:rFonts w:hint="eastAsia" w:ascii="宋体" w:hAnsi="宋体" w:eastAsia="宋体"/>
          <w:color w:val="auto"/>
          <w:position w:val="-4"/>
          <w:sz w:val="24"/>
          <w:szCs w:val="24"/>
          <w:highlight w:val="none"/>
          <w:lang w:eastAsia="zh-CN"/>
        </w:rPr>
        <w:t>限</w:t>
      </w:r>
      <w:r>
        <w:rPr>
          <w:rFonts w:hint="eastAsia" w:ascii="宋体" w:hAnsi="宋体" w:eastAsia="宋体"/>
          <w:color w:val="auto"/>
          <w:spacing w:val="-3"/>
          <w:position w:val="-4"/>
          <w:sz w:val="24"/>
          <w:szCs w:val="24"/>
          <w:highlight w:val="none"/>
          <w:lang w:eastAsia="zh-CN"/>
        </w:rPr>
        <w:t>：</w:t>
      </w:r>
      <w:r>
        <w:rPr>
          <w:rFonts w:hint="eastAsia" w:ascii="宋体" w:hAnsi="宋体" w:eastAsia="宋体"/>
          <w:color w:val="auto"/>
          <w:position w:val="-4"/>
          <w:sz w:val="24"/>
          <w:szCs w:val="24"/>
          <w:highlight w:val="none"/>
          <w:u w:val="single"/>
          <w:lang w:eastAsia="zh-CN"/>
        </w:rPr>
        <w:t xml:space="preserve">                      </w:t>
      </w:r>
      <w:r>
        <w:rPr>
          <w:rFonts w:hint="eastAsia" w:ascii="宋体" w:hAnsi="宋体" w:eastAsia="宋体"/>
          <w:color w:val="auto"/>
          <w:position w:val="-4"/>
          <w:sz w:val="24"/>
          <w:szCs w:val="24"/>
          <w:highlight w:val="none"/>
          <w:lang w:eastAsia="zh-CN"/>
        </w:rPr>
        <w:t>。</w:t>
      </w:r>
    </w:p>
    <w:p w14:paraId="2A0B87C9">
      <w:pPr>
        <w:autoSpaceDE w:val="0"/>
        <w:autoSpaceDN w:val="0"/>
        <w:adjustRightInd w:val="0"/>
        <w:spacing w:line="360" w:lineRule="auto"/>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代理</w:t>
      </w:r>
      <w:r>
        <w:rPr>
          <w:rFonts w:hint="eastAsia" w:ascii="宋体" w:hAnsi="宋体" w:eastAsia="宋体"/>
          <w:color w:val="auto"/>
          <w:spacing w:val="-2"/>
          <w:sz w:val="24"/>
          <w:szCs w:val="24"/>
          <w:highlight w:val="none"/>
          <w:lang w:eastAsia="zh-CN"/>
        </w:rPr>
        <w:t>人</w:t>
      </w:r>
      <w:r>
        <w:rPr>
          <w:rFonts w:hint="eastAsia" w:ascii="宋体" w:hAnsi="宋体" w:eastAsia="宋体"/>
          <w:color w:val="auto"/>
          <w:sz w:val="24"/>
          <w:szCs w:val="24"/>
          <w:highlight w:val="none"/>
          <w:lang w:eastAsia="zh-CN"/>
        </w:rPr>
        <w:t>无</w:t>
      </w:r>
      <w:r>
        <w:rPr>
          <w:rFonts w:hint="eastAsia" w:ascii="宋体" w:hAnsi="宋体" w:eastAsia="宋体"/>
          <w:color w:val="auto"/>
          <w:spacing w:val="-2"/>
          <w:sz w:val="24"/>
          <w:szCs w:val="24"/>
          <w:highlight w:val="none"/>
          <w:lang w:eastAsia="zh-CN"/>
        </w:rPr>
        <w:t>转</w:t>
      </w:r>
      <w:r>
        <w:rPr>
          <w:rFonts w:hint="eastAsia" w:ascii="宋体" w:hAnsi="宋体" w:eastAsia="宋体"/>
          <w:color w:val="auto"/>
          <w:sz w:val="24"/>
          <w:szCs w:val="24"/>
          <w:highlight w:val="none"/>
          <w:lang w:eastAsia="zh-CN"/>
        </w:rPr>
        <w:t>委</w:t>
      </w:r>
      <w:r>
        <w:rPr>
          <w:rFonts w:hint="eastAsia" w:ascii="宋体" w:hAnsi="宋体" w:eastAsia="宋体"/>
          <w:color w:val="auto"/>
          <w:spacing w:val="-2"/>
          <w:sz w:val="24"/>
          <w:szCs w:val="24"/>
          <w:highlight w:val="none"/>
          <w:lang w:eastAsia="zh-CN"/>
        </w:rPr>
        <w:t>托</w:t>
      </w:r>
      <w:r>
        <w:rPr>
          <w:rFonts w:hint="eastAsia" w:ascii="宋体" w:hAnsi="宋体" w:eastAsia="宋体"/>
          <w:color w:val="auto"/>
          <w:sz w:val="24"/>
          <w:szCs w:val="24"/>
          <w:highlight w:val="none"/>
          <w:lang w:eastAsia="zh-CN"/>
        </w:rPr>
        <w:t>权。</w:t>
      </w:r>
    </w:p>
    <w:p w14:paraId="16C2994E">
      <w:pPr>
        <w:autoSpaceDE w:val="0"/>
        <w:autoSpaceDN w:val="0"/>
        <w:adjustRightInd w:val="0"/>
        <w:spacing w:line="360" w:lineRule="auto"/>
        <w:rPr>
          <w:rFonts w:ascii="宋体" w:hAnsi="宋体" w:eastAsia="宋体"/>
          <w:color w:val="auto"/>
          <w:sz w:val="24"/>
          <w:szCs w:val="24"/>
          <w:highlight w:val="none"/>
          <w:lang w:eastAsia="zh-CN"/>
        </w:rPr>
      </w:pPr>
    </w:p>
    <w:p w14:paraId="699198C4">
      <w:pPr>
        <w:autoSpaceDE w:val="0"/>
        <w:autoSpaceDN w:val="0"/>
        <w:adjustRightInd w:val="0"/>
        <w:spacing w:line="360" w:lineRule="auto"/>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附：</w:t>
      </w:r>
      <w:r>
        <w:rPr>
          <w:rFonts w:hint="eastAsia" w:ascii="宋体" w:hAnsi="宋体" w:eastAsia="宋体"/>
          <w:color w:val="auto"/>
          <w:spacing w:val="-2"/>
          <w:sz w:val="24"/>
          <w:szCs w:val="24"/>
          <w:highlight w:val="none"/>
          <w:lang w:eastAsia="zh-CN"/>
        </w:rPr>
        <w:t>法</w:t>
      </w:r>
      <w:r>
        <w:rPr>
          <w:rFonts w:hint="eastAsia" w:ascii="宋体" w:hAnsi="宋体" w:eastAsia="宋体"/>
          <w:color w:val="auto"/>
          <w:sz w:val="24"/>
          <w:szCs w:val="24"/>
          <w:highlight w:val="none"/>
          <w:lang w:eastAsia="zh-CN"/>
        </w:rPr>
        <w:t>定</w:t>
      </w:r>
      <w:r>
        <w:rPr>
          <w:rFonts w:hint="eastAsia" w:ascii="宋体" w:hAnsi="宋体" w:eastAsia="宋体"/>
          <w:color w:val="auto"/>
          <w:spacing w:val="-2"/>
          <w:sz w:val="24"/>
          <w:szCs w:val="24"/>
          <w:highlight w:val="none"/>
          <w:lang w:eastAsia="zh-CN"/>
        </w:rPr>
        <w:t>代</w:t>
      </w:r>
      <w:r>
        <w:rPr>
          <w:rFonts w:hint="eastAsia" w:ascii="宋体" w:hAnsi="宋体" w:eastAsia="宋体"/>
          <w:color w:val="auto"/>
          <w:sz w:val="24"/>
          <w:szCs w:val="24"/>
          <w:highlight w:val="none"/>
          <w:lang w:eastAsia="zh-CN"/>
        </w:rPr>
        <w:t>表</w:t>
      </w:r>
      <w:r>
        <w:rPr>
          <w:rFonts w:hint="eastAsia" w:ascii="宋体" w:hAnsi="宋体" w:eastAsia="宋体"/>
          <w:color w:val="auto"/>
          <w:spacing w:val="-2"/>
          <w:sz w:val="24"/>
          <w:szCs w:val="24"/>
          <w:highlight w:val="none"/>
          <w:lang w:eastAsia="zh-CN"/>
        </w:rPr>
        <w:t>人</w:t>
      </w:r>
      <w:r>
        <w:rPr>
          <w:rFonts w:hint="eastAsia" w:ascii="宋体" w:hAnsi="宋体" w:eastAsia="宋体"/>
          <w:color w:val="auto"/>
          <w:sz w:val="24"/>
          <w:szCs w:val="24"/>
          <w:highlight w:val="none"/>
          <w:lang w:eastAsia="zh-CN"/>
        </w:rPr>
        <w:t>身</w:t>
      </w:r>
      <w:r>
        <w:rPr>
          <w:rFonts w:hint="eastAsia" w:ascii="宋体" w:hAnsi="宋体" w:eastAsia="宋体"/>
          <w:color w:val="auto"/>
          <w:spacing w:val="-2"/>
          <w:sz w:val="24"/>
          <w:szCs w:val="24"/>
          <w:highlight w:val="none"/>
          <w:lang w:eastAsia="zh-CN"/>
        </w:rPr>
        <w:t>份</w:t>
      </w:r>
      <w:r>
        <w:rPr>
          <w:rFonts w:hint="eastAsia" w:ascii="宋体" w:hAnsi="宋体" w:eastAsia="宋体"/>
          <w:color w:val="auto"/>
          <w:sz w:val="24"/>
          <w:szCs w:val="24"/>
          <w:highlight w:val="none"/>
          <w:lang w:eastAsia="zh-CN"/>
        </w:rPr>
        <w:t>证</w:t>
      </w:r>
      <w:r>
        <w:rPr>
          <w:rFonts w:hint="eastAsia" w:ascii="宋体" w:hAnsi="宋体" w:eastAsia="宋体" w:cs="宋体"/>
          <w:bCs/>
          <w:color w:val="auto"/>
          <w:sz w:val="24"/>
          <w:szCs w:val="24"/>
          <w:highlight w:val="none"/>
          <w:lang w:eastAsia="zh-CN"/>
        </w:rPr>
        <w:t>扫描</w:t>
      </w:r>
      <w:r>
        <w:rPr>
          <w:rFonts w:hint="eastAsia" w:ascii="宋体" w:hAnsi="宋体" w:eastAsia="宋体"/>
          <w:color w:val="auto"/>
          <w:sz w:val="24"/>
          <w:szCs w:val="24"/>
          <w:highlight w:val="none"/>
          <w:lang w:eastAsia="zh-CN"/>
        </w:rPr>
        <w:t>件</w:t>
      </w:r>
      <w:r>
        <w:rPr>
          <w:rFonts w:hint="eastAsia" w:ascii="宋体" w:hAnsi="宋体" w:eastAsia="宋体"/>
          <w:color w:val="auto"/>
          <w:spacing w:val="-2"/>
          <w:sz w:val="24"/>
          <w:szCs w:val="24"/>
          <w:highlight w:val="none"/>
          <w:lang w:eastAsia="zh-CN"/>
        </w:rPr>
        <w:t>及</w:t>
      </w:r>
      <w:r>
        <w:rPr>
          <w:rFonts w:hint="eastAsia" w:ascii="宋体" w:hAnsi="宋体" w:eastAsia="宋体"/>
          <w:color w:val="auto"/>
          <w:sz w:val="24"/>
          <w:szCs w:val="24"/>
          <w:highlight w:val="none"/>
          <w:lang w:eastAsia="zh-CN"/>
        </w:rPr>
        <w:t>委</w:t>
      </w:r>
      <w:r>
        <w:rPr>
          <w:rFonts w:hint="eastAsia" w:ascii="宋体" w:hAnsi="宋体" w:eastAsia="宋体"/>
          <w:color w:val="auto"/>
          <w:spacing w:val="-2"/>
          <w:sz w:val="24"/>
          <w:szCs w:val="24"/>
          <w:highlight w:val="none"/>
          <w:lang w:eastAsia="zh-CN"/>
        </w:rPr>
        <w:t>托</w:t>
      </w:r>
      <w:r>
        <w:rPr>
          <w:rFonts w:hint="eastAsia" w:ascii="宋体" w:hAnsi="宋体" w:eastAsia="宋体"/>
          <w:color w:val="auto"/>
          <w:sz w:val="24"/>
          <w:szCs w:val="24"/>
          <w:highlight w:val="none"/>
          <w:lang w:eastAsia="zh-CN"/>
        </w:rPr>
        <w:t>代</w:t>
      </w:r>
      <w:r>
        <w:rPr>
          <w:rFonts w:hint="eastAsia" w:ascii="宋体" w:hAnsi="宋体" w:eastAsia="宋体"/>
          <w:color w:val="auto"/>
          <w:spacing w:val="-2"/>
          <w:sz w:val="24"/>
          <w:szCs w:val="24"/>
          <w:highlight w:val="none"/>
          <w:lang w:eastAsia="zh-CN"/>
        </w:rPr>
        <w:t>理</w:t>
      </w:r>
      <w:r>
        <w:rPr>
          <w:rFonts w:hint="eastAsia" w:ascii="宋体" w:hAnsi="宋体" w:eastAsia="宋体"/>
          <w:color w:val="auto"/>
          <w:sz w:val="24"/>
          <w:szCs w:val="24"/>
          <w:highlight w:val="none"/>
          <w:lang w:eastAsia="zh-CN"/>
        </w:rPr>
        <w:t>人</w:t>
      </w:r>
      <w:r>
        <w:rPr>
          <w:rFonts w:hint="eastAsia" w:ascii="宋体" w:hAnsi="宋体" w:eastAsia="宋体"/>
          <w:color w:val="auto"/>
          <w:spacing w:val="-2"/>
          <w:sz w:val="24"/>
          <w:szCs w:val="24"/>
          <w:highlight w:val="none"/>
          <w:lang w:eastAsia="zh-CN"/>
        </w:rPr>
        <w:t>身</w:t>
      </w:r>
      <w:r>
        <w:rPr>
          <w:rFonts w:hint="eastAsia" w:ascii="宋体" w:hAnsi="宋体" w:eastAsia="宋体"/>
          <w:color w:val="auto"/>
          <w:sz w:val="24"/>
          <w:szCs w:val="24"/>
          <w:highlight w:val="none"/>
          <w:lang w:eastAsia="zh-CN"/>
        </w:rPr>
        <w:t>份</w:t>
      </w:r>
      <w:r>
        <w:rPr>
          <w:rFonts w:hint="eastAsia" w:ascii="宋体" w:hAnsi="宋体" w:eastAsia="宋体"/>
          <w:color w:val="auto"/>
          <w:spacing w:val="-2"/>
          <w:sz w:val="24"/>
          <w:szCs w:val="24"/>
          <w:highlight w:val="none"/>
          <w:lang w:eastAsia="zh-CN"/>
        </w:rPr>
        <w:t>证</w:t>
      </w:r>
      <w:r>
        <w:rPr>
          <w:rFonts w:hint="eastAsia" w:ascii="宋体" w:hAnsi="宋体" w:eastAsia="宋体" w:cs="宋体"/>
          <w:bCs/>
          <w:color w:val="auto"/>
          <w:sz w:val="24"/>
          <w:szCs w:val="24"/>
          <w:highlight w:val="none"/>
          <w:lang w:eastAsia="zh-CN"/>
        </w:rPr>
        <w:t>扫描</w:t>
      </w:r>
      <w:r>
        <w:rPr>
          <w:rFonts w:hint="eastAsia" w:ascii="宋体" w:hAnsi="宋体" w:eastAsia="宋体"/>
          <w:color w:val="auto"/>
          <w:sz w:val="24"/>
          <w:szCs w:val="24"/>
          <w:highlight w:val="none"/>
          <w:lang w:eastAsia="zh-CN"/>
        </w:rPr>
        <w:t>件 注：</w:t>
      </w:r>
      <w:r>
        <w:rPr>
          <w:rFonts w:hint="eastAsia" w:ascii="宋体" w:hAnsi="宋体" w:eastAsia="宋体"/>
          <w:color w:val="auto"/>
          <w:spacing w:val="-2"/>
          <w:sz w:val="24"/>
          <w:szCs w:val="24"/>
          <w:highlight w:val="none"/>
          <w:lang w:eastAsia="zh-CN"/>
        </w:rPr>
        <w:t>本</w:t>
      </w:r>
      <w:r>
        <w:rPr>
          <w:rFonts w:hint="eastAsia" w:ascii="宋体" w:hAnsi="宋体" w:eastAsia="宋体"/>
          <w:color w:val="auto"/>
          <w:sz w:val="24"/>
          <w:szCs w:val="24"/>
          <w:highlight w:val="none"/>
          <w:lang w:eastAsia="zh-CN"/>
        </w:rPr>
        <w:t>授</w:t>
      </w:r>
      <w:r>
        <w:rPr>
          <w:rFonts w:hint="eastAsia" w:ascii="宋体" w:hAnsi="宋体" w:eastAsia="宋体"/>
          <w:color w:val="auto"/>
          <w:spacing w:val="-2"/>
          <w:sz w:val="24"/>
          <w:szCs w:val="24"/>
          <w:highlight w:val="none"/>
          <w:lang w:eastAsia="zh-CN"/>
        </w:rPr>
        <w:t>权</w:t>
      </w:r>
      <w:r>
        <w:rPr>
          <w:rFonts w:hint="eastAsia" w:ascii="宋体" w:hAnsi="宋体" w:eastAsia="宋体"/>
          <w:color w:val="auto"/>
          <w:sz w:val="24"/>
          <w:szCs w:val="24"/>
          <w:highlight w:val="none"/>
          <w:lang w:eastAsia="zh-CN"/>
        </w:rPr>
        <w:t>委</w:t>
      </w:r>
      <w:r>
        <w:rPr>
          <w:rFonts w:hint="eastAsia" w:ascii="宋体" w:hAnsi="宋体" w:eastAsia="宋体"/>
          <w:color w:val="auto"/>
          <w:spacing w:val="-2"/>
          <w:sz w:val="24"/>
          <w:szCs w:val="24"/>
          <w:highlight w:val="none"/>
          <w:lang w:eastAsia="zh-CN"/>
        </w:rPr>
        <w:t>托</w:t>
      </w:r>
      <w:r>
        <w:rPr>
          <w:rFonts w:hint="eastAsia" w:ascii="宋体" w:hAnsi="宋体" w:eastAsia="宋体"/>
          <w:color w:val="auto"/>
          <w:sz w:val="24"/>
          <w:szCs w:val="24"/>
          <w:highlight w:val="none"/>
          <w:lang w:eastAsia="zh-CN"/>
        </w:rPr>
        <w:t>书</w:t>
      </w:r>
      <w:r>
        <w:rPr>
          <w:rFonts w:hint="eastAsia" w:ascii="宋体" w:hAnsi="宋体" w:eastAsia="宋体"/>
          <w:color w:val="auto"/>
          <w:spacing w:val="-2"/>
          <w:sz w:val="24"/>
          <w:szCs w:val="24"/>
          <w:highlight w:val="none"/>
          <w:lang w:eastAsia="zh-CN"/>
        </w:rPr>
        <w:t>需</w:t>
      </w:r>
      <w:r>
        <w:rPr>
          <w:rFonts w:hint="eastAsia" w:ascii="宋体" w:hAnsi="宋体" w:eastAsia="宋体"/>
          <w:color w:val="auto"/>
          <w:sz w:val="24"/>
          <w:szCs w:val="24"/>
          <w:highlight w:val="none"/>
          <w:lang w:eastAsia="zh-CN"/>
        </w:rPr>
        <w:t>由</w:t>
      </w:r>
      <w:r>
        <w:rPr>
          <w:rFonts w:hint="eastAsia" w:ascii="宋体" w:hAnsi="宋体" w:eastAsia="宋体"/>
          <w:color w:val="auto"/>
          <w:spacing w:val="-2"/>
          <w:sz w:val="24"/>
          <w:szCs w:val="24"/>
          <w:highlight w:val="none"/>
          <w:lang w:eastAsia="zh-CN"/>
        </w:rPr>
        <w:t>投</w:t>
      </w:r>
      <w:r>
        <w:rPr>
          <w:rFonts w:hint="eastAsia" w:ascii="宋体" w:hAnsi="宋体" w:eastAsia="宋体"/>
          <w:color w:val="auto"/>
          <w:sz w:val="24"/>
          <w:szCs w:val="24"/>
          <w:highlight w:val="none"/>
          <w:lang w:eastAsia="zh-CN"/>
        </w:rPr>
        <w:t>标人</w:t>
      </w:r>
      <w:r>
        <w:rPr>
          <w:rFonts w:hint="eastAsia" w:ascii="宋体" w:hAnsi="宋体" w:eastAsia="宋体"/>
          <w:color w:val="auto"/>
          <w:spacing w:val="-2"/>
          <w:sz w:val="24"/>
          <w:szCs w:val="24"/>
          <w:highlight w:val="none"/>
          <w:lang w:eastAsia="zh-CN"/>
        </w:rPr>
        <w:t>加</w:t>
      </w:r>
      <w:r>
        <w:rPr>
          <w:rFonts w:hint="eastAsia" w:ascii="宋体" w:hAnsi="宋体" w:eastAsia="宋体"/>
          <w:color w:val="auto"/>
          <w:sz w:val="24"/>
          <w:szCs w:val="24"/>
          <w:highlight w:val="none"/>
          <w:lang w:eastAsia="zh-CN"/>
        </w:rPr>
        <w:t>盖</w:t>
      </w:r>
      <w:r>
        <w:rPr>
          <w:rFonts w:hint="eastAsia" w:ascii="宋体" w:hAnsi="宋体" w:eastAsia="宋体"/>
          <w:color w:val="auto"/>
          <w:spacing w:val="-2"/>
          <w:sz w:val="24"/>
          <w:szCs w:val="24"/>
          <w:highlight w:val="none"/>
          <w:lang w:eastAsia="zh-CN"/>
        </w:rPr>
        <w:t>单</w:t>
      </w:r>
      <w:r>
        <w:rPr>
          <w:rFonts w:hint="eastAsia" w:ascii="宋体" w:hAnsi="宋体" w:eastAsia="宋体"/>
          <w:color w:val="auto"/>
          <w:sz w:val="24"/>
          <w:szCs w:val="24"/>
          <w:highlight w:val="none"/>
          <w:lang w:eastAsia="zh-CN"/>
        </w:rPr>
        <w:t>位</w:t>
      </w:r>
      <w:r>
        <w:rPr>
          <w:rFonts w:hint="eastAsia" w:ascii="宋体" w:hAnsi="宋体" w:eastAsia="宋体"/>
          <w:color w:val="auto"/>
          <w:spacing w:val="-2"/>
          <w:sz w:val="24"/>
          <w:szCs w:val="24"/>
          <w:highlight w:val="none"/>
          <w:lang w:eastAsia="zh-CN"/>
        </w:rPr>
        <w:t>公</w:t>
      </w:r>
      <w:r>
        <w:rPr>
          <w:rFonts w:hint="eastAsia" w:ascii="宋体" w:hAnsi="宋体" w:eastAsia="宋体"/>
          <w:color w:val="auto"/>
          <w:sz w:val="24"/>
          <w:szCs w:val="24"/>
          <w:highlight w:val="none"/>
          <w:lang w:eastAsia="zh-CN"/>
        </w:rPr>
        <w:t>章</w:t>
      </w:r>
      <w:r>
        <w:rPr>
          <w:rFonts w:hint="eastAsia" w:ascii="宋体" w:hAnsi="宋体" w:eastAsia="宋体"/>
          <w:color w:val="auto"/>
          <w:spacing w:val="-2"/>
          <w:sz w:val="24"/>
          <w:szCs w:val="24"/>
          <w:highlight w:val="none"/>
          <w:lang w:eastAsia="zh-CN"/>
        </w:rPr>
        <w:t>并</w:t>
      </w:r>
      <w:r>
        <w:rPr>
          <w:rFonts w:hint="eastAsia" w:ascii="宋体" w:hAnsi="宋体" w:eastAsia="宋体"/>
          <w:color w:val="auto"/>
          <w:sz w:val="24"/>
          <w:szCs w:val="24"/>
          <w:highlight w:val="none"/>
          <w:lang w:eastAsia="zh-CN"/>
        </w:rPr>
        <w:t>由</w:t>
      </w:r>
      <w:r>
        <w:rPr>
          <w:rFonts w:hint="eastAsia" w:ascii="宋体" w:hAnsi="宋体" w:eastAsia="宋体"/>
          <w:color w:val="auto"/>
          <w:spacing w:val="-2"/>
          <w:sz w:val="24"/>
          <w:szCs w:val="24"/>
          <w:highlight w:val="none"/>
          <w:lang w:eastAsia="zh-CN"/>
        </w:rPr>
        <w:t>其</w:t>
      </w:r>
      <w:r>
        <w:rPr>
          <w:rFonts w:hint="eastAsia" w:ascii="宋体" w:hAnsi="宋体" w:eastAsia="宋体"/>
          <w:color w:val="auto"/>
          <w:sz w:val="24"/>
          <w:szCs w:val="24"/>
          <w:highlight w:val="none"/>
          <w:lang w:eastAsia="zh-CN"/>
        </w:rPr>
        <w:t>法定</w:t>
      </w:r>
      <w:r>
        <w:rPr>
          <w:rFonts w:hint="eastAsia" w:ascii="宋体" w:hAnsi="宋体" w:eastAsia="宋体"/>
          <w:color w:val="auto"/>
          <w:spacing w:val="-2"/>
          <w:sz w:val="24"/>
          <w:szCs w:val="24"/>
          <w:highlight w:val="none"/>
          <w:lang w:eastAsia="zh-CN"/>
        </w:rPr>
        <w:t>代</w:t>
      </w:r>
      <w:r>
        <w:rPr>
          <w:rFonts w:hint="eastAsia" w:ascii="宋体" w:hAnsi="宋体" w:eastAsia="宋体"/>
          <w:color w:val="auto"/>
          <w:sz w:val="24"/>
          <w:szCs w:val="24"/>
          <w:highlight w:val="none"/>
          <w:lang w:eastAsia="zh-CN"/>
        </w:rPr>
        <w:t>表</w:t>
      </w:r>
      <w:r>
        <w:rPr>
          <w:rFonts w:hint="eastAsia" w:ascii="宋体" w:hAnsi="宋体" w:eastAsia="宋体"/>
          <w:color w:val="auto"/>
          <w:spacing w:val="-2"/>
          <w:sz w:val="24"/>
          <w:szCs w:val="24"/>
          <w:highlight w:val="none"/>
          <w:lang w:eastAsia="zh-CN"/>
        </w:rPr>
        <w:t>人</w:t>
      </w:r>
      <w:r>
        <w:rPr>
          <w:rFonts w:hint="eastAsia" w:ascii="宋体" w:hAnsi="宋体" w:eastAsia="宋体"/>
          <w:color w:val="auto"/>
          <w:sz w:val="24"/>
          <w:szCs w:val="24"/>
          <w:highlight w:val="none"/>
          <w:lang w:eastAsia="zh-CN"/>
        </w:rPr>
        <w:t>和</w:t>
      </w:r>
      <w:r>
        <w:rPr>
          <w:rFonts w:hint="eastAsia" w:ascii="宋体" w:hAnsi="宋体" w:eastAsia="宋体"/>
          <w:color w:val="auto"/>
          <w:spacing w:val="-2"/>
          <w:sz w:val="24"/>
          <w:szCs w:val="24"/>
          <w:highlight w:val="none"/>
          <w:lang w:eastAsia="zh-CN"/>
        </w:rPr>
        <w:t>委</w:t>
      </w:r>
      <w:r>
        <w:rPr>
          <w:rFonts w:hint="eastAsia" w:ascii="宋体" w:hAnsi="宋体" w:eastAsia="宋体"/>
          <w:color w:val="auto"/>
          <w:sz w:val="24"/>
          <w:szCs w:val="24"/>
          <w:highlight w:val="none"/>
          <w:lang w:eastAsia="zh-CN"/>
        </w:rPr>
        <w:t>托</w:t>
      </w:r>
      <w:r>
        <w:rPr>
          <w:rFonts w:hint="eastAsia" w:ascii="宋体" w:hAnsi="宋体" w:eastAsia="宋体"/>
          <w:color w:val="auto"/>
          <w:spacing w:val="-2"/>
          <w:sz w:val="24"/>
          <w:szCs w:val="24"/>
          <w:highlight w:val="none"/>
          <w:lang w:eastAsia="zh-CN"/>
        </w:rPr>
        <w:t>代</w:t>
      </w:r>
      <w:r>
        <w:rPr>
          <w:rFonts w:hint="eastAsia" w:ascii="宋体" w:hAnsi="宋体" w:eastAsia="宋体"/>
          <w:color w:val="auto"/>
          <w:sz w:val="24"/>
          <w:szCs w:val="24"/>
          <w:highlight w:val="none"/>
          <w:lang w:eastAsia="zh-CN"/>
        </w:rPr>
        <w:t>理</w:t>
      </w:r>
      <w:r>
        <w:rPr>
          <w:rFonts w:hint="eastAsia" w:ascii="宋体" w:hAnsi="宋体" w:eastAsia="宋体"/>
          <w:color w:val="auto"/>
          <w:spacing w:val="-2"/>
          <w:sz w:val="24"/>
          <w:szCs w:val="24"/>
          <w:highlight w:val="none"/>
          <w:lang w:eastAsia="zh-CN"/>
        </w:rPr>
        <w:t>人</w:t>
      </w:r>
      <w:r>
        <w:rPr>
          <w:rFonts w:hint="eastAsia" w:ascii="宋体" w:hAnsi="宋体" w:eastAsia="宋体"/>
          <w:color w:val="auto"/>
          <w:sz w:val="24"/>
          <w:szCs w:val="24"/>
          <w:highlight w:val="none"/>
          <w:lang w:eastAsia="zh-CN"/>
        </w:rPr>
        <w:t>签字</w:t>
      </w:r>
      <w:r>
        <w:rPr>
          <w:rFonts w:hint="eastAsia" w:ascii="宋体" w:hAnsi="宋体" w:eastAsia="宋体"/>
          <w:color w:val="auto"/>
          <w:spacing w:val="-2"/>
          <w:position w:val="-2"/>
          <w:sz w:val="24"/>
          <w:szCs w:val="24"/>
          <w:highlight w:val="none"/>
          <w:lang w:eastAsia="zh-CN"/>
        </w:rPr>
        <w:t>或盖章</w:t>
      </w:r>
      <w:r>
        <w:rPr>
          <w:rFonts w:hint="eastAsia" w:ascii="宋体" w:hAnsi="宋体" w:eastAsia="宋体"/>
          <w:color w:val="auto"/>
          <w:sz w:val="24"/>
          <w:szCs w:val="24"/>
          <w:highlight w:val="none"/>
          <w:lang w:eastAsia="zh-CN"/>
        </w:rPr>
        <w:t>。</w:t>
      </w:r>
    </w:p>
    <w:p w14:paraId="2DB94FB2">
      <w:pPr>
        <w:autoSpaceDE w:val="0"/>
        <w:autoSpaceDN w:val="0"/>
        <w:adjustRightInd w:val="0"/>
        <w:spacing w:line="360" w:lineRule="auto"/>
        <w:rPr>
          <w:rFonts w:ascii="宋体" w:hAnsi="宋体" w:eastAsia="宋体"/>
          <w:color w:val="auto"/>
          <w:sz w:val="24"/>
          <w:szCs w:val="24"/>
          <w:highlight w:val="none"/>
          <w:lang w:eastAsia="zh-CN"/>
        </w:rPr>
      </w:pPr>
    </w:p>
    <w:p w14:paraId="3DC97F1E">
      <w:pPr>
        <w:autoSpaceDE w:val="0"/>
        <w:autoSpaceDN w:val="0"/>
        <w:adjustRightInd w:val="0"/>
        <w:spacing w:line="360" w:lineRule="auto"/>
        <w:rPr>
          <w:rFonts w:ascii="宋体" w:hAnsi="宋体" w:eastAsia="宋体"/>
          <w:color w:val="auto"/>
          <w:sz w:val="24"/>
          <w:szCs w:val="24"/>
          <w:highlight w:val="none"/>
          <w:lang w:eastAsia="zh-CN"/>
        </w:rPr>
      </w:pPr>
      <w:r>
        <w:rPr>
          <w:rFonts w:hint="eastAsia" w:ascii="宋体" w:hAnsi="宋体" w:eastAsia="宋体"/>
          <w:color w:val="auto"/>
          <w:position w:val="-4"/>
          <w:sz w:val="24"/>
          <w:szCs w:val="24"/>
          <w:highlight w:val="none"/>
          <w:lang w:eastAsia="zh-CN"/>
        </w:rPr>
        <w:t>投标</w:t>
      </w:r>
      <w:r>
        <w:rPr>
          <w:rFonts w:hint="eastAsia" w:ascii="宋体" w:hAnsi="宋体" w:eastAsia="宋体"/>
          <w:color w:val="auto"/>
          <w:spacing w:val="-2"/>
          <w:position w:val="-4"/>
          <w:sz w:val="24"/>
          <w:szCs w:val="24"/>
          <w:highlight w:val="none"/>
          <w:lang w:eastAsia="zh-CN"/>
        </w:rPr>
        <w:t>人：</w:t>
      </w:r>
      <w:r>
        <w:rPr>
          <w:rFonts w:hint="eastAsia" w:ascii="宋体" w:hAnsi="宋体" w:eastAsia="宋体"/>
          <w:color w:val="auto"/>
          <w:position w:val="-4"/>
          <w:sz w:val="24"/>
          <w:szCs w:val="24"/>
          <w:highlight w:val="none"/>
          <w:u w:val="single"/>
          <w:lang w:eastAsia="zh-CN"/>
        </w:rPr>
        <w:t xml:space="preserve">           </w:t>
      </w:r>
      <w:r>
        <w:rPr>
          <w:rFonts w:hint="eastAsia" w:ascii="宋体" w:hAnsi="宋体" w:eastAsia="宋体"/>
          <w:color w:val="auto"/>
          <w:position w:val="-4"/>
          <w:sz w:val="24"/>
          <w:szCs w:val="24"/>
          <w:highlight w:val="none"/>
          <w:lang w:eastAsia="zh-CN"/>
        </w:rPr>
        <w:t>（盖</w:t>
      </w:r>
      <w:r>
        <w:rPr>
          <w:rFonts w:hint="eastAsia" w:ascii="宋体" w:hAnsi="宋体" w:eastAsia="宋体"/>
          <w:color w:val="auto"/>
          <w:spacing w:val="-2"/>
          <w:position w:val="-4"/>
          <w:sz w:val="24"/>
          <w:szCs w:val="24"/>
          <w:highlight w:val="none"/>
          <w:lang w:eastAsia="zh-CN"/>
        </w:rPr>
        <w:t>单</w:t>
      </w:r>
      <w:r>
        <w:rPr>
          <w:rFonts w:hint="eastAsia" w:ascii="宋体" w:hAnsi="宋体" w:eastAsia="宋体"/>
          <w:color w:val="auto"/>
          <w:spacing w:val="1"/>
          <w:position w:val="-4"/>
          <w:sz w:val="24"/>
          <w:szCs w:val="24"/>
          <w:highlight w:val="none"/>
          <w:lang w:eastAsia="zh-CN"/>
        </w:rPr>
        <w:t>位</w:t>
      </w:r>
      <w:r>
        <w:rPr>
          <w:rFonts w:hint="eastAsia" w:ascii="宋体" w:hAnsi="宋体" w:eastAsia="宋体"/>
          <w:color w:val="auto"/>
          <w:spacing w:val="-2"/>
          <w:position w:val="-4"/>
          <w:sz w:val="24"/>
          <w:szCs w:val="24"/>
          <w:highlight w:val="none"/>
          <w:lang w:eastAsia="zh-CN"/>
        </w:rPr>
        <w:t>章</w:t>
      </w:r>
      <w:r>
        <w:rPr>
          <w:rFonts w:hint="eastAsia" w:ascii="宋体" w:hAnsi="宋体" w:eastAsia="宋体"/>
          <w:color w:val="auto"/>
          <w:position w:val="-4"/>
          <w:sz w:val="24"/>
          <w:szCs w:val="24"/>
          <w:highlight w:val="none"/>
          <w:lang w:eastAsia="zh-CN"/>
        </w:rPr>
        <w:t>）</w:t>
      </w:r>
    </w:p>
    <w:p w14:paraId="7F92FD54">
      <w:pPr>
        <w:autoSpaceDE w:val="0"/>
        <w:autoSpaceDN w:val="0"/>
        <w:adjustRightInd w:val="0"/>
        <w:spacing w:line="360" w:lineRule="auto"/>
        <w:rPr>
          <w:rFonts w:ascii="宋体" w:hAnsi="宋体" w:eastAsia="宋体"/>
          <w:color w:val="auto"/>
          <w:sz w:val="24"/>
          <w:szCs w:val="24"/>
          <w:highlight w:val="none"/>
          <w:lang w:eastAsia="zh-CN"/>
        </w:rPr>
      </w:pPr>
      <w:r>
        <w:rPr>
          <w:rFonts w:hint="eastAsia" w:ascii="宋体" w:hAnsi="宋体" w:eastAsia="宋体"/>
          <w:color w:val="auto"/>
          <w:position w:val="-2"/>
          <w:sz w:val="24"/>
          <w:szCs w:val="24"/>
          <w:highlight w:val="none"/>
          <w:lang w:eastAsia="zh-CN"/>
        </w:rPr>
        <w:t>法定</w:t>
      </w:r>
      <w:r>
        <w:rPr>
          <w:rFonts w:hint="eastAsia" w:ascii="宋体" w:hAnsi="宋体" w:eastAsia="宋体"/>
          <w:color w:val="auto"/>
          <w:spacing w:val="-2"/>
          <w:position w:val="-2"/>
          <w:sz w:val="24"/>
          <w:szCs w:val="24"/>
          <w:highlight w:val="none"/>
          <w:lang w:eastAsia="zh-CN"/>
        </w:rPr>
        <w:t>代</w:t>
      </w:r>
      <w:r>
        <w:rPr>
          <w:rFonts w:hint="eastAsia" w:ascii="宋体" w:hAnsi="宋体" w:eastAsia="宋体"/>
          <w:color w:val="auto"/>
          <w:position w:val="-2"/>
          <w:sz w:val="24"/>
          <w:szCs w:val="24"/>
          <w:highlight w:val="none"/>
          <w:lang w:eastAsia="zh-CN"/>
        </w:rPr>
        <w:t>表</w:t>
      </w:r>
      <w:r>
        <w:rPr>
          <w:rFonts w:hint="eastAsia" w:ascii="宋体" w:hAnsi="宋体" w:eastAsia="宋体"/>
          <w:color w:val="auto"/>
          <w:spacing w:val="-2"/>
          <w:position w:val="-2"/>
          <w:sz w:val="24"/>
          <w:szCs w:val="24"/>
          <w:highlight w:val="none"/>
          <w:lang w:eastAsia="zh-CN"/>
        </w:rPr>
        <w:t>人</w:t>
      </w:r>
      <w:r>
        <w:rPr>
          <w:rFonts w:hint="eastAsia" w:ascii="宋体" w:hAnsi="宋体" w:eastAsia="宋体"/>
          <w:color w:val="auto"/>
          <w:spacing w:val="-3"/>
          <w:position w:val="-2"/>
          <w:sz w:val="24"/>
          <w:szCs w:val="24"/>
          <w:highlight w:val="none"/>
          <w:lang w:eastAsia="zh-CN"/>
        </w:rPr>
        <w:t>：</w:t>
      </w:r>
      <w:r>
        <w:rPr>
          <w:rFonts w:hint="eastAsia" w:ascii="宋体" w:hAnsi="宋体" w:eastAsia="宋体"/>
          <w:color w:val="auto"/>
          <w:position w:val="-4"/>
          <w:sz w:val="24"/>
          <w:szCs w:val="24"/>
          <w:highlight w:val="none"/>
          <w:u w:val="single"/>
          <w:lang w:eastAsia="zh-CN"/>
        </w:rPr>
        <w:t xml:space="preserve">           </w:t>
      </w:r>
      <w:r>
        <w:rPr>
          <w:rFonts w:hint="eastAsia" w:ascii="宋体" w:hAnsi="宋体" w:eastAsia="宋体"/>
          <w:color w:val="auto"/>
          <w:position w:val="-2"/>
          <w:sz w:val="24"/>
          <w:szCs w:val="24"/>
          <w:highlight w:val="none"/>
          <w:lang w:eastAsia="zh-CN"/>
        </w:rPr>
        <w:t>（签</w:t>
      </w:r>
      <w:r>
        <w:rPr>
          <w:rFonts w:hint="eastAsia" w:ascii="宋体" w:hAnsi="宋体" w:eastAsia="宋体"/>
          <w:color w:val="auto"/>
          <w:spacing w:val="-2"/>
          <w:position w:val="-2"/>
          <w:sz w:val="24"/>
          <w:szCs w:val="24"/>
          <w:highlight w:val="none"/>
          <w:lang w:eastAsia="zh-CN"/>
        </w:rPr>
        <w:t>字或盖章</w:t>
      </w:r>
      <w:r>
        <w:rPr>
          <w:rFonts w:hint="eastAsia" w:ascii="宋体" w:hAnsi="宋体" w:eastAsia="宋体"/>
          <w:color w:val="auto"/>
          <w:position w:val="-2"/>
          <w:sz w:val="24"/>
          <w:szCs w:val="24"/>
          <w:highlight w:val="none"/>
          <w:lang w:eastAsia="zh-CN"/>
        </w:rPr>
        <w:t>）</w:t>
      </w:r>
    </w:p>
    <w:p w14:paraId="6A12F9C5">
      <w:pPr>
        <w:autoSpaceDE w:val="0"/>
        <w:autoSpaceDN w:val="0"/>
        <w:adjustRightInd w:val="0"/>
        <w:spacing w:line="360" w:lineRule="auto"/>
        <w:rPr>
          <w:rFonts w:ascii="宋体" w:hAnsi="宋体" w:eastAsia="宋体"/>
          <w:color w:val="auto"/>
          <w:sz w:val="24"/>
          <w:szCs w:val="24"/>
          <w:highlight w:val="none"/>
          <w:lang w:eastAsia="zh-CN"/>
        </w:rPr>
      </w:pPr>
      <w:r>
        <w:rPr>
          <w:rFonts w:hint="eastAsia" w:ascii="宋体" w:hAnsi="宋体" w:eastAsia="宋体"/>
          <w:color w:val="auto"/>
          <w:position w:val="-2"/>
          <w:sz w:val="24"/>
          <w:szCs w:val="24"/>
          <w:highlight w:val="none"/>
          <w:lang w:eastAsia="zh-CN"/>
        </w:rPr>
        <w:t>身份</w:t>
      </w:r>
      <w:r>
        <w:rPr>
          <w:rFonts w:hint="eastAsia" w:ascii="宋体" w:hAnsi="宋体" w:eastAsia="宋体"/>
          <w:color w:val="auto"/>
          <w:spacing w:val="-2"/>
          <w:position w:val="-2"/>
          <w:sz w:val="24"/>
          <w:szCs w:val="24"/>
          <w:highlight w:val="none"/>
          <w:lang w:eastAsia="zh-CN"/>
        </w:rPr>
        <w:t>证</w:t>
      </w:r>
      <w:r>
        <w:rPr>
          <w:rFonts w:hint="eastAsia" w:ascii="宋体" w:hAnsi="宋体" w:eastAsia="宋体"/>
          <w:color w:val="auto"/>
          <w:position w:val="-2"/>
          <w:sz w:val="24"/>
          <w:szCs w:val="24"/>
          <w:highlight w:val="none"/>
          <w:lang w:eastAsia="zh-CN"/>
        </w:rPr>
        <w:t>号</w:t>
      </w:r>
      <w:r>
        <w:rPr>
          <w:rFonts w:hint="eastAsia" w:ascii="宋体" w:hAnsi="宋体" w:eastAsia="宋体"/>
          <w:color w:val="auto"/>
          <w:spacing w:val="-2"/>
          <w:position w:val="-2"/>
          <w:sz w:val="24"/>
          <w:szCs w:val="24"/>
          <w:highlight w:val="none"/>
          <w:lang w:eastAsia="zh-CN"/>
        </w:rPr>
        <w:t>码</w:t>
      </w:r>
      <w:r>
        <w:rPr>
          <w:rFonts w:hint="eastAsia" w:ascii="宋体" w:hAnsi="宋体" w:eastAsia="宋体"/>
          <w:color w:val="auto"/>
          <w:spacing w:val="-3"/>
          <w:position w:val="-2"/>
          <w:sz w:val="24"/>
          <w:szCs w:val="24"/>
          <w:highlight w:val="none"/>
          <w:lang w:eastAsia="zh-CN"/>
        </w:rPr>
        <w:t>：</w:t>
      </w:r>
      <w:r>
        <w:rPr>
          <w:rFonts w:hint="eastAsia" w:ascii="宋体" w:hAnsi="宋体" w:eastAsia="宋体"/>
          <w:color w:val="auto"/>
          <w:position w:val="-4"/>
          <w:sz w:val="24"/>
          <w:szCs w:val="24"/>
          <w:highlight w:val="none"/>
          <w:u w:val="single"/>
          <w:lang w:eastAsia="zh-CN"/>
        </w:rPr>
        <w:t xml:space="preserve">           </w:t>
      </w:r>
    </w:p>
    <w:p w14:paraId="3C3C0EA3">
      <w:pPr>
        <w:autoSpaceDE w:val="0"/>
        <w:autoSpaceDN w:val="0"/>
        <w:adjustRightInd w:val="0"/>
        <w:spacing w:line="360" w:lineRule="auto"/>
        <w:rPr>
          <w:rFonts w:ascii="宋体" w:hAnsi="宋体" w:eastAsia="宋体"/>
          <w:color w:val="auto"/>
          <w:sz w:val="24"/>
          <w:szCs w:val="24"/>
          <w:highlight w:val="none"/>
          <w:lang w:eastAsia="zh-CN"/>
        </w:rPr>
      </w:pPr>
      <w:r>
        <w:rPr>
          <w:rFonts w:hint="eastAsia" w:ascii="宋体" w:hAnsi="宋体" w:eastAsia="宋体"/>
          <w:color w:val="auto"/>
          <w:position w:val="-2"/>
          <w:sz w:val="24"/>
          <w:szCs w:val="24"/>
          <w:highlight w:val="none"/>
          <w:lang w:eastAsia="zh-CN"/>
        </w:rPr>
        <w:t>委托</w:t>
      </w:r>
      <w:r>
        <w:rPr>
          <w:rFonts w:hint="eastAsia" w:ascii="宋体" w:hAnsi="宋体" w:eastAsia="宋体"/>
          <w:color w:val="auto"/>
          <w:spacing w:val="-2"/>
          <w:position w:val="-2"/>
          <w:sz w:val="24"/>
          <w:szCs w:val="24"/>
          <w:highlight w:val="none"/>
          <w:lang w:eastAsia="zh-CN"/>
        </w:rPr>
        <w:t>代</w:t>
      </w:r>
      <w:r>
        <w:rPr>
          <w:rFonts w:hint="eastAsia" w:ascii="宋体" w:hAnsi="宋体" w:eastAsia="宋体"/>
          <w:color w:val="auto"/>
          <w:position w:val="-2"/>
          <w:sz w:val="24"/>
          <w:szCs w:val="24"/>
          <w:highlight w:val="none"/>
          <w:lang w:eastAsia="zh-CN"/>
        </w:rPr>
        <w:t>理</w:t>
      </w:r>
      <w:r>
        <w:rPr>
          <w:rFonts w:hint="eastAsia" w:ascii="宋体" w:hAnsi="宋体" w:eastAsia="宋体"/>
          <w:color w:val="auto"/>
          <w:spacing w:val="-2"/>
          <w:position w:val="-2"/>
          <w:sz w:val="24"/>
          <w:szCs w:val="24"/>
          <w:highlight w:val="none"/>
          <w:lang w:eastAsia="zh-CN"/>
        </w:rPr>
        <w:t>人</w:t>
      </w:r>
      <w:r>
        <w:rPr>
          <w:rFonts w:hint="eastAsia" w:ascii="宋体" w:hAnsi="宋体" w:eastAsia="宋体"/>
          <w:color w:val="auto"/>
          <w:spacing w:val="-3"/>
          <w:position w:val="-2"/>
          <w:sz w:val="24"/>
          <w:szCs w:val="24"/>
          <w:highlight w:val="none"/>
          <w:lang w:eastAsia="zh-CN"/>
        </w:rPr>
        <w:t>：</w:t>
      </w:r>
      <w:r>
        <w:rPr>
          <w:rFonts w:hint="eastAsia" w:ascii="宋体" w:hAnsi="宋体" w:eastAsia="宋体"/>
          <w:color w:val="auto"/>
          <w:position w:val="-4"/>
          <w:sz w:val="24"/>
          <w:szCs w:val="24"/>
          <w:highlight w:val="none"/>
          <w:u w:val="single"/>
          <w:lang w:eastAsia="zh-CN"/>
        </w:rPr>
        <w:t xml:space="preserve">           </w:t>
      </w:r>
      <w:r>
        <w:rPr>
          <w:rFonts w:hint="eastAsia" w:ascii="宋体" w:hAnsi="宋体" w:eastAsia="宋体"/>
          <w:color w:val="auto"/>
          <w:position w:val="-2"/>
          <w:sz w:val="24"/>
          <w:szCs w:val="24"/>
          <w:highlight w:val="none"/>
          <w:lang w:eastAsia="zh-CN"/>
        </w:rPr>
        <w:t>（签</w:t>
      </w:r>
      <w:r>
        <w:rPr>
          <w:rFonts w:hint="eastAsia" w:ascii="宋体" w:hAnsi="宋体" w:eastAsia="宋体"/>
          <w:color w:val="auto"/>
          <w:spacing w:val="-2"/>
          <w:position w:val="-2"/>
          <w:sz w:val="24"/>
          <w:szCs w:val="24"/>
          <w:highlight w:val="none"/>
          <w:lang w:eastAsia="zh-CN"/>
        </w:rPr>
        <w:t>字或盖章</w:t>
      </w:r>
      <w:r>
        <w:rPr>
          <w:rFonts w:hint="eastAsia" w:ascii="宋体" w:hAnsi="宋体" w:eastAsia="宋体"/>
          <w:color w:val="auto"/>
          <w:position w:val="-2"/>
          <w:sz w:val="24"/>
          <w:szCs w:val="24"/>
          <w:highlight w:val="none"/>
          <w:lang w:eastAsia="zh-CN"/>
        </w:rPr>
        <w:t>）</w:t>
      </w:r>
    </w:p>
    <w:p w14:paraId="54A6047B">
      <w:pPr>
        <w:autoSpaceDE w:val="0"/>
        <w:autoSpaceDN w:val="0"/>
        <w:adjustRightInd w:val="0"/>
        <w:spacing w:line="360" w:lineRule="auto"/>
        <w:rPr>
          <w:rFonts w:ascii="宋体" w:hAnsi="宋体" w:eastAsia="宋体"/>
          <w:color w:val="auto"/>
          <w:sz w:val="24"/>
          <w:szCs w:val="24"/>
          <w:highlight w:val="none"/>
          <w:lang w:eastAsia="zh-CN"/>
        </w:rPr>
      </w:pPr>
      <w:r>
        <w:rPr>
          <w:rFonts w:hint="eastAsia" w:ascii="宋体" w:hAnsi="宋体" w:eastAsia="宋体"/>
          <w:color w:val="auto"/>
          <w:position w:val="-2"/>
          <w:sz w:val="24"/>
          <w:szCs w:val="24"/>
          <w:highlight w:val="none"/>
          <w:lang w:eastAsia="zh-CN"/>
        </w:rPr>
        <w:t>身份</w:t>
      </w:r>
      <w:r>
        <w:rPr>
          <w:rFonts w:hint="eastAsia" w:ascii="宋体" w:hAnsi="宋体" w:eastAsia="宋体"/>
          <w:color w:val="auto"/>
          <w:spacing w:val="-2"/>
          <w:position w:val="-2"/>
          <w:sz w:val="24"/>
          <w:szCs w:val="24"/>
          <w:highlight w:val="none"/>
          <w:lang w:eastAsia="zh-CN"/>
        </w:rPr>
        <w:t>证</w:t>
      </w:r>
      <w:r>
        <w:rPr>
          <w:rFonts w:hint="eastAsia" w:ascii="宋体" w:hAnsi="宋体" w:eastAsia="宋体"/>
          <w:color w:val="auto"/>
          <w:position w:val="-2"/>
          <w:sz w:val="24"/>
          <w:szCs w:val="24"/>
          <w:highlight w:val="none"/>
          <w:lang w:eastAsia="zh-CN"/>
        </w:rPr>
        <w:t>号</w:t>
      </w:r>
      <w:r>
        <w:rPr>
          <w:rFonts w:hint="eastAsia" w:ascii="宋体" w:hAnsi="宋体" w:eastAsia="宋体"/>
          <w:color w:val="auto"/>
          <w:spacing w:val="-2"/>
          <w:position w:val="-2"/>
          <w:sz w:val="24"/>
          <w:szCs w:val="24"/>
          <w:highlight w:val="none"/>
          <w:lang w:eastAsia="zh-CN"/>
        </w:rPr>
        <w:t>码</w:t>
      </w:r>
      <w:r>
        <w:rPr>
          <w:rFonts w:hint="eastAsia" w:ascii="宋体" w:hAnsi="宋体" w:eastAsia="宋体"/>
          <w:color w:val="auto"/>
          <w:spacing w:val="-3"/>
          <w:position w:val="-2"/>
          <w:sz w:val="24"/>
          <w:szCs w:val="24"/>
          <w:highlight w:val="none"/>
          <w:lang w:eastAsia="zh-CN"/>
        </w:rPr>
        <w:t>：</w:t>
      </w:r>
      <w:r>
        <w:rPr>
          <w:rFonts w:hint="eastAsia" w:ascii="宋体" w:hAnsi="宋体" w:eastAsia="宋体"/>
          <w:color w:val="auto"/>
          <w:position w:val="-4"/>
          <w:sz w:val="24"/>
          <w:szCs w:val="24"/>
          <w:highlight w:val="none"/>
          <w:u w:val="single"/>
          <w:lang w:eastAsia="zh-CN"/>
        </w:rPr>
        <w:t xml:space="preserve">           </w:t>
      </w:r>
    </w:p>
    <w:p w14:paraId="5220A88F">
      <w:pPr>
        <w:wordWrap w:val="0"/>
        <w:autoSpaceDE w:val="0"/>
        <w:autoSpaceDN w:val="0"/>
        <w:adjustRightInd w:val="0"/>
        <w:spacing w:line="360" w:lineRule="auto"/>
        <w:jc w:val="right"/>
        <w:rPr>
          <w:rFonts w:ascii="宋体" w:hAnsi="宋体" w:eastAsia="宋体"/>
          <w:color w:val="auto"/>
          <w:sz w:val="24"/>
          <w:szCs w:val="24"/>
          <w:highlight w:val="none"/>
          <w:lang w:eastAsia="zh-CN"/>
        </w:rPr>
      </w:pPr>
      <w:r>
        <w:rPr>
          <w:rFonts w:hint="eastAsia" w:ascii="宋体" w:hAnsi="宋体" w:eastAsia="宋体"/>
          <w:color w:val="auto"/>
          <w:sz w:val="24"/>
          <w:szCs w:val="24"/>
          <w:highlight w:val="none"/>
          <w:u w:val="single"/>
          <w:lang w:eastAsia="zh-CN"/>
        </w:rPr>
        <w:t xml:space="preserve">      </w:t>
      </w:r>
      <w:r>
        <w:rPr>
          <w:rFonts w:hint="eastAsia" w:ascii="宋体" w:hAnsi="宋体" w:eastAsia="宋体"/>
          <w:color w:val="auto"/>
          <w:sz w:val="24"/>
          <w:szCs w:val="24"/>
          <w:highlight w:val="none"/>
          <w:lang w:eastAsia="zh-CN"/>
        </w:rPr>
        <w:t>年</w:t>
      </w:r>
      <w:r>
        <w:rPr>
          <w:rFonts w:hint="eastAsia" w:ascii="宋体" w:hAnsi="宋体" w:eastAsia="宋体"/>
          <w:color w:val="auto"/>
          <w:sz w:val="24"/>
          <w:szCs w:val="24"/>
          <w:highlight w:val="none"/>
          <w:u w:val="single"/>
          <w:lang w:eastAsia="zh-CN"/>
        </w:rPr>
        <w:t xml:space="preserve">      </w:t>
      </w:r>
      <w:r>
        <w:rPr>
          <w:rFonts w:hint="eastAsia" w:ascii="宋体" w:hAnsi="宋体" w:eastAsia="宋体"/>
          <w:color w:val="auto"/>
          <w:spacing w:val="-2"/>
          <w:sz w:val="24"/>
          <w:szCs w:val="24"/>
          <w:highlight w:val="none"/>
          <w:lang w:eastAsia="zh-CN"/>
        </w:rPr>
        <w:t>月</w:t>
      </w:r>
      <w:r>
        <w:rPr>
          <w:rFonts w:hint="eastAsia" w:ascii="宋体" w:hAnsi="宋体" w:eastAsia="宋体"/>
          <w:color w:val="auto"/>
          <w:sz w:val="24"/>
          <w:szCs w:val="24"/>
          <w:highlight w:val="none"/>
          <w:u w:val="single"/>
          <w:lang w:eastAsia="zh-CN"/>
        </w:rPr>
        <w:t xml:space="preserve">     </w:t>
      </w:r>
      <w:r>
        <w:rPr>
          <w:rFonts w:hint="eastAsia" w:ascii="宋体" w:hAnsi="宋体" w:eastAsia="宋体"/>
          <w:color w:val="auto"/>
          <w:sz w:val="24"/>
          <w:szCs w:val="24"/>
          <w:highlight w:val="none"/>
          <w:lang w:eastAsia="zh-CN"/>
        </w:rPr>
        <w:t>日</w:t>
      </w:r>
    </w:p>
    <w:p w14:paraId="2C5C627C">
      <w:pPr>
        <w:widowControl/>
        <w:spacing w:line="360" w:lineRule="auto"/>
        <w:rPr>
          <w:rFonts w:ascii="宋体" w:hAnsi="宋体" w:eastAsia="宋体" w:cs="宋体"/>
          <w:color w:val="auto"/>
          <w:spacing w:val="2"/>
          <w:position w:val="-1"/>
          <w:sz w:val="24"/>
          <w:szCs w:val="24"/>
          <w:highlight w:val="none"/>
          <w:lang w:eastAsia="zh-CN"/>
        </w:rPr>
        <w:sectPr>
          <w:pgSz w:w="11907" w:h="16839"/>
          <w:pgMar w:top="1134" w:right="1440" w:bottom="1134" w:left="1440" w:header="720" w:footer="720" w:gutter="0"/>
          <w:cols w:space="720" w:num="1"/>
        </w:sectPr>
      </w:pPr>
    </w:p>
    <w:p w14:paraId="1A3D50EE">
      <w:pPr>
        <w:pStyle w:val="3"/>
        <w:rPr>
          <w:rFonts w:ascii="宋体" w:hAnsi="宋体" w:eastAsia="宋体"/>
          <w:color w:val="auto"/>
          <w:spacing w:val="2"/>
          <w:position w:val="-1"/>
          <w:highlight w:val="none"/>
          <w:lang w:eastAsia="zh-CN"/>
        </w:rPr>
      </w:pPr>
      <w:bookmarkStart w:id="77" w:name="_Toc63065955"/>
      <w:bookmarkStart w:id="78" w:name="_Toc50480839"/>
      <w:bookmarkStart w:id="79" w:name="_Toc25072143"/>
      <w:r>
        <w:rPr>
          <w:rFonts w:hint="eastAsia" w:ascii="宋体" w:hAnsi="宋体" w:eastAsia="宋体"/>
          <w:color w:val="auto"/>
          <w:spacing w:val="2"/>
          <w:position w:val="-1"/>
          <w:highlight w:val="none"/>
          <w:lang w:eastAsia="zh-CN"/>
        </w:rPr>
        <w:t>格式三：合作设计协议书参考格式</w:t>
      </w:r>
      <w:r>
        <w:rPr>
          <w:rFonts w:hint="eastAsia" w:ascii="宋体" w:hAnsi="宋体" w:eastAsia="宋体"/>
          <w:color w:val="auto"/>
          <w:highlight w:val="none"/>
          <w:lang w:eastAsia="zh-CN"/>
        </w:rPr>
        <w:t>（如有）</w:t>
      </w:r>
      <w:r>
        <w:rPr>
          <w:rFonts w:hint="eastAsia" w:ascii="宋体" w:hAnsi="宋体" w:eastAsia="宋体"/>
          <w:color w:val="auto"/>
          <w:spacing w:val="2"/>
          <w:position w:val="-1"/>
          <w:highlight w:val="none"/>
          <w:lang w:eastAsia="zh-CN"/>
        </w:rPr>
        <w:t>（格式仅供参考，适用于合作设计，否则可不提供）</w:t>
      </w:r>
      <w:bookmarkEnd w:id="77"/>
      <w:bookmarkEnd w:id="78"/>
    </w:p>
    <w:p w14:paraId="3D465B63">
      <w:pPr>
        <w:jc w:val="center"/>
        <w:rPr>
          <w:rFonts w:ascii="宋体" w:hAnsi="宋体" w:eastAsia="宋体"/>
          <w:b/>
          <w:bCs/>
          <w:color w:val="auto"/>
          <w:sz w:val="32"/>
          <w:szCs w:val="32"/>
          <w:highlight w:val="none"/>
          <w:lang w:eastAsia="zh-CN"/>
        </w:rPr>
      </w:pPr>
    </w:p>
    <w:p w14:paraId="39B8E2A5">
      <w:pPr>
        <w:jc w:val="center"/>
        <w:rPr>
          <w:rFonts w:ascii="宋体" w:hAnsi="宋体" w:eastAsia="宋体"/>
          <w:b/>
          <w:bCs/>
          <w:color w:val="auto"/>
          <w:sz w:val="32"/>
          <w:szCs w:val="32"/>
          <w:highlight w:val="none"/>
          <w:lang w:eastAsia="zh-CN"/>
        </w:rPr>
      </w:pPr>
      <w:r>
        <w:rPr>
          <w:rFonts w:hint="eastAsia" w:ascii="宋体" w:hAnsi="宋体" w:eastAsia="宋体"/>
          <w:b/>
          <w:bCs/>
          <w:color w:val="auto"/>
          <w:sz w:val="32"/>
          <w:szCs w:val="32"/>
          <w:highlight w:val="none"/>
          <w:lang w:eastAsia="zh-CN"/>
        </w:rPr>
        <w:t>合作设计协议书</w:t>
      </w:r>
    </w:p>
    <w:p w14:paraId="4D93A691">
      <w:pPr>
        <w:rPr>
          <w:rFonts w:ascii="宋体" w:hAnsi="宋体" w:eastAsia="宋体"/>
          <w:color w:val="auto"/>
          <w:sz w:val="24"/>
          <w:highlight w:val="none"/>
          <w:lang w:eastAsia="zh-CN"/>
        </w:rPr>
      </w:pPr>
    </w:p>
    <w:p w14:paraId="6B44EE27">
      <w:pPr>
        <w:spacing w:line="360" w:lineRule="auto"/>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投标项目名称：</w:t>
      </w:r>
      <w:r>
        <w:rPr>
          <w:rFonts w:hint="eastAsia" w:ascii="宋体" w:hAnsi="宋体" w:eastAsia="宋体"/>
          <w:color w:val="auto"/>
          <w:sz w:val="24"/>
          <w:szCs w:val="24"/>
          <w:highlight w:val="none"/>
          <w:u w:val="single"/>
          <w:lang w:eastAsia="zh-CN"/>
        </w:rPr>
        <w:t xml:space="preserve">                                           </w:t>
      </w:r>
      <w:r>
        <w:rPr>
          <w:rFonts w:hint="eastAsia" w:ascii="宋体" w:hAnsi="宋体" w:eastAsia="宋体"/>
          <w:color w:val="auto"/>
          <w:sz w:val="24"/>
          <w:szCs w:val="24"/>
          <w:highlight w:val="none"/>
          <w:lang w:eastAsia="zh-CN"/>
        </w:rPr>
        <w:t>。</w:t>
      </w:r>
    </w:p>
    <w:p w14:paraId="7C5BB6C3">
      <w:pPr>
        <w:spacing w:line="360" w:lineRule="auto"/>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致：</w:t>
      </w:r>
      <w:r>
        <w:rPr>
          <w:rFonts w:hint="eastAsia" w:ascii="宋体" w:hAnsi="宋体" w:eastAsia="宋体"/>
          <w:color w:val="auto"/>
          <w:sz w:val="24"/>
          <w:szCs w:val="24"/>
          <w:highlight w:val="none"/>
          <w:u w:val="single"/>
          <w:lang w:eastAsia="zh-CN"/>
        </w:rPr>
        <w:t xml:space="preserve">                                    </w:t>
      </w:r>
      <w:r>
        <w:rPr>
          <w:rFonts w:hint="eastAsia" w:ascii="宋体" w:hAnsi="宋体" w:eastAsia="宋体"/>
          <w:color w:val="auto"/>
          <w:sz w:val="24"/>
          <w:szCs w:val="24"/>
          <w:highlight w:val="none"/>
          <w:lang w:eastAsia="zh-CN"/>
        </w:rPr>
        <w:t>（招标人）</w:t>
      </w:r>
    </w:p>
    <w:p w14:paraId="2A3709B6">
      <w:pPr>
        <w:spacing w:line="36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按照招标公告的规定，</w:t>
      </w:r>
      <w:r>
        <w:rPr>
          <w:rFonts w:hint="eastAsia" w:ascii="宋体" w:hAnsi="宋体" w:eastAsia="宋体"/>
          <w:color w:val="auto"/>
          <w:sz w:val="24"/>
          <w:szCs w:val="24"/>
          <w:highlight w:val="none"/>
          <w:u w:val="single"/>
          <w:lang w:eastAsia="zh-CN"/>
        </w:rPr>
        <w:t xml:space="preserve">                         </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shd w:val="clear" w:color="auto" w:fill="FFFFFF"/>
          <w:lang w:eastAsia="zh-CN"/>
        </w:rPr>
        <w:t>外国或澳门、台湾的设计企业</w:t>
      </w:r>
      <w:r>
        <w:rPr>
          <w:rFonts w:hint="eastAsia" w:ascii="宋体" w:hAnsi="宋体" w:eastAsia="宋体" w:cs="宋体"/>
          <w:b/>
          <w:color w:val="auto"/>
          <w:sz w:val="24"/>
          <w:szCs w:val="24"/>
          <w:highlight w:val="none"/>
          <w:u w:val="single"/>
          <w:shd w:val="clear" w:color="auto" w:fill="FFFFFF"/>
          <w:lang w:eastAsia="zh-CN"/>
        </w:rPr>
        <w:t>和香港不单独参加投标的设计企业</w:t>
      </w:r>
      <w:r>
        <w:rPr>
          <w:rFonts w:hint="eastAsia" w:ascii="宋体" w:hAnsi="宋体" w:eastAsia="宋体" w:cs="宋体"/>
          <w:color w:val="auto"/>
          <w:sz w:val="24"/>
          <w:szCs w:val="24"/>
          <w:highlight w:val="none"/>
          <w:lang w:eastAsia="zh-CN"/>
        </w:rPr>
        <w:t>）作为投标人（即“申请人”，下同）</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（符合招标公告第5.2条资质条件的企业）的合作设计方，参与本项目进行合作设计。若中标，各成员向招标人承担连带责任。合作设计方授权委托</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olor w:val="auto"/>
          <w:sz w:val="24"/>
          <w:szCs w:val="24"/>
          <w:highlight w:val="none"/>
          <w:u w:val="single"/>
          <w:lang w:eastAsia="zh-CN"/>
        </w:rPr>
        <w:t xml:space="preserve">             </w:t>
      </w:r>
      <w:r>
        <w:rPr>
          <w:rFonts w:hint="eastAsia" w:ascii="宋体" w:hAnsi="宋体" w:eastAsia="宋体"/>
          <w:color w:val="auto"/>
          <w:sz w:val="24"/>
          <w:szCs w:val="24"/>
          <w:highlight w:val="none"/>
          <w:lang w:eastAsia="zh-CN"/>
        </w:rPr>
        <w:t>（符合招标公告第5.2条资质条件的企业）代表所有合作成员参加投标、提交投标文件，以及与招标人签订合同，负责整个合同实施阶段的协调工作。</w:t>
      </w:r>
    </w:p>
    <w:p w14:paraId="07604AF6">
      <w:pPr>
        <w:rPr>
          <w:rFonts w:ascii="宋体" w:hAnsi="宋体" w:eastAsia="宋体"/>
          <w:color w:val="auto"/>
          <w:sz w:val="24"/>
          <w:szCs w:val="24"/>
          <w:highlight w:val="none"/>
          <w:lang w:eastAsia="zh-CN"/>
        </w:rPr>
      </w:pPr>
    </w:p>
    <w:p w14:paraId="4176AA3D">
      <w:pPr>
        <w:rPr>
          <w:rFonts w:ascii="宋体" w:hAnsi="宋体" w:eastAsia="宋体"/>
          <w:color w:val="auto"/>
          <w:sz w:val="24"/>
          <w:szCs w:val="24"/>
          <w:highlight w:val="none"/>
          <w:lang w:eastAsia="zh-CN"/>
        </w:rPr>
      </w:pPr>
    </w:p>
    <w:p w14:paraId="0E2A5ADD">
      <w:pPr>
        <w:spacing w:line="360" w:lineRule="auto"/>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合作设计方：（盖章）</w:t>
      </w:r>
      <w:r>
        <w:rPr>
          <w:rFonts w:hint="eastAsia" w:ascii="宋体" w:hAnsi="宋体" w:eastAsia="宋体"/>
          <w:color w:val="auto"/>
          <w:sz w:val="24"/>
          <w:szCs w:val="24"/>
          <w:highlight w:val="none"/>
          <w:u w:val="single"/>
          <w:lang w:eastAsia="zh-CN"/>
        </w:rPr>
        <w:t xml:space="preserve">                                         </w:t>
      </w:r>
    </w:p>
    <w:p w14:paraId="18A2E274">
      <w:pPr>
        <w:spacing w:line="360" w:lineRule="auto"/>
        <w:rPr>
          <w:rFonts w:ascii="宋体" w:hAnsi="宋体" w:eastAsia="宋体"/>
          <w:color w:val="auto"/>
          <w:sz w:val="24"/>
          <w:szCs w:val="24"/>
          <w:highlight w:val="none"/>
          <w:u w:val="single"/>
          <w:lang w:eastAsia="zh-CN"/>
        </w:rPr>
      </w:pPr>
      <w:r>
        <w:rPr>
          <w:rFonts w:hint="eastAsia" w:ascii="宋体" w:hAnsi="宋体" w:eastAsia="宋体"/>
          <w:color w:val="auto"/>
          <w:sz w:val="24"/>
          <w:szCs w:val="24"/>
          <w:highlight w:val="none"/>
          <w:lang w:eastAsia="zh-CN"/>
        </w:rPr>
        <w:t>代表人：（签字或盖章）</w:t>
      </w:r>
      <w:r>
        <w:rPr>
          <w:rFonts w:hint="eastAsia" w:ascii="宋体" w:hAnsi="宋体" w:eastAsia="宋体"/>
          <w:color w:val="auto"/>
          <w:sz w:val="24"/>
          <w:szCs w:val="24"/>
          <w:highlight w:val="none"/>
          <w:u w:val="single"/>
          <w:lang w:eastAsia="zh-CN"/>
        </w:rPr>
        <w:t xml:space="preserve">                                       </w:t>
      </w:r>
    </w:p>
    <w:p w14:paraId="22C9D356">
      <w:pPr>
        <w:spacing w:line="360" w:lineRule="auto"/>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分工内容：</w:t>
      </w:r>
      <w:r>
        <w:rPr>
          <w:rFonts w:hint="eastAsia" w:ascii="宋体" w:hAnsi="宋体" w:eastAsia="宋体"/>
          <w:color w:val="auto"/>
          <w:sz w:val="24"/>
          <w:szCs w:val="24"/>
          <w:highlight w:val="none"/>
          <w:u w:val="single"/>
          <w:lang w:eastAsia="zh-CN"/>
        </w:rPr>
        <w:t xml:space="preserve">                                                  </w:t>
      </w:r>
    </w:p>
    <w:p w14:paraId="051751B1">
      <w:pPr>
        <w:spacing w:line="360" w:lineRule="auto"/>
        <w:rPr>
          <w:rFonts w:ascii="宋体" w:hAnsi="宋体" w:eastAsia="宋体"/>
          <w:color w:val="auto"/>
          <w:sz w:val="24"/>
          <w:szCs w:val="24"/>
          <w:highlight w:val="none"/>
          <w:lang w:eastAsia="zh-CN"/>
        </w:rPr>
      </w:pPr>
    </w:p>
    <w:p w14:paraId="74826551">
      <w:pPr>
        <w:spacing w:line="360" w:lineRule="auto"/>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投标人：（盖章）</w:t>
      </w:r>
      <w:r>
        <w:rPr>
          <w:rFonts w:hint="eastAsia" w:ascii="宋体" w:hAnsi="宋体" w:eastAsia="宋体"/>
          <w:color w:val="auto"/>
          <w:sz w:val="24"/>
          <w:szCs w:val="24"/>
          <w:highlight w:val="none"/>
          <w:u w:val="single"/>
          <w:lang w:eastAsia="zh-CN"/>
        </w:rPr>
        <w:t xml:space="preserve">                                             </w:t>
      </w:r>
    </w:p>
    <w:p w14:paraId="22F36AE4">
      <w:pPr>
        <w:spacing w:line="360" w:lineRule="auto"/>
        <w:rPr>
          <w:rFonts w:ascii="宋体" w:hAnsi="宋体" w:eastAsia="宋体"/>
          <w:color w:val="auto"/>
          <w:sz w:val="24"/>
          <w:szCs w:val="24"/>
          <w:highlight w:val="none"/>
          <w:u w:val="single"/>
          <w:lang w:eastAsia="zh-CN"/>
        </w:rPr>
      </w:pPr>
      <w:r>
        <w:rPr>
          <w:rFonts w:hint="eastAsia" w:ascii="宋体" w:hAnsi="宋体" w:eastAsia="宋体"/>
          <w:color w:val="auto"/>
          <w:sz w:val="24"/>
          <w:szCs w:val="24"/>
          <w:highlight w:val="none"/>
          <w:lang w:eastAsia="zh-CN"/>
        </w:rPr>
        <w:t>法定代表人：（签字或盖章）</w:t>
      </w:r>
      <w:r>
        <w:rPr>
          <w:rFonts w:hint="eastAsia" w:ascii="宋体" w:hAnsi="宋体" w:eastAsia="宋体"/>
          <w:color w:val="auto"/>
          <w:sz w:val="24"/>
          <w:szCs w:val="24"/>
          <w:highlight w:val="none"/>
          <w:u w:val="single"/>
          <w:lang w:eastAsia="zh-CN"/>
        </w:rPr>
        <w:t xml:space="preserve">                                   </w:t>
      </w:r>
    </w:p>
    <w:p w14:paraId="11630EF6">
      <w:pPr>
        <w:spacing w:line="360" w:lineRule="auto"/>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分工内容：</w:t>
      </w:r>
      <w:r>
        <w:rPr>
          <w:rFonts w:hint="eastAsia" w:ascii="宋体" w:hAnsi="宋体" w:eastAsia="宋体"/>
          <w:color w:val="auto"/>
          <w:sz w:val="24"/>
          <w:szCs w:val="24"/>
          <w:highlight w:val="none"/>
          <w:u w:val="single"/>
          <w:lang w:eastAsia="zh-CN"/>
        </w:rPr>
        <w:t xml:space="preserve">                                                  </w:t>
      </w:r>
    </w:p>
    <w:p w14:paraId="19875195">
      <w:pPr>
        <w:rPr>
          <w:rFonts w:ascii="宋体" w:hAnsi="宋体" w:eastAsia="宋体"/>
          <w:b/>
          <w:bCs/>
          <w:color w:val="auto"/>
          <w:sz w:val="32"/>
          <w:szCs w:val="32"/>
          <w:highlight w:val="none"/>
          <w:lang w:eastAsia="zh-CN"/>
        </w:rPr>
      </w:pPr>
      <w:r>
        <w:rPr>
          <w:rFonts w:ascii="宋体" w:hAnsi="宋体" w:eastAsia="宋体"/>
          <w:color w:val="auto"/>
          <w:spacing w:val="2"/>
          <w:position w:val="-1"/>
          <w:highlight w:val="none"/>
          <w:lang w:eastAsia="zh-CN"/>
        </w:rPr>
        <w:br w:type="page"/>
      </w:r>
      <w:bookmarkEnd w:id="79"/>
      <w:r>
        <w:rPr>
          <w:rFonts w:hint="eastAsia" w:ascii="宋体" w:hAnsi="宋体" w:eastAsia="宋体"/>
          <w:b/>
          <w:color w:val="auto"/>
          <w:sz w:val="28"/>
          <w:szCs w:val="28"/>
          <w:highlight w:val="none"/>
          <w:lang w:eastAsia="zh-CN"/>
        </w:rPr>
        <w:t xml:space="preserve">格式四：                    </w:t>
      </w:r>
      <w:r>
        <w:rPr>
          <w:rFonts w:hint="eastAsia" w:ascii="宋体" w:hAnsi="宋体" w:eastAsia="宋体"/>
          <w:b/>
          <w:bCs/>
          <w:color w:val="auto"/>
          <w:sz w:val="32"/>
          <w:szCs w:val="32"/>
          <w:highlight w:val="none"/>
          <w:lang w:eastAsia="zh-CN"/>
        </w:rPr>
        <w:t>投标人声明</w:t>
      </w:r>
    </w:p>
    <w:p w14:paraId="5783DFCC">
      <w:pPr>
        <w:pStyle w:val="3"/>
        <w:ind w:firstLine="160" w:firstLineChars="50"/>
        <w:rPr>
          <w:rFonts w:ascii="宋体" w:hAnsi="宋体" w:eastAsia="宋体"/>
          <w:b w:val="0"/>
          <w:color w:val="auto"/>
          <w:highlight w:val="none"/>
          <w:u w:val="single"/>
          <w:lang w:eastAsia="zh-CN"/>
        </w:rPr>
      </w:pPr>
      <w:r>
        <w:rPr>
          <w:rFonts w:hint="eastAsia" w:ascii="宋体" w:hAnsi="宋体" w:eastAsia="宋体"/>
          <w:b w:val="0"/>
          <w:color w:val="auto"/>
          <w:highlight w:val="none"/>
          <w:u w:val="single"/>
          <w:lang w:eastAsia="zh-CN"/>
        </w:rPr>
        <w:t>格式见招标公告。</w:t>
      </w:r>
    </w:p>
    <w:p w14:paraId="6C1E1371">
      <w:pPr>
        <w:rPr>
          <w:rFonts w:ascii="宋体" w:hAnsi="宋体" w:eastAsia="宋体"/>
          <w:b/>
          <w:color w:val="auto"/>
          <w:sz w:val="28"/>
          <w:szCs w:val="28"/>
          <w:highlight w:val="none"/>
          <w:lang w:eastAsia="zh-CN"/>
        </w:rPr>
      </w:pPr>
      <w:bookmarkStart w:id="80" w:name="_Toc25072144"/>
    </w:p>
    <w:p w14:paraId="54667F52">
      <w:pPr>
        <w:rPr>
          <w:rFonts w:ascii="宋体" w:hAnsi="宋体" w:eastAsia="宋体"/>
          <w:b/>
          <w:color w:val="auto"/>
          <w:sz w:val="28"/>
          <w:szCs w:val="28"/>
          <w:highlight w:val="none"/>
          <w:lang w:eastAsia="zh-CN"/>
        </w:rPr>
      </w:pPr>
    </w:p>
    <w:p w14:paraId="6F4774D1">
      <w:pPr>
        <w:rPr>
          <w:rFonts w:ascii="宋体" w:hAnsi="宋体" w:eastAsia="宋体"/>
          <w:b/>
          <w:color w:val="auto"/>
          <w:sz w:val="28"/>
          <w:szCs w:val="28"/>
          <w:highlight w:val="none"/>
          <w:lang w:eastAsia="zh-CN"/>
        </w:rPr>
      </w:pPr>
    </w:p>
    <w:p w14:paraId="17FBE342">
      <w:pPr>
        <w:rPr>
          <w:rFonts w:ascii="宋体" w:hAnsi="宋体" w:eastAsia="宋体"/>
          <w:b/>
          <w:color w:val="auto"/>
          <w:sz w:val="28"/>
          <w:szCs w:val="28"/>
          <w:highlight w:val="none"/>
          <w:lang w:eastAsia="zh-CN"/>
        </w:rPr>
      </w:pPr>
    </w:p>
    <w:p w14:paraId="0D64A047">
      <w:pPr>
        <w:rPr>
          <w:rFonts w:ascii="宋体" w:hAnsi="宋体" w:eastAsia="宋体"/>
          <w:b/>
          <w:color w:val="auto"/>
          <w:sz w:val="28"/>
          <w:szCs w:val="28"/>
          <w:highlight w:val="none"/>
          <w:lang w:eastAsia="zh-CN"/>
        </w:rPr>
      </w:pPr>
    </w:p>
    <w:p w14:paraId="778B0FA6">
      <w:pPr>
        <w:rPr>
          <w:rFonts w:ascii="宋体" w:hAnsi="宋体" w:eastAsia="宋体"/>
          <w:b/>
          <w:color w:val="auto"/>
          <w:sz w:val="28"/>
          <w:szCs w:val="28"/>
          <w:highlight w:val="none"/>
          <w:lang w:eastAsia="zh-CN"/>
        </w:rPr>
      </w:pPr>
    </w:p>
    <w:p w14:paraId="78736E99">
      <w:pPr>
        <w:rPr>
          <w:rFonts w:ascii="宋体" w:hAnsi="宋体" w:eastAsia="宋体"/>
          <w:b/>
          <w:color w:val="auto"/>
          <w:sz w:val="28"/>
          <w:szCs w:val="28"/>
          <w:highlight w:val="none"/>
          <w:lang w:eastAsia="zh-CN"/>
        </w:rPr>
      </w:pPr>
    </w:p>
    <w:p w14:paraId="750600BA">
      <w:pPr>
        <w:rPr>
          <w:rFonts w:ascii="宋体" w:hAnsi="宋体" w:eastAsia="宋体"/>
          <w:b/>
          <w:color w:val="auto"/>
          <w:sz w:val="28"/>
          <w:szCs w:val="28"/>
          <w:highlight w:val="none"/>
          <w:lang w:eastAsia="zh-CN"/>
        </w:rPr>
      </w:pPr>
    </w:p>
    <w:p w14:paraId="37C66673">
      <w:pPr>
        <w:rPr>
          <w:rFonts w:ascii="宋体" w:hAnsi="宋体" w:eastAsia="宋体"/>
          <w:b/>
          <w:color w:val="auto"/>
          <w:sz w:val="28"/>
          <w:szCs w:val="28"/>
          <w:highlight w:val="none"/>
          <w:lang w:eastAsia="zh-CN"/>
        </w:rPr>
      </w:pPr>
    </w:p>
    <w:p w14:paraId="68E4BD25">
      <w:pPr>
        <w:rPr>
          <w:rFonts w:ascii="宋体" w:hAnsi="宋体" w:eastAsia="宋体"/>
          <w:b/>
          <w:color w:val="auto"/>
          <w:sz w:val="28"/>
          <w:szCs w:val="28"/>
          <w:highlight w:val="none"/>
          <w:lang w:eastAsia="zh-CN"/>
        </w:rPr>
      </w:pPr>
    </w:p>
    <w:p w14:paraId="7B5A3568">
      <w:pPr>
        <w:rPr>
          <w:rFonts w:ascii="宋体" w:hAnsi="宋体" w:eastAsia="宋体"/>
          <w:b/>
          <w:color w:val="auto"/>
          <w:sz w:val="28"/>
          <w:szCs w:val="28"/>
          <w:highlight w:val="none"/>
          <w:lang w:eastAsia="zh-CN"/>
        </w:rPr>
      </w:pPr>
    </w:p>
    <w:p w14:paraId="70038CF7">
      <w:pPr>
        <w:rPr>
          <w:rFonts w:ascii="宋体" w:hAnsi="宋体" w:eastAsia="宋体"/>
          <w:b/>
          <w:color w:val="auto"/>
          <w:sz w:val="28"/>
          <w:szCs w:val="28"/>
          <w:highlight w:val="none"/>
          <w:lang w:eastAsia="zh-CN"/>
        </w:rPr>
      </w:pPr>
    </w:p>
    <w:p w14:paraId="7192F1F5">
      <w:pPr>
        <w:rPr>
          <w:rFonts w:ascii="宋体" w:hAnsi="宋体" w:eastAsia="宋体"/>
          <w:b/>
          <w:color w:val="auto"/>
          <w:sz w:val="28"/>
          <w:szCs w:val="28"/>
          <w:highlight w:val="none"/>
          <w:lang w:eastAsia="zh-CN"/>
        </w:rPr>
      </w:pPr>
    </w:p>
    <w:p w14:paraId="29D95DDD">
      <w:pPr>
        <w:rPr>
          <w:rFonts w:ascii="宋体" w:hAnsi="宋体" w:eastAsia="宋体"/>
          <w:b/>
          <w:color w:val="auto"/>
          <w:sz w:val="28"/>
          <w:szCs w:val="28"/>
          <w:highlight w:val="none"/>
          <w:lang w:eastAsia="zh-CN"/>
        </w:rPr>
      </w:pPr>
    </w:p>
    <w:p w14:paraId="29EF9824">
      <w:pPr>
        <w:rPr>
          <w:rFonts w:ascii="宋体" w:hAnsi="宋体" w:eastAsia="宋体"/>
          <w:b/>
          <w:color w:val="auto"/>
          <w:sz w:val="28"/>
          <w:szCs w:val="28"/>
          <w:highlight w:val="none"/>
          <w:lang w:eastAsia="zh-CN"/>
        </w:rPr>
      </w:pPr>
    </w:p>
    <w:p w14:paraId="63D9DDB4">
      <w:pPr>
        <w:rPr>
          <w:rFonts w:ascii="宋体" w:hAnsi="宋体" w:eastAsia="宋体"/>
          <w:b/>
          <w:strike/>
          <w:color w:val="auto"/>
          <w:sz w:val="28"/>
          <w:szCs w:val="28"/>
          <w:highlight w:val="none"/>
          <w:lang w:eastAsia="zh-CN"/>
        </w:rPr>
      </w:pPr>
      <w:r>
        <w:rPr>
          <w:rFonts w:ascii="宋体" w:hAnsi="宋体" w:eastAsia="宋体"/>
          <w:b/>
          <w:color w:val="auto"/>
          <w:sz w:val="28"/>
          <w:szCs w:val="28"/>
          <w:highlight w:val="none"/>
          <w:lang w:eastAsia="zh-CN"/>
        </w:rPr>
        <w:br w:type="page"/>
      </w:r>
      <w:r>
        <w:rPr>
          <w:rFonts w:hint="eastAsia" w:ascii="宋体" w:hAnsi="宋体" w:eastAsia="宋体"/>
          <w:b/>
          <w:strike/>
          <w:color w:val="auto"/>
          <w:sz w:val="28"/>
          <w:szCs w:val="28"/>
          <w:highlight w:val="none"/>
          <w:lang w:eastAsia="zh-CN"/>
        </w:rPr>
        <w:t xml:space="preserve">格式五：           </w:t>
      </w:r>
      <w:r>
        <w:rPr>
          <w:rFonts w:hint="eastAsia" w:ascii="宋体" w:hAnsi="宋体" w:eastAsia="宋体"/>
          <w:b/>
          <w:bCs/>
          <w:strike/>
          <w:color w:val="auto"/>
          <w:sz w:val="32"/>
          <w:highlight w:val="none"/>
          <w:lang w:eastAsia="zh-CN"/>
        </w:rPr>
        <w:t>联合体共同投标协议（如有）</w:t>
      </w:r>
    </w:p>
    <w:p w14:paraId="794470A2">
      <w:pPr>
        <w:pStyle w:val="3"/>
        <w:rPr>
          <w:rFonts w:ascii="宋体" w:hAnsi="宋体" w:eastAsia="宋体"/>
          <w:b w:val="0"/>
          <w:strike/>
          <w:color w:val="auto"/>
          <w:highlight w:val="none"/>
          <w:u w:val="single"/>
          <w:lang w:eastAsia="zh-CN"/>
        </w:rPr>
      </w:pPr>
      <w:r>
        <w:rPr>
          <w:rFonts w:hint="eastAsia" w:ascii="宋体" w:hAnsi="宋体" w:eastAsia="宋体"/>
          <w:b w:val="0"/>
          <w:strike/>
          <w:color w:val="auto"/>
          <w:highlight w:val="none"/>
          <w:u w:val="single"/>
          <w:lang w:eastAsia="zh-CN"/>
        </w:rPr>
        <w:t>格式见招标公告。</w:t>
      </w:r>
    </w:p>
    <w:p w14:paraId="095DAAFC">
      <w:pPr>
        <w:rPr>
          <w:rFonts w:ascii="宋体" w:hAnsi="宋体" w:eastAsia="宋体"/>
          <w:color w:val="auto"/>
          <w:highlight w:val="none"/>
          <w:lang w:eastAsia="zh-CN"/>
        </w:rPr>
      </w:pPr>
    </w:p>
    <w:p w14:paraId="318EDD2D">
      <w:pPr>
        <w:rPr>
          <w:rFonts w:ascii="宋体" w:hAnsi="宋体" w:eastAsia="宋体"/>
          <w:color w:val="auto"/>
          <w:highlight w:val="none"/>
          <w:lang w:eastAsia="zh-CN"/>
        </w:rPr>
      </w:pPr>
    </w:p>
    <w:p w14:paraId="2C8E1ADD">
      <w:pPr>
        <w:rPr>
          <w:rFonts w:ascii="宋体" w:hAnsi="宋体" w:eastAsia="宋体"/>
          <w:color w:val="auto"/>
          <w:highlight w:val="none"/>
          <w:lang w:eastAsia="zh-CN"/>
        </w:rPr>
      </w:pPr>
    </w:p>
    <w:p w14:paraId="5A6EF035">
      <w:pPr>
        <w:rPr>
          <w:rFonts w:ascii="宋体" w:hAnsi="宋体" w:eastAsia="宋体"/>
          <w:color w:val="auto"/>
          <w:highlight w:val="none"/>
          <w:lang w:eastAsia="zh-CN"/>
        </w:rPr>
      </w:pPr>
    </w:p>
    <w:p w14:paraId="7A5D8960">
      <w:pPr>
        <w:rPr>
          <w:rFonts w:ascii="宋体" w:hAnsi="宋体" w:eastAsia="宋体"/>
          <w:color w:val="auto"/>
          <w:highlight w:val="none"/>
          <w:lang w:eastAsia="zh-CN"/>
        </w:rPr>
      </w:pPr>
    </w:p>
    <w:p w14:paraId="25E99DBE">
      <w:pPr>
        <w:rPr>
          <w:rFonts w:eastAsia="宋体"/>
          <w:color w:val="auto"/>
          <w:highlight w:val="none"/>
          <w:lang w:eastAsia="zh-CN"/>
        </w:rPr>
      </w:pPr>
    </w:p>
    <w:p w14:paraId="0B662B23">
      <w:pPr>
        <w:rPr>
          <w:color w:val="auto"/>
          <w:highlight w:val="none"/>
          <w:lang w:eastAsia="zh-CN"/>
        </w:rPr>
      </w:pPr>
    </w:p>
    <w:p w14:paraId="357243C9">
      <w:pPr>
        <w:rPr>
          <w:rFonts w:eastAsia="宋体"/>
          <w:color w:val="auto"/>
          <w:highlight w:val="none"/>
          <w:lang w:eastAsia="zh-CN"/>
        </w:rPr>
      </w:pPr>
    </w:p>
    <w:p w14:paraId="08A785B6">
      <w:pPr>
        <w:rPr>
          <w:color w:val="auto"/>
          <w:highlight w:val="none"/>
          <w:lang w:eastAsia="zh-CN"/>
        </w:rPr>
      </w:pPr>
    </w:p>
    <w:p w14:paraId="098BFFCD">
      <w:pPr>
        <w:rPr>
          <w:rFonts w:eastAsia="宋体"/>
          <w:color w:val="auto"/>
          <w:highlight w:val="none"/>
          <w:lang w:eastAsia="zh-CN"/>
        </w:rPr>
      </w:pPr>
    </w:p>
    <w:p w14:paraId="7CEA6DC5">
      <w:pPr>
        <w:rPr>
          <w:color w:val="auto"/>
          <w:highlight w:val="none"/>
          <w:lang w:eastAsia="zh-CN"/>
        </w:rPr>
      </w:pPr>
    </w:p>
    <w:p w14:paraId="6202C7DB">
      <w:pPr>
        <w:rPr>
          <w:rFonts w:ascii="宋体" w:hAnsi="宋体" w:eastAsia="宋体"/>
          <w:color w:val="auto"/>
          <w:highlight w:val="none"/>
          <w:lang w:eastAsia="zh-CN"/>
        </w:rPr>
      </w:pPr>
    </w:p>
    <w:p w14:paraId="341739F5">
      <w:pPr>
        <w:pStyle w:val="3"/>
        <w:rPr>
          <w:rFonts w:ascii="宋体" w:hAnsi="宋体" w:eastAsia="宋体"/>
          <w:b w:val="0"/>
          <w:color w:val="auto"/>
          <w:highlight w:val="none"/>
          <w:lang w:eastAsia="zh-CN"/>
        </w:rPr>
      </w:pPr>
      <w:r>
        <w:rPr>
          <w:rFonts w:ascii="宋体" w:hAnsi="宋体" w:eastAsia="宋体"/>
          <w:color w:val="auto"/>
          <w:highlight w:val="none"/>
          <w:lang w:eastAsia="zh-CN"/>
        </w:rPr>
        <w:br w:type="page"/>
      </w:r>
      <w:r>
        <w:rPr>
          <w:rFonts w:hint="eastAsia" w:ascii="宋体" w:hAnsi="宋体" w:eastAsia="宋体"/>
          <w:color w:val="auto"/>
          <w:highlight w:val="none"/>
          <w:lang w:eastAsia="zh-CN"/>
        </w:rPr>
        <w:t>格式六</w:t>
      </w:r>
      <w:r>
        <w:rPr>
          <w:rFonts w:hint="eastAsia" w:ascii="宋体" w:hAnsi="宋体" w:eastAsia="宋体"/>
          <w:color w:val="auto"/>
          <w:highlight w:val="none"/>
          <w:lang w:val="en-US" w:eastAsia="zh-CN"/>
        </w:rPr>
        <w:t xml:space="preserve"> </w:t>
      </w:r>
      <w:r>
        <w:rPr>
          <w:rFonts w:hint="eastAsia" w:ascii="宋体" w:hAnsi="宋体" w:eastAsia="宋体"/>
          <w:color w:val="auto"/>
          <w:highlight w:val="none"/>
          <w:lang w:eastAsia="zh-CN"/>
        </w:rPr>
        <w:t>设计费报价汇总表</w:t>
      </w:r>
    </w:p>
    <w:p w14:paraId="2DD76E02">
      <w:pPr>
        <w:autoSpaceDE w:val="0"/>
        <w:autoSpaceDN w:val="0"/>
        <w:adjustRightInd w:val="0"/>
        <w:spacing w:before="7" w:line="110" w:lineRule="exact"/>
        <w:rPr>
          <w:rFonts w:ascii="宋体" w:hAnsi="宋体" w:eastAsia="宋体"/>
          <w:color w:val="auto"/>
          <w:sz w:val="11"/>
          <w:szCs w:val="11"/>
          <w:highlight w:val="none"/>
          <w:lang w:eastAsia="zh-CN"/>
        </w:rPr>
      </w:pPr>
    </w:p>
    <w:p w14:paraId="4DC03C7B">
      <w:pPr>
        <w:autoSpaceDE w:val="0"/>
        <w:autoSpaceDN w:val="0"/>
        <w:adjustRightInd w:val="0"/>
        <w:spacing w:line="200" w:lineRule="exact"/>
        <w:rPr>
          <w:rFonts w:ascii="宋体" w:hAnsi="宋体" w:eastAsia="宋体"/>
          <w:color w:val="auto"/>
          <w:sz w:val="20"/>
          <w:szCs w:val="20"/>
          <w:highlight w:val="none"/>
          <w:lang w:eastAsia="zh-CN"/>
        </w:rPr>
      </w:pPr>
    </w:p>
    <w:p w14:paraId="402A26CD">
      <w:pPr>
        <w:jc w:val="center"/>
        <w:rPr>
          <w:rFonts w:ascii="宋体" w:hAnsi="宋体" w:eastAsia="宋体"/>
          <w:b/>
          <w:bCs/>
          <w:color w:val="auto"/>
          <w:sz w:val="32"/>
          <w:szCs w:val="32"/>
          <w:highlight w:val="none"/>
          <w:lang w:eastAsia="zh-CN"/>
        </w:rPr>
      </w:pPr>
      <w:r>
        <w:rPr>
          <w:rFonts w:hint="eastAsia" w:ascii="宋体" w:hAnsi="宋体" w:eastAsia="宋体"/>
          <w:b/>
          <w:bCs/>
          <w:color w:val="auto"/>
          <w:sz w:val="32"/>
          <w:szCs w:val="32"/>
          <w:highlight w:val="none"/>
          <w:lang w:eastAsia="zh-CN"/>
        </w:rPr>
        <w:t>设计费报价汇总表</w:t>
      </w:r>
    </w:p>
    <w:p w14:paraId="75E8F30F">
      <w:pPr>
        <w:spacing w:line="360" w:lineRule="auto"/>
        <w:rPr>
          <w:rFonts w:ascii="宋体" w:hAnsi="宋体" w:eastAsia="宋体" w:cs="仿宋_GB2312"/>
          <w:color w:val="auto"/>
          <w:szCs w:val="21"/>
          <w:highlight w:val="none"/>
          <w:lang w:eastAsia="zh-CN"/>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20"/>
        <w:gridCol w:w="2562"/>
        <w:gridCol w:w="3046"/>
      </w:tblGrid>
      <w:tr w14:paraId="7FB6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080B2240">
            <w:pPr>
              <w:spacing w:line="288"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20" w:type="dxa"/>
            <w:tcBorders>
              <w:top w:val="single" w:color="auto" w:sz="4" w:space="0"/>
              <w:left w:val="nil"/>
              <w:bottom w:val="single" w:color="auto" w:sz="4" w:space="0"/>
              <w:right w:val="single" w:color="auto" w:sz="4" w:space="0"/>
            </w:tcBorders>
            <w:vAlign w:val="center"/>
          </w:tcPr>
          <w:p w14:paraId="6F2272A6">
            <w:pPr>
              <w:spacing w:line="288"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计费项目</w:t>
            </w:r>
          </w:p>
        </w:tc>
        <w:tc>
          <w:tcPr>
            <w:tcW w:w="2562" w:type="dxa"/>
            <w:tcBorders>
              <w:top w:val="single" w:color="auto" w:sz="4" w:space="0"/>
              <w:left w:val="nil"/>
              <w:bottom w:val="single" w:color="auto" w:sz="4" w:space="0"/>
              <w:right w:val="single" w:color="auto" w:sz="4" w:space="0"/>
            </w:tcBorders>
            <w:vAlign w:val="center"/>
          </w:tcPr>
          <w:p w14:paraId="794A1603">
            <w:pPr>
              <w:spacing w:line="288" w:lineRule="auto"/>
              <w:jc w:val="center"/>
              <w:rPr>
                <w:rFonts w:ascii="宋体" w:hAnsi="宋体" w:eastAsia="宋体" w:cs="Calibri"/>
                <w:color w:val="auto"/>
                <w:sz w:val="21"/>
                <w:szCs w:val="21"/>
                <w:highlight w:val="none"/>
              </w:rPr>
            </w:pPr>
            <w:r>
              <w:rPr>
                <w:rFonts w:ascii="宋体" w:hAnsi="宋体" w:eastAsia="宋体" w:cs="Calibri"/>
                <w:color w:val="auto"/>
                <w:sz w:val="21"/>
                <w:szCs w:val="21"/>
                <w:highlight w:val="none"/>
              </w:rPr>
              <w:t>金额（元）</w:t>
            </w:r>
          </w:p>
        </w:tc>
        <w:tc>
          <w:tcPr>
            <w:tcW w:w="3046" w:type="dxa"/>
            <w:tcBorders>
              <w:top w:val="single" w:color="auto" w:sz="4" w:space="0"/>
              <w:left w:val="nil"/>
              <w:bottom w:val="single" w:color="auto" w:sz="4" w:space="0"/>
              <w:right w:val="single" w:color="auto" w:sz="4" w:space="0"/>
            </w:tcBorders>
            <w:vAlign w:val="center"/>
          </w:tcPr>
          <w:p w14:paraId="1212C05C">
            <w:pPr>
              <w:spacing w:line="288" w:lineRule="auto"/>
              <w:jc w:val="center"/>
              <w:rPr>
                <w:rFonts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备注</w:t>
            </w:r>
          </w:p>
        </w:tc>
      </w:tr>
      <w:tr w14:paraId="1DFB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38E55629">
            <w:pPr>
              <w:spacing w:line="288" w:lineRule="auto"/>
              <w:jc w:val="center"/>
              <w:rPr>
                <w:rFonts w:ascii="宋体" w:hAnsi="宋体" w:eastAsia="宋体" w:cs="Calibri"/>
                <w:color w:val="auto"/>
                <w:sz w:val="21"/>
                <w:szCs w:val="21"/>
                <w:highlight w:val="none"/>
              </w:rPr>
            </w:pPr>
            <w:r>
              <w:rPr>
                <w:rFonts w:hint="eastAsia" w:ascii="宋体" w:hAnsi="宋体" w:eastAsia="宋体"/>
                <w:color w:val="auto"/>
                <w:sz w:val="21"/>
                <w:szCs w:val="21"/>
                <w:highlight w:val="none"/>
              </w:rPr>
              <w:t>（</w:t>
            </w:r>
            <w:r>
              <w:rPr>
                <w:rFonts w:ascii="宋体" w:hAnsi="宋体" w:eastAsia="宋体"/>
                <w:color w:val="auto"/>
                <w:sz w:val="21"/>
                <w:szCs w:val="21"/>
                <w:highlight w:val="none"/>
              </w:rPr>
              <w:t>1</w:t>
            </w:r>
            <w:r>
              <w:rPr>
                <w:rFonts w:hint="eastAsia" w:ascii="宋体" w:hAnsi="宋体" w:eastAsia="宋体"/>
                <w:color w:val="auto"/>
                <w:sz w:val="21"/>
                <w:szCs w:val="21"/>
                <w:highlight w:val="none"/>
              </w:rPr>
              <w:t>）</w:t>
            </w:r>
          </w:p>
        </w:tc>
        <w:tc>
          <w:tcPr>
            <w:tcW w:w="2520" w:type="dxa"/>
            <w:tcBorders>
              <w:top w:val="single" w:color="auto" w:sz="4" w:space="0"/>
              <w:left w:val="nil"/>
              <w:bottom w:val="single" w:color="auto" w:sz="4" w:space="0"/>
              <w:right w:val="single" w:color="auto" w:sz="4" w:space="0"/>
            </w:tcBorders>
            <w:vAlign w:val="center"/>
          </w:tcPr>
          <w:p w14:paraId="7C377566">
            <w:pPr>
              <w:spacing w:line="288" w:lineRule="auto"/>
              <w:rPr>
                <w:rFonts w:ascii="宋体" w:hAnsi="宋体" w:eastAsia="宋体" w:cs="Calibri"/>
                <w:color w:val="auto"/>
                <w:sz w:val="21"/>
                <w:szCs w:val="21"/>
                <w:highlight w:val="none"/>
                <w:lang w:eastAsia="zh-CN"/>
              </w:rPr>
            </w:pPr>
            <w:r>
              <w:rPr>
                <w:rFonts w:hint="eastAsia" w:ascii="宋体" w:hAnsi="宋体" w:eastAsia="宋体"/>
                <w:color w:val="auto"/>
                <w:sz w:val="21"/>
                <w:szCs w:val="21"/>
                <w:highlight w:val="none"/>
                <w:lang w:eastAsia="zh-CN"/>
              </w:rPr>
              <w:t>工程设计费投标报价</w:t>
            </w:r>
          </w:p>
        </w:tc>
        <w:tc>
          <w:tcPr>
            <w:tcW w:w="2562" w:type="dxa"/>
            <w:tcBorders>
              <w:top w:val="single" w:color="auto" w:sz="4" w:space="0"/>
              <w:left w:val="nil"/>
              <w:bottom w:val="single" w:color="auto" w:sz="4" w:space="0"/>
              <w:right w:val="single" w:color="auto" w:sz="4" w:space="0"/>
            </w:tcBorders>
            <w:vAlign w:val="center"/>
          </w:tcPr>
          <w:p w14:paraId="6D16D7EE">
            <w:pPr>
              <w:spacing w:line="288" w:lineRule="auto"/>
              <w:jc w:val="center"/>
              <w:rPr>
                <w:rFonts w:ascii="宋体" w:hAnsi="宋体" w:eastAsia="宋体" w:cs="Calibri"/>
                <w:color w:val="auto"/>
                <w:sz w:val="21"/>
                <w:szCs w:val="21"/>
                <w:highlight w:val="none"/>
                <w:lang w:eastAsia="zh-CN"/>
              </w:rPr>
            </w:pPr>
          </w:p>
        </w:tc>
        <w:tc>
          <w:tcPr>
            <w:tcW w:w="3046" w:type="dxa"/>
            <w:tcBorders>
              <w:top w:val="single" w:color="auto" w:sz="4" w:space="0"/>
              <w:left w:val="nil"/>
              <w:bottom w:val="single" w:color="auto" w:sz="4" w:space="0"/>
              <w:right w:val="single" w:color="auto" w:sz="4" w:space="0"/>
            </w:tcBorders>
            <w:vAlign w:val="center"/>
          </w:tcPr>
          <w:p w14:paraId="689DF0D0">
            <w:pPr>
              <w:spacing w:line="288"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对应报价金额不得超过最高投标限价，</w:t>
            </w:r>
            <w:r>
              <w:rPr>
                <w:rFonts w:hint="eastAsia" w:ascii="宋体" w:hAnsi="宋体" w:eastAsia="宋体"/>
                <w:color w:val="auto"/>
                <w:sz w:val="21"/>
                <w:szCs w:val="21"/>
                <w:highlight w:val="none"/>
                <w:lang w:val="en-US" w:eastAsia="zh-CN"/>
              </w:rPr>
              <w:t>报价含税。</w:t>
            </w:r>
          </w:p>
        </w:tc>
      </w:tr>
    </w:tbl>
    <w:p w14:paraId="71B8542B">
      <w:pPr>
        <w:spacing w:before="240" w:line="360" w:lineRule="auto"/>
        <w:rPr>
          <w:rFonts w:ascii="宋体" w:hAnsi="宋体" w:eastAsia="宋体"/>
          <w:color w:val="auto"/>
          <w:sz w:val="21"/>
          <w:szCs w:val="21"/>
          <w:highlight w:val="none"/>
          <w:lang w:eastAsia="zh-CN"/>
        </w:rPr>
      </w:pPr>
      <w:r>
        <w:rPr>
          <w:rFonts w:hint="eastAsia" w:ascii="宋体" w:hAnsi="宋体" w:eastAsia="宋体" w:cs="宋体"/>
          <w:b/>
          <w:bCs/>
          <w:color w:val="auto"/>
          <w:sz w:val="21"/>
          <w:szCs w:val="21"/>
          <w:highlight w:val="none"/>
          <w:lang w:eastAsia="zh-CN"/>
        </w:rPr>
        <w:t>注：</w:t>
      </w:r>
      <w:r>
        <w:rPr>
          <w:rFonts w:hint="eastAsia" w:ascii="宋体" w:hAnsi="宋体" w:eastAsia="宋体"/>
          <w:color w:val="auto"/>
          <w:sz w:val="21"/>
          <w:szCs w:val="21"/>
          <w:highlight w:val="none"/>
          <w:lang w:eastAsia="zh-CN"/>
        </w:rPr>
        <w:t>1、经算术复核的投标人报价与其投标报价不一致时，按就低不就高原则确定其最终报价。如修正后的投标总报价超出相应的最高投标限价总价，则由评标委员会作废标处理。</w:t>
      </w:r>
    </w:p>
    <w:p w14:paraId="03A859D6">
      <w:pPr>
        <w:spacing w:line="360" w:lineRule="auto"/>
        <w:rPr>
          <w:rFonts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2、按上述修正错误的原则及方法调整或修正投标文件的投标总报价，调整后的投标总报价对投标人起约束作用。如果投标人不接受修正后的报价，则取消其投标资格。</w:t>
      </w:r>
    </w:p>
    <w:p w14:paraId="3A7C3B18">
      <w:pPr>
        <w:spacing w:line="360" w:lineRule="auto"/>
        <w:rPr>
          <w:rFonts w:ascii="宋体" w:hAnsi="宋体" w:eastAsia="宋体"/>
          <w:color w:val="auto"/>
          <w:sz w:val="21"/>
          <w:szCs w:val="21"/>
          <w:highlight w:val="none"/>
          <w:lang w:eastAsia="zh-CN"/>
        </w:rPr>
      </w:pPr>
    </w:p>
    <w:p w14:paraId="3C61BE86">
      <w:pPr>
        <w:pStyle w:val="8"/>
        <w:kinsoku w:val="0"/>
        <w:overflowPunct w:val="0"/>
        <w:spacing w:line="360" w:lineRule="auto"/>
        <w:ind w:left="0" w:firstLine="2891" w:firstLineChars="1200"/>
        <w:rPr>
          <w:b/>
          <w:color w:val="auto"/>
          <w:sz w:val="24"/>
          <w:szCs w:val="24"/>
          <w:highlight w:val="none"/>
          <w:lang w:eastAsia="zh-CN"/>
        </w:rPr>
      </w:pPr>
      <w:r>
        <w:rPr>
          <w:rFonts w:hint="eastAsia"/>
          <w:b/>
          <w:color w:val="auto"/>
          <w:sz w:val="24"/>
          <w:szCs w:val="24"/>
          <w:highlight w:val="none"/>
          <w:lang w:eastAsia="zh-CN"/>
        </w:rPr>
        <w:t>投标</w:t>
      </w:r>
      <w:r>
        <w:rPr>
          <w:rFonts w:hint="eastAsia"/>
          <w:b/>
          <w:color w:val="auto"/>
          <w:spacing w:val="-2"/>
          <w:sz w:val="24"/>
          <w:szCs w:val="24"/>
          <w:highlight w:val="none"/>
          <w:lang w:eastAsia="zh-CN"/>
        </w:rPr>
        <w:t>人：</w:t>
      </w:r>
      <w:r>
        <w:rPr>
          <w:rFonts w:hint="eastAsia"/>
          <w:b/>
          <w:color w:val="auto"/>
          <w:spacing w:val="-2"/>
          <w:sz w:val="24"/>
          <w:szCs w:val="24"/>
          <w:highlight w:val="none"/>
          <w:u w:val="single"/>
          <w:lang w:eastAsia="zh-CN"/>
        </w:rPr>
        <w:t xml:space="preserve">      </w:t>
      </w:r>
      <w:r>
        <w:rPr>
          <w:rFonts w:hint="eastAsia"/>
          <w:b/>
          <w:color w:val="auto"/>
          <w:spacing w:val="-1"/>
          <w:sz w:val="24"/>
          <w:szCs w:val="24"/>
          <w:highlight w:val="none"/>
          <w:lang w:eastAsia="zh-CN"/>
        </w:rPr>
        <w:t>（盖单位章）</w:t>
      </w:r>
    </w:p>
    <w:p w14:paraId="52E69589">
      <w:pPr>
        <w:spacing w:line="360" w:lineRule="auto"/>
        <w:ind w:firstLine="2891" w:firstLineChars="1200"/>
        <w:rPr>
          <w:rFonts w:ascii="宋体" w:hAnsi="宋体" w:eastAsia="宋体"/>
          <w:b/>
          <w:bCs/>
          <w:color w:val="auto"/>
          <w:sz w:val="24"/>
          <w:szCs w:val="24"/>
          <w:highlight w:val="none"/>
          <w:lang w:eastAsia="zh-CN"/>
        </w:rPr>
      </w:pPr>
      <w:r>
        <w:rPr>
          <w:rFonts w:hint="eastAsia" w:ascii="宋体" w:hAnsi="宋体" w:eastAsia="宋体"/>
          <w:b/>
          <w:bCs/>
          <w:color w:val="auto"/>
          <w:sz w:val="24"/>
          <w:szCs w:val="24"/>
          <w:highlight w:val="none"/>
          <w:lang w:eastAsia="zh-CN"/>
        </w:rPr>
        <w:t>法定代表人或其委托代理人：</w:t>
      </w:r>
      <w:r>
        <w:rPr>
          <w:rFonts w:hint="eastAsia" w:ascii="宋体" w:hAnsi="宋体" w:eastAsia="宋体"/>
          <w:b/>
          <w:bCs/>
          <w:color w:val="auto"/>
          <w:sz w:val="24"/>
          <w:szCs w:val="24"/>
          <w:highlight w:val="none"/>
          <w:u w:val="single"/>
          <w:lang w:eastAsia="zh-CN"/>
        </w:rPr>
        <w:t xml:space="preserve">     </w:t>
      </w:r>
      <w:r>
        <w:rPr>
          <w:rFonts w:hint="eastAsia" w:ascii="宋体" w:hAnsi="宋体" w:eastAsia="宋体"/>
          <w:b/>
          <w:bCs/>
          <w:color w:val="auto"/>
          <w:sz w:val="24"/>
          <w:szCs w:val="24"/>
          <w:highlight w:val="none"/>
          <w:lang w:eastAsia="zh-CN"/>
        </w:rPr>
        <w:t>（签字或盖章）</w:t>
      </w:r>
    </w:p>
    <w:p w14:paraId="022B5FA2">
      <w:pPr>
        <w:spacing w:line="360" w:lineRule="auto"/>
        <w:ind w:firstLine="2891" w:firstLineChars="1200"/>
        <w:rPr>
          <w:rFonts w:ascii="宋体" w:hAnsi="宋体" w:eastAsia="宋体"/>
          <w:b/>
          <w:bCs/>
          <w:color w:val="auto"/>
          <w:sz w:val="24"/>
          <w:szCs w:val="24"/>
          <w:highlight w:val="none"/>
          <w:lang w:eastAsia="zh-CN"/>
        </w:rPr>
      </w:pPr>
      <w:r>
        <w:rPr>
          <w:rFonts w:hint="eastAsia" w:ascii="宋体" w:hAnsi="宋体" w:eastAsia="宋体"/>
          <w:b/>
          <w:bCs/>
          <w:color w:val="auto"/>
          <w:sz w:val="24"/>
          <w:szCs w:val="24"/>
          <w:highlight w:val="none"/>
          <w:lang w:eastAsia="zh-CN"/>
        </w:rPr>
        <w:t>年</w:t>
      </w:r>
      <w:r>
        <w:rPr>
          <w:rFonts w:ascii="宋体" w:hAnsi="宋体" w:eastAsia="宋体"/>
          <w:b/>
          <w:bCs/>
          <w:color w:val="auto"/>
          <w:sz w:val="24"/>
          <w:szCs w:val="24"/>
          <w:highlight w:val="none"/>
          <w:u w:val="single"/>
          <w:lang w:eastAsia="zh-CN"/>
        </w:rPr>
        <w:tab/>
      </w:r>
      <w:r>
        <w:rPr>
          <w:rFonts w:hint="eastAsia" w:ascii="宋体" w:hAnsi="宋体" w:eastAsia="宋体"/>
          <w:b/>
          <w:bCs/>
          <w:color w:val="auto"/>
          <w:sz w:val="24"/>
          <w:szCs w:val="24"/>
          <w:highlight w:val="none"/>
          <w:lang w:eastAsia="zh-CN"/>
        </w:rPr>
        <w:t>月</w:t>
      </w:r>
      <w:r>
        <w:rPr>
          <w:rFonts w:ascii="宋体" w:hAnsi="宋体" w:eastAsia="宋体"/>
          <w:b/>
          <w:bCs/>
          <w:color w:val="auto"/>
          <w:sz w:val="24"/>
          <w:szCs w:val="24"/>
          <w:highlight w:val="none"/>
          <w:u w:val="single"/>
          <w:lang w:eastAsia="zh-CN"/>
        </w:rPr>
        <w:tab/>
      </w:r>
      <w:r>
        <w:rPr>
          <w:rFonts w:hint="eastAsia" w:ascii="宋体" w:hAnsi="宋体" w:eastAsia="宋体"/>
          <w:b/>
          <w:bCs/>
          <w:color w:val="auto"/>
          <w:sz w:val="24"/>
          <w:szCs w:val="24"/>
          <w:highlight w:val="none"/>
          <w:lang w:eastAsia="zh-CN"/>
        </w:rPr>
        <w:t>日</w:t>
      </w:r>
    </w:p>
    <w:p w14:paraId="78F072B8">
      <w:pPr>
        <w:rPr>
          <w:rFonts w:eastAsia="宋体"/>
          <w:color w:val="auto"/>
          <w:highlight w:val="none"/>
          <w:lang w:eastAsia="zh-CN"/>
        </w:rPr>
      </w:pPr>
    </w:p>
    <w:p w14:paraId="4606DE93">
      <w:pPr>
        <w:pStyle w:val="5"/>
        <w:rPr>
          <w:color w:val="auto"/>
          <w:highlight w:val="none"/>
        </w:rPr>
      </w:pPr>
    </w:p>
    <w:p w14:paraId="6E5BC4DF">
      <w:pPr>
        <w:pStyle w:val="5"/>
        <w:rPr>
          <w:color w:val="auto"/>
          <w:highlight w:val="none"/>
        </w:rPr>
      </w:pPr>
    </w:p>
    <w:p w14:paraId="6CED44C6">
      <w:pPr>
        <w:pStyle w:val="5"/>
        <w:rPr>
          <w:color w:val="auto"/>
          <w:highlight w:val="none"/>
        </w:rPr>
      </w:pPr>
    </w:p>
    <w:p w14:paraId="3B69DECA">
      <w:pPr>
        <w:pStyle w:val="5"/>
        <w:rPr>
          <w:color w:val="auto"/>
          <w:highlight w:val="none"/>
        </w:rPr>
      </w:pPr>
    </w:p>
    <w:p w14:paraId="5D7326A1">
      <w:pPr>
        <w:pStyle w:val="5"/>
        <w:rPr>
          <w:color w:val="auto"/>
          <w:highlight w:val="none"/>
        </w:rPr>
      </w:pPr>
    </w:p>
    <w:p w14:paraId="3CE3DD3A">
      <w:pPr>
        <w:pStyle w:val="5"/>
        <w:rPr>
          <w:color w:val="auto"/>
          <w:highlight w:val="none"/>
        </w:rPr>
      </w:pPr>
    </w:p>
    <w:p w14:paraId="3542E467">
      <w:pPr>
        <w:pStyle w:val="5"/>
        <w:rPr>
          <w:color w:val="auto"/>
          <w:highlight w:val="none"/>
        </w:rPr>
      </w:pPr>
    </w:p>
    <w:bookmarkEnd w:id="80"/>
    <w:p w14:paraId="1ED9E989">
      <w:pPr>
        <w:jc w:val="center"/>
        <w:rPr>
          <w:rFonts w:ascii="宋体" w:hAnsi="宋体" w:eastAsia="宋体"/>
          <w:b/>
          <w:bCs/>
          <w:color w:val="auto"/>
          <w:sz w:val="32"/>
          <w:szCs w:val="32"/>
          <w:highlight w:val="none"/>
          <w:lang w:eastAsia="zh-CN"/>
        </w:rPr>
      </w:pPr>
      <w:r>
        <w:rPr>
          <w:rFonts w:ascii="宋体" w:hAnsi="宋体" w:eastAsia="宋体"/>
          <w:b/>
          <w:color w:val="auto"/>
          <w:sz w:val="24"/>
          <w:szCs w:val="24"/>
          <w:highlight w:val="none"/>
          <w:lang w:eastAsia="zh-CN"/>
        </w:rPr>
        <w:br w:type="page"/>
      </w:r>
    </w:p>
    <w:p w14:paraId="5B937445">
      <w:pPr>
        <w:spacing w:after="240"/>
        <w:jc w:val="center"/>
        <w:rPr>
          <w:rFonts w:ascii="宋体" w:hAnsi="宋体" w:eastAsia="宋体"/>
          <w:b/>
          <w:bCs/>
          <w:strike/>
          <w:color w:val="auto"/>
          <w:sz w:val="32"/>
          <w:szCs w:val="32"/>
          <w:highlight w:val="none"/>
          <w:lang w:eastAsia="zh-CN"/>
        </w:rPr>
      </w:pPr>
      <w:r>
        <w:rPr>
          <w:rFonts w:hint="eastAsia" w:ascii="宋体" w:hAnsi="宋体" w:eastAsia="宋体"/>
          <w:b/>
          <w:bCs/>
          <w:strike/>
          <w:color w:val="auto"/>
          <w:sz w:val="32"/>
          <w:szCs w:val="32"/>
          <w:highlight w:val="none"/>
          <w:lang w:eastAsia="zh-CN"/>
        </w:rPr>
        <w:t>工程设计费报价表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2308"/>
        <w:gridCol w:w="1632"/>
        <w:gridCol w:w="1216"/>
        <w:gridCol w:w="909"/>
        <w:gridCol w:w="2232"/>
      </w:tblGrid>
      <w:tr w14:paraId="0000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2C2F05A3">
            <w:pPr>
              <w:spacing w:line="360" w:lineRule="auto"/>
              <w:jc w:val="center"/>
              <w:rPr>
                <w:rFonts w:ascii="宋体" w:hAnsi="宋体" w:eastAsia="宋体" w:cs="Calibri"/>
                <w:strike/>
                <w:color w:val="auto"/>
                <w:sz w:val="21"/>
                <w:szCs w:val="21"/>
                <w:highlight w:val="none"/>
              </w:rPr>
            </w:pPr>
            <w:r>
              <w:rPr>
                <w:rFonts w:hint="eastAsia" w:ascii="宋体" w:hAnsi="宋体" w:eastAsia="宋体" w:cs="宋体"/>
                <w:strike/>
                <w:color w:val="auto"/>
                <w:sz w:val="21"/>
                <w:szCs w:val="21"/>
                <w:highlight w:val="none"/>
              </w:rPr>
              <w:t>序号</w:t>
            </w:r>
          </w:p>
        </w:tc>
        <w:tc>
          <w:tcPr>
            <w:tcW w:w="2308" w:type="dxa"/>
            <w:tcBorders>
              <w:top w:val="single" w:color="auto" w:sz="4" w:space="0"/>
              <w:left w:val="nil"/>
              <w:bottom w:val="single" w:color="auto" w:sz="4" w:space="0"/>
              <w:right w:val="single" w:color="auto" w:sz="4" w:space="0"/>
            </w:tcBorders>
            <w:vAlign w:val="center"/>
          </w:tcPr>
          <w:p w14:paraId="14B8C21B">
            <w:pPr>
              <w:spacing w:line="360" w:lineRule="auto"/>
              <w:jc w:val="center"/>
              <w:rPr>
                <w:rFonts w:ascii="宋体" w:hAnsi="宋体" w:eastAsia="宋体" w:cs="Calibri"/>
                <w:strike/>
                <w:color w:val="auto"/>
                <w:sz w:val="21"/>
                <w:szCs w:val="21"/>
                <w:highlight w:val="none"/>
              </w:rPr>
            </w:pPr>
            <w:r>
              <w:rPr>
                <w:rFonts w:hint="eastAsia" w:ascii="宋体" w:hAnsi="宋体" w:eastAsia="宋体" w:cs="宋体"/>
                <w:strike/>
                <w:color w:val="auto"/>
                <w:sz w:val="21"/>
                <w:szCs w:val="21"/>
                <w:highlight w:val="none"/>
              </w:rPr>
              <w:t>费用名称</w:t>
            </w:r>
          </w:p>
        </w:tc>
        <w:tc>
          <w:tcPr>
            <w:tcW w:w="1632" w:type="dxa"/>
            <w:tcBorders>
              <w:top w:val="single" w:color="auto" w:sz="4" w:space="0"/>
              <w:left w:val="nil"/>
              <w:bottom w:val="single" w:color="auto" w:sz="4" w:space="0"/>
              <w:right w:val="single" w:color="auto" w:sz="4" w:space="0"/>
            </w:tcBorders>
            <w:vAlign w:val="center"/>
          </w:tcPr>
          <w:p w14:paraId="5DD6DB09">
            <w:pPr>
              <w:pStyle w:val="48"/>
              <w:spacing w:line="360" w:lineRule="auto"/>
              <w:jc w:val="center"/>
              <w:rPr>
                <w:rFonts w:cs="Calibri"/>
                <w:strike/>
                <w:color w:val="auto"/>
                <w:highlight w:val="none"/>
              </w:rPr>
            </w:pPr>
            <w:r>
              <w:rPr>
                <w:rFonts w:hint="eastAsia"/>
                <w:strike/>
                <w:color w:val="auto"/>
                <w:highlight w:val="none"/>
              </w:rPr>
              <w:t>暂定工程费限额</w:t>
            </w:r>
            <w:r>
              <w:rPr>
                <w:rFonts w:hint="eastAsia" w:cs="宋体"/>
                <w:strike/>
                <w:color w:val="auto"/>
                <w:highlight w:val="none"/>
              </w:rPr>
              <w:t>（元）</w:t>
            </w:r>
          </w:p>
        </w:tc>
        <w:tc>
          <w:tcPr>
            <w:tcW w:w="1216" w:type="dxa"/>
            <w:tcBorders>
              <w:top w:val="single" w:color="auto" w:sz="4" w:space="0"/>
              <w:left w:val="nil"/>
              <w:bottom w:val="single" w:color="auto" w:sz="4" w:space="0"/>
              <w:right w:val="single" w:color="auto" w:sz="4" w:space="0"/>
            </w:tcBorders>
            <w:vAlign w:val="center"/>
          </w:tcPr>
          <w:p w14:paraId="6CA9BE81">
            <w:pPr>
              <w:spacing w:line="360" w:lineRule="auto"/>
              <w:jc w:val="center"/>
              <w:rPr>
                <w:rFonts w:ascii="宋体" w:hAnsi="宋体" w:eastAsia="宋体" w:cs="Calibri"/>
                <w:strike/>
                <w:color w:val="auto"/>
                <w:sz w:val="21"/>
                <w:szCs w:val="21"/>
                <w:highlight w:val="none"/>
              </w:rPr>
            </w:pPr>
            <w:r>
              <w:rPr>
                <w:rFonts w:hint="eastAsia" w:ascii="宋体" w:hAnsi="宋体" w:eastAsia="宋体" w:cs="宋体"/>
                <w:strike/>
                <w:color w:val="auto"/>
                <w:sz w:val="21"/>
                <w:szCs w:val="21"/>
                <w:highlight w:val="none"/>
              </w:rPr>
              <w:t>金额</w:t>
            </w:r>
          </w:p>
          <w:p w14:paraId="2E1E6091">
            <w:pPr>
              <w:spacing w:line="360" w:lineRule="auto"/>
              <w:jc w:val="center"/>
              <w:rPr>
                <w:rFonts w:ascii="宋体" w:hAnsi="宋体" w:eastAsia="宋体" w:cs="Calibri"/>
                <w:strike/>
                <w:color w:val="auto"/>
                <w:sz w:val="21"/>
                <w:szCs w:val="21"/>
                <w:highlight w:val="none"/>
              </w:rPr>
            </w:pPr>
            <w:r>
              <w:rPr>
                <w:rFonts w:hint="eastAsia" w:ascii="宋体" w:hAnsi="宋体" w:eastAsia="宋体" w:cs="宋体"/>
                <w:strike/>
                <w:color w:val="auto"/>
                <w:sz w:val="21"/>
                <w:szCs w:val="21"/>
                <w:highlight w:val="none"/>
              </w:rPr>
              <w:t>（元）</w:t>
            </w:r>
          </w:p>
        </w:tc>
        <w:tc>
          <w:tcPr>
            <w:tcW w:w="909" w:type="dxa"/>
            <w:tcBorders>
              <w:top w:val="single" w:color="auto" w:sz="4" w:space="0"/>
              <w:left w:val="nil"/>
              <w:bottom w:val="single" w:color="auto" w:sz="4" w:space="0"/>
              <w:right w:val="single" w:color="auto" w:sz="4" w:space="0"/>
            </w:tcBorders>
            <w:vAlign w:val="center"/>
          </w:tcPr>
          <w:p w14:paraId="05A3503B">
            <w:pPr>
              <w:pStyle w:val="48"/>
              <w:spacing w:line="360" w:lineRule="auto"/>
              <w:jc w:val="center"/>
              <w:rPr>
                <w:strike/>
                <w:color w:val="auto"/>
                <w:highlight w:val="none"/>
                <w:u w:val="single"/>
              </w:rPr>
            </w:pPr>
            <w:r>
              <w:rPr>
                <w:rFonts w:hint="eastAsia"/>
                <w:strike/>
                <w:color w:val="auto"/>
                <w:highlight w:val="none"/>
              </w:rPr>
              <w:t>费率（%）</w:t>
            </w:r>
          </w:p>
        </w:tc>
        <w:tc>
          <w:tcPr>
            <w:tcW w:w="2232" w:type="dxa"/>
            <w:tcBorders>
              <w:top w:val="single" w:color="auto" w:sz="4" w:space="0"/>
              <w:left w:val="nil"/>
              <w:bottom w:val="single" w:color="auto" w:sz="4" w:space="0"/>
              <w:right w:val="single" w:color="auto" w:sz="4" w:space="0"/>
            </w:tcBorders>
            <w:vAlign w:val="center"/>
          </w:tcPr>
          <w:p w14:paraId="67B3BFC8">
            <w:pPr>
              <w:pStyle w:val="48"/>
              <w:spacing w:line="360" w:lineRule="auto"/>
              <w:jc w:val="center"/>
              <w:rPr>
                <w:strike/>
                <w:color w:val="auto"/>
                <w:highlight w:val="none"/>
              </w:rPr>
            </w:pPr>
            <w:r>
              <w:rPr>
                <w:rFonts w:hint="eastAsia"/>
                <w:strike/>
                <w:color w:val="auto"/>
                <w:highlight w:val="none"/>
              </w:rPr>
              <w:t>备注</w:t>
            </w:r>
          </w:p>
        </w:tc>
      </w:tr>
      <w:tr w14:paraId="294D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18616A20">
            <w:pPr>
              <w:spacing w:line="360" w:lineRule="auto"/>
              <w:jc w:val="center"/>
              <w:rPr>
                <w:rFonts w:ascii="宋体" w:hAnsi="宋体" w:eastAsia="宋体" w:cs="Calibri"/>
                <w:strike/>
                <w:color w:val="auto"/>
                <w:sz w:val="21"/>
                <w:szCs w:val="21"/>
                <w:highlight w:val="none"/>
                <w:lang w:eastAsia="zh-CN"/>
              </w:rPr>
            </w:pPr>
            <w:r>
              <w:rPr>
                <w:rFonts w:hint="eastAsia" w:ascii="宋体" w:hAnsi="宋体" w:eastAsia="宋体" w:cs="宋体"/>
                <w:strike/>
                <w:color w:val="auto"/>
                <w:sz w:val="21"/>
                <w:szCs w:val="21"/>
                <w:highlight w:val="none"/>
                <w:lang w:eastAsia="zh-CN"/>
              </w:rPr>
              <w:t>1</w:t>
            </w:r>
          </w:p>
        </w:tc>
        <w:tc>
          <w:tcPr>
            <w:tcW w:w="2308" w:type="dxa"/>
            <w:tcBorders>
              <w:top w:val="single" w:color="auto" w:sz="4" w:space="0"/>
              <w:left w:val="nil"/>
              <w:bottom w:val="single" w:color="auto" w:sz="4" w:space="0"/>
              <w:right w:val="single" w:color="auto" w:sz="4" w:space="0"/>
            </w:tcBorders>
            <w:vAlign w:val="center"/>
          </w:tcPr>
          <w:p w14:paraId="218BCFF6">
            <w:pPr>
              <w:spacing w:line="360" w:lineRule="auto"/>
              <w:rPr>
                <w:rFonts w:ascii="宋体" w:hAnsi="宋体" w:eastAsia="宋体" w:cs="Calibri"/>
                <w:strike/>
                <w:color w:val="auto"/>
                <w:sz w:val="21"/>
                <w:szCs w:val="21"/>
                <w:highlight w:val="none"/>
              </w:rPr>
            </w:pPr>
            <w:r>
              <w:rPr>
                <w:rFonts w:hint="eastAsia" w:ascii="宋体" w:hAnsi="宋体" w:eastAsia="宋体" w:cs="宋体"/>
                <w:strike/>
                <w:color w:val="auto"/>
                <w:sz w:val="21"/>
                <w:szCs w:val="21"/>
                <w:highlight w:val="none"/>
              </w:rPr>
              <w:t>工程设计费</w:t>
            </w:r>
          </w:p>
        </w:tc>
        <w:tc>
          <w:tcPr>
            <w:tcW w:w="1632" w:type="dxa"/>
            <w:tcBorders>
              <w:top w:val="single" w:color="auto" w:sz="4" w:space="0"/>
              <w:left w:val="nil"/>
              <w:bottom w:val="single" w:color="auto" w:sz="4" w:space="0"/>
              <w:right w:val="single" w:color="auto" w:sz="4" w:space="0"/>
            </w:tcBorders>
            <w:vAlign w:val="center"/>
          </w:tcPr>
          <w:p w14:paraId="78A5398F">
            <w:pPr>
              <w:spacing w:line="360" w:lineRule="auto"/>
              <w:jc w:val="center"/>
              <w:rPr>
                <w:rFonts w:ascii="宋体" w:hAnsi="宋体" w:eastAsia="宋体" w:cs="Calibri"/>
                <w:strike/>
                <w:color w:val="auto"/>
                <w:sz w:val="21"/>
                <w:szCs w:val="21"/>
                <w:highlight w:val="none"/>
                <w:lang w:eastAsia="zh-CN"/>
              </w:rPr>
            </w:pPr>
          </w:p>
        </w:tc>
        <w:tc>
          <w:tcPr>
            <w:tcW w:w="1216" w:type="dxa"/>
            <w:tcBorders>
              <w:top w:val="single" w:color="auto" w:sz="4" w:space="0"/>
              <w:left w:val="nil"/>
              <w:bottom w:val="single" w:color="auto" w:sz="4" w:space="0"/>
              <w:right w:val="single" w:color="auto" w:sz="4" w:space="0"/>
            </w:tcBorders>
            <w:vAlign w:val="center"/>
          </w:tcPr>
          <w:p w14:paraId="3F1029AA">
            <w:pPr>
              <w:spacing w:line="360" w:lineRule="auto"/>
              <w:jc w:val="center"/>
              <w:rPr>
                <w:rFonts w:ascii="宋体" w:hAnsi="宋体" w:eastAsia="宋体" w:cs="Calibri"/>
                <w:strike/>
                <w:color w:val="auto"/>
                <w:sz w:val="21"/>
                <w:szCs w:val="21"/>
                <w:highlight w:val="none"/>
              </w:rPr>
            </w:pPr>
          </w:p>
        </w:tc>
        <w:tc>
          <w:tcPr>
            <w:tcW w:w="909" w:type="dxa"/>
            <w:tcBorders>
              <w:top w:val="single" w:color="auto" w:sz="4" w:space="0"/>
              <w:left w:val="nil"/>
              <w:bottom w:val="single" w:color="auto" w:sz="4" w:space="0"/>
              <w:right w:val="single" w:color="auto" w:sz="4" w:space="0"/>
            </w:tcBorders>
            <w:vAlign w:val="center"/>
          </w:tcPr>
          <w:p w14:paraId="576D21D1">
            <w:pPr>
              <w:spacing w:line="360" w:lineRule="auto"/>
              <w:jc w:val="center"/>
              <w:rPr>
                <w:rFonts w:ascii="宋体" w:hAnsi="宋体" w:eastAsia="宋体" w:cs="Calibri"/>
                <w:strike/>
                <w:color w:val="auto"/>
                <w:sz w:val="21"/>
                <w:szCs w:val="21"/>
                <w:highlight w:val="none"/>
              </w:rPr>
            </w:pPr>
          </w:p>
        </w:tc>
        <w:tc>
          <w:tcPr>
            <w:tcW w:w="2232" w:type="dxa"/>
            <w:vMerge w:val="restart"/>
            <w:tcBorders>
              <w:top w:val="single" w:color="auto" w:sz="4" w:space="0"/>
              <w:left w:val="nil"/>
              <w:right w:val="single" w:color="auto" w:sz="4" w:space="0"/>
            </w:tcBorders>
            <w:vAlign w:val="center"/>
          </w:tcPr>
          <w:p w14:paraId="3E7ED76F">
            <w:pPr>
              <w:spacing w:line="360" w:lineRule="auto"/>
              <w:rPr>
                <w:rFonts w:ascii="宋体" w:hAnsi="宋体" w:eastAsia="宋体" w:cs="Calibri"/>
                <w:b/>
                <w:bCs/>
                <w:strike/>
                <w:color w:val="auto"/>
                <w:sz w:val="21"/>
                <w:szCs w:val="21"/>
                <w:highlight w:val="none"/>
                <w:u w:val="single"/>
                <w:lang w:eastAsia="zh-CN"/>
              </w:rPr>
            </w:pPr>
            <w:r>
              <w:rPr>
                <w:rFonts w:hint="eastAsia" w:ascii="宋体" w:hAnsi="宋体" w:eastAsia="宋体" w:cs="Calibri"/>
                <w:b/>
                <w:bCs/>
                <w:strike/>
                <w:color w:val="auto"/>
                <w:sz w:val="21"/>
                <w:szCs w:val="21"/>
                <w:highlight w:val="none"/>
                <w:u w:val="single"/>
                <w:lang w:eastAsia="zh-CN"/>
              </w:rPr>
              <w:t>投标报价不能超过最高投标限价XXX万元</w:t>
            </w:r>
          </w:p>
        </w:tc>
      </w:tr>
      <w:tr w14:paraId="1151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0DF6F515">
            <w:pPr>
              <w:spacing w:line="360" w:lineRule="auto"/>
              <w:jc w:val="center"/>
              <w:rPr>
                <w:rFonts w:ascii="宋体" w:hAnsi="宋体" w:eastAsia="宋体" w:cs="宋体"/>
                <w:strike/>
                <w:color w:val="auto"/>
                <w:sz w:val="21"/>
                <w:szCs w:val="21"/>
                <w:highlight w:val="none"/>
                <w:lang w:eastAsia="zh-CN"/>
              </w:rPr>
            </w:pPr>
          </w:p>
        </w:tc>
        <w:tc>
          <w:tcPr>
            <w:tcW w:w="2308" w:type="dxa"/>
            <w:tcBorders>
              <w:top w:val="single" w:color="auto" w:sz="4" w:space="0"/>
              <w:left w:val="nil"/>
              <w:bottom w:val="single" w:color="auto" w:sz="4" w:space="0"/>
              <w:right w:val="single" w:color="auto" w:sz="4" w:space="0"/>
            </w:tcBorders>
            <w:vAlign w:val="center"/>
          </w:tcPr>
          <w:p w14:paraId="38F2C13B">
            <w:pPr>
              <w:spacing w:line="360" w:lineRule="auto"/>
              <w:rPr>
                <w:rFonts w:ascii="宋体" w:hAnsi="宋体" w:eastAsia="宋体" w:cs="宋体"/>
                <w:strike/>
                <w:color w:val="auto"/>
                <w:sz w:val="21"/>
                <w:szCs w:val="21"/>
                <w:highlight w:val="none"/>
                <w:lang w:eastAsia="zh-CN"/>
              </w:rPr>
            </w:pPr>
          </w:p>
        </w:tc>
        <w:tc>
          <w:tcPr>
            <w:tcW w:w="1632" w:type="dxa"/>
            <w:tcBorders>
              <w:top w:val="single" w:color="auto" w:sz="4" w:space="0"/>
              <w:left w:val="nil"/>
              <w:bottom w:val="single" w:color="auto" w:sz="4" w:space="0"/>
              <w:right w:val="single" w:color="auto" w:sz="4" w:space="0"/>
            </w:tcBorders>
            <w:vAlign w:val="center"/>
          </w:tcPr>
          <w:p w14:paraId="3DD299DA">
            <w:pPr>
              <w:spacing w:line="360" w:lineRule="auto"/>
              <w:jc w:val="center"/>
              <w:rPr>
                <w:rFonts w:ascii="宋体" w:hAnsi="宋体" w:eastAsia="宋体"/>
                <w:strike/>
                <w:color w:val="auto"/>
                <w:sz w:val="21"/>
                <w:szCs w:val="21"/>
                <w:highlight w:val="none"/>
                <w:lang w:eastAsia="zh-CN"/>
              </w:rPr>
            </w:pPr>
          </w:p>
        </w:tc>
        <w:tc>
          <w:tcPr>
            <w:tcW w:w="1216" w:type="dxa"/>
            <w:tcBorders>
              <w:top w:val="single" w:color="auto" w:sz="4" w:space="0"/>
              <w:left w:val="nil"/>
              <w:bottom w:val="single" w:color="auto" w:sz="4" w:space="0"/>
              <w:right w:val="single" w:color="auto" w:sz="4" w:space="0"/>
            </w:tcBorders>
            <w:vAlign w:val="center"/>
          </w:tcPr>
          <w:p w14:paraId="3ECEC180">
            <w:pPr>
              <w:spacing w:line="360" w:lineRule="auto"/>
              <w:jc w:val="center"/>
              <w:rPr>
                <w:rFonts w:ascii="宋体" w:hAnsi="宋体" w:eastAsia="宋体" w:cs="Calibri"/>
                <w:strike/>
                <w:color w:val="auto"/>
                <w:sz w:val="21"/>
                <w:szCs w:val="21"/>
                <w:highlight w:val="none"/>
                <w:lang w:eastAsia="zh-CN"/>
              </w:rPr>
            </w:pPr>
          </w:p>
        </w:tc>
        <w:tc>
          <w:tcPr>
            <w:tcW w:w="909" w:type="dxa"/>
            <w:tcBorders>
              <w:top w:val="single" w:color="auto" w:sz="4" w:space="0"/>
              <w:left w:val="nil"/>
              <w:bottom w:val="single" w:color="auto" w:sz="4" w:space="0"/>
              <w:right w:val="single" w:color="auto" w:sz="4" w:space="0"/>
            </w:tcBorders>
            <w:vAlign w:val="center"/>
          </w:tcPr>
          <w:p w14:paraId="575A652A">
            <w:pPr>
              <w:spacing w:line="360" w:lineRule="auto"/>
              <w:jc w:val="center"/>
              <w:rPr>
                <w:rFonts w:ascii="宋体" w:hAnsi="宋体" w:eastAsia="宋体" w:cs="Calibri"/>
                <w:strike/>
                <w:color w:val="auto"/>
                <w:sz w:val="21"/>
                <w:szCs w:val="21"/>
                <w:highlight w:val="none"/>
                <w:lang w:eastAsia="zh-CN"/>
              </w:rPr>
            </w:pPr>
          </w:p>
        </w:tc>
        <w:tc>
          <w:tcPr>
            <w:tcW w:w="2232" w:type="dxa"/>
            <w:vMerge w:val="continue"/>
            <w:tcBorders>
              <w:left w:val="nil"/>
              <w:right w:val="single" w:color="auto" w:sz="4" w:space="0"/>
            </w:tcBorders>
            <w:vAlign w:val="center"/>
          </w:tcPr>
          <w:p w14:paraId="7A192F83">
            <w:pPr>
              <w:spacing w:line="360" w:lineRule="auto"/>
              <w:rPr>
                <w:rFonts w:ascii="宋体" w:hAnsi="宋体" w:eastAsia="宋体" w:cs="宋体"/>
                <w:strike/>
                <w:color w:val="auto"/>
                <w:sz w:val="21"/>
                <w:szCs w:val="21"/>
                <w:highlight w:val="none"/>
                <w:lang w:eastAsia="zh-CN"/>
              </w:rPr>
            </w:pPr>
          </w:p>
        </w:tc>
      </w:tr>
      <w:tr w14:paraId="2549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32DFBE41">
            <w:pPr>
              <w:spacing w:line="360" w:lineRule="auto"/>
              <w:jc w:val="center"/>
              <w:rPr>
                <w:rFonts w:ascii="宋体" w:hAnsi="宋体" w:eastAsia="宋体" w:cs="宋体"/>
                <w:strike/>
                <w:color w:val="auto"/>
                <w:sz w:val="21"/>
                <w:szCs w:val="21"/>
                <w:highlight w:val="none"/>
                <w:lang w:eastAsia="zh-CN"/>
              </w:rPr>
            </w:pPr>
          </w:p>
        </w:tc>
        <w:tc>
          <w:tcPr>
            <w:tcW w:w="2308" w:type="dxa"/>
            <w:tcBorders>
              <w:top w:val="single" w:color="auto" w:sz="4" w:space="0"/>
              <w:left w:val="nil"/>
              <w:bottom w:val="single" w:color="auto" w:sz="4" w:space="0"/>
              <w:right w:val="single" w:color="auto" w:sz="4" w:space="0"/>
            </w:tcBorders>
            <w:vAlign w:val="center"/>
          </w:tcPr>
          <w:p w14:paraId="60A4B35D">
            <w:pPr>
              <w:spacing w:line="360" w:lineRule="auto"/>
              <w:rPr>
                <w:rFonts w:ascii="宋体" w:hAnsi="宋体" w:eastAsia="宋体" w:cs="宋体"/>
                <w:strike/>
                <w:color w:val="auto"/>
                <w:sz w:val="21"/>
                <w:szCs w:val="21"/>
                <w:highlight w:val="none"/>
                <w:lang w:eastAsia="zh-CN"/>
              </w:rPr>
            </w:pPr>
            <w:r>
              <w:rPr>
                <w:rFonts w:hint="eastAsia" w:ascii="宋体" w:hAnsi="宋体" w:eastAsia="宋体" w:cs="宋体"/>
                <w:strike/>
                <w:color w:val="auto"/>
                <w:sz w:val="21"/>
                <w:szCs w:val="21"/>
                <w:highlight w:val="none"/>
                <w:lang w:eastAsia="zh-CN"/>
              </w:rPr>
              <w:t>……</w:t>
            </w:r>
          </w:p>
        </w:tc>
        <w:tc>
          <w:tcPr>
            <w:tcW w:w="1632" w:type="dxa"/>
            <w:tcBorders>
              <w:top w:val="single" w:color="auto" w:sz="4" w:space="0"/>
              <w:left w:val="nil"/>
              <w:bottom w:val="single" w:color="auto" w:sz="4" w:space="0"/>
              <w:right w:val="single" w:color="auto" w:sz="4" w:space="0"/>
            </w:tcBorders>
            <w:vAlign w:val="center"/>
          </w:tcPr>
          <w:p w14:paraId="0DC69D9F">
            <w:pPr>
              <w:spacing w:line="360" w:lineRule="auto"/>
              <w:jc w:val="center"/>
              <w:rPr>
                <w:rFonts w:ascii="宋体" w:hAnsi="宋体" w:eastAsia="宋体"/>
                <w:strike/>
                <w:color w:val="auto"/>
                <w:sz w:val="21"/>
                <w:szCs w:val="21"/>
                <w:highlight w:val="none"/>
                <w:lang w:eastAsia="zh-CN"/>
              </w:rPr>
            </w:pPr>
          </w:p>
        </w:tc>
        <w:tc>
          <w:tcPr>
            <w:tcW w:w="1216" w:type="dxa"/>
            <w:tcBorders>
              <w:top w:val="single" w:color="auto" w:sz="4" w:space="0"/>
              <w:left w:val="nil"/>
              <w:bottom w:val="single" w:color="auto" w:sz="4" w:space="0"/>
              <w:right w:val="single" w:color="auto" w:sz="4" w:space="0"/>
            </w:tcBorders>
            <w:vAlign w:val="center"/>
          </w:tcPr>
          <w:p w14:paraId="23CB847F">
            <w:pPr>
              <w:spacing w:line="360" w:lineRule="auto"/>
              <w:jc w:val="center"/>
              <w:rPr>
                <w:rFonts w:ascii="宋体" w:hAnsi="宋体" w:eastAsia="宋体" w:cs="Calibri"/>
                <w:strike/>
                <w:color w:val="auto"/>
                <w:sz w:val="21"/>
                <w:szCs w:val="21"/>
                <w:highlight w:val="none"/>
              </w:rPr>
            </w:pPr>
          </w:p>
        </w:tc>
        <w:tc>
          <w:tcPr>
            <w:tcW w:w="909" w:type="dxa"/>
            <w:tcBorders>
              <w:top w:val="single" w:color="auto" w:sz="4" w:space="0"/>
              <w:left w:val="nil"/>
              <w:bottom w:val="single" w:color="auto" w:sz="4" w:space="0"/>
              <w:right w:val="single" w:color="auto" w:sz="4" w:space="0"/>
            </w:tcBorders>
            <w:vAlign w:val="center"/>
          </w:tcPr>
          <w:p w14:paraId="0833A49B">
            <w:pPr>
              <w:spacing w:line="360" w:lineRule="auto"/>
              <w:jc w:val="center"/>
              <w:rPr>
                <w:rFonts w:ascii="宋体" w:hAnsi="宋体" w:eastAsia="宋体" w:cs="Calibri"/>
                <w:strike/>
                <w:color w:val="auto"/>
                <w:sz w:val="21"/>
                <w:szCs w:val="21"/>
                <w:highlight w:val="none"/>
              </w:rPr>
            </w:pPr>
          </w:p>
        </w:tc>
        <w:tc>
          <w:tcPr>
            <w:tcW w:w="2232" w:type="dxa"/>
            <w:vMerge w:val="continue"/>
            <w:tcBorders>
              <w:left w:val="nil"/>
              <w:right w:val="single" w:color="auto" w:sz="4" w:space="0"/>
            </w:tcBorders>
            <w:vAlign w:val="center"/>
          </w:tcPr>
          <w:p w14:paraId="03C5817E">
            <w:pPr>
              <w:spacing w:line="360" w:lineRule="auto"/>
              <w:rPr>
                <w:rFonts w:ascii="宋体" w:hAnsi="宋体" w:eastAsia="宋体" w:cs="宋体"/>
                <w:strike/>
                <w:color w:val="auto"/>
                <w:sz w:val="21"/>
                <w:szCs w:val="21"/>
                <w:highlight w:val="none"/>
                <w:lang w:eastAsia="zh-CN"/>
              </w:rPr>
            </w:pPr>
          </w:p>
        </w:tc>
      </w:tr>
      <w:tr w14:paraId="1873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465E0FB4">
            <w:pPr>
              <w:spacing w:line="360" w:lineRule="auto"/>
              <w:jc w:val="center"/>
              <w:rPr>
                <w:rFonts w:ascii="宋体" w:hAnsi="宋体" w:eastAsia="宋体" w:cs="宋体"/>
                <w:strike/>
                <w:color w:val="auto"/>
                <w:sz w:val="21"/>
                <w:szCs w:val="21"/>
                <w:highlight w:val="none"/>
                <w:lang w:eastAsia="zh-CN"/>
              </w:rPr>
            </w:pPr>
          </w:p>
        </w:tc>
        <w:tc>
          <w:tcPr>
            <w:tcW w:w="2308" w:type="dxa"/>
            <w:tcBorders>
              <w:top w:val="single" w:color="auto" w:sz="4" w:space="0"/>
              <w:left w:val="nil"/>
              <w:bottom w:val="single" w:color="auto" w:sz="4" w:space="0"/>
              <w:right w:val="single" w:color="auto" w:sz="4" w:space="0"/>
            </w:tcBorders>
            <w:vAlign w:val="center"/>
          </w:tcPr>
          <w:p w14:paraId="04D40E56">
            <w:pPr>
              <w:spacing w:line="360" w:lineRule="auto"/>
              <w:rPr>
                <w:rFonts w:ascii="宋体" w:hAnsi="宋体" w:eastAsia="宋体" w:cs="宋体"/>
                <w:strike/>
                <w:color w:val="auto"/>
                <w:sz w:val="21"/>
                <w:szCs w:val="21"/>
                <w:highlight w:val="none"/>
                <w:lang w:eastAsia="zh-CN"/>
              </w:rPr>
            </w:pPr>
          </w:p>
        </w:tc>
        <w:tc>
          <w:tcPr>
            <w:tcW w:w="1632" w:type="dxa"/>
            <w:tcBorders>
              <w:top w:val="single" w:color="auto" w:sz="4" w:space="0"/>
              <w:left w:val="nil"/>
              <w:bottom w:val="single" w:color="auto" w:sz="4" w:space="0"/>
              <w:right w:val="single" w:color="auto" w:sz="4" w:space="0"/>
            </w:tcBorders>
            <w:vAlign w:val="center"/>
          </w:tcPr>
          <w:p w14:paraId="0C9B8F30">
            <w:pPr>
              <w:spacing w:line="360" w:lineRule="auto"/>
              <w:jc w:val="center"/>
              <w:rPr>
                <w:rFonts w:ascii="宋体" w:hAnsi="宋体" w:eastAsia="宋体"/>
                <w:strike/>
                <w:color w:val="auto"/>
                <w:sz w:val="21"/>
                <w:szCs w:val="21"/>
                <w:highlight w:val="none"/>
                <w:lang w:eastAsia="zh-CN"/>
              </w:rPr>
            </w:pPr>
          </w:p>
        </w:tc>
        <w:tc>
          <w:tcPr>
            <w:tcW w:w="1216" w:type="dxa"/>
            <w:tcBorders>
              <w:top w:val="single" w:color="auto" w:sz="4" w:space="0"/>
              <w:left w:val="nil"/>
              <w:bottom w:val="single" w:color="auto" w:sz="4" w:space="0"/>
              <w:right w:val="single" w:color="auto" w:sz="4" w:space="0"/>
            </w:tcBorders>
            <w:vAlign w:val="center"/>
          </w:tcPr>
          <w:p w14:paraId="20A43E96">
            <w:pPr>
              <w:spacing w:line="360" w:lineRule="auto"/>
              <w:jc w:val="center"/>
              <w:rPr>
                <w:rFonts w:ascii="宋体" w:hAnsi="宋体" w:eastAsia="宋体" w:cs="Calibri"/>
                <w:strike/>
                <w:color w:val="auto"/>
                <w:sz w:val="21"/>
                <w:szCs w:val="21"/>
                <w:highlight w:val="none"/>
              </w:rPr>
            </w:pPr>
          </w:p>
        </w:tc>
        <w:tc>
          <w:tcPr>
            <w:tcW w:w="909" w:type="dxa"/>
            <w:tcBorders>
              <w:top w:val="single" w:color="auto" w:sz="4" w:space="0"/>
              <w:left w:val="nil"/>
              <w:bottom w:val="single" w:color="auto" w:sz="4" w:space="0"/>
              <w:right w:val="single" w:color="auto" w:sz="4" w:space="0"/>
            </w:tcBorders>
            <w:vAlign w:val="center"/>
          </w:tcPr>
          <w:p w14:paraId="6326FB77">
            <w:pPr>
              <w:spacing w:line="360" w:lineRule="auto"/>
              <w:jc w:val="center"/>
              <w:rPr>
                <w:rFonts w:ascii="宋体" w:hAnsi="宋体" w:eastAsia="宋体" w:cs="Calibri"/>
                <w:strike/>
                <w:color w:val="auto"/>
                <w:sz w:val="21"/>
                <w:szCs w:val="21"/>
                <w:highlight w:val="none"/>
              </w:rPr>
            </w:pPr>
          </w:p>
        </w:tc>
        <w:tc>
          <w:tcPr>
            <w:tcW w:w="2232" w:type="dxa"/>
            <w:vMerge w:val="continue"/>
            <w:tcBorders>
              <w:left w:val="nil"/>
              <w:right w:val="single" w:color="auto" w:sz="4" w:space="0"/>
            </w:tcBorders>
            <w:vAlign w:val="center"/>
          </w:tcPr>
          <w:p w14:paraId="064D5AF2">
            <w:pPr>
              <w:spacing w:line="360" w:lineRule="auto"/>
              <w:rPr>
                <w:rFonts w:ascii="宋体" w:hAnsi="宋体" w:eastAsia="宋体" w:cs="宋体"/>
                <w:strike/>
                <w:color w:val="auto"/>
                <w:sz w:val="21"/>
                <w:szCs w:val="21"/>
                <w:highlight w:val="none"/>
                <w:lang w:eastAsia="zh-CN"/>
              </w:rPr>
            </w:pPr>
          </w:p>
        </w:tc>
      </w:tr>
      <w:tr w14:paraId="4660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3047" w:type="dxa"/>
            <w:gridSpan w:val="2"/>
            <w:tcBorders>
              <w:top w:val="single" w:color="auto" w:sz="4" w:space="0"/>
              <w:left w:val="single" w:color="auto" w:sz="4" w:space="0"/>
              <w:bottom w:val="single" w:color="auto" w:sz="4" w:space="0"/>
              <w:right w:val="single" w:color="auto" w:sz="4" w:space="0"/>
            </w:tcBorders>
            <w:vAlign w:val="center"/>
          </w:tcPr>
          <w:p w14:paraId="595E1F6E">
            <w:pPr>
              <w:spacing w:line="360" w:lineRule="auto"/>
              <w:jc w:val="center"/>
              <w:rPr>
                <w:rFonts w:ascii="宋体" w:hAnsi="宋体" w:eastAsia="宋体" w:cs="宋体"/>
                <w:strike/>
                <w:color w:val="auto"/>
                <w:sz w:val="21"/>
                <w:szCs w:val="21"/>
                <w:highlight w:val="none"/>
                <w:lang w:eastAsia="zh-CN"/>
              </w:rPr>
            </w:pPr>
            <w:r>
              <w:rPr>
                <w:rFonts w:ascii="宋体" w:hAnsi="宋体" w:eastAsia="宋体" w:cs="宋体"/>
                <w:strike/>
                <w:color w:val="auto"/>
                <w:sz w:val="21"/>
                <w:szCs w:val="21"/>
                <w:highlight w:val="none"/>
                <w:lang w:eastAsia="zh-CN"/>
              </w:rPr>
              <w:t>工程设计费</w:t>
            </w:r>
            <w:r>
              <w:rPr>
                <w:rFonts w:hint="eastAsia" w:ascii="宋体" w:hAnsi="宋体" w:eastAsia="宋体" w:cs="仿宋_GB2312"/>
                <w:strike/>
                <w:color w:val="auto"/>
                <w:szCs w:val="21"/>
                <w:highlight w:val="none"/>
                <w:lang w:eastAsia="zh-CN"/>
              </w:rPr>
              <w:t>投标报价小计</w:t>
            </w:r>
          </w:p>
        </w:tc>
        <w:tc>
          <w:tcPr>
            <w:tcW w:w="1632" w:type="dxa"/>
            <w:tcBorders>
              <w:top w:val="single" w:color="auto" w:sz="4" w:space="0"/>
              <w:left w:val="nil"/>
              <w:bottom w:val="single" w:color="auto" w:sz="4" w:space="0"/>
              <w:right w:val="single" w:color="auto" w:sz="4" w:space="0"/>
            </w:tcBorders>
            <w:vAlign w:val="center"/>
          </w:tcPr>
          <w:p w14:paraId="5F3A2EC3">
            <w:pPr>
              <w:spacing w:line="360" w:lineRule="auto"/>
              <w:jc w:val="center"/>
              <w:rPr>
                <w:rFonts w:ascii="宋体" w:hAnsi="宋体" w:eastAsia="宋体"/>
                <w:strike/>
                <w:color w:val="auto"/>
                <w:sz w:val="21"/>
                <w:szCs w:val="21"/>
                <w:highlight w:val="none"/>
                <w:lang w:eastAsia="zh-CN"/>
              </w:rPr>
            </w:pPr>
          </w:p>
        </w:tc>
        <w:tc>
          <w:tcPr>
            <w:tcW w:w="1216" w:type="dxa"/>
            <w:tcBorders>
              <w:top w:val="single" w:color="auto" w:sz="4" w:space="0"/>
              <w:left w:val="nil"/>
              <w:bottom w:val="single" w:color="auto" w:sz="4" w:space="0"/>
              <w:right w:val="single" w:color="auto" w:sz="4" w:space="0"/>
            </w:tcBorders>
            <w:vAlign w:val="center"/>
          </w:tcPr>
          <w:p w14:paraId="004BEACD">
            <w:pPr>
              <w:spacing w:line="360" w:lineRule="auto"/>
              <w:jc w:val="center"/>
              <w:rPr>
                <w:rFonts w:ascii="宋体" w:hAnsi="宋体" w:eastAsia="宋体" w:cs="Calibri"/>
                <w:strike/>
                <w:color w:val="auto"/>
                <w:sz w:val="21"/>
                <w:szCs w:val="21"/>
                <w:highlight w:val="none"/>
                <w:lang w:eastAsia="zh-CN"/>
              </w:rPr>
            </w:pPr>
          </w:p>
        </w:tc>
        <w:tc>
          <w:tcPr>
            <w:tcW w:w="909" w:type="dxa"/>
            <w:tcBorders>
              <w:top w:val="single" w:color="auto" w:sz="4" w:space="0"/>
              <w:left w:val="nil"/>
              <w:bottom w:val="single" w:color="auto" w:sz="4" w:space="0"/>
              <w:right w:val="single" w:color="auto" w:sz="4" w:space="0"/>
            </w:tcBorders>
            <w:vAlign w:val="center"/>
          </w:tcPr>
          <w:p w14:paraId="28AE1823">
            <w:pPr>
              <w:spacing w:line="360" w:lineRule="auto"/>
              <w:jc w:val="center"/>
              <w:rPr>
                <w:rFonts w:ascii="宋体" w:hAnsi="宋体" w:eastAsia="宋体" w:cs="Calibri"/>
                <w:strike/>
                <w:color w:val="auto"/>
                <w:sz w:val="21"/>
                <w:szCs w:val="21"/>
                <w:highlight w:val="none"/>
                <w:lang w:eastAsia="zh-CN"/>
              </w:rPr>
            </w:pPr>
          </w:p>
        </w:tc>
        <w:tc>
          <w:tcPr>
            <w:tcW w:w="2232" w:type="dxa"/>
            <w:vMerge w:val="continue"/>
            <w:tcBorders>
              <w:left w:val="nil"/>
              <w:bottom w:val="single" w:color="auto" w:sz="4" w:space="0"/>
              <w:right w:val="single" w:color="auto" w:sz="4" w:space="0"/>
            </w:tcBorders>
            <w:vAlign w:val="center"/>
          </w:tcPr>
          <w:p w14:paraId="471009C9">
            <w:pPr>
              <w:spacing w:line="360" w:lineRule="auto"/>
              <w:rPr>
                <w:rFonts w:ascii="宋体" w:hAnsi="宋体" w:eastAsia="宋体" w:cs="宋体"/>
                <w:strike/>
                <w:color w:val="auto"/>
                <w:sz w:val="21"/>
                <w:szCs w:val="21"/>
                <w:highlight w:val="none"/>
                <w:lang w:eastAsia="zh-CN"/>
              </w:rPr>
            </w:pPr>
          </w:p>
        </w:tc>
      </w:tr>
    </w:tbl>
    <w:p w14:paraId="6F673A23">
      <w:pPr>
        <w:topLinePunct/>
        <w:adjustRightInd w:val="0"/>
        <w:snapToGrid w:val="0"/>
        <w:spacing w:before="240" w:line="360" w:lineRule="auto"/>
        <w:rPr>
          <w:rFonts w:ascii="宋体" w:hAnsi="宋体" w:eastAsia="宋体"/>
          <w:strike/>
          <w:color w:val="auto"/>
          <w:spacing w:val="4"/>
          <w:sz w:val="21"/>
          <w:szCs w:val="21"/>
          <w:highlight w:val="none"/>
          <w:lang w:eastAsia="zh-CN"/>
        </w:rPr>
      </w:pPr>
      <w:r>
        <w:rPr>
          <w:rFonts w:hint="eastAsia" w:ascii="宋体" w:hAnsi="宋体" w:eastAsia="宋体" w:cs="宋体"/>
          <w:strike/>
          <w:color w:val="auto"/>
          <w:spacing w:val="4"/>
          <w:sz w:val="21"/>
          <w:szCs w:val="21"/>
          <w:highlight w:val="none"/>
          <w:lang w:eastAsia="zh-CN"/>
        </w:rPr>
        <w:t>注：</w:t>
      </w:r>
      <w:r>
        <w:rPr>
          <w:rFonts w:hint="eastAsia" w:ascii="宋体" w:hAnsi="宋体" w:eastAsia="宋体"/>
          <w:strike/>
          <w:color w:val="auto"/>
          <w:spacing w:val="4"/>
          <w:sz w:val="21"/>
          <w:szCs w:val="21"/>
          <w:highlight w:val="none"/>
          <w:lang w:eastAsia="zh-CN"/>
        </w:rPr>
        <w:t>1</w:t>
      </w:r>
      <w:r>
        <w:rPr>
          <w:rFonts w:hint="eastAsia" w:ascii="宋体" w:hAnsi="宋体" w:eastAsia="宋体" w:cs="宋体"/>
          <w:strike/>
          <w:color w:val="auto"/>
          <w:spacing w:val="4"/>
          <w:sz w:val="21"/>
          <w:szCs w:val="21"/>
          <w:highlight w:val="none"/>
          <w:lang w:eastAsia="zh-CN"/>
        </w:rPr>
        <w:t>、工程设计费的具体结算原则详见合同条款的约定。项目实施过程中，中标的费率不作调整。</w:t>
      </w:r>
    </w:p>
    <w:p w14:paraId="7EA44379">
      <w:pPr>
        <w:topLinePunct/>
        <w:adjustRightInd w:val="0"/>
        <w:snapToGrid w:val="0"/>
        <w:spacing w:line="360" w:lineRule="auto"/>
        <w:rPr>
          <w:rFonts w:ascii="宋体" w:hAnsi="宋体" w:eastAsia="宋体"/>
          <w:strike/>
          <w:color w:val="auto"/>
          <w:sz w:val="21"/>
          <w:szCs w:val="21"/>
          <w:highlight w:val="none"/>
          <w:lang w:eastAsia="zh-CN"/>
        </w:rPr>
      </w:pPr>
      <w:r>
        <w:rPr>
          <w:rFonts w:hint="eastAsia" w:ascii="宋体" w:hAnsi="宋体" w:eastAsia="宋体"/>
          <w:strike/>
          <w:color w:val="auto"/>
          <w:spacing w:val="4"/>
          <w:sz w:val="21"/>
          <w:szCs w:val="21"/>
          <w:highlight w:val="none"/>
          <w:lang w:eastAsia="zh-CN"/>
        </w:rPr>
        <w:t>2</w:t>
      </w:r>
      <w:r>
        <w:rPr>
          <w:rFonts w:hint="eastAsia" w:ascii="宋体" w:hAnsi="宋体" w:eastAsia="宋体" w:cs="宋体"/>
          <w:strike/>
          <w:color w:val="auto"/>
          <w:spacing w:val="4"/>
          <w:sz w:val="21"/>
          <w:szCs w:val="21"/>
          <w:highlight w:val="none"/>
          <w:lang w:eastAsia="zh-CN"/>
        </w:rPr>
        <w:t>、经算术复核的投标人报价与其投标报价不一致时，按就低不就高原则确定其最终报价。如修正后</w:t>
      </w:r>
      <w:r>
        <w:rPr>
          <w:rFonts w:hint="eastAsia" w:ascii="宋体" w:hAnsi="宋体" w:eastAsia="宋体" w:cs="宋体"/>
          <w:strike/>
          <w:color w:val="auto"/>
          <w:sz w:val="21"/>
          <w:szCs w:val="21"/>
          <w:highlight w:val="none"/>
          <w:lang w:eastAsia="zh-CN"/>
        </w:rPr>
        <w:t>的投标报价超出相应的最高投标限价，则由评标委员会作废标处理。</w:t>
      </w:r>
    </w:p>
    <w:p w14:paraId="7FAC5463">
      <w:pPr>
        <w:spacing w:line="360" w:lineRule="auto"/>
        <w:rPr>
          <w:rFonts w:ascii="宋体" w:hAnsi="宋体" w:eastAsia="宋体" w:cs="宋体"/>
          <w:strike/>
          <w:color w:val="auto"/>
          <w:sz w:val="21"/>
          <w:szCs w:val="21"/>
          <w:highlight w:val="none"/>
          <w:lang w:eastAsia="zh-CN"/>
        </w:rPr>
      </w:pPr>
      <w:r>
        <w:rPr>
          <w:rFonts w:hint="eastAsia" w:ascii="宋体" w:hAnsi="宋体" w:eastAsia="宋体"/>
          <w:strike/>
          <w:color w:val="auto"/>
          <w:sz w:val="21"/>
          <w:szCs w:val="21"/>
          <w:highlight w:val="none"/>
          <w:lang w:eastAsia="zh-CN"/>
        </w:rPr>
        <w:t>3</w:t>
      </w:r>
      <w:r>
        <w:rPr>
          <w:rFonts w:hint="eastAsia" w:ascii="宋体" w:hAnsi="宋体" w:eastAsia="宋体" w:cs="宋体"/>
          <w:strike/>
          <w:color w:val="auto"/>
          <w:sz w:val="21"/>
          <w:szCs w:val="21"/>
          <w:highlight w:val="none"/>
          <w:lang w:eastAsia="zh-CN"/>
        </w:rPr>
        <w:t>、按上述修正错误的原则及方法调整或修正投标文件的投标总报价，调整后的投标总报价对投标人起约束作用。如果投标人不接受修正后的报价，则取消其投标资格。</w:t>
      </w:r>
    </w:p>
    <w:p w14:paraId="06DDC4A0">
      <w:pPr>
        <w:spacing w:line="360" w:lineRule="auto"/>
        <w:rPr>
          <w:rFonts w:ascii="宋体" w:hAnsi="宋体" w:eastAsia="宋体" w:cs="宋体"/>
          <w:color w:val="auto"/>
          <w:sz w:val="21"/>
          <w:szCs w:val="21"/>
          <w:highlight w:val="none"/>
          <w:lang w:eastAsia="zh-CN"/>
        </w:rPr>
      </w:pPr>
    </w:p>
    <w:p w14:paraId="2AD0ABE3">
      <w:pPr>
        <w:spacing w:line="360" w:lineRule="auto"/>
        <w:rPr>
          <w:rFonts w:ascii="宋体" w:hAnsi="宋体" w:eastAsia="宋体"/>
          <w:color w:val="auto"/>
          <w:sz w:val="21"/>
          <w:szCs w:val="21"/>
          <w:highlight w:val="none"/>
          <w:lang w:eastAsia="zh-CN"/>
        </w:rPr>
      </w:pPr>
    </w:p>
    <w:p w14:paraId="6831C39D">
      <w:pPr>
        <w:pStyle w:val="8"/>
        <w:kinsoku w:val="0"/>
        <w:overflowPunct w:val="0"/>
        <w:spacing w:line="360" w:lineRule="auto"/>
        <w:ind w:left="0" w:firstLine="2891" w:firstLineChars="1200"/>
        <w:rPr>
          <w:b/>
          <w:strike/>
          <w:color w:val="auto"/>
          <w:sz w:val="24"/>
          <w:szCs w:val="24"/>
          <w:highlight w:val="none"/>
          <w:lang w:eastAsia="zh-CN"/>
        </w:rPr>
      </w:pPr>
      <w:r>
        <w:rPr>
          <w:rFonts w:hint="eastAsia"/>
          <w:b/>
          <w:strike/>
          <w:color w:val="auto"/>
          <w:sz w:val="24"/>
          <w:szCs w:val="24"/>
          <w:highlight w:val="none"/>
          <w:lang w:eastAsia="zh-CN"/>
        </w:rPr>
        <w:t>投标</w:t>
      </w:r>
      <w:r>
        <w:rPr>
          <w:rFonts w:hint="eastAsia"/>
          <w:b/>
          <w:strike/>
          <w:color w:val="auto"/>
          <w:spacing w:val="-2"/>
          <w:sz w:val="24"/>
          <w:szCs w:val="24"/>
          <w:highlight w:val="none"/>
          <w:lang w:eastAsia="zh-CN"/>
        </w:rPr>
        <w:t>人：</w:t>
      </w:r>
      <w:r>
        <w:rPr>
          <w:rFonts w:hint="eastAsia"/>
          <w:b/>
          <w:strike/>
          <w:color w:val="auto"/>
          <w:spacing w:val="-2"/>
          <w:sz w:val="24"/>
          <w:szCs w:val="24"/>
          <w:highlight w:val="none"/>
          <w:u w:val="single"/>
          <w:lang w:eastAsia="zh-CN"/>
        </w:rPr>
        <w:t xml:space="preserve">      </w:t>
      </w:r>
      <w:r>
        <w:rPr>
          <w:rFonts w:hint="eastAsia"/>
          <w:b/>
          <w:strike/>
          <w:color w:val="auto"/>
          <w:spacing w:val="-1"/>
          <w:sz w:val="24"/>
          <w:szCs w:val="24"/>
          <w:highlight w:val="none"/>
          <w:lang w:eastAsia="zh-CN"/>
        </w:rPr>
        <w:t>（盖单位章）</w:t>
      </w:r>
    </w:p>
    <w:p w14:paraId="1F13F17E">
      <w:pPr>
        <w:spacing w:line="360" w:lineRule="auto"/>
        <w:ind w:firstLine="2891" w:firstLineChars="1200"/>
        <w:rPr>
          <w:rFonts w:ascii="宋体" w:hAnsi="宋体" w:eastAsia="宋体"/>
          <w:b/>
          <w:bCs/>
          <w:strike/>
          <w:color w:val="auto"/>
          <w:sz w:val="24"/>
          <w:szCs w:val="24"/>
          <w:highlight w:val="none"/>
          <w:lang w:eastAsia="zh-CN"/>
        </w:rPr>
      </w:pPr>
      <w:r>
        <w:rPr>
          <w:rFonts w:hint="eastAsia" w:ascii="宋体" w:hAnsi="宋体" w:eastAsia="宋体"/>
          <w:b/>
          <w:bCs/>
          <w:strike/>
          <w:color w:val="auto"/>
          <w:sz w:val="24"/>
          <w:szCs w:val="24"/>
          <w:highlight w:val="none"/>
          <w:lang w:eastAsia="zh-CN"/>
        </w:rPr>
        <w:t>法定代表人或其委托代理人：</w:t>
      </w:r>
      <w:r>
        <w:rPr>
          <w:rFonts w:hint="eastAsia" w:ascii="宋体" w:hAnsi="宋体" w:eastAsia="宋体"/>
          <w:b/>
          <w:bCs/>
          <w:strike/>
          <w:color w:val="auto"/>
          <w:sz w:val="24"/>
          <w:szCs w:val="24"/>
          <w:highlight w:val="none"/>
          <w:u w:val="single"/>
          <w:lang w:eastAsia="zh-CN"/>
        </w:rPr>
        <w:t xml:space="preserve">     </w:t>
      </w:r>
      <w:r>
        <w:rPr>
          <w:rFonts w:hint="eastAsia" w:ascii="宋体" w:hAnsi="宋体" w:eastAsia="宋体"/>
          <w:b/>
          <w:bCs/>
          <w:strike/>
          <w:color w:val="auto"/>
          <w:sz w:val="24"/>
          <w:szCs w:val="24"/>
          <w:highlight w:val="none"/>
          <w:lang w:eastAsia="zh-CN"/>
        </w:rPr>
        <w:t>（签字或盖章）</w:t>
      </w:r>
    </w:p>
    <w:p w14:paraId="40519D0B">
      <w:pPr>
        <w:spacing w:line="360" w:lineRule="auto"/>
        <w:ind w:firstLine="2891" w:firstLineChars="1200"/>
        <w:rPr>
          <w:rFonts w:ascii="宋体" w:hAnsi="宋体" w:eastAsia="宋体"/>
          <w:b/>
          <w:strike/>
          <w:color w:val="auto"/>
          <w:sz w:val="24"/>
          <w:szCs w:val="24"/>
          <w:highlight w:val="none"/>
          <w:lang w:eastAsia="zh-CN"/>
        </w:rPr>
      </w:pPr>
      <w:r>
        <w:rPr>
          <w:rFonts w:hint="eastAsia" w:ascii="宋体" w:hAnsi="宋体" w:eastAsia="宋体"/>
          <w:b/>
          <w:strike/>
          <w:color w:val="auto"/>
          <w:sz w:val="24"/>
          <w:szCs w:val="24"/>
          <w:highlight w:val="none"/>
          <w:lang w:eastAsia="zh-CN"/>
        </w:rPr>
        <w:t>年</w:t>
      </w:r>
      <w:r>
        <w:rPr>
          <w:rFonts w:ascii="宋体" w:hAnsi="宋体" w:eastAsia="宋体"/>
          <w:b/>
          <w:strike/>
          <w:color w:val="auto"/>
          <w:sz w:val="24"/>
          <w:szCs w:val="24"/>
          <w:highlight w:val="none"/>
          <w:u w:val="single"/>
          <w:lang w:eastAsia="zh-CN"/>
        </w:rPr>
        <w:tab/>
      </w:r>
      <w:r>
        <w:rPr>
          <w:rFonts w:hint="eastAsia" w:ascii="宋体" w:hAnsi="宋体" w:eastAsia="宋体"/>
          <w:b/>
          <w:strike/>
          <w:color w:val="auto"/>
          <w:sz w:val="24"/>
          <w:szCs w:val="24"/>
          <w:highlight w:val="none"/>
          <w:lang w:eastAsia="zh-CN"/>
        </w:rPr>
        <w:t>月</w:t>
      </w:r>
      <w:r>
        <w:rPr>
          <w:rFonts w:ascii="宋体" w:hAnsi="宋体" w:eastAsia="宋体"/>
          <w:b/>
          <w:strike/>
          <w:color w:val="auto"/>
          <w:sz w:val="24"/>
          <w:szCs w:val="24"/>
          <w:highlight w:val="none"/>
          <w:u w:val="single"/>
          <w:lang w:eastAsia="zh-CN"/>
        </w:rPr>
        <w:tab/>
      </w:r>
      <w:r>
        <w:rPr>
          <w:rFonts w:hint="eastAsia" w:ascii="宋体" w:hAnsi="宋体" w:eastAsia="宋体"/>
          <w:b/>
          <w:strike/>
          <w:color w:val="auto"/>
          <w:sz w:val="24"/>
          <w:szCs w:val="24"/>
          <w:highlight w:val="none"/>
          <w:lang w:eastAsia="zh-CN"/>
        </w:rPr>
        <w:t>日</w:t>
      </w:r>
    </w:p>
    <w:p w14:paraId="611D7EE6">
      <w:pPr>
        <w:rPr>
          <w:rFonts w:ascii="宋体" w:hAnsi="宋体" w:eastAsia="宋体" w:cs="宋体"/>
          <w:strike/>
          <w:color w:val="auto"/>
          <w:sz w:val="21"/>
          <w:szCs w:val="21"/>
          <w:highlight w:val="none"/>
          <w:lang w:eastAsia="zh-CN"/>
        </w:rPr>
      </w:pPr>
    </w:p>
    <w:p w14:paraId="5BE73D05">
      <w:pPr>
        <w:jc w:val="center"/>
        <w:rPr>
          <w:rFonts w:ascii="宋体" w:hAnsi="宋体" w:eastAsia="宋体"/>
          <w:b/>
          <w:bCs/>
          <w:strike/>
          <w:color w:val="auto"/>
          <w:highlight w:val="none"/>
          <w:lang w:eastAsia="zh-CN"/>
        </w:rPr>
      </w:pPr>
      <w:r>
        <w:rPr>
          <w:rFonts w:ascii="宋体" w:hAnsi="宋体" w:eastAsia="宋体"/>
          <w:strike/>
          <w:color w:val="auto"/>
          <w:highlight w:val="none"/>
          <w:lang w:eastAsia="zh-CN"/>
        </w:rPr>
        <w:br w:type="page"/>
      </w:r>
    </w:p>
    <w:p w14:paraId="4E04032B">
      <w:pPr>
        <w:pStyle w:val="3"/>
        <w:spacing w:after="240"/>
        <w:rPr>
          <w:rFonts w:ascii="宋体" w:hAnsi="宋体" w:eastAsia="宋体"/>
          <w:color w:val="auto"/>
          <w:highlight w:val="none"/>
          <w:lang w:eastAsia="zh-CN"/>
        </w:rPr>
      </w:pPr>
      <w:bookmarkStart w:id="81" w:name="_Toc25072145"/>
      <w:r>
        <w:rPr>
          <w:rFonts w:hint="eastAsia" w:ascii="宋体" w:hAnsi="宋体" w:eastAsia="宋体"/>
          <w:color w:val="auto"/>
          <w:highlight w:val="none"/>
          <w:lang w:eastAsia="zh-CN"/>
        </w:rPr>
        <w:t xml:space="preserve">格式七 </w:t>
      </w:r>
      <w:bookmarkEnd w:id="81"/>
      <w:r>
        <w:rPr>
          <w:rFonts w:hint="eastAsia" w:ascii="宋体" w:hAnsi="宋体" w:eastAsia="宋体"/>
          <w:color w:val="auto"/>
          <w:highlight w:val="none"/>
          <w:lang w:eastAsia="zh-CN"/>
        </w:rPr>
        <w:t>本项目拟投入的人员基本情况表</w:t>
      </w:r>
    </w:p>
    <w:p w14:paraId="60E0ACF6">
      <w:pPr>
        <w:spacing w:after="240"/>
        <w:rPr>
          <w:rFonts w:ascii="宋体" w:hAnsi="宋体" w:eastAsia="宋体"/>
          <w:b/>
          <w:bCs/>
          <w:color w:val="auto"/>
          <w:sz w:val="32"/>
          <w:szCs w:val="32"/>
          <w:highlight w:val="none"/>
          <w:lang w:eastAsia="zh-CN"/>
        </w:rPr>
      </w:pPr>
      <w:r>
        <w:rPr>
          <w:rFonts w:hint="eastAsia" w:ascii="宋体" w:hAnsi="宋体" w:eastAsia="宋体"/>
          <w:color w:val="auto"/>
          <w:highlight w:val="none"/>
          <w:lang w:eastAsia="zh-CN"/>
        </w:rPr>
        <w:t>　　　　　　　　　　　</w:t>
      </w:r>
      <w:r>
        <w:rPr>
          <w:rFonts w:hint="eastAsia" w:ascii="宋体" w:hAnsi="宋体" w:eastAsia="宋体"/>
          <w:b/>
          <w:bCs/>
          <w:color w:val="auto"/>
          <w:sz w:val="32"/>
          <w:szCs w:val="32"/>
          <w:highlight w:val="none"/>
          <w:lang w:eastAsia="zh-CN"/>
        </w:rPr>
        <w:t>本项目拟投入的人员基本情况表</w:t>
      </w:r>
    </w:p>
    <w:tbl>
      <w:tblPr>
        <w:tblStyle w:val="22"/>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932"/>
        <w:gridCol w:w="616"/>
        <w:gridCol w:w="812"/>
        <w:gridCol w:w="606"/>
        <w:gridCol w:w="3547"/>
        <w:gridCol w:w="1131"/>
      </w:tblGrid>
      <w:tr w14:paraId="7AC7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70" w:type="dxa"/>
            <w:vAlign w:val="center"/>
          </w:tcPr>
          <w:p w14:paraId="0E0B7B23">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932" w:type="dxa"/>
            <w:vAlign w:val="center"/>
          </w:tcPr>
          <w:p w14:paraId="5D9E343D">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人员安排分工</w:t>
            </w:r>
          </w:p>
        </w:tc>
        <w:tc>
          <w:tcPr>
            <w:tcW w:w="616" w:type="dxa"/>
            <w:vAlign w:val="center"/>
          </w:tcPr>
          <w:p w14:paraId="5D058029">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812" w:type="dxa"/>
            <w:vAlign w:val="center"/>
          </w:tcPr>
          <w:p w14:paraId="095CA00A">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工龄（年）</w:t>
            </w:r>
          </w:p>
        </w:tc>
        <w:tc>
          <w:tcPr>
            <w:tcW w:w="606" w:type="dxa"/>
            <w:vAlign w:val="center"/>
          </w:tcPr>
          <w:p w14:paraId="43E22543">
            <w:pPr>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人数</w:t>
            </w:r>
          </w:p>
        </w:tc>
        <w:tc>
          <w:tcPr>
            <w:tcW w:w="3547" w:type="dxa"/>
            <w:vAlign w:val="center"/>
          </w:tcPr>
          <w:p w14:paraId="5DDE6E32">
            <w:pPr>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职务、执业资格、专业职称</w:t>
            </w:r>
          </w:p>
        </w:tc>
        <w:tc>
          <w:tcPr>
            <w:tcW w:w="1131" w:type="dxa"/>
            <w:vAlign w:val="center"/>
          </w:tcPr>
          <w:p w14:paraId="5B5B452F">
            <w:pPr>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已完成类似的项目</w:t>
            </w:r>
          </w:p>
        </w:tc>
      </w:tr>
      <w:tr w14:paraId="09F2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570" w:type="dxa"/>
            <w:vAlign w:val="center"/>
          </w:tcPr>
          <w:p w14:paraId="41F8DA09">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932" w:type="dxa"/>
            <w:vAlign w:val="center"/>
          </w:tcPr>
          <w:p w14:paraId="19FD9AFD">
            <w:pPr>
              <w:jc w:val="both"/>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项目负责人(设计负责人)</w:t>
            </w:r>
          </w:p>
        </w:tc>
        <w:tc>
          <w:tcPr>
            <w:tcW w:w="616" w:type="dxa"/>
            <w:vAlign w:val="center"/>
          </w:tcPr>
          <w:p w14:paraId="06A344DD">
            <w:pPr>
              <w:jc w:val="center"/>
              <w:rPr>
                <w:rFonts w:ascii="宋体" w:hAnsi="宋体" w:eastAsia="宋体" w:cs="宋体"/>
                <w:color w:val="auto"/>
                <w:sz w:val="21"/>
                <w:szCs w:val="21"/>
                <w:highlight w:val="none"/>
                <w:lang w:eastAsia="zh-CN"/>
              </w:rPr>
            </w:pPr>
          </w:p>
        </w:tc>
        <w:tc>
          <w:tcPr>
            <w:tcW w:w="812" w:type="dxa"/>
            <w:vAlign w:val="center"/>
          </w:tcPr>
          <w:p w14:paraId="2AD27BE8">
            <w:pPr>
              <w:jc w:val="center"/>
              <w:rPr>
                <w:rFonts w:ascii="宋体" w:hAnsi="宋体" w:eastAsia="宋体" w:cs="宋体"/>
                <w:color w:val="auto"/>
                <w:sz w:val="21"/>
                <w:szCs w:val="21"/>
                <w:highlight w:val="none"/>
                <w:lang w:eastAsia="zh-CN"/>
              </w:rPr>
            </w:pPr>
          </w:p>
        </w:tc>
        <w:tc>
          <w:tcPr>
            <w:tcW w:w="606" w:type="dxa"/>
            <w:vAlign w:val="center"/>
          </w:tcPr>
          <w:p w14:paraId="4AD7CC6B">
            <w:pPr>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w:t>
            </w:r>
          </w:p>
        </w:tc>
        <w:tc>
          <w:tcPr>
            <w:tcW w:w="3547" w:type="dxa"/>
            <w:vAlign w:val="center"/>
          </w:tcPr>
          <w:p w14:paraId="1264F255">
            <w:pPr>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满足招标公告要求</w:t>
            </w:r>
          </w:p>
        </w:tc>
        <w:tc>
          <w:tcPr>
            <w:tcW w:w="1131" w:type="dxa"/>
            <w:vAlign w:val="center"/>
          </w:tcPr>
          <w:p w14:paraId="58AD3278">
            <w:pPr>
              <w:jc w:val="center"/>
              <w:rPr>
                <w:rFonts w:ascii="宋体" w:hAnsi="宋体" w:eastAsia="宋体" w:cs="宋体"/>
                <w:color w:val="auto"/>
                <w:sz w:val="21"/>
                <w:szCs w:val="21"/>
                <w:highlight w:val="none"/>
              </w:rPr>
            </w:pPr>
          </w:p>
        </w:tc>
      </w:tr>
      <w:tr w14:paraId="1604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70" w:type="dxa"/>
            <w:vAlign w:val="center"/>
          </w:tcPr>
          <w:p w14:paraId="5AE80232">
            <w:pPr>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w:t>
            </w:r>
          </w:p>
        </w:tc>
        <w:tc>
          <w:tcPr>
            <w:tcW w:w="1932" w:type="dxa"/>
            <w:vAlign w:val="center"/>
          </w:tcPr>
          <w:p w14:paraId="2635E278">
            <w:pPr>
              <w:widowControl/>
              <w:spacing w:line="240" w:lineRule="exact"/>
              <w:jc w:val="both"/>
              <w:rPr>
                <w:rFonts w:ascii="宋体" w:hAnsi="宋体" w:eastAsia="宋体" w:cs="宋体"/>
                <w:color w:val="auto"/>
                <w:sz w:val="21"/>
                <w:szCs w:val="21"/>
                <w:highlight w:val="none"/>
                <w:lang w:eastAsia="zh-CN"/>
              </w:rPr>
            </w:pPr>
          </w:p>
        </w:tc>
        <w:tc>
          <w:tcPr>
            <w:tcW w:w="616" w:type="dxa"/>
            <w:vAlign w:val="center"/>
          </w:tcPr>
          <w:p w14:paraId="128CE85D">
            <w:pPr>
              <w:jc w:val="center"/>
              <w:rPr>
                <w:rFonts w:ascii="宋体" w:hAnsi="宋体" w:eastAsia="宋体" w:cs="宋体"/>
                <w:color w:val="auto"/>
                <w:sz w:val="21"/>
                <w:szCs w:val="21"/>
                <w:highlight w:val="none"/>
                <w:lang w:eastAsia="zh-CN"/>
              </w:rPr>
            </w:pPr>
          </w:p>
        </w:tc>
        <w:tc>
          <w:tcPr>
            <w:tcW w:w="812" w:type="dxa"/>
            <w:vAlign w:val="center"/>
          </w:tcPr>
          <w:p w14:paraId="4217CB38">
            <w:pPr>
              <w:jc w:val="center"/>
              <w:rPr>
                <w:rFonts w:ascii="宋体" w:hAnsi="宋体" w:eastAsia="宋体" w:cs="宋体"/>
                <w:color w:val="auto"/>
                <w:sz w:val="21"/>
                <w:szCs w:val="21"/>
                <w:highlight w:val="none"/>
                <w:lang w:eastAsia="zh-CN"/>
              </w:rPr>
            </w:pPr>
          </w:p>
        </w:tc>
        <w:tc>
          <w:tcPr>
            <w:tcW w:w="606" w:type="dxa"/>
            <w:vAlign w:val="center"/>
          </w:tcPr>
          <w:p w14:paraId="38632FA3">
            <w:pPr>
              <w:jc w:val="center"/>
              <w:rPr>
                <w:rFonts w:ascii="宋体" w:hAnsi="宋体" w:eastAsia="宋体" w:cs="宋体"/>
                <w:color w:val="auto"/>
                <w:sz w:val="21"/>
                <w:szCs w:val="21"/>
                <w:highlight w:val="none"/>
                <w:lang w:eastAsia="zh-CN"/>
              </w:rPr>
            </w:pPr>
          </w:p>
        </w:tc>
        <w:tc>
          <w:tcPr>
            <w:tcW w:w="3547" w:type="dxa"/>
            <w:vAlign w:val="center"/>
          </w:tcPr>
          <w:p w14:paraId="46122DCD">
            <w:pPr>
              <w:jc w:val="center"/>
              <w:rPr>
                <w:rFonts w:ascii="宋体" w:hAnsi="宋体" w:eastAsia="宋体" w:cs="宋体"/>
                <w:color w:val="auto"/>
                <w:sz w:val="21"/>
                <w:szCs w:val="21"/>
                <w:highlight w:val="none"/>
                <w:lang w:eastAsia="zh-CN"/>
              </w:rPr>
            </w:pPr>
          </w:p>
        </w:tc>
        <w:tc>
          <w:tcPr>
            <w:tcW w:w="1131" w:type="dxa"/>
            <w:vAlign w:val="center"/>
          </w:tcPr>
          <w:p w14:paraId="6CD5CB3F">
            <w:pPr>
              <w:jc w:val="center"/>
              <w:rPr>
                <w:rFonts w:ascii="宋体" w:hAnsi="宋体" w:eastAsia="宋体" w:cs="宋体"/>
                <w:color w:val="auto"/>
                <w:sz w:val="21"/>
                <w:szCs w:val="21"/>
                <w:highlight w:val="none"/>
                <w:lang w:eastAsia="zh-CN"/>
              </w:rPr>
            </w:pPr>
          </w:p>
        </w:tc>
      </w:tr>
      <w:tr w14:paraId="09DC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570" w:type="dxa"/>
            <w:vAlign w:val="center"/>
          </w:tcPr>
          <w:p w14:paraId="3B07956C">
            <w:pPr>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w:t>
            </w:r>
          </w:p>
        </w:tc>
        <w:tc>
          <w:tcPr>
            <w:tcW w:w="1932" w:type="dxa"/>
            <w:vAlign w:val="center"/>
          </w:tcPr>
          <w:p w14:paraId="1416B634">
            <w:pPr>
              <w:widowControl/>
              <w:spacing w:line="240" w:lineRule="exact"/>
              <w:jc w:val="both"/>
              <w:rPr>
                <w:rFonts w:ascii="宋体" w:hAnsi="宋体" w:eastAsia="宋体" w:cs="宋体"/>
                <w:color w:val="auto"/>
                <w:sz w:val="21"/>
                <w:szCs w:val="21"/>
                <w:highlight w:val="none"/>
                <w:lang w:eastAsia="zh-CN"/>
              </w:rPr>
            </w:pPr>
          </w:p>
        </w:tc>
        <w:tc>
          <w:tcPr>
            <w:tcW w:w="616" w:type="dxa"/>
            <w:vAlign w:val="center"/>
          </w:tcPr>
          <w:p w14:paraId="403B7CD9">
            <w:pPr>
              <w:jc w:val="center"/>
              <w:rPr>
                <w:rFonts w:ascii="宋体" w:hAnsi="宋体" w:eastAsia="宋体" w:cs="宋体"/>
                <w:color w:val="auto"/>
                <w:sz w:val="21"/>
                <w:szCs w:val="21"/>
                <w:highlight w:val="none"/>
                <w:lang w:eastAsia="zh-CN"/>
              </w:rPr>
            </w:pPr>
          </w:p>
        </w:tc>
        <w:tc>
          <w:tcPr>
            <w:tcW w:w="812" w:type="dxa"/>
            <w:vAlign w:val="center"/>
          </w:tcPr>
          <w:p w14:paraId="1AA93FBF">
            <w:pPr>
              <w:jc w:val="center"/>
              <w:rPr>
                <w:rFonts w:ascii="宋体" w:hAnsi="宋体" w:eastAsia="宋体" w:cs="宋体"/>
                <w:color w:val="auto"/>
                <w:sz w:val="21"/>
                <w:szCs w:val="21"/>
                <w:highlight w:val="none"/>
                <w:lang w:eastAsia="zh-CN"/>
              </w:rPr>
            </w:pPr>
          </w:p>
        </w:tc>
        <w:tc>
          <w:tcPr>
            <w:tcW w:w="606" w:type="dxa"/>
            <w:vAlign w:val="center"/>
          </w:tcPr>
          <w:p w14:paraId="792EC805">
            <w:pPr>
              <w:jc w:val="center"/>
              <w:rPr>
                <w:rFonts w:ascii="宋体" w:hAnsi="宋体" w:eastAsia="宋体" w:cs="宋体"/>
                <w:color w:val="auto"/>
                <w:sz w:val="21"/>
                <w:szCs w:val="21"/>
                <w:highlight w:val="none"/>
                <w:lang w:eastAsia="zh-CN"/>
              </w:rPr>
            </w:pPr>
          </w:p>
        </w:tc>
        <w:tc>
          <w:tcPr>
            <w:tcW w:w="3547" w:type="dxa"/>
            <w:vAlign w:val="center"/>
          </w:tcPr>
          <w:p w14:paraId="526CF16B">
            <w:pPr>
              <w:jc w:val="center"/>
              <w:rPr>
                <w:rFonts w:ascii="宋体" w:hAnsi="宋体" w:eastAsia="宋体" w:cs="宋体"/>
                <w:color w:val="auto"/>
                <w:sz w:val="21"/>
                <w:szCs w:val="21"/>
                <w:highlight w:val="none"/>
                <w:lang w:eastAsia="zh-CN"/>
              </w:rPr>
            </w:pPr>
          </w:p>
        </w:tc>
        <w:tc>
          <w:tcPr>
            <w:tcW w:w="1131" w:type="dxa"/>
            <w:vAlign w:val="center"/>
          </w:tcPr>
          <w:p w14:paraId="5EFEF98A">
            <w:pPr>
              <w:jc w:val="center"/>
              <w:rPr>
                <w:rFonts w:ascii="宋体" w:hAnsi="宋体" w:eastAsia="宋体" w:cs="宋体"/>
                <w:color w:val="auto"/>
                <w:sz w:val="21"/>
                <w:szCs w:val="21"/>
                <w:highlight w:val="none"/>
                <w:lang w:eastAsia="zh-CN"/>
              </w:rPr>
            </w:pPr>
          </w:p>
        </w:tc>
      </w:tr>
      <w:tr w14:paraId="21F3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0" w:type="dxa"/>
            <w:vAlign w:val="center"/>
          </w:tcPr>
          <w:p w14:paraId="20315B4A">
            <w:pPr>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w:t>
            </w:r>
          </w:p>
        </w:tc>
        <w:tc>
          <w:tcPr>
            <w:tcW w:w="1932" w:type="dxa"/>
            <w:vAlign w:val="center"/>
          </w:tcPr>
          <w:p w14:paraId="04C64D74">
            <w:pPr>
              <w:widowControl/>
              <w:spacing w:line="240" w:lineRule="exact"/>
              <w:jc w:val="both"/>
              <w:rPr>
                <w:rFonts w:ascii="宋体" w:hAnsi="宋体" w:eastAsia="宋体" w:cs="宋体"/>
                <w:color w:val="auto"/>
                <w:sz w:val="21"/>
                <w:szCs w:val="21"/>
                <w:highlight w:val="none"/>
                <w:lang w:eastAsia="zh-CN"/>
              </w:rPr>
            </w:pPr>
          </w:p>
        </w:tc>
        <w:tc>
          <w:tcPr>
            <w:tcW w:w="616" w:type="dxa"/>
            <w:vAlign w:val="center"/>
          </w:tcPr>
          <w:p w14:paraId="0394E695">
            <w:pPr>
              <w:jc w:val="center"/>
              <w:rPr>
                <w:rFonts w:ascii="宋体" w:hAnsi="宋体" w:eastAsia="宋体" w:cs="宋体"/>
                <w:color w:val="auto"/>
                <w:sz w:val="21"/>
                <w:szCs w:val="21"/>
                <w:highlight w:val="none"/>
                <w:lang w:eastAsia="zh-CN"/>
              </w:rPr>
            </w:pPr>
          </w:p>
        </w:tc>
        <w:tc>
          <w:tcPr>
            <w:tcW w:w="812" w:type="dxa"/>
            <w:vAlign w:val="center"/>
          </w:tcPr>
          <w:p w14:paraId="2B32C89B">
            <w:pPr>
              <w:jc w:val="center"/>
              <w:rPr>
                <w:rFonts w:ascii="宋体" w:hAnsi="宋体" w:eastAsia="宋体" w:cs="宋体"/>
                <w:color w:val="auto"/>
                <w:sz w:val="21"/>
                <w:szCs w:val="21"/>
                <w:highlight w:val="none"/>
                <w:lang w:eastAsia="zh-CN"/>
              </w:rPr>
            </w:pPr>
          </w:p>
        </w:tc>
        <w:tc>
          <w:tcPr>
            <w:tcW w:w="606" w:type="dxa"/>
            <w:vAlign w:val="center"/>
          </w:tcPr>
          <w:p w14:paraId="3AB9F3E5">
            <w:pPr>
              <w:jc w:val="center"/>
              <w:rPr>
                <w:rFonts w:ascii="宋体" w:hAnsi="宋体" w:eastAsia="宋体" w:cs="宋体"/>
                <w:color w:val="auto"/>
                <w:sz w:val="21"/>
                <w:szCs w:val="21"/>
                <w:highlight w:val="none"/>
                <w:lang w:eastAsia="zh-CN"/>
              </w:rPr>
            </w:pPr>
          </w:p>
        </w:tc>
        <w:tc>
          <w:tcPr>
            <w:tcW w:w="3547" w:type="dxa"/>
            <w:vAlign w:val="center"/>
          </w:tcPr>
          <w:p w14:paraId="3D987B16">
            <w:pPr>
              <w:jc w:val="center"/>
              <w:rPr>
                <w:rFonts w:ascii="宋体" w:hAnsi="宋体" w:eastAsia="宋体" w:cs="宋体"/>
                <w:color w:val="auto"/>
                <w:sz w:val="21"/>
                <w:szCs w:val="21"/>
                <w:highlight w:val="none"/>
                <w:lang w:eastAsia="zh-CN"/>
              </w:rPr>
            </w:pPr>
          </w:p>
        </w:tc>
        <w:tc>
          <w:tcPr>
            <w:tcW w:w="1131" w:type="dxa"/>
            <w:vAlign w:val="center"/>
          </w:tcPr>
          <w:p w14:paraId="7C969690">
            <w:pPr>
              <w:jc w:val="center"/>
              <w:rPr>
                <w:rFonts w:ascii="宋体" w:hAnsi="宋体" w:eastAsia="宋体" w:cs="宋体"/>
                <w:color w:val="auto"/>
                <w:sz w:val="21"/>
                <w:szCs w:val="21"/>
                <w:highlight w:val="none"/>
                <w:lang w:eastAsia="zh-CN"/>
              </w:rPr>
            </w:pPr>
          </w:p>
        </w:tc>
      </w:tr>
      <w:tr w14:paraId="11A2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0" w:type="dxa"/>
            <w:vAlign w:val="center"/>
          </w:tcPr>
          <w:p w14:paraId="0BFECB1E">
            <w:pPr>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w:t>
            </w:r>
          </w:p>
        </w:tc>
        <w:tc>
          <w:tcPr>
            <w:tcW w:w="1932" w:type="dxa"/>
            <w:vAlign w:val="center"/>
          </w:tcPr>
          <w:p w14:paraId="22EA1497">
            <w:pPr>
              <w:widowControl/>
              <w:spacing w:line="240" w:lineRule="exact"/>
              <w:jc w:val="both"/>
              <w:rPr>
                <w:rFonts w:ascii="宋体" w:hAnsi="宋体" w:eastAsia="宋体" w:cs="宋体"/>
                <w:color w:val="auto"/>
                <w:kern w:val="1"/>
                <w:sz w:val="21"/>
                <w:szCs w:val="21"/>
                <w:highlight w:val="none"/>
                <w:lang w:eastAsia="zh-CN"/>
              </w:rPr>
            </w:pPr>
          </w:p>
        </w:tc>
        <w:tc>
          <w:tcPr>
            <w:tcW w:w="616" w:type="dxa"/>
            <w:vAlign w:val="center"/>
          </w:tcPr>
          <w:p w14:paraId="04BB26D5">
            <w:pPr>
              <w:jc w:val="center"/>
              <w:rPr>
                <w:rFonts w:ascii="宋体" w:hAnsi="宋体" w:eastAsia="宋体" w:cs="宋体"/>
                <w:color w:val="auto"/>
                <w:sz w:val="21"/>
                <w:szCs w:val="21"/>
                <w:highlight w:val="none"/>
                <w:lang w:eastAsia="zh-CN"/>
              </w:rPr>
            </w:pPr>
          </w:p>
        </w:tc>
        <w:tc>
          <w:tcPr>
            <w:tcW w:w="812" w:type="dxa"/>
            <w:vAlign w:val="center"/>
          </w:tcPr>
          <w:p w14:paraId="78751ED0">
            <w:pPr>
              <w:jc w:val="center"/>
              <w:rPr>
                <w:rFonts w:ascii="宋体" w:hAnsi="宋体" w:eastAsia="宋体" w:cs="宋体"/>
                <w:color w:val="auto"/>
                <w:sz w:val="21"/>
                <w:szCs w:val="21"/>
                <w:highlight w:val="none"/>
                <w:lang w:eastAsia="zh-CN"/>
              </w:rPr>
            </w:pPr>
          </w:p>
        </w:tc>
        <w:tc>
          <w:tcPr>
            <w:tcW w:w="606" w:type="dxa"/>
            <w:vAlign w:val="center"/>
          </w:tcPr>
          <w:p w14:paraId="289B11E1">
            <w:pPr>
              <w:jc w:val="center"/>
              <w:rPr>
                <w:rFonts w:ascii="宋体" w:hAnsi="宋体" w:eastAsia="宋体" w:cs="宋体"/>
                <w:color w:val="auto"/>
                <w:sz w:val="21"/>
                <w:szCs w:val="21"/>
                <w:highlight w:val="none"/>
                <w:lang w:eastAsia="zh-CN"/>
              </w:rPr>
            </w:pPr>
          </w:p>
        </w:tc>
        <w:tc>
          <w:tcPr>
            <w:tcW w:w="3547" w:type="dxa"/>
            <w:vAlign w:val="center"/>
          </w:tcPr>
          <w:p w14:paraId="77FACB74">
            <w:pPr>
              <w:jc w:val="center"/>
              <w:rPr>
                <w:rFonts w:ascii="宋体" w:hAnsi="宋体" w:eastAsia="宋体" w:cs="宋体"/>
                <w:color w:val="auto"/>
                <w:sz w:val="21"/>
                <w:szCs w:val="21"/>
                <w:highlight w:val="none"/>
                <w:lang w:eastAsia="zh-CN"/>
              </w:rPr>
            </w:pPr>
          </w:p>
        </w:tc>
        <w:tc>
          <w:tcPr>
            <w:tcW w:w="1131" w:type="dxa"/>
            <w:vAlign w:val="center"/>
          </w:tcPr>
          <w:p w14:paraId="414211BC">
            <w:pPr>
              <w:jc w:val="center"/>
              <w:rPr>
                <w:rFonts w:ascii="宋体" w:hAnsi="宋体" w:eastAsia="宋体" w:cs="宋体"/>
                <w:color w:val="auto"/>
                <w:sz w:val="21"/>
                <w:szCs w:val="21"/>
                <w:highlight w:val="none"/>
                <w:lang w:eastAsia="zh-CN"/>
              </w:rPr>
            </w:pPr>
          </w:p>
        </w:tc>
      </w:tr>
      <w:tr w14:paraId="53DF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0" w:type="dxa"/>
            <w:vAlign w:val="center"/>
          </w:tcPr>
          <w:p w14:paraId="1B3E4E1B">
            <w:pPr>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6</w:t>
            </w:r>
          </w:p>
        </w:tc>
        <w:tc>
          <w:tcPr>
            <w:tcW w:w="1932" w:type="dxa"/>
            <w:vAlign w:val="center"/>
          </w:tcPr>
          <w:p w14:paraId="3D42A449">
            <w:pPr>
              <w:widowControl/>
              <w:spacing w:line="240" w:lineRule="exact"/>
              <w:jc w:val="both"/>
              <w:rPr>
                <w:rFonts w:ascii="宋体" w:hAnsi="宋体" w:eastAsia="宋体" w:cs="宋体"/>
                <w:color w:val="auto"/>
                <w:kern w:val="1"/>
                <w:sz w:val="21"/>
                <w:szCs w:val="21"/>
                <w:highlight w:val="none"/>
                <w:lang w:eastAsia="zh-CN"/>
              </w:rPr>
            </w:pPr>
          </w:p>
        </w:tc>
        <w:tc>
          <w:tcPr>
            <w:tcW w:w="616" w:type="dxa"/>
            <w:vAlign w:val="center"/>
          </w:tcPr>
          <w:p w14:paraId="42968204">
            <w:pPr>
              <w:jc w:val="center"/>
              <w:rPr>
                <w:rFonts w:ascii="宋体" w:hAnsi="宋体" w:eastAsia="宋体" w:cs="宋体"/>
                <w:color w:val="auto"/>
                <w:sz w:val="21"/>
                <w:szCs w:val="21"/>
                <w:highlight w:val="none"/>
                <w:lang w:eastAsia="zh-CN"/>
              </w:rPr>
            </w:pPr>
          </w:p>
        </w:tc>
        <w:tc>
          <w:tcPr>
            <w:tcW w:w="812" w:type="dxa"/>
            <w:vAlign w:val="center"/>
          </w:tcPr>
          <w:p w14:paraId="71BED676">
            <w:pPr>
              <w:jc w:val="center"/>
              <w:rPr>
                <w:rFonts w:ascii="宋体" w:hAnsi="宋体" w:eastAsia="宋体" w:cs="宋体"/>
                <w:color w:val="auto"/>
                <w:sz w:val="21"/>
                <w:szCs w:val="21"/>
                <w:highlight w:val="none"/>
                <w:lang w:eastAsia="zh-CN"/>
              </w:rPr>
            </w:pPr>
          </w:p>
        </w:tc>
        <w:tc>
          <w:tcPr>
            <w:tcW w:w="606" w:type="dxa"/>
            <w:vAlign w:val="center"/>
          </w:tcPr>
          <w:p w14:paraId="6A505D21">
            <w:pPr>
              <w:jc w:val="center"/>
              <w:rPr>
                <w:rFonts w:ascii="宋体" w:hAnsi="宋体" w:eastAsia="宋体" w:cs="宋体"/>
                <w:color w:val="auto"/>
                <w:sz w:val="21"/>
                <w:szCs w:val="21"/>
                <w:highlight w:val="none"/>
                <w:lang w:eastAsia="zh-CN"/>
              </w:rPr>
            </w:pPr>
          </w:p>
        </w:tc>
        <w:tc>
          <w:tcPr>
            <w:tcW w:w="3547" w:type="dxa"/>
            <w:vAlign w:val="center"/>
          </w:tcPr>
          <w:p w14:paraId="4673EAB0">
            <w:pPr>
              <w:jc w:val="center"/>
              <w:rPr>
                <w:rFonts w:ascii="宋体" w:hAnsi="宋体" w:eastAsia="宋体" w:cs="宋体"/>
                <w:color w:val="auto"/>
                <w:sz w:val="21"/>
                <w:szCs w:val="21"/>
                <w:highlight w:val="none"/>
                <w:lang w:eastAsia="zh-CN"/>
              </w:rPr>
            </w:pPr>
          </w:p>
        </w:tc>
        <w:tc>
          <w:tcPr>
            <w:tcW w:w="1131" w:type="dxa"/>
            <w:vAlign w:val="center"/>
          </w:tcPr>
          <w:p w14:paraId="5D7BD48E">
            <w:pPr>
              <w:jc w:val="center"/>
              <w:rPr>
                <w:rFonts w:ascii="宋体" w:hAnsi="宋体" w:eastAsia="宋体" w:cs="宋体"/>
                <w:color w:val="auto"/>
                <w:sz w:val="21"/>
                <w:szCs w:val="21"/>
                <w:highlight w:val="none"/>
                <w:lang w:eastAsia="zh-CN"/>
              </w:rPr>
            </w:pPr>
          </w:p>
        </w:tc>
      </w:tr>
      <w:tr w14:paraId="1021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70" w:type="dxa"/>
            <w:vAlign w:val="center"/>
          </w:tcPr>
          <w:p w14:paraId="30F60C56">
            <w:pPr>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7</w:t>
            </w:r>
          </w:p>
        </w:tc>
        <w:tc>
          <w:tcPr>
            <w:tcW w:w="1932" w:type="dxa"/>
            <w:vAlign w:val="center"/>
          </w:tcPr>
          <w:p w14:paraId="2D8D91EA">
            <w:pPr>
              <w:widowControl/>
              <w:spacing w:line="240" w:lineRule="exact"/>
              <w:jc w:val="both"/>
              <w:rPr>
                <w:rFonts w:ascii="宋体" w:hAnsi="宋体" w:eastAsia="宋体" w:cs="宋体"/>
                <w:color w:val="auto"/>
                <w:sz w:val="21"/>
                <w:szCs w:val="21"/>
                <w:highlight w:val="none"/>
                <w:lang w:eastAsia="zh-CN"/>
              </w:rPr>
            </w:pPr>
          </w:p>
        </w:tc>
        <w:tc>
          <w:tcPr>
            <w:tcW w:w="616" w:type="dxa"/>
            <w:vAlign w:val="center"/>
          </w:tcPr>
          <w:p w14:paraId="67289C41">
            <w:pPr>
              <w:jc w:val="center"/>
              <w:rPr>
                <w:rFonts w:ascii="宋体" w:hAnsi="宋体" w:eastAsia="宋体" w:cs="宋体"/>
                <w:color w:val="auto"/>
                <w:sz w:val="21"/>
                <w:szCs w:val="21"/>
                <w:highlight w:val="none"/>
                <w:lang w:eastAsia="zh-CN"/>
              </w:rPr>
            </w:pPr>
          </w:p>
        </w:tc>
        <w:tc>
          <w:tcPr>
            <w:tcW w:w="812" w:type="dxa"/>
            <w:vAlign w:val="center"/>
          </w:tcPr>
          <w:p w14:paraId="4C0A5ED6">
            <w:pPr>
              <w:jc w:val="center"/>
              <w:rPr>
                <w:rFonts w:ascii="宋体" w:hAnsi="宋体" w:eastAsia="宋体" w:cs="宋体"/>
                <w:color w:val="auto"/>
                <w:sz w:val="21"/>
                <w:szCs w:val="21"/>
                <w:highlight w:val="none"/>
                <w:lang w:eastAsia="zh-CN"/>
              </w:rPr>
            </w:pPr>
          </w:p>
        </w:tc>
        <w:tc>
          <w:tcPr>
            <w:tcW w:w="606" w:type="dxa"/>
            <w:vAlign w:val="center"/>
          </w:tcPr>
          <w:p w14:paraId="69C68CCE">
            <w:pPr>
              <w:jc w:val="center"/>
              <w:rPr>
                <w:rFonts w:ascii="宋体" w:hAnsi="宋体" w:eastAsia="宋体" w:cs="宋体"/>
                <w:color w:val="auto"/>
                <w:sz w:val="21"/>
                <w:szCs w:val="21"/>
                <w:highlight w:val="none"/>
                <w:lang w:eastAsia="zh-CN"/>
              </w:rPr>
            </w:pPr>
          </w:p>
        </w:tc>
        <w:tc>
          <w:tcPr>
            <w:tcW w:w="3547" w:type="dxa"/>
            <w:vAlign w:val="center"/>
          </w:tcPr>
          <w:p w14:paraId="46C0B1EB">
            <w:pPr>
              <w:jc w:val="center"/>
              <w:rPr>
                <w:rFonts w:ascii="宋体" w:hAnsi="宋体" w:eastAsia="宋体" w:cs="宋体"/>
                <w:color w:val="auto"/>
                <w:sz w:val="21"/>
                <w:szCs w:val="21"/>
                <w:highlight w:val="none"/>
                <w:lang w:eastAsia="zh-CN"/>
              </w:rPr>
            </w:pPr>
          </w:p>
        </w:tc>
        <w:tc>
          <w:tcPr>
            <w:tcW w:w="1131" w:type="dxa"/>
            <w:vAlign w:val="center"/>
          </w:tcPr>
          <w:p w14:paraId="229D7A22">
            <w:pPr>
              <w:jc w:val="center"/>
              <w:rPr>
                <w:rFonts w:ascii="宋体" w:hAnsi="宋体" w:eastAsia="宋体" w:cs="宋体"/>
                <w:color w:val="auto"/>
                <w:sz w:val="21"/>
                <w:szCs w:val="21"/>
                <w:highlight w:val="none"/>
                <w:lang w:eastAsia="zh-CN"/>
              </w:rPr>
            </w:pPr>
          </w:p>
        </w:tc>
      </w:tr>
      <w:tr w14:paraId="63F7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570" w:type="dxa"/>
            <w:vAlign w:val="center"/>
          </w:tcPr>
          <w:p w14:paraId="03DC73B0">
            <w:pPr>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8</w:t>
            </w:r>
          </w:p>
        </w:tc>
        <w:tc>
          <w:tcPr>
            <w:tcW w:w="1932" w:type="dxa"/>
            <w:vAlign w:val="center"/>
          </w:tcPr>
          <w:p w14:paraId="389F3FB9">
            <w:pPr>
              <w:widowControl/>
              <w:spacing w:line="240" w:lineRule="exact"/>
              <w:rPr>
                <w:rFonts w:ascii="宋体" w:hAnsi="宋体" w:eastAsia="宋体" w:cs="宋体"/>
                <w:color w:val="auto"/>
                <w:kern w:val="1"/>
                <w:sz w:val="21"/>
                <w:szCs w:val="21"/>
                <w:highlight w:val="none"/>
                <w:lang w:eastAsia="zh-CN"/>
              </w:rPr>
            </w:pPr>
          </w:p>
        </w:tc>
        <w:tc>
          <w:tcPr>
            <w:tcW w:w="616" w:type="dxa"/>
            <w:vAlign w:val="center"/>
          </w:tcPr>
          <w:p w14:paraId="6DF1F76C">
            <w:pPr>
              <w:jc w:val="center"/>
              <w:rPr>
                <w:rFonts w:ascii="宋体" w:hAnsi="宋体" w:eastAsia="宋体" w:cs="宋体"/>
                <w:color w:val="auto"/>
                <w:sz w:val="21"/>
                <w:szCs w:val="21"/>
                <w:highlight w:val="none"/>
                <w:lang w:eastAsia="zh-CN"/>
              </w:rPr>
            </w:pPr>
          </w:p>
        </w:tc>
        <w:tc>
          <w:tcPr>
            <w:tcW w:w="812" w:type="dxa"/>
            <w:vAlign w:val="center"/>
          </w:tcPr>
          <w:p w14:paraId="43B4E20A">
            <w:pPr>
              <w:jc w:val="center"/>
              <w:rPr>
                <w:rFonts w:ascii="宋体" w:hAnsi="宋体" w:eastAsia="宋体" w:cs="宋体"/>
                <w:color w:val="auto"/>
                <w:sz w:val="21"/>
                <w:szCs w:val="21"/>
                <w:highlight w:val="none"/>
                <w:lang w:eastAsia="zh-CN"/>
              </w:rPr>
            </w:pPr>
          </w:p>
        </w:tc>
        <w:tc>
          <w:tcPr>
            <w:tcW w:w="606" w:type="dxa"/>
            <w:vAlign w:val="center"/>
          </w:tcPr>
          <w:p w14:paraId="1EAF9F4D">
            <w:pPr>
              <w:jc w:val="center"/>
              <w:rPr>
                <w:rFonts w:ascii="宋体" w:hAnsi="宋体" w:eastAsia="宋体" w:cs="宋体"/>
                <w:color w:val="auto"/>
                <w:sz w:val="21"/>
                <w:szCs w:val="21"/>
                <w:highlight w:val="none"/>
                <w:lang w:eastAsia="zh-CN"/>
              </w:rPr>
            </w:pPr>
          </w:p>
        </w:tc>
        <w:tc>
          <w:tcPr>
            <w:tcW w:w="3547" w:type="dxa"/>
            <w:vAlign w:val="center"/>
          </w:tcPr>
          <w:p w14:paraId="4548F61D">
            <w:pPr>
              <w:jc w:val="center"/>
              <w:rPr>
                <w:rFonts w:ascii="宋体" w:hAnsi="宋体" w:eastAsia="宋体" w:cs="宋体"/>
                <w:color w:val="auto"/>
                <w:sz w:val="21"/>
                <w:szCs w:val="21"/>
                <w:highlight w:val="none"/>
                <w:lang w:eastAsia="zh-CN"/>
              </w:rPr>
            </w:pPr>
          </w:p>
        </w:tc>
        <w:tc>
          <w:tcPr>
            <w:tcW w:w="1131" w:type="dxa"/>
            <w:vAlign w:val="center"/>
          </w:tcPr>
          <w:p w14:paraId="1A803D85">
            <w:pPr>
              <w:jc w:val="center"/>
              <w:rPr>
                <w:rFonts w:ascii="宋体" w:hAnsi="宋体" w:eastAsia="宋体" w:cs="宋体"/>
                <w:color w:val="auto"/>
                <w:sz w:val="21"/>
                <w:szCs w:val="21"/>
                <w:highlight w:val="none"/>
                <w:lang w:eastAsia="zh-CN"/>
              </w:rPr>
            </w:pPr>
          </w:p>
        </w:tc>
      </w:tr>
      <w:tr w14:paraId="580E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570" w:type="dxa"/>
            <w:vAlign w:val="center"/>
          </w:tcPr>
          <w:p w14:paraId="5513D027">
            <w:pPr>
              <w:jc w:val="center"/>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9</w:t>
            </w:r>
          </w:p>
        </w:tc>
        <w:tc>
          <w:tcPr>
            <w:tcW w:w="1932" w:type="dxa"/>
            <w:vAlign w:val="center"/>
          </w:tcPr>
          <w:p w14:paraId="202BA305">
            <w:pPr>
              <w:widowControl/>
              <w:spacing w:line="240" w:lineRule="exact"/>
              <w:rPr>
                <w:rFonts w:ascii="宋体" w:hAnsi="宋体" w:eastAsia="宋体" w:cs="宋体"/>
                <w:color w:val="auto"/>
                <w:kern w:val="1"/>
                <w:sz w:val="21"/>
                <w:szCs w:val="21"/>
                <w:highlight w:val="none"/>
                <w:lang w:eastAsia="zh-CN"/>
              </w:rPr>
            </w:pPr>
          </w:p>
        </w:tc>
        <w:tc>
          <w:tcPr>
            <w:tcW w:w="616" w:type="dxa"/>
            <w:vAlign w:val="center"/>
          </w:tcPr>
          <w:p w14:paraId="592A6761">
            <w:pPr>
              <w:jc w:val="center"/>
              <w:rPr>
                <w:rFonts w:ascii="宋体" w:hAnsi="宋体" w:eastAsia="宋体" w:cs="宋体"/>
                <w:color w:val="auto"/>
                <w:sz w:val="21"/>
                <w:szCs w:val="21"/>
                <w:highlight w:val="none"/>
                <w:lang w:eastAsia="zh-CN"/>
              </w:rPr>
            </w:pPr>
          </w:p>
        </w:tc>
        <w:tc>
          <w:tcPr>
            <w:tcW w:w="812" w:type="dxa"/>
            <w:vAlign w:val="center"/>
          </w:tcPr>
          <w:p w14:paraId="59219101">
            <w:pPr>
              <w:jc w:val="center"/>
              <w:rPr>
                <w:rFonts w:ascii="宋体" w:hAnsi="宋体" w:eastAsia="宋体" w:cs="宋体"/>
                <w:color w:val="auto"/>
                <w:sz w:val="21"/>
                <w:szCs w:val="21"/>
                <w:highlight w:val="none"/>
                <w:lang w:eastAsia="zh-CN"/>
              </w:rPr>
            </w:pPr>
          </w:p>
        </w:tc>
        <w:tc>
          <w:tcPr>
            <w:tcW w:w="606" w:type="dxa"/>
            <w:vAlign w:val="center"/>
          </w:tcPr>
          <w:p w14:paraId="5AAD0A89">
            <w:pPr>
              <w:jc w:val="center"/>
              <w:rPr>
                <w:rFonts w:ascii="宋体" w:hAnsi="宋体" w:eastAsia="宋体" w:cs="宋体"/>
                <w:color w:val="auto"/>
                <w:sz w:val="21"/>
                <w:szCs w:val="21"/>
                <w:highlight w:val="none"/>
                <w:lang w:eastAsia="zh-CN"/>
              </w:rPr>
            </w:pPr>
          </w:p>
        </w:tc>
        <w:tc>
          <w:tcPr>
            <w:tcW w:w="3547" w:type="dxa"/>
            <w:vAlign w:val="center"/>
          </w:tcPr>
          <w:p w14:paraId="468DAB3B">
            <w:pPr>
              <w:jc w:val="center"/>
              <w:rPr>
                <w:rFonts w:ascii="宋体" w:hAnsi="宋体" w:eastAsia="宋体" w:cs="宋体"/>
                <w:color w:val="auto"/>
                <w:sz w:val="21"/>
                <w:szCs w:val="21"/>
                <w:highlight w:val="none"/>
                <w:lang w:eastAsia="zh-CN"/>
              </w:rPr>
            </w:pPr>
          </w:p>
        </w:tc>
        <w:tc>
          <w:tcPr>
            <w:tcW w:w="1131" w:type="dxa"/>
            <w:vAlign w:val="center"/>
          </w:tcPr>
          <w:p w14:paraId="7A1120A4">
            <w:pPr>
              <w:jc w:val="center"/>
              <w:rPr>
                <w:rFonts w:ascii="宋体" w:hAnsi="宋体" w:eastAsia="宋体" w:cs="宋体"/>
                <w:color w:val="auto"/>
                <w:sz w:val="21"/>
                <w:szCs w:val="21"/>
                <w:highlight w:val="none"/>
                <w:lang w:eastAsia="zh-CN"/>
              </w:rPr>
            </w:pPr>
          </w:p>
        </w:tc>
      </w:tr>
    </w:tbl>
    <w:p w14:paraId="7D31E898">
      <w:pPr>
        <w:spacing w:line="360" w:lineRule="exact"/>
        <w:rPr>
          <w:rFonts w:ascii="宋体" w:hAnsi="宋体" w:eastAsia="宋体" w:cs="宋体"/>
          <w:bCs/>
          <w:color w:val="auto"/>
          <w:kern w:val="1"/>
          <w:highlight w:val="none"/>
          <w:u w:val="single"/>
          <w:lang w:eastAsia="zh-CN"/>
        </w:rPr>
      </w:pPr>
    </w:p>
    <w:p w14:paraId="4358E65C">
      <w:pPr>
        <w:jc w:val="center"/>
        <w:rPr>
          <w:rFonts w:ascii="宋体" w:hAnsi="宋体" w:eastAsia="宋体"/>
          <w:b/>
          <w:bCs/>
          <w:color w:val="auto"/>
          <w:sz w:val="32"/>
          <w:szCs w:val="32"/>
          <w:highlight w:val="none"/>
          <w:lang w:eastAsia="zh-CN"/>
        </w:rPr>
      </w:pPr>
      <w:r>
        <w:rPr>
          <w:rFonts w:ascii="宋体" w:hAnsi="宋体" w:eastAsia="宋体"/>
          <w:color w:val="auto"/>
          <w:sz w:val="21"/>
          <w:szCs w:val="21"/>
          <w:highlight w:val="none"/>
          <w:lang w:eastAsia="zh-CN"/>
        </w:rPr>
        <w:br w:type="page"/>
      </w:r>
      <w:r>
        <w:rPr>
          <w:rFonts w:hint="eastAsia" w:ascii="宋体" w:hAnsi="宋体" w:eastAsia="宋体"/>
          <w:b/>
          <w:bCs/>
          <w:color w:val="auto"/>
          <w:sz w:val="32"/>
          <w:szCs w:val="32"/>
          <w:highlight w:val="none"/>
          <w:lang w:eastAsia="zh-CN"/>
        </w:rPr>
        <w:t>主要人员简历表</w:t>
      </w:r>
    </w:p>
    <w:p w14:paraId="117D7496">
      <w:pPr>
        <w:rPr>
          <w:rFonts w:ascii="宋体" w:hAnsi="宋体" w:eastAsia="宋体"/>
          <w:b/>
          <w:bCs/>
          <w:color w:val="auto"/>
          <w:sz w:val="32"/>
          <w:szCs w:val="32"/>
          <w:highlight w:val="none"/>
          <w:lang w:eastAsia="zh-CN"/>
        </w:rPr>
      </w:pPr>
    </w:p>
    <w:tbl>
      <w:tblPr>
        <w:tblStyle w:val="22"/>
        <w:tblW w:w="0" w:type="auto"/>
        <w:tblInd w:w="0" w:type="dxa"/>
        <w:tblLayout w:type="fixed"/>
        <w:tblCellMar>
          <w:top w:w="0" w:type="dxa"/>
          <w:left w:w="0" w:type="dxa"/>
          <w:bottom w:w="0" w:type="dxa"/>
          <w:right w:w="0" w:type="dxa"/>
        </w:tblCellMar>
      </w:tblPr>
      <w:tblGrid>
        <w:gridCol w:w="1254"/>
        <w:gridCol w:w="381"/>
        <w:gridCol w:w="731"/>
        <w:gridCol w:w="1015"/>
        <w:gridCol w:w="1130"/>
        <w:gridCol w:w="746"/>
        <w:gridCol w:w="1334"/>
        <w:gridCol w:w="426"/>
        <w:gridCol w:w="2009"/>
      </w:tblGrid>
      <w:tr w14:paraId="46156943">
        <w:tblPrEx>
          <w:tblCellMar>
            <w:top w:w="0" w:type="dxa"/>
            <w:left w:w="0" w:type="dxa"/>
            <w:bottom w:w="0" w:type="dxa"/>
            <w:right w:w="0" w:type="dxa"/>
          </w:tblCellMar>
        </w:tblPrEx>
        <w:trPr>
          <w:trHeight w:val="890" w:hRule="atLeast"/>
        </w:trPr>
        <w:tc>
          <w:tcPr>
            <w:tcW w:w="1254" w:type="dxa"/>
            <w:tcBorders>
              <w:top w:val="single" w:color="000000" w:sz="4" w:space="0"/>
              <w:left w:val="single" w:color="000000" w:sz="4" w:space="0"/>
              <w:bottom w:val="single" w:color="000000" w:sz="4" w:space="0"/>
              <w:right w:val="single" w:color="000000" w:sz="4" w:space="0"/>
            </w:tcBorders>
            <w:vAlign w:val="center"/>
          </w:tcPr>
          <w:p w14:paraId="13244865">
            <w:pPr>
              <w:autoSpaceDE w:val="0"/>
              <w:autoSpaceDN w:val="0"/>
              <w:adjustRightInd w:val="0"/>
              <w:jc w:val="center"/>
              <w:rPr>
                <w:rFonts w:ascii="宋体" w:hAnsi="宋体" w:eastAsia="宋体" w:cs="Calibri"/>
                <w:color w:val="auto"/>
                <w:sz w:val="21"/>
                <w:szCs w:val="21"/>
                <w:highlight w:val="none"/>
              </w:rPr>
            </w:pPr>
            <w:r>
              <w:rPr>
                <w:rFonts w:hint="eastAsia" w:ascii="宋体" w:hAnsi="宋体" w:eastAsia="宋体"/>
                <w:color w:val="auto"/>
                <w:sz w:val="21"/>
                <w:szCs w:val="21"/>
                <w:highlight w:val="none"/>
              </w:rPr>
              <w:t>姓</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名</w:t>
            </w:r>
          </w:p>
        </w:tc>
        <w:tc>
          <w:tcPr>
            <w:tcW w:w="1112" w:type="dxa"/>
            <w:gridSpan w:val="2"/>
            <w:tcBorders>
              <w:top w:val="single" w:color="000000" w:sz="4" w:space="0"/>
              <w:left w:val="nil"/>
              <w:bottom w:val="single" w:color="000000" w:sz="4" w:space="0"/>
              <w:right w:val="single" w:color="000000" w:sz="4" w:space="0"/>
            </w:tcBorders>
            <w:vAlign w:val="center"/>
          </w:tcPr>
          <w:p w14:paraId="738AC8E1">
            <w:pPr>
              <w:autoSpaceDE w:val="0"/>
              <w:autoSpaceDN w:val="0"/>
              <w:adjustRightInd w:val="0"/>
              <w:rPr>
                <w:rFonts w:ascii="宋体" w:hAnsi="宋体" w:eastAsia="宋体" w:cs="Calibri"/>
                <w:color w:val="auto"/>
                <w:sz w:val="21"/>
                <w:szCs w:val="21"/>
                <w:highlight w:val="none"/>
              </w:rPr>
            </w:pPr>
          </w:p>
        </w:tc>
        <w:tc>
          <w:tcPr>
            <w:tcW w:w="1015" w:type="dxa"/>
            <w:tcBorders>
              <w:top w:val="single" w:color="000000" w:sz="4" w:space="0"/>
              <w:left w:val="nil"/>
              <w:bottom w:val="single" w:color="000000" w:sz="4" w:space="0"/>
              <w:right w:val="single" w:color="000000" w:sz="4" w:space="0"/>
            </w:tcBorders>
            <w:vAlign w:val="center"/>
          </w:tcPr>
          <w:p w14:paraId="378F0021">
            <w:pPr>
              <w:autoSpaceDE w:val="0"/>
              <w:autoSpaceDN w:val="0"/>
              <w:adjustRightInd w:val="0"/>
              <w:jc w:val="center"/>
              <w:rPr>
                <w:rFonts w:ascii="宋体" w:hAnsi="宋体" w:eastAsia="宋体" w:cs="Calibri"/>
                <w:color w:val="auto"/>
                <w:sz w:val="21"/>
                <w:szCs w:val="21"/>
                <w:highlight w:val="none"/>
              </w:rPr>
            </w:pPr>
            <w:r>
              <w:rPr>
                <w:rFonts w:hint="eastAsia" w:ascii="宋体" w:hAnsi="宋体" w:eastAsia="宋体"/>
                <w:color w:val="auto"/>
                <w:sz w:val="21"/>
                <w:szCs w:val="21"/>
                <w:highlight w:val="none"/>
              </w:rPr>
              <w:t>年龄</w:t>
            </w:r>
          </w:p>
        </w:tc>
        <w:tc>
          <w:tcPr>
            <w:tcW w:w="1130" w:type="dxa"/>
            <w:tcBorders>
              <w:top w:val="single" w:color="000000" w:sz="4" w:space="0"/>
              <w:left w:val="nil"/>
              <w:bottom w:val="single" w:color="000000" w:sz="4" w:space="0"/>
              <w:right w:val="single" w:color="000000" w:sz="4" w:space="0"/>
            </w:tcBorders>
            <w:vAlign w:val="center"/>
          </w:tcPr>
          <w:p w14:paraId="2D6568E5">
            <w:pPr>
              <w:autoSpaceDE w:val="0"/>
              <w:autoSpaceDN w:val="0"/>
              <w:adjustRightInd w:val="0"/>
              <w:rPr>
                <w:rFonts w:ascii="宋体" w:hAnsi="宋体" w:eastAsia="宋体" w:cs="Calibri"/>
                <w:color w:val="auto"/>
                <w:sz w:val="21"/>
                <w:szCs w:val="21"/>
                <w:highlight w:val="none"/>
              </w:rPr>
            </w:pPr>
          </w:p>
        </w:tc>
        <w:tc>
          <w:tcPr>
            <w:tcW w:w="2506" w:type="dxa"/>
            <w:gridSpan w:val="3"/>
            <w:tcBorders>
              <w:top w:val="single" w:color="000000" w:sz="4" w:space="0"/>
              <w:left w:val="nil"/>
              <w:bottom w:val="single" w:color="000000" w:sz="4" w:space="0"/>
              <w:right w:val="single" w:color="000000" w:sz="4" w:space="0"/>
            </w:tcBorders>
            <w:vAlign w:val="center"/>
          </w:tcPr>
          <w:p w14:paraId="45F9A128">
            <w:pPr>
              <w:autoSpaceDE w:val="0"/>
              <w:autoSpaceDN w:val="0"/>
              <w:adjustRightInd w:val="0"/>
              <w:jc w:val="center"/>
              <w:rPr>
                <w:rFonts w:ascii="宋体" w:hAnsi="宋体" w:eastAsia="宋体" w:cs="Calibri"/>
                <w:color w:val="auto"/>
                <w:sz w:val="21"/>
                <w:szCs w:val="21"/>
                <w:highlight w:val="none"/>
                <w:lang w:eastAsia="zh-CN"/>
              </w:rPr>
            </w:pPr>
            <w:r>
              <w:rPr>
                <w:rFonts w:hint="eastAsia" w:ascii="宋体" w:hAnsi="宋体" w:eastAsia="宋体"/>
                <w:color w:val="auto"/>
                <w:sz w:val="21"/>
                <w:szCs w:val="21"/>
                <w:highlight w:val="none"/>
                <w:lang w:eastAsia="zh-CN"/>
              </w:rPr>
              <w:t>执业</w:t>
            </w:r>
            <w:r>
              <w:rPr>
                <w:rFonts w:hint="eastAsia" w:ascii="宋体" w:hAnsi="宋体" w:eastAsia="宋体"/>
                <w:color w:val="auto"/>
                <w:spacing w:val="-2"/>
                <w:sz w:val="21"/>
                <w:szCs w:val="21"/>
                <w:highlight w:val="none"/>
                <w:lang w:eastAsia="zh-CN"/>
              </w:rPr>
              <w:t>资</w:t>
            </w:r>
            <w:r>
              <w:rPr>
                <w:rFonts w:hint="eastAsia" w:ascii="宋体" w:hAnsi="宋体" w:eastAsia="宋体"/>
                <w:color w:val="auto"/>
                <w:sz w:val="21"/>
                <w:szCs w:val="21"/>
                <w:highlight w:val="none"/>
                <w:lang w:eastAsia="zh-CN"/>
              </w:rPr>
              <w:t>格</w:t>
            </w:r>
            <w:r>
              <w:rPr>
                <w:rFonts w:hint="eastAsia" w:ascii="宋体" w:hAnsi="宋体" w:eastAsia="宋体"/>
                <w:color w:val="auto"/>
                <w:spacing w:val="-2"/>
                <w:sz w:val="21"/>
                <w:szCs w:val="21"/>
                <w:highlight w:val="none"/>
                <w:lang w:eastAsia="zh-CN"/>
              </w:rPr>
              <w:t>证</w:t>
            </w:r>
            <w:r>
              <w:rPr>
                <w:rFonts w:hint="eastAsia" w:ascii="宋体" w:hAnsi="宋体" w:eastAsia="宋体"/>
                <w:color w:val="auto"/>
                <w:sz w:val="21"/>
                <w:szCs w:val="21"/>
                <w:highlight w:val="none"/>
                <w:lang w:eastAsia="zh-CN"/>
              </w:rPr>
              <w:t>书</w:t>
            </w:r>
            <w:r>
              <w:rPr>
                <w:rFonts w:hint="eastAsia" w:ascii="宋体" w:hAnsi="宋体" w:eastAsia="宋体"/>
                <w:color w:val="auto"/>
                <w:spacing w:val="-2"/>
                <w:sz w:val="21"/>
                <w:szCs w:val="21"/>
                <w:highlight w:val="none"/>
                <w:lang w:eastAsia="zh-CN"/>
              </w:rPr>
              <w:t>（</w:t>
            </w:r>
            <w:r>
              <w:rPr>
                <w:rFonts w:hint="eastAsia" w:ascii="宋体" w:hAnsi="宋体" w:eastAsia="宋体"/>
                <w:color w:val="auto"/>
                <w:sz w:val="21"/>
                <w:szCs w:val="21"/>
                <w:highlight w:val="none"/>
                <w:lang w:eastAsia="zh-CN"/>
              </w:rPr>
              <w:t>或</w:t>
            </w:r>
            <w:r>
              <w:rPr>
                <w:rFonts w:hint="eastAsia" w:ascii="宋体" w:hAnsi="宋体" w:eastAsia="宋体"/>
                <w:color w:val="auto"/>
                <w:spacing w:val="-2"/>
                <w:sz w:val="21"/>
                <w:szCs w:val="21"/>
                <w:highlight w:val="none"/>
                <w:lang w:eastAsia="zh-CN"/>
              </w:rPr>
              <w:t>上</w:t>
            </w:r>
            <w:r>
              <w:rPr>
                <w:rFonts w:hint="eastAsia" w:ascii="宋体" w:hAnsi="宋体" w:eastAsia="宋体"/>
                <w:color w:val="auto"/>
                <w:sz w:val="21"/>
                <w:szCs w:val="21"/>
                <w:highlight w:val="none"/>
                <w:lang w:eastAsia="zh-CN"/>
              </w:rPr>
              <w:t>岗证书</w:t>
            </w:r>
            <w:r>
              <w:rPr>
                <w:rFonts w:hint="eastAsia" w:ascii="宋体" w:hAnsi="宋体" w:eastAsia="宋体"/>
                <w:color w:val="auto"/>
                <w:spacing w:val="-2"/>
                <w:sz w:val="21"/>
                <w:szCs w:val="21"/>
                <w:highlight w:val="none"/>
                <w:lang w:eastAsia="zh-CN"/>
              </w:rPr>
              <w:t>）</w:t>
            </w:r>
            <w:r>
              <w:rPr>
                <w:rFonts w:hint="eastAsia" w:ascii="宋体" w:hAnsi="宋体" w:eastAsia="宋体"/>
                <w:color w:val="auto"/>
                <w:sz w:val="21"/>
                <w:szCs w:val="21"/>
                <w:highlight w:val="none"/>
                <w:lang w:eastAsia="zh-CN"/>
              </w:rPr>
              <w:t>名称</w:t>
            </w:r>
          </w:p>
        </w:tc>
        <w:tc>
          <w:tcPr>
            <w:tcW w:w="2009" w:type="dxa"/>
            <w:tcBorders>
              <w:top w:val="single" w:color="000000" w:sz="4" w:space="0"/>
              <w:left w:val="nil"/>
              <w:bottom w:val="single" w:color="000000" w:sz="4" w:space="0"/>
              <w:right w:val="single" w:color="000000" w:sz="4" w:space="0"/>
            </w:tcBorders>
            <w:vAlign w:val="center"/>
          </w:tcPr>
          <w:p w14:paraId="33BDAA31">
            <w:pPr>
              <w:autoSpaceDE w:val="0"/>
              <w:autoSpaceDN w:val="0"/>
              <w:adjustRightInd w:val="0"/>
              <w:rPr>
                <w:rFonts w:ascii="宋体" w:hAnsi="宋体" w:eastAsia="宋体" w:cs="Calibri"/>
                <w:color w:val="auto"/>
                <w:sz w:val="21"/>
                <w:szCs w:val="21"/>
                <w:highlight w:val="none"/>
                <w:lang w:eastAsia="zh-CN"/>
              </w:rPr>
            </w:pPr>
          </w:p>
        </w:tc>
      </w:tr>
      <w:tr w14:paraId="3C4DC8DB">
        <w:tblPrEx>
          <w:tblCellMar>
            <w:top w:w="0" w:type="dxa"/>
            <w:left w:w="0" w:type="dxa"/>
            <w:bottom w:w="0" w:type="dxa"/>
            <w:right w:w="0" w:type="dxa"/>
          </w:tblCellMar>
        </w:tblPrEx>
        <w:trPr>
          <w:trHeight w:val="698" w:hRule="atLeast"/>
        </w:trPr>
        <w:tc>
          <w:tcPr>
            <w:tcW w:w="1254" w:type="dxa"/>
            <w:tcBorders>
              <w:top w:val="single" w:color="000000" w:sz="4" w:space="0"/>
              <w:left w:val="single" w:color="000000" w:sz="4" w:space="0"/>
              <w:bottom w:val="single" w:color="000000" w:sz="4" w:space="0"/>
              <w:right w:val="single" w:color="000000" w:sz="4" w:space="0"/>
            </w:tcBorders>
            <w:vAlign w:val="center"/>
          </w:tcPr>
          <w:p w14:paraId="38A103A6">
            <w:pPr>
              <w:autoSpaceDE w:val="0"/>
              <w:autoSpaceDN w:val="0"/>
              <w:adjustRightInd w:val="0"/>
              <w:jc w:val="center"/>
              <w:rPr>
                <w:rFonts w:ascii="宋体" w:hAnsi="宋体" w:eastAsia="宋体" w:cs="Calibri"/>
                <w:color w:val="auto"/>
                <w:sz w:val="21"/>
                <w:szCs w:val="21"/>
                <w:highlight w:val="none"/>
              </w:rPr>
            </w:pPr>
            <w:r>
              <w:rPr>
                <w:rFonts w:hint="eastAsia" w:ascii="宋体" w:hAnsi="宋体" w:eastAsia="宋体"/>
                <w:color w:val="auto"/>
                <w:sz w:val="21"/>
                <w:szCs w:val="21"/>
                <w:highlight w:val="none"/>
              </w:rPr>
              <w:t>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称</w:t>
            </w:r>
          </w:p>
        </w:tc>
        <w:tc>
          <w:tcPr>
            <w:tcW w:w="1112" w:type="dxa"/>
            <w:gridSpan w:val="2"/>
            <w:tcBorders>
              <w:top w:val="single" w:color="000000" w:sz="4" w:space="0"/>
              <w:left w:val="nil"/>
              <w:bottom w:val="single" w:color="000000" w:sz="4" w:space="0"/>
              <w:right w:val="single" w:color="000000" w:sz="4" w:space="0"/>
            </w:tcBorders>
            <w:vAlign w:val="center"/>
          </w:tcPr>
          <w:p w14:paraId="007E602A">
            <w:pPr>
              <w:autoSpaceDE w:val="0"/>
              <w:autoSpaceDN w:val="0"/>
              <w:adjustRightInd w:val="0"/>
              <w:rPr>
                <w:rFonts w:ascii="宋体" w:hAnsi="宋体" w:eastAsia="宋体" w:cs="Calibri"/>
                <w:color w:val="auto"/>
                <w:sz w:val="21"/>
                <w:szCs w:val="21"/>
                <w:highlight w:val="none"/>
              </w:rPr>
            </w:pPr>
          </w:p>
        </w:tc>
        <w:tc>
          <w:tcPr>
            <w:tcW w:w="1015" w:type="dxa"/>
            <w:tcBorders>
              <w:top w:val="single" w:color="000000" w:sz="4" w:space="0"/>
              <w:left w:val="nil"/>
              <w:bottom w:val="single" w:color="000000" w:sz="4" w:space="0"/>
              <w:right w:val="single" w:color="000000" w:sz="4" w:space="0"/>
            </w:tcBorders>
            <w:vAlign w:val="center"/>
          </w:tcPr>
          <w:p w14:paraId="5C47920E">
            <w:pPr>
              <w:autoSpaceDE w:val="0"/>
              <w:autoSpaceDN w:val="0"/>
              <w:adjustRightInd w:val="0"/>
              <w:jc w:val="center"/>
              <w:rPr>
                <w:rFonts w:ascii="宋体" w:hAnsi="宋体" w:eastAsia="宋体" w:cs="Calibri"/>
                <w:color w:val="auto"/>
                <w:sz w:val="21"/>
                <w:szCs w:val="21"/>
                <w:highlight w:val="none"/>
              </w:rPr>
            </w:pPr>
            <w:r>
              <w:rPr>
                <w:rFonts w:hint="eastAsia" w:ascii="宋体" w:hAnsi="宋体" w:eastAsia="宋体"/>
                <w:color w:val="auto"/>
                <w:sz w:val="21"/>
                <w:szCs w:val="21"/>
                <w:highlight w:val="none"/>
              </w:rPr>
              <w:t>学历</w:t>
            </w:r>
          </w:p>
        </w:tc>
        <w:tc>
          <w:tcPr>
            <w:tcW w:w="1130" w:type="dxa"/>
            <w:tcBorders>
              <w:top w:val="single" w:color="000000" w:sz="4" w:space="0"/>
              <w:left w:val="nil"/>
              <w:bottom w:val="single" w:color="000000" w:sz="4" w:space="0"/>
              <w:right w:val="single" w:color="000000" w:sz="4" w:space="0"/>
            </w:tcBorders>
            <w:vAlign w:val="center"/>
          </w:tcPr>
          <w:p w14:paraId="101F969B">
            <w:pPr>
              <w:autoSpaceDE w:val="0"/>
              <w:autoSpaceDN w:val="0"/>
              <w:adjustRightInd w:val="0"/>
              <w:rPr>
                <w:rFonts w:ascii="宋体" w:hAnsi="宋体" w:eastAsia="宋体" w:cs="Calibri"/>
                <w:color w:val="auto"/>
                <w:sz w:val="21"/>
                <w:szCs w:val="21"/>
                <w:highlight w:val="none"/>
              </w:rPr>
            </w:pPr>
          </w:p>
        </w:tc>
        <w:tc>
          <w:tcPr>
            <w:tcW w:w="2506" w:type="dxa"/>
            <w:gridSpan w:val="3"/>
            <w:tcBorders>
              <w:top w:val="single" w:color="000000" w:sz="4" w:space="0"/>
              <w:left w:val="nil"/>
              <w:bottom w:val="single" w:color="000000" w:sz="4" w:space="0"/>
              <w:right w:val="single" w:color="000000" w:sz="4" w:space="0"/>
            </w:tcBorders>
            <w:vAlign w:val="center"/>
          </w:tcPr>
          <w:p w14:paraId="59908C1F">
            <w:pPr>
              <w:autoSpaceDE w:val="0"/>
              <w:autoSpaceDN w:val="0"/>
              <w:adjustRightInd w:val="0"/>
              <w:jc w:val="center"/>
              <w:rPr>
                <w:rFonts w:ascii="宋体" w:hAnsi="宋体" w:eastAsia="宋体" w:cs="Calibri"/>
                <w:color w:val="auto"/>
                <w:sz w:val="21"/>
                <w:szCs w:val="21"/>
                <w:highlight w:val="none"/>
              </w:rPr>
            </w:pPr>
            <w:r>
              <w:rPr>
                <w:rFonts w:hint="eastAsia" w:ascii="宋体" w:hAnsi="宋体" w:eastAsia="宋体"/>
                <w:color w:val="auto"/>
                <w:sz w:val="21"/>
                <w:szCs w:val="21"/>
                <w:highlight w:val="none"/>
              </w:rPr>
              <w:t>拟在</w:t>
            </w:r>
            <w:r>
              <w:rPr>
                <w:rFonts w:hint="eastAsia" w:ascii="宋体" w:hAnsi="宋体" w:eastAsia="宋体"/>
                <w:color w:val="auto"/>
                <w:spacing w:val="-2"/>
                <w:sz w:val="21"/>
                <w:szCs w:val="21"/>
                <w:highlight w:val="none"/>
              </w:rPr>
              <w:t>本</w:t>
            </w:r>
            <w:r>
              <w:rPr>
                <w:rFonts w:hint="eastAsia" w:ascii="宋体" w:hAnsi="宋体" w:eastAsia="宋体"/>
                <w:color w:val="auto"/>
                <w:sz w:val="21"/>
                <w:szCs w:val="21"/>
                <w:highlight w:val="none"/>
              </w:rPr>
              <w:t>项</w:t>
            </w:r>
            <w:r>
              <w:rPr>
                <w:rFonts w:hint="eastAsia" w:ascii="宋体" w:hAnsi="宋体" w:eastAsia="宋体"/>
                <w:color w:val="auto"/>
                <w:spacing w:val="-2"/>
                <w:sz w:val="21"/>
                <w:szCs w:val="21"/>
                <w:highlight w:val="none"/>
              </w:rPr>
              <w:t>目</w:t>
            </w:r>
            <w:r>
              <w:rPr>
                <w:rFonts w:hint="eastAsia" w:ascii="宋体" w:hAnsi="宋体" w:eastAsia="宋体"/>
                <w:color w:val="auto"/>
                <w:sz w:val="21"/>
                <w:szCs w:val="21"/>
                <w:highlight w:val="none"/>
              </w:rPr>
              <w:t>任职</w:t>
            </w:r>
          </w:p>
        </w:tc>
        <w:tc>
          <w:tcPr>
            <w:tcW w:w="2009" w:type="dxa"/>
            <w:tcBorders>
              <w:top w:val="single" w:color="000000" w:sz="4" w:space="0"/>
              <w:left w:val="nil"/>
              <w:bottom w:val="single" w:color="000000" w:sz="4" w:space="0"/>
              <w:right w:val="single" w:color="000000" w:sz="4" w:space="0"/>
            </w:tcBorders>
            <w:vAlign w:val="center"/>
          </w:tcPr>
          <w:p w14:paraId="69913520">
            <w:pPr>
              <w:autoSpaceDE w:val="0"/>
              <w:autoSpaceDN w:val="0"/>
              <w:adjustRightInd w:val="0"/>
              <w:rPr>
                <w:rFonts w:ascii="宋体" w:hAnsi="宋体" w:eastAsia="宋体" w:cs="Calibri"/>
                <w:color w:val="auto"/>
                <w:sz w:val="21"/>
                <w:szCs w:val="21"/>
                <w:highlight w:val="none"/>
              </w:rPr>
            </w:pPr>
          </w:p>
        </w:tc>
      </w:tr>
      <w:tr w14:paraId="2A31A9A3">
        <w:tblPrEx>
          <w:tblCellMar>
            <w:top w:w="0" w:type="dxa"/>
            <w:left w:w="0" w:type="dxa"/>
            <w:bottom w:w="0" w:type="dxa"/>
            <w:right w:w="0" w:type="dxa"/>
          </w:tblCellMar>
        </w:tblPrEx>
        <w:trPr>
          <w:trHeight w:val="701" w:hRule="atLeast"/>
        </w:trPr>
        <w:tc>
          <w:tcPr>
            <w:tcW w:w="1254" w:type="dxa"/>
            <w:tcBorders>
              <w:top w:val="single" w:color="000000" w:sz="4" w:space="0"/>
              <w:left w:val="single" w:color="000000" w:sz="4" w:space="0"/>
              <w:bottom w:val="single" w:color="000000" w:sz="4" w:space="0"/>
              <w:right w:val="single" w:color="000000" w:sz="4" w:space="0"/>
            </w:tcBorders>
            <w:vAlign w:val="center"/>
          </w:tcPr>
          <w:p w14:paraId="68DD06F3">
            <w:pPr>
              <w:autoSpaceDE w:val="0"/>
              <w:autoSpaceDN w:val="0"/>
              <w:adjustRightInd w:val="0"/>
              <w:jc w:val="center"/>
              <w:rPr>
                <w:rFonts w:ascii="宋体" w:hAnsi="宋体" w:eastAsia="宋体" w:cs="Calibri"/>
                <w:color w:val="auto"/>
                <w:sz w:val="21"/>
                <w:szCs w:val="21"/>
                <w:highlight w:val="none"/>
              </w:rPr>
            </w:pPr>
            <w:r>
              <w:rPr>
                <w:rFonts w:hint="eastAsia" w:ascii="宋体" w:hAnsi="宋体" w:eastAsia="宋体"/>
                <w:color w:val="auto"/>
                <w:sz w:val="21"/>
                <w:szCs w:val="21"/>
                <w:highlight w:val="none"/>
              </w:rPr>
              <w:t>工作</w:t>
            </w:r>
            <w:r>
              <w:rPr>
                <w:rFonts w:hint="eastAsia" w:ascii="宋体" w:hAnsi="宋体" w:eastAsia="宋体"/>
                <w:color w:val="auto"/>
                <w:spacing w:val="-2"/>
                <w:sz w:val="21"/>
                <w:szCs w:val="21"/>
                <w:highlight w:val="none"/>
              </w:rPr>
              <w:t>年</w:t>
            </w:r>
            <w:r>
              <w:rPr>
                <w:rFonts w:hint="eastAsia" w:ascii="宋体" w:hAnsi="宋体" w:eastAsia="宋体"/>
                <w:color w:val="auto"/>
                <w:sz w:val="21"/>
                <w:szCs w:val="21"/>
                <w:highlight w:val="none"/>
              </w:rPr>
              <w:t>限</w:t>
            </w:r>
          </w:p>
        </w:tc>
        <w:tc>
          <w:tcPr>
            <w:tcW w:w="3257" w:type="dxa"/>
            <w:gridSpan w:val="4"/>
            <w:tcBorders>
              <w:top w:val="single" w:color="000000" w:sz="4" w:space="0"/>
              <w:left w:val="nil"/>
              <w:bottom w:val="single" w:color="000000" w:sz="4" w:space="0"/>
              <w:right w:val="single" w:color="000000" w:sz="4" w:space="0"/>
            </w:tcBorders>
            <w:vAlign w:val="center"/>
          </w:tcPr>
          <w:p w14:paraId="6724EDF7">
            <w:pPr>
              <w:autoSpaceDE w:val="0"/>
              <w:autoSpaceDN w:val="0"/>
              <w:adjustRightInd w:val="0"/>
              <w:rPr>
                <w:rFonts w:ascii="宋体" w:hAnsi="宋体" w:eastAsia="宋体" w:cs="Calibri"/>
                <w:color w:val="auto"/>
                <w:sz w:val="21"/>
                <w:szCs w:val="21"/>
                <w:highlight w:val="none"/>
              </w:rPr>
            </w:pPr>
          </w:p>
        </w:tc>
        <w:tc>
          <w:tcPr>
            <w:tcW w:w="2506" w:type="dxa"/>
            <w:gridSpan w:val="3"/>
            <w:tcBorders>
              <w:top w:val="single" w:color="000000" w:sz="4" w:space="0"/>
              <w:left w:val="nil"/>
              <w:bottom w:val="single" w:color="000000" w:sz="4" w:space="0"/>
              <w:right w:val="single" w:color="000000" w:sz="4" w:space="0"/>
            </w:tcBorders>
            <w:vAlign w:val="center"/>
          </w:tcPr>
          <w:p w14:paraId="20BB6541">
            <w:pPr>
              <w:autoSpaceDE w:val="0"/>
              <w:autoSpaceDN w:val="0"/>
              <w:adjustRightInd w:val="0"/>
              <w:jc w:val="center"/>
              <w:rPr>
                <w:rFonts w:ascii="宋体" w:hAnsi="宋体" w:eastAsia="宋体" w:cs="Calibri"/>
                <w:color w:val="auto"/>
                <w:sz w:val="21"/>
                <w:szCs w:val="21"/>
                <w:highlight w:val="none"/>
              </w:rPr>
            </w:pPr>
            <w:r>
              <w:rPr>
                <w:rFonts w:hint="eastAsia" w:ascii="宋体" w:hAnsi="宋体" w:eastAsia="宋体"/>
                <w:color w:val="auto"/>
                <w:sz w:val="21"/>
                <w:szCs w:val="21"/>
                <w:highlight w:val="none"/>
              </w:rPr>
              <w:t>从事</w:t>
            </w:r>
            <w:r>
              <w:rPr>
                <w:rFonts w:hint="eastAsia" w:ascii="宋体" w:hAnsi="宋体" w:eastAsia="宋体"/>
                <w:color w:val="auto"/>
                <w:spacing w:val="-2"/>
                <w:sz w:val="21"/>
                <w:szCs w:val="21"/>
                <w:highlight w:val="none"/>
              </w:rPr>
              <w:t>设</w:t>
            </w:r>
            <w:r>
              <w:rPr>
                <w:rFonts w:hint="eastAsia" w:ascii="宋体" w:hAnsi="宋体" w:eastAsia="宋体"/>
                <w:color w:val="auto"/>
                <w:sz w:val="21"/>
                <w:szCs w:val="21"/>
                <w:highlight w:val="none"/>
              </w:rPr>
              <w:t>计</w:t>
            </w:r>
            <w:r>
              <w:rPr>
                <w:rFonts w:hint="eastAsia" w:ascii="宋体" w:hAnsi="宋体" w:eastAsia="宋体"/>
                <w:color w:val="auto"/>
                <w:spacing w:val="-2"/>
                <w:sz w:val="21"/>
                <w:szCs w:val="21"/>
                <w:highlight w:val="none"/>
              </w:rPr>
              <w:t>工</w:t>
            </w:r>
            <w:r>
              <w:rPr>
                <w:rFonts w:hint="eastAsia" w:ascii="宋体" w:hAnsi="宋体" w:eastAsia="宋体"/>
                <w:color w:val="auto"/>
                <w:sz w:val="21"/>
                <w:szCs w:val="21"/>
                <w:highlight w:val="none"/>
              </w:rPr>
              <w:t>作</w:t>
            </w:r>
            <w:r>
              <w:rPr>
                <w:rFonts w:hint="eastAsia" w:ascii="宋体" w:hAnsi="宋体" w:eastAsia="宋体"/>
                <w:color w:val="auto"/>
                <w:spacing w:val="-2"/>
                <w:sz w:val="21"/>
                <w:szCs w:val="21"/>
                <w:highlight w:val="none"/>
              </w:rPr>
              <w:t>年</w:t>
            </w:r>
            <w:r>
              <w:rPr>
                <w:rFonts w:hint="eastAsia" w:ascii="宋体" w:hAnsi="宋体" w:eastAsia="宋体"/>
                <w:color w:val="auto"/>
                <w:sz w:val="21"/>
                <w:szCs w:val="21"/>
                <w:highlight w:val="none"/>
              </w:rPr>
              <w:t>限</w:t>
            </w:r>
          </w:p>
        </w:tc>
        <w:tc>
          <w:tcPr>
            <w:tcW w:w="2009" w:type="dxa"/>
            <w:tcBorders>
              <w:top w:val="single" w:color="000000" w:sz="4" w:space="0"/>
              <w:left w:val="nil"/>
              <w:bottom w:val="single" w:color="000000" w:sz="4" w:space="0"/>
              <w:right w:val="single" w:color="000000" w:sz="4" w:space="0"/>
            </w:tcBorders>
            <w:vAlign w:val="center"/>
          </w:tcPr>
          <w:p w14:paraId="2EF9EA16">
            <w:pPr>
              <w:autoSpaceDE w:val="0"/>
              <w:autoSpaceDN w:val="0"/>
              <w:adjustRightInd w:val="0"/>
              <w:rPr>
                <w:rFonts w:ascii="宋体" w:hAnsi="宋体" w:eastAsia="宋体" w:cs="Calibri"/>
                <w:color w:val="auto"/>
                <w:sz w:val="21"/>
                <w:szCs w:val="21"/>
                <w:highlight w:val="none"/>
              </w:rPr>
            </w:pPr>
          </w:p>
        </w:tc>
      </w:tr>
      <w:tr w14:paraId="13C3DE20">
        <w:tblPrEx>
          <w:tblCellMar>
            <w:top w:w="0" w:type="dxa"/>
            <w:left w:w="0" w:type="dxa"/>
            <w:bottom w:w="0" w:type="dxa"/>
            <w:right w:w="0" w:type="dxa"/>
          </w:tblCellMar>
        </w:tblPrEx>
        <w:trPr>
          <w:trHeight w:val="710" w:hRule="atLeast"/>
        </w:trPr>
        <w:tc>
          <w:tcPr>
            <w:tcW w:w="1254" w:type="dxa"/>
            <w:tcBorders>
              <w:top w:val="single" w:color="000000" w:sz="4" w:space="0"/>
              <w:left w:val="single" w:color="000000" w:sz="4" w:space="0"/>
              <w:bottom w:val="single" w:color="000000" w:sz="4" w:space="0"/>
              <w:right w:val="single" w:color="000000" w:sz="4" w:space="0"/>
            </w:tcBorders>
            <w:vAlign w:val="center"/>
          </w:tcPr>
          <w:p w14:paraId="11E40B4F">
            <w:pPr>
              <w:autoSpaceDE w:val="0"/>
              <w:autoSpaceDN w:val="0"/>
              <w:adjustRightInd w:val="0"/>
              <w:jc w:val="center"/>
              <w:rPr>
                <w:rFonts w:ascii="宋体" w:hAnsi="宋体" w:eastAsia="宋体" w:cs="Calibri"/>
                <w:color w:val="auto"/>
                <w:sz w:val="21"/>
                <w:szCs w:val="21"/>
                <w:highlight w:val="none"/>
              </w:rPr>
            </w:pPr>
            <w:r>
              <w:rPr>
                <w:rFonts w:hint="eastAsia" w:ascii="宋体" w:hAnsi="宋体" w:eastAsia="宋体"/>
                <w:color w:val="auto"/>
                <w:sz w:val="21"/>
                <w:szCs w:val="21"/>
                <w:highlight w:val="none"/>
              </w:rPr>
              <w:t>毕业</w:t>
            </w:r>
            <w:r>
              <w:rPr>
                <w:rFonts w:hint="eastAsia" w:ascii="宋体" w:hAnsi="宋体" w:eastAsia="宋体"/>
                <w:color w:val="auto"/>
                <w:spacing w:val="-2"/>
                <w:sz w:val="21"/>
                <w:szCs w:val="21"/>
                <w:highlight w:val="none"/>
              </w:rPr>
              <w:t>学</w:t>
            </w:r>
            <w:r>
              <w:rPr>
                <w:rFonts w:hint="eastAsia" w:ascii="宋体" w:hAnsi="宋体" w:eastAsia="宋体"/>
                <w:color w:val="auto"/>
                <w:sz w:val="21"/>
                <w:szCs w:val="21"/>
                <w:highlight w:val="none"/>
              </w:rPr>
              <w:t>校</w:t>
            </w:r>
          </w:p>
        </w:tc>
        <w:tc>
          <w:tcPr>
            <w:tcW w:w="7772" w:type="dxa"/>
            <w:gridSpan w:val="8"/>
            <w:tcBorders>
              <w:top w:val="single" w:color="000000" w:sz="4" w:space="0"/>
              <w:left w:val="nil"/>
              <w:bottom w:val="single" w:color="000000" w:sz="4" w:space="0"/>
              <w:right w:val="single" w:color="000000" w:sz="4" w:space="0"/>
            </w:tcBorders>
            <w:vAlign w:val="center"/>
          </w:tcPr>
          <w:p w14:paraId="323B6B9C">
            <w:pPr>
              <w:autoSpaceDE w:val="0"/>
              <w:autoSpaceDN w:val="0"/>
              <w:adjustRightInd w:val="0"/>
              <w:ind w:firstLine="420" w:firstLineChars="200"/>
              <w:rPr>
                <w:rFonts w:ascii="宋体" w:hAnsi="宋体" w:eastAsia="宋体" w:cs="Calibri"/>
                <w:color w:val="auto"/>
                <w:sz w:val="21"/>
                <w:szCs w:val="21"/>
                <w:highlight w:val="none"/>
              </w:rPr>
            </w:pPr>
            <w:r>
              <w:rPr>
                <w:rFonts w:hint="eastAsia" w:ascii="宋体" w:hAnsi="宋体" w:eastAsia="宋体"/>
                <w:color w:val="auto"/>
                <w:sz w:val="21"/>
                <w:szCs w:val="21"/>
                <w:highlight w:val="none"/>
              </w:rPr>
              <w:t>年毕</w:t>
            </w:r>
            <w:r>
              <w:rPr>
                <w:rFonts w:hint="eastAsia" w:ascii="宋体" w:hAnsi="宋体" w:eastAsia="宋体"/>
                <w:color w:val="auto"/>
                <w:spacing w:val="-2"/>
                <w:sz w:val="21"/>
                <w:szCs w:val="21"/>
                <w:highlight w:val="none"/>
              </w:rPr>
              <w:t>业</w:t>
            </w:r>
            <w:r>
              <w:rPr>
                <w:rFonts w:hint="eastAsia" w:ascii="宋体" w:hAnsi="宋体" w:eastAsia="宋体"/>
                <w:color w:val="auto"/>
                <w:sz w:val="21"/>
                <w:szCs w:val="21"/>
                <w:highlight w:val="none"/>
              </w:rPr>
              <w:t>于</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w:t>
            </w:r>
            <w:r>
              <w:rPr>
                <w:rFonts w:hint="eastAsia" w:ascii="宋体" w:hAnsi="宋体" w:eastAsia="宋体"/>
                <w:color w:val="auto"/>
                <w:spacing w:val="-2"/>
                <w:sz w:val="21"/>
                <w:szCs w:val="21"/>
                <w:highlight w:val="none"/>
              </w:rPr>
              <w:t>学</w:t>
            </w:r>
            <w:r>
              <w:rPr>
                <w:rFonts w:hint="eastAsia" w:ascii="宋体" w:hAnsi="宋体" w:eastAsia="宋体"/>
                <w:color w:val="auto"/>
                <w:sz w:val="21"/>
                <w:szCs w:val="21"/>
                <w:highlight w:val="none"/>
              </w:rPr>
              <w:t>校</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专业</w:t>
            </w:r>
          </w:p>
        </w:tc>
      </w:tr>
      <w:tr w14:paraId="4BB2EB19">
        <w:tblPrEx>
          <w:tblCellMar>
            <w:top w:w="0" w:type="dxa"/>
            <w:left w:w="0" w:type="dxa"/>
            <w:bottom w:w="0" w:type="dxa"/>
            <w:right w:w="0" w:type="dxa"/>
          </w:tblCellMar>
        </w:tblPrEx>
        <w:trPr>
          <w:trHeight w:val="718" w:hRule="atLeast"/>
        </w:trPr>
        <w:tc>
          <w:tcPr>
            <w:tcW w:w="1635" w:type="dxa"/>
            <w:gridSpan w:val="2"/>
            <w:tcBorders>
              <w:top w:val="single" w:color="000000" w:sz="4" w:space="0"/>
              <w:left w:val="single" w:color="000000" w:sz="4" w:space="0"/>
              <w:bottom w:val="single" w:color="000000" w:sz="4" w:space="0"/>
              <w:right w:val="single" w:color="000000" w:sz="4" w:space="0"/>
            </w:tcBorders>
            <w:vAlign w:val="center"/>
          </w:tcPr>
          <w:p w14:paraId="5BCA8ED7">
            <w:pPr>
              <w:autoSpaceDE w:val="0"/>
              <w:autoSpaceDN w:val="0"/>
              <w:adjustRightInd w:val="0"/>
              <w:jc w:val="center"/>
              <w:rPr>
                <w:rFonts w:ascii="宋体" w:hAnsi="宋体" w:eastAsia="宋体" w:cs="Calibri"/>
                <w:color w:val="auto"/>
                <w:sz w:val="21"/>
                <w:szCs w:val="21"/>
                <w:highlight w:val="none"/>
              </w:rPr>
            </w:pPr>
            <w:r>
              <w:rPr>
                <w:rFonts w:hint="eastAsia" w:ascii="宋体" w:hAnsi="宋体" w:eastAsia="宋体"/>
                <w:color w:val="auto"/>
                <w:sz w:val="21"/>
                <w:szCs w:val="21"/>
                <w:highlight w:val="none"/>
              </w:rPr>
              <w:t>时</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间</w:t>
            </w:r>
          </w:p>
        </w:tc>
        <w:tc>
          <w:tcPr>
            <w:tcW w:w="3622" w:type="dxa"/>
            <w:gridSpan w:val="4"/>
            <w:tcBorders>
              <w:top w:val="single" w:color="000000" w:sz="4" w:space="0"/>
              <w:left w:val="nil"/>
              <w:bottom w:val="single" w:color="000000" w:sz="4" w:space="0"/>
              <w:right w:val="single" w:color="000000" w:sz="4" w:space="0"/>
            </w:tcBorders>
            <w:vAlign w:val="center"/>
          </w:tcPr>
          <w:p w14:paraId="653D3B59">
            <w:pPr>
              <w:autoSpaceDE w:val="0"/>
              <w:autoSpaceDN w:val="0"/>
              <w:adjustRightInd w:val="0"/>
              <w:jc w:val="center"/>
              <w:rPr>
                <w:rFonts w:ascii="宋体" w:hAnsi="宋体" w:eastAsia="宋体" w:cs="Calibri"/>
                <w:color w:val="auto"/>
                <w:sz w:val="21"/>
                <w:szCs w:val="21"/>
                <w:highlight w:val="none"/>
              </w:rPr>
            </w:pPr>
            <w:r>
              <w:rPr>
                <w:rFonts w:hint="eastAsia" w:ascii="宋体" w:hAnsi="宋体" w:eastAsia="宋体"/>
                <w:color w:val="auto"/>
                <w:sz w:val="21"/>
                <w:szCs w:val="21"/>
                <w:highlight w:val="none"/>
              </w:rPr>
              <w:t>参加</w:t>
            </w:r>
            <w:r>
              <w:rPr>
                <w:rFonts w:hint="eastAsia" w:ascii="宋体" w:hAnsi="宋体" w:eastAsia="宋体"/>
                <w:color w:val="auto"/>
                <w:spacing w:val="-2"/>
                <w:sz w:val="21"/>
                <w:szCs w:val="21"/>
                <w:highlight w:val="none"/>
              </w:rPr>
              <w:t>过</w:t>
            </w:r>
            <w:r>
              <w:rPr>
                <w:rFonts w:hint="eastAsia" w:ascii="宋体" w:hAnsi="宋体" w:eastAsia="宋体"/>
                <w:color w:val="auto"/>
                <w:sz w:val="21"/>
                <w:szCs w:val="21"/>
                <w:highlight w:val="none"/>
              </w:rPr>
              <w:t>的</w:t>
            </w:r>
            <w:r>
              <w:rPr>
                <w:rFonts w:hint="eastAsia" w:ascii="宋体" w:hAnsi="宋体" w:eastAsia="宋体"/>
                <w:color w:val="auto"/>
                <w:spacing w:val="-2"/>
                <w:sz w:val="21"/>
                <w:szCs w:val="21"/>
                <w:highlight w:val="none"/>
              </w:rPr>
              <w:t>类</w:t>
            </w:r>
            <w:r>
              <w:rPr>
                <w:rFonts w:hint="eastAsia" w:ascii="宋体" w:hAnsi="宋体" w:eastAsia="宋体"/>
                <w:color w:val="auto"/>
                <w:sz w:val="21"/>
                <w:szCs w:val="21"/>
                <w:highlight w:val="none"/>
              </w:rPr>
              <w:t>似</w:t>
            </w:r>
            <w:r>
              <w:rPr>
                <w:rFonts w:hint="eastAsia" w:ascii="宋体" w:hAnsi="宋体" w:eastAsia="宋体"/>
                <w:color w:val="auto"/>
                <w:spacing w:val="-2"/>
                <w:sz w:val="21"/>
                <w:szCs w:val="21"/>
                <w:highlight w:val="none"/>
              </w:rPr>
              <w:t>项</w:t>
            </w:r>
            <w:r>
              <w:rPr>
                <w:rFonts w:hint="eastAsia" w:ascii="宋体" w:hAnsi="宋体" w:eastAsia="宋体"/>
                <w:color w:val="auto"/>
                <w:sz w:val="21"/>
                <w:szCs w:val="21"/>
                <w:highlight w:val="none"/>
              </w:rPr>
              <w:t>目</w:t>
            </w:r>
          </w:p>
        </w:tc>
        <w:tc>
          <w:tcPr>
            <w:tcW w:w="1334" w:type="dxa"/>
            <w:tcBorders>
              <w:top w:val="single" w:color="000000" w:sz="4" w:space="0"/>
              <w:left w:val="nil"/>
              <w:bottom w:val="single" w:color="000000" w:sz="4" w:space="0"/>
              <w:right w:val="single" w:color="000000" w:sz="4" w:space="0"/>
            </w:tcBorders>
            <w:vAlign w:val="center"/>
          </w:tcPr>
          <w:p w14:paraId="0F6AF441">
            <w:pPr>
              <w:autoSpaceDE w:val="0"/>
              <w:autoSpaceDN w:val="0"/>
              <w:adjustRightInd w:val="0"/>
              <w:jc w:val="center"/>
              <w:rPr>
                <w:rFonts w:ascii="宋体" w:hAnsi="宋体" w:eastAsia="宋体" w:cs="Calibri"/>
                <w:color w:val="auto"/>
                <w:sz w:val="21"/>
                <w:szCs w:val="21"/>
                <w:highlight w:val="none"/>
              </w:rPr>
            </w:pPr>
            <w:r>
              <w:rPr>
                <w:rFonts w:hint="eastAsia" w:ascii="宋体" w:hAnsi="宋体" w:eastAsia="宋体"/>
                <w:color w:val="auto"/>
                <w:sz w:val="21"/>
                <w:szCs w:val="21"/>
                <w:highlight w:val="none"/>
              </w:rPr>
              <w:t>担任</w:t>
            </w:r>
            <w:r>
              <w:rPr>
                <w:rFonts w:hint="eastAsia" w:ascii="宋体" w:hAnsi="宋体" w:eastAsia="宋体"/>
                <w:color w:val="auto"/>
                <w:spacing w:val="-2"/>
                <w:sz w:val="21"/>
                <w:szCs w:val="21"/>
                <w:highlight w:val="none"/>
              </w:rPr>
              <w:t>职</w:t>
            </w:r>
            <w:r>
              <w:rPr>
                <w:rFonts w:hint="eastAsia" w:ascii="宋体" w:hAnsi="宋体" w:eastAsia="宋体"/>
                <w:color w:val="auto"/>
                <w:sz w:val="21"/>
                <w:szCs w:val="21"/>
                <w:highlight w:val="none"/>
              </w:rPr>
              <w:t>务</w:t>
            </w:r>
          </w:p>
        </w:tc>
        <w:tc>
          <w:tcPr>
            <w:tcW w:w="2435" w:type="dxa"/>
            <w:gridSpan w:val="2"/>
            <w:tcBorders>
              <w:top w:val="single" w:color="000000" w:sz="4" w:space="0"/>
              <w:left w:val="nil"/>
              <w:bottom w:val="single" w:color="000000" w:sz="4" w:space="0"/>
              <w:right w:val="single" w:color="000000" w:sz="4" w:space="0"/>
            </w:tcBorders>
            <w:vAlign w:val="center"/>
          </w:tcPr>
          <w:p w14:paraId="56B81847">
            <w:pPr>
              <w:autoSpaceDE w:val="0"/>
              <w:autoSpaceDN w:val="0"/>
              <w:adjustRightInd w:val="0"/>
              <w:jc w:val="center"/>
              <w:rPr>
                <w:rFonts w:ascii="宋体" w:hAnsi="宋体" w:eastAsia="宋体" w:cs="Calibri"/>
                <w:color w:val="auto"/>
                <w:sz w:val="21"/>
                <w:szCs w:val="21"/>
                <w:highlight w:val="none"/>
              </w:rPr>
            </w:pPr>
            <w:r>
              <w:rPr>
                <w:rFonts w:hint="eastAsia" w:ascii="宋体" w:hAnsi="宋体" w:eastAsia="宋体"/>
                <w:color w:val="auto"/>
                <w:sz w:val="21"/>
                <w:szCs w:val="21"/>
                <w:highlight w:val="none"/>
              </w:rPr>
              <w:t>发包</w:t>
            </w:r>
            <w:r>
              <w:rPr>
                <w:rFonts w:hint="eastAsia" w:ascii="宋体" w:hAnsi="宋体" w:eastAsia="宋体"/>
                <w:color w:val="auto"/>
                <w:spacing w:val="-2"/>
                <w:sz w:val="21"/>
                <w:szCs w:val="21"/>
                <w:highlight w:val="none"/>
              </w:rPr>
              <w:t>人</w:t>
            </w:r>
            <w:r>
              <w:rPr>
                <w:rFonts w:hint="eastAsia" w:ascii="宋体" w:hAnsi="宋体" w:eastAsia="宋体"/>
                <w:color w:val="auto"/>
                <w:sz w:val="21"/>
                <w:szCs w:val="21"/>
                <w:highlight w:val="none"/>
              </w:rPr>
              <w:t>及</w:t>
            </w:r>
            <w:r>
              <w:rPr>
                <w:rFonts w:hint="eastAsia" w:ascii="宋体" w:hAnsi="宋体" w:eastAsia="宋体"/>
                <w:color w:val="auto"/>
                <w:spacing w:val="-2"/>
                <w:sz w:val="21"/>
                <w:szCs w:val="21"/>
                <w:highlight w:val="none"/>
              </w:rPr>
              <w:t>联</w:t>
            </w:r>
            <w:r>
              <w:rPr>
                <w:rFonts w:hint="eastAsia" w:ascii="宋体" w:hAnsi="宋体" w:eastAsia="宋体"/>
                <w:color w:val="auto"/>
                <w:sz w:val="21"/>
                <w:szCs w:val="21"/>
                <w:highlight w:val="none"/>
              </w:rPr>
              <w:t>系</w:t>
            </w:r>
            <w:r>
              <w:rPr>
                <w:rFonts w:hint="eastAsia" w:ascii="宋体" w:hAnsi="宋体" w:eastAsia="宋体"/>
                <w:color w:val="auto"/>
                <w:spacing w:val="-2"/>
                <w:sz w:val="21"/>
                <w:szCs w:val="21"/>
                <w:highlight w:val="none"/>
              </w:rPr>
              <w:t>电</w:t>
            </w:r>
            <w:r>
              <w:rPr>
                <w:rFonts w:hint="eastAsia" w:ascii="宋体" w:hAnsi="宋体" w:eastAsia="宋体"/>
                <w:color w:val="auto"/>
                <w:sz w:val="21"/>
                <w:szCs w:val="21"/>
                <w:highlight w:val="none"/>
              </w:rPr>
              <w:t>话</w:t>
            </w:r>
          </w:p>
        </w:tc>
      </w:tr>
      <w:tr w14:paraId="3139D6F3">
        <w:tblPrEx>
          <w:tblCellMar>
            <w:top w:w="0" w:type="dxa"/>
            <w:left w:w="0" w:type="dxa"/>
            <w:bottom w:w="0" w:type="dxa"/>
            <w:right w:w="0" w:type="dxa"/>
          </w:tblCellMar>
        </w:tblPrEx>
        <w:trPr>
          <w:trHeight w:val="701" w:hRule="atLeast"/>
        </w:trPr>
        <w:tc>
          <w:tcPr>
            <w:tcW w:w="1635" w:type="dxa"/>
            <w:gridSpan w:val="2"/>
            <w:tcBorders>
              <w:top w:val="single" w:color="000000" w:sz="4" w:space="0"/>
              <w:left w:val="single" w:color="000000" w:sz="4" w:space="0"/>
              <w:bottom w:val="single" w:color="000000" w:sz="4" w:space="0"/>
              <w:right w:val="single" w:color="000000" w:sz="4" w:space="0"/>
            </w:tcBorders>
          </w:tcPr>
          <w:p w14:paraId="74622217">
            <w:pPr>
              <w:autoSpaceDE w:val="0"/>
              <w:autoSpaceDN w:val="0"/>
              <w:adjustRightInd w:val="0"/>
              <w:rPr>
                <w:rFonts w:ascii="宋体" w:hAnsi="宋体" w:eastAsia="宋体" w:cs="Calibri"/>
                <w:color w:val="auto"/>
                <w:sz w:val="21"/>
                <w:szCs w:val="21"/>
                <w:highlight w:val="none"/>
              </w:rPr>
            </w:pPr>
          </w:p>
        </w:tc>
        <w:tc>
          <w:tcPr>
            <w:tcW w:w="3622" w:type="dxa"/>
            <w:gridSpan w:val="4"/>
            <w:tcBorders>
              <w:top w:val="single" w:color="000000" w:sz="4" w:space="0"/>
              <w:left w:val="nil"/>
              <w:bottom w:val="single" w:color="000000" w:sz="4" w:space="0"/>
              <w:right w:val="single" w:color="000000" w:sz="4" w:space="0"/>
            </w:tcBorders>
          </w:tcPr>
          <w:p w14:paraId="2B220C77">
            <w:pPr>
              <w:autoSpaceDE w:val="0"/>
              <w:autoSpaceDN w:val="0"/>
              <w:adjustRightInd w:val="0"/>
              <w:rPr>
                <w:rFonts w:ascii="宋体" w:hAnsi="宋体" w:eastAsia="宋体" w:cs="Calibri"/>
                <w:color w:val="auto"/>
                <w:sz w:val="21"/>
                <w:szCs w:val="21"/>
                <w:highlight w:val="none"/>
              </w:rPr>
            </w:pPr>
          </w:p>
        </w:tc>
        <w:tc>
          <w:tcPr>
            <w:tcW w:w="1334" w:type="dxa"/>
            <w:tcBorders>
              <w:top w:val="single" w:color="000000" w:sz="4" w:space="0"/>
              <w:left w:val="nil"/>
              <w:bottom w:val="single" w:color="000000" w:sz="4" w:space="0"/>
              <w:right w:val="single" w:color="000000" w:sz="4" w:space="0"/>
            </w:tcBorders>
          </w:tcPr>
          <w:p w14:paraId="586E41DE">
            <w:pPr>
              <w:autoSpaceDE w:val="0"/>
              <w:autoSpaceDN w:val="0"/>
              <w:adjustRightInd w:val="0"/>
              <w:rPr>
                <w:rFonts w:ascii="宋体" w:hAnsi="宋体" w:eastAsia="宋体" w:cs="Calibri"/>
                <w:color w:val="auto"/>
                <w:sz w:val="21"/>
                <w:szCs w:val="21"/>
                <w:highlight w:val="none"/>
              </w:rPr>
            </w:pPr>
          </w:p>
        </w:tc>
        <w:tc>
          <w:tcPr>
            <w:tcW w:w="2435" w:type="dxa"/>
            <w:gridSpan w:val="2"/>
            <w:tcBorders>
              <w:top w:val="single" w:color="000000" w:sz="4" w:space="0"/>
              <w:left w:val="nil"/>
              <w:bottom w:val="single" w:color="000000" w:sz="4" w:space="0"/>
              <w:right w:val="single" w:color="000000" w:sz="4" w:space="0"/>
            </w:tcBorders>
          </w:tcPr>
          <w:p w14:paraId="3454337F">
            <w:pPr>
              <w:autoSpaceDE w:val="0"/>
              <w:autoSpaceDN w:val="0"/>
              <w:adjustRightInd w:val="0"/>
              <w:rPr>
                <w:rFonts w:ascii="宋体" w:hAnsi="宋体" w:eastAsia="宋体" w:cs="Calibri"/>
                <w:color w:val="auto"/>
                <w:sz w:val="21"/>
                <w:szCs w:val="21"/>
                <w:highlight w:val="none"/>
              </w:rPr>
            </w:pPr>
          </w:p>
        </w:tc>
      </w:tr>
      <w:tr w14:paraId="3D41122D">
        <w:tblPrEx>
          <w:tblCellMar>
            <w:top w:w="0" w:type="dxa"/>
            <w:left w:w="0" w:type="dxa"/>
            <w:bottom w:w="0" w:type="dxa"/>
            <w:right w:w="0" w:type="dxa"/>
          </w:tblCellMar>
        </w:tblPrEx>
        <w:trPr>
          <w:trHeight w:val="698" w:hRule="atLeast"/>
        </w:trPr>
        <w:tc>
          <w:tcPr>
            <w:tcW w:w="1635" w:type="dxa"/>
            <w:gridSpan w:val="2"/>
            <w:tcBorders>
              <w:top w:val="single" w:color="000000" w:sz="4" w:space="0"/>
              <w:left w:val="single" w:color="000000" w:sz="4" w:space="0"/>
              <w:bottom w:val="single" w:color="000000" w:sz="4" w:space="0"/>
              <w:right w:val="single" w:color="000000" w:sz="4" w:space="0"/>
            </w:tcBorders>
          </w:tcPr>
          <w:p w14:paraId="1E067B1E">
            <w:pPr>
              <w:autoSpaceDE w:val="0"/>
              <w:autoSpaceDN w:val="0"/>
              <w:adjustRightInd w:val="0"/>
              <w:rPr>
                <w:rFonts w:ascii="宋体" w:hAnsi="宋体" w:eastAsia="宋体" w:cs="Calibri"/>
                <w:color w:val="auto"/>
                <w:sz w:val="21"/>
                <w:szCs w:val="21"/>
                <w:highlight w:val="none"/>
              </w:rPr>
            </w:pPr>
          </w:p>
        </w:tc>
        <w:tc>
          <w:tcPr>
            <w:tcW w:w="3622" w:type="dxa"/>
            <w:gridSpan w:val="4"/>
            <w:tcBorders>
              <w:top w:val="single" w:color="000000" w:sz="4" w:space="0"/>
              <w:left w:val="nil"/>
              <w:bottom w:val="single" w:color="000000" w:sz="4" w:space="0"/>
              <w:right w:val="single" w:color="000000" w:sz="4" w:space="0"/>
            </w:tcBorders>
          </w:tcPr>
          <w:p w14:paraId="385F2A99">
            <w:pPr>
              <w:autoSpaceDE w:val="0"/>
              <w:autoSpaceDN w:val="0"/>
              <w:adjustRightInd w:val="0"/>
              <w:rPr>
                <w:rFonts w:ascii="宋体" w:hAnsi="宋体" w:eastAsia="宋体" w:cs="Calibri"/>
                <w:color w:val="auto"/>
                <w:sz w:val="21"/>
                <w:szCs w:val="21"/>
                <w:highlight w:val="none"/>
              </w:rPr>
            </w:pPr>
          </w:p>
        </w:tc>
        <w:tc>
          <w:tcPr>
            <w:tcW w:w="1334" w:type="dxa"/>
            <w:tcBorders>
              <w:top w:val="single" w:color="000000" w:sz="4" w:space="0"/>
              <w:left w:val="nil"/>
              <w:bottom w:val="single" w:color="000000" w:sz="4" w:space="0"/>
              <w:right w:val="single" w:color="000000" w:sz="4" w:space="0"/>
            </w:tcBorders>
          </w:tcPr>
          <w:p w14:paraId="0EF8DC9E">
            <w:pPr>
              <w:autoSpaceDE w:val="0"/>
              <w:autoSpaceDN w:val="0"/>
              <w:adjustRightInd w:val="0"/>
              <w:rPr>
                <w:rFonts w:ascii="宋体" w:hAnsi="宋体" w:eastAsia="宋体" w:cs="Calibri"/>
                <w:color w:val="auto"/>
                <w:sz w:val="21"/>
                <w:szCs w:val="21"/>
                <w:highlight w:val="none"/>
              </w:rPr>
            </w:pPr>
          </w:p>
        </w:tc>
        <w:tc>
          <w:tcPr>
            <w:tcW w:w="2435" w:type="dxa"/>
            <w:gridSpan w:val="2"/>
            <w:tcBorders>
              <w:top w:val="single" w:color="000000" w:sz="4" w:space="0"/>
              <w:left w:val="nil"/>
              <w:bottom w:val="single" w:color="000000" w:sz="4" w:space="0"/>
              <w:right w:val="single" w:color="000000" w:sz="4" w:space="0"/>
            </w:tcBorders>
          </w:tcPr>
          <w:p w14:paraId="43EED226">
            <w:pPr>
              <w:autoSpaceDE w:val="0"/>
              <w:autoSpaceDN w:val="0"/>
              <w:adjustRightInd w:val="0"/>
              <w:rPr>
                <w:rFonts w:ascii="宋体" w:hAnsi="宋体" w:eastAsia="宋体" w:cs="Calibri"/>
                <w:color w:val="auto"/>
                <w:sz w:val="21"/>
                <w:szCs w:val="21"/>
                <w:highlight w:val="none"/>
              </w:rPr>
            </w:pPr>
          </w:p>
        </w:tc>
      </w:tr>
      <w:tr w14:paraId="09B1F8EC">
        <w:tblPrEx>
          <w:tblCellMar>
            <w:top w:w="0" w:type="dxa"/>
            <w:left w:w="0" w:type="dxa"/>
            <w:bottom w:w="0" w:type="dxa"/>
            <w:right w:w="0" w:type="dxa"/>
          </w:tblCellMar>
        </w:tblPrEx>
        <w:trPr>
          <w:trHeight w:val="701" w:hRule="atLeast"/>
        </w:trPr>
        <w:tc>
          <w:tcPr>
            <w:tcW w:w="1635" w:type="dxa"/>
            <w:gridSpan w:val="2"/>
            <w:tcBorders>
              <w:top w:val="single" w:color="000000" w:sz="4" w:space="0"/>
              <w:left w:val="single" w:color="000000" w:sz="4" w:space="0"/>
              <w:bottom w:val="single" w:color="000000" w:sz="4" w:space="0"/>
              <w:right w:val="single" w:color="000000" w:sz="4" w:space="0"/>
            </w:tcBorders>
          </w:tcPr>
          <w:p w14:paraId="246B31F2">
            <w:pPr>
              <w:autoSpaceDE w:val="0"/>
              <w:autoSpaceDN w:val="0"/>
              <w:adjustRightInd w:val="0"/>
              <w:rPr>
                <w:rFonts w:ascii="宋体" w:hAnsi="宋体" w:eastAsia="宋体" w:cs="Calibri"/>
                <w:color w:val="auto"/>
                <w:sz w:val="21"/>
                <w:szCs w:val="21"/>
                <w:highlight w:val="none"/>
              </w:rPr>
            </w:pPr>
          </w:p>
        </w:tc>
        <w:tc>
          <w:tcPr>
            <w:tcW w:w="3622" w:type="dxa"/>
            <w:gridSpan w:val="4"/>
            <w:tcBorders>
              <w:top w:val="single" w:color="000000" w:sz="4" w:space="0"/>
              <w:left w:val="nil"/>
              <w:bottom w:val="single" w:color="000000" w:sz="4" w:space="0"/>
              <w:right w:val="single" w:color="000000" w:sz="4" w:space="0"/>
            </w:tcBorders>
          </w:tcPr>
          <w:p w14:paraId="7C20EC7A">
            <w:pPr>
              <w:autoSpaceDE w:val="0"/>
              <w:autoSpaceDN w:val="0"/>
              <w:adjustRightInd w:val="0"/>
              <w:rPr>
                <w:rFonts w:ascii="宋体" w:hAnsi="宋体" w:eastAsia="宋体" w:cs="Calibri"/>
                <w:color w:val="auto"/>
                <w:sz w:val="21"/>
                <w:szCs w:val="21"/>
                <w:highlight w:val="none"/>
              </w:rPr>
            </w:pPr>
          </w:p>
        </w:tc>
        <w:tc>
          <w:tcPr>
            <w:tcW w:w="1334" w:type="dxa"/>
            <w:tcBorders>
              <w:top w:val="single" w:color="000000" w:sz="4" w:space="0"/>
              <w:left w:val="nil"/>
              <w:bottom w:val="single" w:color="000000" w:sz="4" w:space="0"/>
              <w:right w:val="single" w:color="000000" w:sz="4" w:space="0"/>
            </w:tcBorders>
          </w:tcPr>
          <w:p w14:paraId="04E8F0FF">
            <w:pPr>
              <w:autoSpaceDE w:val="0"/>
              <w:autoSpaceDN w:val="0"/>
              <w:adjustRightInd w:val="0"/>
              <w:rPr>
                <w:rFonts w:ascii="宋体" w:hAnsi="宋体" w:eastAsia="宋体" w:cs="Calibri"/>
                <w:color w:val="auto"/>
                <w:sz w:val="21"/>
                <w:szCs w:val="21"/>
                <w:highlight w:val="none"/>
              </w:rPr>
            </w:pPr>
          </w:p>
        </w:tc>
        <w:tc>
          <w:tcPr>
            <w:tcW w:w="2435" w:type="dxa"/>
            <w:gridSpan w:val="2"/>
            <w:tcBorders>
              <w:top w:val="single" w:color="000000" w:sz="4" w:space="0"/>
              <w:left w:val="nil"/>
              <w:bottom w:val="single" w:color="000000" w:sz="4" w:space="0"/>
              <w:right w:val="single" w:color="000000" w:sz="4" w:space="0"/>
            </w:tcBorders>
          </w:tcPr>
          <w:p w14:paraId="23A94736">
            <w:pPr>
              <w:autoSpaceDE w:val="0"/>
              <w:autoSpaceDN w:val="0"/>
              <w:adjustRightInd w:val="0"/>
              <w:rPr>
                <w:rFonts w:ascii="宋体" w:hAnsi="宋体" w:eastAsia="宋体" w:cs="Calibri"/>
                <w:color w:val="auto"/>
                <w:sz w:val="21"/>
                <w:szCs w:val="21"/>
                <w:highlight w:val="none"/>
              </w:rPr>
            </w:pPr>
          </w:p>
        </w:tc>
      </w:tr>
      <w:tr w14:paraId="2FBEF272">
        <w:tblPrEx>
          <w:tblCellMar>
            <w:top w:w="0" w:type="dxa"/>
            <w:left w:w="0" w:type="dxa"/>
            <w:bottom w:w="0" w:type="dxa"/>
            <w:right w:w="0" w:type="dxa"/>
          </w:tblCellMar>
        </w:tblPrEx>
        <w:trPr>
          <w:trHeight w:val="701" w:hRule="atLeast"/>
        </w:trPr>
        <w:tc>
          <w:tcPr>
            <w:tcW w:w="1635" w:type="dxa"/>
            <w:gridSpan w:val="2"/>
            <w:tcBorders>
              <w:top w:val="single" w:color="000000" w:sz="4" w:space="0"/>
              <w:left w:val="single" w:color="000000" w:sz="4" w:space="0"/>
              <w:bottom w:val="single" w:color="000000" w:sz="4" w:space="0"/>
              <w:right w:val="single" w:color="000000" w:sz="4" w:space="0"/>
            </w:tcBorders>
          </w:tcPr>
          <w:p w14:paraId="2B49C249">
            <w:pPr>
              <w:autoSpaceDE w:val="0"/>
              <w:autoSpaceDN w:val="0"/>
              <w:adjustRightInd w:val="0"/>
              <w:rPr>
                <w:rFonts w:ascii="宋体" w:hAnsi="宋体" w:eastAsia="宋体" w:cs="Calibri"/>
                <w:color w:val="auto"/>
                <w:sz w:val="21"/>
                <w:szCs w:val="21"/>
                <w:highlight w:val="none"/>
              </w:rPr>
            </w:pPr>
          </w:p>
        </w:tc>
        <w:tc>
          <w:tcPr>
            <w:tcW w:w="3622" w:type="dxa"/>
            <w:gridSpan w:val="4"/>
            <w:tcBorders>
              <w:top w:val="single" w:color="000000" w:sz="4" w:space="0"/>
              <w:left w:val="nil"/>
              <w:bottom w:val="single" w:color="000000" w:sz="4" w:space="0"/>
              <w:right w:val="single" w:color="000000" w:sz="4" w:space="0"/>
            </w:tcBorders>
          </w:tcPr>
          <w:p w14:paraId="30D367D0">
            <w:pPr>
              <w:autoSpaceDE w:val="0"/>
              <w:autoSpaceDN w:val="0"/>
              <w:adjustRightInd w:val="0"/>
              <w:rPr>
                <w:rFonts w:ascii="宋体" w:hAnsi="宋体" w:eastAsia="宋体" w:cs="Calibri"/>
                <w:color w:val="auto"/>
                <w:sz w:val="21"/>
                <w:szCs w:val="21"/>
                <w:highlight w:val="none"/>
              </w:rPr>
            </w:pPr>
          </w:p>
        </w:tc>
        <w:tc>
          <w:tcPr>
            <w:tcW w:w="1334" w:type="dxa"/>
            <w:tcBorders>
              <w:top w:val="single" w:color="000000" w:sz="4" w:space="0"/>
              <w:left w:val="nil"/>
              <w:bottom w:val="single" w:color="000000" w:sz="4" w:space="0"/>
              <w:right w:val="single" w:color="000000" w:sz="4" w:space="0"/>
            </w:tcBorders>
          </w:tcPr>
          <w:p w14:paraId="3FE919BF">
            <w:pPr>
              <w:autoSpaceDE w:val="0"/>
              <w:autoSpaceDN w:val="0"/>
              <w:adjustRightInd w:val="0"/>
              <w:rPr>
                <w:rFonts w:ascii="宋体" w:hAnsi="宋体" w:eastAsia="宋体" w:cs="Calibri"/>
                <w:color w:val="auto"/>
                <w:sz w:val="21"/>
                <w:szCs w:val="21"/>
                <w:highlight w:val="none"/>
              </w:rPr>
            </w:pPr>
          </w:p>
        </w:tc>
        <w:tc>
          <w:tcPr>
            <w:tcW w:w="2435" w:type="dxa"/>
            <w:gridSpan w:val="2"/>
            <w:tcBorders>
              <w:top w:val="single" w:color="000000" w:sz="4" w:space="0"/>
              <w:left w:val="nil"/>
              <w:bottom w:val="single" w:color="000000" w:sz="4" w:space="0"/>
              <w:right w:val="single" w:color="000000" w:sz="4" w:space="0"/>
            </w:tcBorders>
          </w:tcPr>
          <w:p w14:paraId="7DF57DAD">
            <w:pPr>
              <w:autoSpaceDE w:val="0"/>
              <w:autoSpaceDN w:val="0"/>
              <w:adjustRightInd w:val="0"/>
              <w:rPr>
                <w:rFonts w:ascii="宋体" w:hAnsi="宋体" w:eastAsia="宋体" w:cs="Calibri"/>
                <w:color w:val="auto"/>
                <w:sz w:val="21"/>
                <w:szCs w:val="21"/>
                <w:highlight w:val="none"/>
              </w:rPr>
            </w:pPr>
          </w:p>
        </w:tc>
      </w:tr>
      <w:tr w14:paraId="68E4B5A0">
        <w:tblPrEx>
          <w:tblCellMar>
            <w:top w:w="0" w:type="dxa"/>
            <w:left w:w="0" w:type="dxa"/>
            <w:bottom w:w="0" w:type="dxa"/>
            <w:right w:w="0" w:type="dxa"/>
          </w:tblCellMar>
        </w:tblPrEx>
        <w:trPr>
          <w:trHeight w:val="699" w:hRule="atLeast"/>
        </w:trPr>
        <w:tc>
          <w:tcPr>
            <w:tcW w:w="1635" w:type="dxa"/>
            <w:gridSpan w:val="2"/>
            <w:tcBorders>
              <w:top w:val="single" w:color="000000" w:sz="4" w:space="0"/>
              <w:left w:val="single" w:color="000000" w:sz="4" w:space="0"/>
              <w:bottom w:val="single" w:color="000000" w:sz="4" w:space="0"/>
              <w:right w:val="single" w:color="000000" w:sz="4" w:space="0"/>
            </w:tcBorders>
          </w:tcPr>
          <w:p w14:paraId="7C715572">
            <w:pPr>
              <w:autoSpaceDE w:val="0"/>
              <w:autoSpaceDN w:val="0"/>
              <w:adjustRightInd w:val="0"/>
              <w:rPr>
                <w:rFonts w:ascii="宋体" w:hAnsi="宋体" w:eastAsia="宋体" w:cs="Calibri"/>
                <w:color w:val="auto"/>
                <w:sz w:val="21"/>
                <w:szCs w:val="21"/>
                <w:highlight w:val="none"/>
              </w:rPr>
            </w:pPr>
          </w:p>
        </w:tc>
        <w:tc>
          <w:tcPr>
            <w:tcW w:w="3622" w:type="dxa"/>
            <w:gridSpan w:val="4"/>
            <w:tcBorders>
              <w:top w:val="single" w:color="000000" w:sz="4" w:space="0"/>
              <w:left w:val="nil"/>
              <w:bottom w:val="single" w:color="000000" w:sz="4" w:space="0"/>
              <w:right w:val="single" w:color="000000" w:sz="4" w:space="0"/>
            </w:tcBorders>
          </w:tcPr>
          <w:p w14:paraId="650D67CC">
            <w:pPr>
              <w:autoSpaceDE w:val="0"/>
              <w:autoSpaceDN w:val="0"/>
              <w:adjustRightInd w:val="0"/>
              <w:rPr>
                <w:rFonts w:ascii="宋体" w:hAnsi="宋体" w:eastAsia="宋体" w:cs="Calibri"/>
                <w:color w:val="auto"/>
                <w:sz w:val="21"/>
                <w:szCs w:val="21"/>
                <w:highlight w:val="none"/>
              </w:rPr>
            </w:pPr>
          </w:p>
        </w:tc>
        <w:tc>
          <w:tcPr>
            <w:tcW w:w="1334" w:type="dxa"/>
            <w:tcBorders>
              <w:top w:val="single" w:color="000000" w:sz="4" w:space="0"/>
              <w:left w:val="nil"/>
              <w:bottom w:val="single" w:color="000000" w:sz="4" w:space="0"/>
              <w:right w:val="single" w:color="000000" w:sz="4" w:space="0"/>
            </w:tcBorders>
          </w:tcPr>
          <w:p w14:paraId="50C39B48">
            <w:pPr>
              <w:autoSpaceDE w:val="0"/>
              <w:autoSpaceDN w:val="0"/>
              <w:adjustRightInd w:val="0"/>
              <w:rPr>
                <w:rFonts w:ascii="宋体" w:hAnsi="宋体" w:eastAsia="宋体" w:cs="Calibri"/>
                <w:color w:val="auto"/>
                <w:sz w:val="21"/>
                <w:szCs w:val="21"/>
                <w:highlight w:val="none"/>
              </w:rPr>
            </w:pPr>
          </w:p>
        </w:tc>
        <w:tc>
          <w:tcPr>
            <w:tcW w:w="2435" w:type="dxa"/>
            <w:gridSpan w:val="2"/>
            <w:tcBorders>
              <w:top w:val="single" w:color="000000" w:sz="4" w:space="0"/>
              <w:left w:val="nil"/>
              <w:bottom w:val="single" w:color="000000" w:sz="4" w:space="0"/>
              <w:right w:val="single" w:color="000000" w:sz="4" w:space="0"/>
            </w:tcBorders>
          </w:tcPr>
          <w:p w14:paraId="1B970C08">
            <w:pPr>
              <w:autoSpaceDE w:val="0"/>
              <w:autoSpaceDN w:val="0"/>
              <w:adjustRightInd w:val="0"/>
              <w:rPr>
                <w:rFonts w:ascii="宋体" w:hAnsi="宋体" w:eastAsia="宋体" w:cs="Calibri"/>
                <w:color w:val="auto"/>
                <w:sz w:val="21"/>
                <w:szCs w:val="21"/>
                <w:highlight w:val="none"/>
              </w:rPr>
            </w:pPr>
          </w:p>
        </w:tc>
      </w:tr>
      <w:tr w14:paraId="0B25B2CB">
        <w:tblPrEx>
          <w:tblCellMar>
            <w:top w:w="0" w:type="dxa"/>
            <w:left w:w="0" w:type="dxa"/>
            <w:bottom w:w="0" w:type="dxa"/>
            <w:right w:w="0" w:type="dxa"/>
          </w:tblCellMar>
        </w:tblPrEx>
        <w:trPr>
          <w:trHeight w:val="701" w:hRule="atLeast"/>
        </w:trPr>
        <w:tc>
          <w:tcPr>
            <w:tcW w:w="1635" w:type="dxa"/>
            <w:gridSpan w:val="2"/>
            <w:tcBorders>
              <w:top w:val="single" w:color="000000" w:sz="4" w:space="0"/>
              <w:left w:val="single" w:color="000000" w:sz="4" w:space="0"/>
              <w:bottom w:val="single" w:color="000000" w:sz="4" w:space="0"/>
              <w:right w:val="single" w:color="000000" w:sz="4" w:space="0"/>
            </w:tcBorders>
          </w:tcPr>
          <w:p w14:paraId="5FE75F5B">
            <w:pPr>
              <w:autoSpaceDE w:val="0"/>
              <w:autoSpaceDN w:val="0"/>
              <w:adjustRightInd w:val="0"/>
              <w:rPr>
                <w:rFonts w:ascii="宋体" w:hAnsi="宋体" w:eastAsia="宋体" w:cs="Calibri"/>
                <w:color w:val="auto"/>
                <w:sz w:val="21"/>
                <w:szCs w:val="21"/>
                <w:highlight w:val="none"/>
              </w:rPr>
            </w:pPr>
          </w:p>
        </w:tc>
        <w:tc>
          <w:tcPr>
            <w:tcW w:w="3622" w:type="dxa"/>
            <w:gridSpan w:val="4"/>
            <w:tcBorders>
              <w:top w:val="single" w:color="000000" w:sz="4" w:space="0"/>
              <w:left w:val="nil"/>
              <w:bottom w:val="single" w:color="000000" w:sz="4" w:space="0"/>
              <w:right w:val="single" w:color="000000" w:sz="4" w:space="0"/>
            </w:tcBorders>
          </w:tcPr>
          <w:p w14:paraId="081949A3">
            <w:pPr>
              <w:autoSpaceDE w:val="0"/>
              <w:autoSpaceDN w:val="0"/>
              <w:adjustRightInd w:val="0"/>
              <w:rPr>
                <w:rFonts w:ascii="宋体" w:hAnsi="宋体" w:eastAsia="宋体" w:cs="Calibri"/>
                <w:color w:val="auto"/>
                <w:sz w:val="21"/>
                <w:szCs w:val="21"/>
                <w:highlight w:val="none"/>
              </w:rPr>
            </w:pPr>
          </w:p>
        </w:tc>
        <w:tc>
          <w:tcPr>
            <w:tcW w:w="1334" w:type="dxa"/>
            <w:tcBorders>
              <w:top w:val="single" w:color="000000" w:sz="4" w:space="0"/>
              <w:left w:val="nil"/>
              <w:bottom w:val="single" w:color="000000" w:sz="4" w:space="0"/>
              <w:right w:val="single" w:color="000000" w:sz="4" w:space="0"/>
            </w:tcBorders>
          </w:tcPr>
          <w:p w14:paraId="792AFAE8">
            <w:pPr>
              <w:autoSpaceDE w:val="0"/>
              <w:autoSpaceDN w:val="0"/>
              <w:adjustRightInd w:val="0"/>
              <w:rPr>
                <w:rFonts w:ascii="宋体" w:hAnsi="宋体" w:eastAsia="宋体" w:cs="Calibri"/>
                <w:color w:val="auto"/>
                <w:sz w:val="21"/>
                <w:szCs w:val="21"/>
                <w:highlight w:val="none"/>
              </w:rPr>
            </w:pPr>
          </w:p>
        </w:tc>
        <w:tc>
          <w:tcPr>
            <w:tcW w:w="2435" w:type="dxa"/>
            <w:gridSpan w:val="2"/>
            <w:tcBorders>
              <w:top w:val="single" w:color="000000" w:sz="4" w:space="0"/>
              <w:left w:val="nil"/>
              <w:bottom w:val="single" w:color="000000" w:sz="4" w:space="0"/>
              <w:right w:val="single" w:color="000000" w:sz="4" w:space="0"/>
            </w:tcBorders>
          </w:tcPr>
          <w:p w14:paraId="00F18FBA">
            <w:pPr>
              <w:autoSpaceDE w:val="0"/>
              <w:autoSpaceDN w:val="0"/>
              <w:adjustRightInd w:val="0"/>
              <w:rPr>
                <w:rFonts w:ascii="宋体" w:hAnsi="宋体" w:eastAsia="宋体" w:cs="Calibri"/>
                <w:color w:val="auto"/>
                <w:sz w:val="21"/>
                <w:szCs w:val="21"/>
                <w:highlight w:val="none"/>
              </w:rPr>
            </w:pPr>
          </w:p>
        </w:tc>
      </w:tr>
      <w:tr w14:paraId="59ADC835">
        <w:tblPrEx>
          <w:tblCellMar>
            <w:top w:w="0" w:type="dxa"/>
            <w:left w:w="0" w:type="dxa"/>
            <w:bottom w:w="0" w:type="dxa"/>
            <w:right w:w="0" w:type="dxa"/>
          </w:tblCellMar>
        </w:tblPrEx>
        <w:trPr>
          <w:trHeight w:val="701" w:hRule="atLeast"/>
        </w:trPr>
        <w:tc>
          <w:tcPr>
            <w:tcW w:w="1635" w:type="dxa"/>
            <w:gridSpan w:val="2"/>
            <w:tcBorders>
              <w:top w:val="single" w:color="000000" w:sz="4" w:space="0"/>
              <w:left w:val="single" w:color="000000" w:sz="4" w:space="0"/>
              <w:bottom w:val="single" w:color="000000" w:sz="4" w:space="0"/>
              <w:right w:val="single" w:color="000000" w:sz="4" w:space="0"/>
            </w:tcBorders>
          </w:tcPr>
          <w:p w14:paraId="73444453">
            <w:pPr>
              <w:autoSpaceDE w:val="0"/>
              <w:autoSpaceDN w:val="0"/>
              <w:adjustRightInd w:val="0"/>
              <w:rPr>
                <w:rFonts w:ascii="宋体" w:hAnsi="宋体" w:eastAsia="宋体" w:cs="Calibri"/>
                <w:color w:val="auto"/>
                <w:sz w:val="21"/>
                <w:szCs w:val="21"/>
                <w:highlight w:val="none"/>
              </w:rPr>
            </w:pPr>
          </w:p>
        </w:tc>
        <w:tc>
          <w:tcPr>
            <w:tcW w:w="3622" w:type="dxa"/>
            <w:gridSpan w:val="4"/>
            <w:tcBorders>
              <w:top w:val="single" w:color="000000" w:sz="4" w:space="0"/>
              <w:left w:val="nil"/>
              <w:bottom w:val="single" w:color="000000" w:sz="4" w:space="0"/>
              <w:right w:val="single" w:color="000000" w:sz="4" w:space="0"/>
            </w:tcBorders>
          </w:tcPr>
          <w:p w14:paraId="7E967461">
            <w:pPr>
              <w:autoSpaceDE w:val="0"/>
              <w:autoSpaceDN w:val="0"/>
              <w:adjustRightInd w:val="0"/>
              <w:rPr>
                <w:rFonts w:ascii="宋体" w:hAnsi="宋体" w:eastAsia="宋体" w:cs="Calibri"/>
                <w:color w:val="auto"/>
                <w:sz w:val="21"/>
                <w:szCs w:val="21"/>
                <w:highlight w:val="none"/>
              </w:rPr>
            </w:pPr>
          </w:p>
        </w:tc>
        <w:tc>
          <w:tcPr>
            <w:tcW w:w="1334" w:type="dxa"/>
            <w:tcBorders>
              <w:top w:val="single" w:color="000000" w:sz="4" w:space="0"/>
              <w:left w:val="nil"/>
              <w:bottom w:val="single" w:color="000000" w:sz="4" w:space="0"/>
              <w:right w:val="single" w:color="000000" w:sz="4" w:space="0"/>
            </w:tcBorders>
          </w:tcPr>
          <w:p w14:paraId="12A7CB1E">
            <w:pPr>
              <w:autoSpaceDE w:val="0"/>
              <w:autoSpaceDN w:val="0"/>
              <w:adjustRightInd w:val="0"/>
              <w:rPr>
                <w:rFonts w:ascii="宋体" w:hAnsi="宋体" w:eastAsia="宋体" w:cs="Calibri"/>
                <w:color w:val="auto"/>
                <w:sz w:val="21"/>
                <w:szCs w:val="21"/>
                <w:highlight w:val="none"/>
              </w:rPr>
            </w:pPr>
          </w:p>
        </w:tc>
        <w:tc>
          <w:tcPr>
            <w:tcW w:w="2435" w:type="dxa"/>
            <w:gridSpan w:val="2"/>
            <w:tcBorders>
              <w:top w:val="single" w:color="000000" w:sz="4" w:space="0"/>
              <w:left w:val="nil"/>
              <w:bottom w:val="single" w:color="000000" w:sz="4" w:space="0"/>
              <w:right w:val="single" w:color="000000" w:sz="4" w:space="0"/>
            </w:tcBorders>
          </w:tcPr>
          <w:p w14:paraId="5DA68D45">
            <w:pPr>
              <w:autoSpaceDE w:val="0"/>
              <w:autoSpaceDN w:val="0"/>
              <w:adjustRightInd w:val="0"/>
              <w:rPr>
                <w:rFonts w:ascii="宋体" w:hAnsi="宋体" w:eastAsia="宋体" w:cs="Calibri"/>
                <w:color w:val="auto"/>
                <w:sz w:val="21"/>
                <w:szCs w:val="21"/>
                <w:highlight w:val="none"/>
              </w:rPr>
            </w:pPr>
          </w:p>
        </w:tc>
      </w:tr>
    </w:tbl>
    <w:p w14:paraId="2DD0F322">
      <w:pPr>
        <w:autoSpaceDE w:val="0"/>
        <w:autoSpaceDN w:val="0"/>
        <w:adjustRightInd w:val="0"/>
        <w:spacing w:line="110" w:lineRule="exact"/>
        <w:rPr>
          <w:rFonts w:ascii="宋体" w:hAnsi="宋体" w:eastAsia="宋体" w:cs="Calibri"/>
          <w:color w:val="auto"/>
          <w:sz w:val="11"/>
          <w:szCs w:val="11"/>
          <w:highlight w:val="none"/>
        </w:rPr>
      </w:pPr>
      <w:r>
        <w:rPr>
          <w:rFonts w:hint="eastAsia" w:ascii="宋体" w:hAnsi="宋体" w:eastAsia="宋体"/>
          <w:color w:val="auto"/>
          <w:sz w:val="11"/>
          <w:szCs w:val="11"/>
          <w:highlight w:val="none"/>
        </w:rPr>
        <w:t xml:space="preserve"> </w:t>
      </w:r>
    </w:p>
    <w:p w14:paraId="511AF4A1">
      <w:pPr>
        <w:rPr>
          <w:rFonts w:ascii="宋体" w:hAnsi="宋体" w:eastAsia="宋体"/>
          <w:color w:val="auto"/>
          <w:highlight w:val="none"/>
          <w:lang w:eastAsia="zh-CN"/>
        </w:rPr>
      </w:pPr>
      <w:r>
        <w:rPr>
          <w:rFonts w:hint="eastAsia" w:ascii="宋体" w:hAnsi="宋体" w:eastAsia="宋体"/>
          <w:color w:val="auto"/>
          <w:highlight w:val="none"/>
          <w:lang w:eastAsia="zh-CN"/>
        </w:rPr>
        <w:t>注：</w:t>
      </w:r>
      <w:r>
        <w:rPr>
          <w:rFonts w:hint="eastAsia" w:ascii="宋体" w:hAnsi="宋体" w:eastAsia="宋体"/>
          <w:color w:val="auto"/>
          <w:spacing w:val="-2"/>
          <w:highlight w:val="none"/>
          <w:lang w:eastAsia="zh-CN"/>
        </w:rPr>
        <w:t>投</w:t>
      </w:r>
      <w:r>
        <w:rPr>
          <w:rFonts w:hint="eastAsia" w:ascii="宋体" w:hAnsi="宋体" w:eastAsia="宋体"/>
          <w:color w:val="auto"/>
          <w:highlight w:val="none"/>
          <w:lang w:eastAsia="zh-CN"/>
        </w:rPr>
        <w:t>标</w:t>
      </w:r>
      <w:r>
        <w:rPr>
          <w:rFonts w:hint="eastAsia" w:ascii="宋体" w:hAnsi="宋体" w:eastAsia="宋体"/>
          <w:color w:val="auto"/>
          <w:spacing w:val="-2"/>
          <w:highlight w:val="none"/>
          <w:lang w:eastAsia="zh-CN"/>
        </w:rPr>
        <w:t>人</w:t>
      </w:r>
      <w:r>
        <w:rPr>
          <w:rFonts w:hint="eastAsia" w:ascii="宋体" w:hAnsi="宋体" w:eastAsia="宋体"/>
          <w:color w:val="auto"/>
          <w:highlight w:val="none"/>
          <w:lang w:eastAsia="zh-CN"/>
        </w:rPr>
        <w:t>应</w:t>
      </w:r>
      <w:r>
        <w:rPr>
          <w:rFonts w:hint="eastAsia" w:ascii="宋体" w:hAnsi="宋体" w:eastAsia="宋体"/>
          <w:color w:val="auto"/>
          <w:spacing w:val="-2"/>
          <w:highlight w:val="none"/>
          <w:lang w:eastAsia="zh-CN"/>
        </w:rPr>
        <w:t>根</w:t>
      </w:r>
      <w:r>
        <w:rPr>
          <w:rFonts w:hint="eastAsia" w:ascii="宋体" w:hAnsi="宋体" w:eastAsia="宋体"/>
          <w:color w:val="auto"/>
          <w:highlight w:val="none"/>
          <w:lang w:eastAsia="zh-CN"/>
        </w:rPr>
        <w:t>据</w:t>
      </w:r>
      <w:r>
        <w:rPr>
          <w:rFonts w:hint="eastAsia" w:ascii="宋体" w:hAnsi="宋体" w:eastAsia="宋体"/>
          <w:color w:val="auto"/>
          <w:spacing w:val="-2"/>
          <w:highlight w:val="none"/>
          <w:lang w:eastAsia="zh-CN"/>
        </w:rPr>
        <w:t>投</w:t>
      </w:r>
      <w:r>
        <w:rPr>
          <w:rFonts w:hint="eastAsia" w:ascii="宋体" w:hAnsi="宋体" w:eastAsia="宋体"/>
          <w:color w:val="auto"/>
          <w:highlight w:val="none"/>
          <w:lang w:eastAsia="zh-CN"/>
        </w:rPr>
        <w:t>标</w:t>
      </w:r>
      <w:r>
        <w:rPr>
          <w:rFonts w:hint="eastAsia" w:ascii="宋体" w:hAnsi="宋体" w:eastAsia="宋体"/>
          <w:color w:val="auto"/>
          <w:spacing w:val="-2"/>
          <w:highlight w:val="none"/>
          <w:lang w:eastAsia="zh-CN"/>
        </w:rPr>
        <w:t>人</w:t>
      </w:r>
      <w:r>
        <w:rPr>
          <w:rFonts w:hint="eastAsia" w:ascii="宋体" w:hAnsi="宋体" w:eastAsia="宋体"/>
          <w:color w:val="auto"/>
          <w:highlight w:val="none"/>
          <w:lang w:eastAsia="zh-CN"/>
        </w:rPr>
        <w:t>须</w:t>
      </w:r>
      <w:r>
        <w:rPr>
          <w:rFonts w:hint="eastAsia" w:ascii="宋体" w:hAnsi="宋体" w:eastAsia="宋体"/>
          <w:color w:val="auto"/>
          <w:spacing w:val="-2"/>
          <w:highlight w:val="none"/>
          <w:lang w:eastAsia="zh-CN"/>
        </w:rPr>
        <w:t>知</w:t>
      </w:r>
      <w:r>
        <w:rPr>
          <w:rFonts w:hint="eastAsia" w:ascii="宋体" w:hAnsi="宋体" w:eastAsia="宋体"/>
          <w:color w:val="auto"/>
          <w:highlight w:val="none"/>
          <w:lang w:eastAsia="zh-CN"/>
        </w:rPr>
        <w:t>的相关</w:t>
      </w:r>
      <w:r>
        <w:rPr>
          <w:rFonts w:hint="eastAsia" w:ascii="宋体" w:hAnsi="宋体" w:eastAsia="宋体"/>
          <w:color w:val="auto"/>
          <w:spacing w:val="-2"/>
          <w:highlight w:val="none"/>
          <w:lang w:eastAsia="zh-CN"/>
        </w:rPr>
        <w:t>要</w:t>
      </w:r>
      <w:r>
        <w:rPr>
          <w:rFonts w:hint="eastAsia" w:ascii="宋体" w:hAnsi="宋体" w:eastAsia="宋体"/>
          <w:color w:val="auto"/>
          <w:highlight w:val="none"/>
          <w:lang w:eastAsia="zh-CN"/>
        </w:rPr>
        <w:t>求</w:t>
      </w:r>
      <w:r>
        <w:rPr>
          <w:rFonts w:hint="eastAsia" w:ascii="宋体" w:hAnsi="宋体" w:eastAsia="宋体"/>
          <w:color w:val="auto"/>
          <w:spacing w:val="-2"/>
          <w:highlight w:val="none"/>
          <w:lang w:eastAsia="zh-CN"/>
        </w:rPr>
        <w:t>在本</w:t>
      </w:r>
      <w:r>
        <w:rPr>
          <w:rFonts w:hint="eastAsia" w:ascii="宋体" w:hAnsi="宋体" w:eastAsia="宋体"/>
          <w:color w:val="auto"/>
          <w:highlight w:val="none"/>
          <w:lang w:eastAsia="zh-CN"/>
        </w:rPr>
        <w:t>表后</w:t>
      </w:r>
      <w:r>
        <w:rPr>
          <w:rFonts w:hint="eastAsia" w:ascii="宋体" w:hAnsi="宋体" w:eastAsia="宋体"/>
          <w:color w:val="auto"/>
          <w:spacing w:val="-2"/>
          <w:highlight w:val="none"/>
          <w:lang w:eastAsia="zh-CN"/>
        </w:rPr>
        <w:t>附</w:t>
      </w:r>
      <w:r>
        <w:rPr>
          <w:rFonts w:hint="eastAsia" w:ascii="宋体" w:hAnsi="宋体" w:eastAsia="宋体"/>
          <w:color w:val="auto"/>
          <w:highlight w:val="none"/>
          <w:lang w:eastAsia="zh-CN"/>
        </w:rPr>
        <w:t>相</w:t>
      </w:r>
      <w:r>
        <w:rPr>
          <w:rFonts w:hint="eastAsia" w:ascii="宋体" w:hAnsi="宋体" w:eastAsia="宋体"/>
          <w:color w:val="auto"/>
          <w:spacing w:val="-2"/>
          <w:highlight w:val="none"/>
          <w:lang w:eastAsia="zh-CN"/>
        </w:rPr>
        <w:t>关</w:t>
      </w:r>
      <w:r>
        <w:rPr>
          <w:rFonts w:hint="eastAsia" w:ascii="宋体" w:hAnsi="宋体" w:eastAsia="宋体"/>
          <w:color w:val="auto"/>
          <w:highlight w:val="none"/>
          <w:lang w:eastAsia="zh-CN"/>
        </w:rPr>
        <w:t>证</w:t>
      </w:r>
      <w:r>
        <w:rPr>
          <w:rFonts w:hint="eastAsia" w:ascii="宋体" w:hAnsi="宋体" w:eastAsia="宋体"/>
          <w:color w:val="auto"/>
          <w:spacing w:val="-2"/>
          <w:highlight w:val="none"/>
          <w:lang w:eastAsia="zh-CN"/>
        </w:rPr>
        <w:t>明</w:t>
      </w:r>
      <w:r>
        <w:rPr>
          <w:rFonts w:hint="eastAsia" w:ascii="宋体" w:hAnsi="宋体" w:eastAsia="宋体"/>
          <w:color w:val="auto"/>
          <w:highlight w:val="none"/>
          <w:lang w:eastAsia="zh-CN"/>
        </w:rPr>
        <w:t>材</w:t>
      </w:r>
      <w:r>
        <w:rPr>
          <w:rFonts w:hint="eastAsia" w:ascii="宋体" w:hAnsi="宋体" w:eastAsia="宋体"/>
          <w:color w:val="auto"/>
          <w:spacing w:val="-2"/>
          <w:highlight w:val="none"/>
          <w:lang w:eastAsia="zh-CN"/>
        </w:rPr>
        <w:t>料</w:t>
      </w:r>
      <w:r>
        <w:rPr>
          <w:rFonts w:hint="eastAsia" w:ascii="宋体" w:hAnsi="宋体" w:eastAsia="宋体"/>
          <w:color w:val="auto"/>
          <w:highlight w:val="none"/>
          <w:lang w:eastAsia="zh-CN"/>
        </w:rPr>
        <w:t>。</w:t>
      </w:r>
    </w:p>
    <w:p w14:paraId="1D0277A4">
      <w:pPr>
        <w:rPr>
          <w:rFonts w:ascii="宋体" w:hAnsi="宋体" w:eastAsia="宋体"/>
          <w:color w:val="auto"/>
          <w:sz w:val="21"/>
          <w:szCs w:val="21"/>
          <w:highlight w:val="none"/>
          <w:lang w:eastAsia="zh-CN"/>
        </w:rPr>
      </w:pPr>
    </w:p>
    <w:p w14:paraId="078D7662">
      <w:pPr>
        <w:jc w:val="center"/>
        <w:rPr>
          <w:rFonts w:ascii="宋体" w:hAnsi="宋体" w:eastAsia="宋体"/>
          <w:color w:val="auto"/>
          <w:sz w:val="21"/>
          <w:szCs w:val="21"/>
          <w:highlight w:val="none"/>
          <w:lang w:eastAsia="zh-CN"/>
        </w:rPr>
        <w:sectPr>
          <w:pgSz w:w="11907" w:h="16839"/>
          <w:pgMar w:top="1440" w:right="1440" w:bottom="1440" w:left="1440" w:header="720" w:footer="720" w:gutter="0"/>
          <w:cols w:space="720" w:num="1"/>
        </w:sectPr>
      </w:pPr>
    </w:p>
    <w:p w14:paraId="7533D375">
      <w:pPr>
        <w:pStyle w:val="3"/>
        <w:spacing w:after="240"/>
        <w:rPr>
          <w:rFonts w:ascii="宋体" w:hAnsi="宋体" w:eastAsia="宋体"/>
          <w:color w:val="auto"/>
          <w:highlight w:val="none"/>
          <w:lang w:eastAsia="zh-CN"/>
        </w:rPr>
      </w:pPr>
      <w:bookmarkStart w:id="82" w:name="_Toc25072146"/>
      <w:r>
        <w:rPr>
          <w:rFonts w:hint="eastAsia" w:ascii="宋体" w:hAnsi="宋体" w:eastAsia="宋体"/>
          <w:color w:val="auto"/>
          <w:highlight w:val="none"/>
          <w:lang w:eastAsia="zh-CN"/>
        </w:rPr>
        <w:t>格式八  类似项目业绩情况</w:t>
      </w:r>
      <w:bookmarkEnd w:id="82"/>
    </w:p>
    <w:p w14:paraId="559401C1">
      <w:pPr>
        <w:pStyle w:val="3"/>
        <w:spacing w:after="240"/>
        <w:jc w:val="center"/>
        <w:rPr>
          <w:rFonts w:ascii="宋体" w:hAnsi="宋体" w:eastAsia="宋体"/>
          <w:color w:val="auto"/>
          <w:highlight w:val="none"/>
          <w:lang w:eastAsia="zh-CN"/>
        </w:rPr>
      </w:pPr>
      <w:r>
        <w:rPr>
          <w:rFonts w:hint="eastAsia" w:ascii="宋体" w:hAnsi="宋体" w:eastAsia="宋体"/>
          <w:color w:val="auto"/>
          <w:highlight w:val="none"/>
          <w:lang w:eastAsia="zh-CN"/>
        </w:rPr>
        <w:t>类似项目业绩情况</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536"/>
        <w:gridCol w:w="2306"/>
        <w:gridCol w:w="1295"/>
        <w:gridCol w:w="1295"/>
        <w:gridCol w:w="1292"/>
      </w:tblGrid>
      <w:tr w14:paraId="29D2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1293" w:type="dxa"/>
            <w:tcBorders>
              <w:top w:val="single" w:color="auto" w:sz="4" w:space="0"/>
              <w:left w:val="single" w:color="auto" w:sz="4" w:space="0"/>
              <w:bottom w:val="single" w:color="auto" w:sz="4" w:space="0"/>
              <w:right w:val="single" w:color="auto" w:sz="4" w:space="0"/>
            </w:tcBorders>
            <w:vAlign w:val="center"/>
          </w:tcPr>
          <w:p w14:paraId="212D9760">
            <w:pPr>
              <w:jc w:val="center"/>
              <w:rPr>
                <w:rFonts w:ascii="宋体" w:hAnsi="宋体" w:eastAsia="宋体"/>
                <w:color w:val="auto"/>
                <w:highlight w:val="none"/>
              </w:rPr>
            </w:pPr>
            <w:r>
              <w:rPr>
                <w:rFonts w:hint="eastAsia" w:ascii="宋体" w:hAnsi="宋体" w:eastAsia="宋体"/>
                <w:color w:val="auto"/>
                <w:highlight w:val="none"/>
                <w:lang w:eastAsia="zh-CN"/>
              </w:rPr>
              <w:t>项目名称</w:t>
            </w:r>
          </w:p>
        </w:tc>
        <w:tc>
          <w:tcPr>
            <w:tcW w:w="1536" w:type="dxa"/>
            <w:tcBorders>
              <w:top w:val="single" w:color="auto" w:sz="4" w:space="0"/>
              <w:left w:val="single" w:color="auto" w:sz="4" w:space="0"/>
              <w:bottom w:val="single" w:color="auto" w:sz="4" w:space="0"/>
              <w:right w:val="single" w:color="auto" w:sz="4" w:space="0"/>
            </w:tcBorders>
            <w:vAlign w:val="center"/>
          </w:tcPr>
          <w:p w14:paraId="53A7F3FC">
            <w:pPr>
              <w:jc w:val="center"/>
              <w:rPr>
                <w:rFonts w:ascii="宋体" w:hAnsi="宋体" w:eastAsia="宋体"/>
                <w:color w:val="auto"/>
                <w:szCs w:val="21"/>
                <w:highlight w:val="none"/>
              </w:rPr>
            </w:pPr>
            <w:r>
              <w:rPr>
                <w:rFonts w:hint="eastAsia" w:ascii="宋体" w:hAnsi="宋体" w:eastAsia="宋体"/>
                <w:color w:val="auto"/>
                <w:highlight w:val="none"/>
              </w:rPr>
              <w:t>合同签订时间</w:t>
            </w:r>
          </w:p>
        </w:tc>
        <w:tc>
          <w:tcPr>
            <w:tcW w:w="2306" w:type="dxa"/>
            <w:tcBorders>
              <w:top w:val="single" w:color="auto" w:sz="4" w:space="0"/>
              <w:left w:val="nil"/>
              <w:bottom w:val="single" w:color="auto" w:sz="4" w:space="0"/>
              <w:right w:val="single" w:color="auto" w:sz="4" w:space="0"/>
            </w:tcBorders>
            <w:vAlign w:val="center"/>
          </w:tcPr>
          <w:p w14:paraId="1D85DA05">
            <w:pPr>
              <w:jc w:val="center"/>
              <w:rPr>
                <w:rFonts w:ascii="宋体" w:hAnsi="宋体" w:eastAsia="宋体"/>
                <w:color w:val="auto"/>
                <w:highlight w:val="none"/>
                <w:lang w:eastAsia="zh-CN"/>
              </w:rPr>
            </w:pPr>
            <w:r>
              <w:rPr>
                <w:rFonts w:hint="eastAsia" w:ascii="宋体" w:hAnsi="宋体" w:eastAsia="宋体"/>
                <w:color w:val="auto"/>
                <w:highlight w:val="none"/>
                <w:lang w:eastAsia="zh-CN"/>
              </w:rPr>
              <w:t>项目概况</w:t>
            </w:r>
          </w:p>
          <w:p w14:paraId="0462925C">
            <w:pPr>
              <w:jc w:val="center"/>
              <w:rPr>
                <w:rFonts w:ascii="宋体" w:hAnsi="宋体" w:eastAsia="宋体"/>
                <w:color w:val="auto"/>
                <w:szCs w:val="21"/>
                <w:highlight w:val="none"/>
                <w:lang w:eastAsia="zh-CN"/>
              </w:rPr>
            </w:pPr>
            <w:r>
              <w:rPr>
                <w:rFonts w:hint="eastAsia" w:ascii="宋体" w:hAnsi="宋体" w:eastAsia="宋体"/>
                <w:color w:val="auto"/>
                <w:szCs w:val="21"/>
                <w:highlight w:val="none"/>
                <w:lang w:eastAsia="zh-CN"/>
              </w:rPr>
              <w:t>（总投资/建筑面积）</w:t>
            </w:r>
          </w:p>
        </w:tc>
        <w:tc>
          <w:tcPr>
            <w:tcW w:w="1295" w:type="dxa"/>
            <w:tcBorders>
              <w:top w:val="single" w:color="auto" w:sz="4" w:space="0"/>
              <w:left w:val="nil"/>
              <w:bottom w:val="single" w:color="auto" w:sz="4" w:space="0"/>
              <w:right w:val="single" w:color="auto" w:sz="4" w:space="0"/>
            </w:tcBorders>
            <w:vAlign w:val="center"/>
          </w:tcPr>
          <w:p w14:paraId="09E28E2E">
            <w:pPr>
              <w:jc w:val="center"/>
              <w:rPr>
                <w:rFonts w:ascii="宋体" w:hAnsi="宋体" w:eastAsia="宋体"/>
                <w:color w:val="auto"/>
                <w:szCs w:val="21"/>
                <w:highlight w:val="none"/>
              </w:rPr>
            </w:pPr>
            <w:r>
              <w:rPr>
                <w:rFonts w:hint="eastAsia" w:ascii="宋体" w:hAnsi="宋体" w:eastAsia="宋体"/>
                <w:color w:val="auto"/>
                <w:highlight w:val="none"/>
              </w:rPr>
              <w:t>业主单位</w:t>
            </w:r>
          </w:p>
        </w:tc>
        <w:tc>
          <w:tcPr>
            <w:tcW w:w="1295" w:type="dxa"/>
            <w:tcBorders>
              <w:top w:val="single" w:color="auto" w:sz="4" w:space="0"/>
              <w:left w:val="nil"/>
              <w:bottom w:val="single" w:color="auto" w:sz="4" w:space="0"/>
              <w:right w:val="single" w:color="auto" w:sz="4" w:space="0"/>
            </w:tcBorders>
            <w:vAlign w:val="center"/>
          </w:tcPr>
          <w:p w14:paraId="61557145">
            <w:pPr>
              <w:jc w:val="center"/>
              <w:rPr>
                <w:rFonts w:ascii="宋体" w:hAnsi="宋体" w:eastAsia="宋体"/>
                <w:color w:val="auto"/>
                <w:szCs w:val="21"/>
                <w:highlight w:val="none"/>
              </w:rPr>
            </w:pPr>
            <w:r>
              <w:rPr>
                <w:rFonts w:hint="eastAsia" w:ascii="宋体" w:hAnsi="宋体" w:eastAsia="宋体"/>
                <w:color w:val="auto"/>
                <w:highlight w:val="none"/>
              </w:rPr>
              <w:t>完成情况</w:t>
            </w:r>
          </w:p>
        </w:tc>
        <w:tc>
          <w:tcPr>
            <w:tcW w:w="1292" w:type="dxa"/>
            <w:tcBorders>
              <w:top w:val="single" w:color="auto" w:sz="4" w:space="0"/>
              <w:left w:val="nil"/>
              <w:bottom w:val="single" w:color="auto" w:sz="4" w:space="0"/>
              <w:right w:val="single" w:color="auto" w:sz="4" w:space="0"/>
            </w:tcBorders>
            <w:vAlign w:val="center"/>
          </w:tcPr>
          <w:p w14:paraId="41B514DD">
            <w:pPr>
              <w:jc w:val="center"/>
              <w:rPr>
                <w:rFonts w:ascii="宋体" w:hAnsi="宋体" w:eastAsia="宋体"/>
                <w:color w:val="auto"/>
                <w:szCs w:val="21"/>
                <w:highlight w:val="none"/>
              </w:rPr>
            </w:pPr>
            <w:r>
              <w:rPr>
                <w:rFonts w:hint="eastAsia" w:ascii="宋体" w:hAnsi="宋体" w:eastAsia="宋体"/>
                <w:color w:val="auto"/>
                <w:highlight w:val="none"/>
              </w:rPr>
              <w:t>备注</w:t>
            </w:r>
          </w:p>
        </w:tc>
      </w:tr>
      <w:tr w14:paraId="2804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293" w:type="dxa"/>
            <w:tcBorders>
              <w:top w:val="single" w:color="auto" w:sz="4" w:space="0"/>
              <w:left w:val="single" w:color="auto" w:sz="4" w:space="0"/>
              <w:bottom w:val="single" w:color="auto" w:sz="4" w:space="0"/>
              <w:right w:val="single" w:color="auto" w:sz="4" w:space="0"/>
            </w:tcBorders>
            <w:vAlign w:val="center"/>
          </w:tcPr>
          <w:p w14:paraId="63D3C4B8">
            <w:pPr>
              <w:jc w:val="center"/>
              <w:rPr>
                <w:rFonts w:ascii="宋体" w:hAnsi="宋体" w:eastAsia="宋体"/>
                <w:color w:val="auto"/>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14:paraId="4550E8A9">
            <w:pPr>
              <w:jc w:val="center"/>
              <w:rPr>
                <w:rFonts w:ascii="宋体" w:hAnsi="宋体" w:eastAsia="宋体"/>
                <w:color w:val="auto"/>
                <w:szCs w:val="21"/>
                <w:highlight w:val="none"/>
              </w:rPr>
            </w:pPr>
          </w:p>
        </w:tc>
        <w:tc>
          <w:tcPr>
            <w:tcW w:w="2306" w:type="dxa"/>
            <w:tcBorders>
              <w:top w:val="single" w:color="auto" w:sz="4" w:space="0"/>
              <w:left w:val="nil"/>
              <w:bottom w:val="single" w:color="auto" w:sz="4" w:space="0"/>
              <w:right w:val="single" w:color="auto" w:sz="4" w:space="0"/>
            </w:tcBorders>
            <w:vAlign w:val="center"/>
          </w:tcPr>
          <w:p w14:paraId="79E10BC3">
            <w:pPr>
              <w:jc w:val="center"/>
              <w:rPr>
                <w:rFonts w:ascii="宋体" w:hAnsi="宋体" w:eastAsia="宋体"/>
                <w:color w:val="auto"/>
                <w:szCs w:val="21"/>
                <w:highlight w:val="none"/>
              </w:rPr>
            </w:pPr>
          </w:p>
        </w:tc>
        <w:tc>
          <w:tcPr>
            <w:tcW w:w="1295" w:type="dxa"/>
            <w:tcBorders>
              <w:top w:val="single" w:color="auto" w:sz="4" w:space="0"/>
              <w:left w:val="nil"/>
              <w:bottom w:val="single" w:color="auto" w:sz="4" w:space="0"/>
              <w:right w:val="single" w:color="auto" w:sz="4" w:space="0"/>
            </w:tcBorders>
            <w:vAlign w:val="center"/>
          </w:tcPr>
          <w:p w14:paraId="47762B50">
            <w:pPr>
              <w:jc w:val="center"/>
              <w:rPr>
                <w:rFonts w:ascii="宋体" w:hAnsi="宋体" w:eastAsia="宋体"/>
                <w:color w:val="auto"/>
                <w:szCs w:val="21"/>
                <w:highlight w:val="none"/>
              </w:rPr>
            </w:pPr>
          </w:p>
        </w:tc>
        <w:tc>
          <w:tcPr>
            <w:tcW w:w="1295" w:type="dxa"/>
            <w:tcBorders>
              <w:top w:val="single" w:color="auto" w:sz="4" w:space="0"/>
              <w:left w:val="nil"/>
              <w:bottom w:val="single" w:color="auto" w:sz="4" w:space="0"/>
              <w:right w:val="single" w:color="auto" w:sz="4" w:space="0"/>
            </w:tcBorders>
            <w:vAlign w:val="center"/>
          </w:tcPr>
          <w:p w14:paraId="0821D1BA">
            <w:pPr>
              <w:jc w:val="center"/>
              <w:rPr>
                <w:rFonts w:ascii="宋体" w:hAnsi="宋体" w:eastAsia="宋体"/>
                <w:color w:val="auto"/>
                <w:szCs w:val="21"/>
                <w:highlight w:val="none"/>
              </w:rPr>
            </w:pPr>
          </w:p>
        </w:tc>
        <w:tc>
          <w:tcPr>
            <w:tcW w:w="1292" w:type="dxa"/>
            <w:tcBorders>
              <w:top w:val="single" w:color="auto" w:sz="4" w:space="0"/>
              <w:left w:val="nil"/>
              <w:bottom w:val="single" w:color="auto" w:sz="4" w:space="0"/>
              <w:right w:val="single" w:color="auto" w:sz="4" w:space="0"/>
            </w:tcBorders>
            <w:vAlign w:val="center"/>
          </w:tcPr>
          <w:p w14:paraId="37DDCCC8">
            <w:pPr>
              <w:jc w:val="center"/>
              <w:rPr>
                <w:rFonts w:ascii="宋体" w:hAnsi="宋体" w:eastAsia="宋体"/>
                <w:color w:val="auto"/>
                <w:szCs w:val="21"/>
                <w:highlight w:val="none"/>
              </w:rPr>
            </w:pPr>
          </w:p>
        </w:tc>
      </w:tr>
      <w:tr w14:paraId="0FA7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1293" w:type="dxa"/>
            <w:tcBorders>
              <w:top w:val="single" w:color="auto" w:sz="4" w:space="0"/>
              <w:left w:val="single" w:color="auto" w:sz="4" w:space="0"/>
              <w:bottom w:val="single" w:color="auto" w:sz="4" w:space="0"/>
              <w:right w:val="single" w:color="auto" w:sz="4" w:space="0"/>
            </w:tcBorders>
            <w:vAlign w:val="center"/>
          </w:tcPr>
          <w:p w14:paraId="51DC75FE">
            <w:pPr>
              <w:jc w:val="center"/>
              <w:rPr>
                <w:rFonts w:ascii="宋体" w:hAnsi="宋体" w:eastAsia="宋体"/>
                <w:color w:val="auto"/>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14:paraId="5B7D0606">
            <w:pPr>
              <w:jc w:val="center"/>
              <w:rPr>
                <w:rFonts w:ascii="宋体" w:hAnsi="宋体" w:eastAsia="宋体"/>
                <w:color w:val="auto"/>
                <w:szCs w:val="21"/>
                <w:highlight w:val="none"/>
              </w:rPr>
            </w:pPr>
          </w:p>
        </w:tc>
        <w:tc>
          <w:tcPr>
            <w:tcW w:w="2306" w:type="dxa"/>
            <w:tcBorders>
              <w:top w:val="single" w:color="auto" w:sz="4" w:space="0"/>
              <w:left w:val="nil"/>
              <w:bottom w:val="single" w:color="auto" w:sz="4" w:space="0"/>
              <w:right w:val="single" w:color="auto" w:sz="4" w:space="0"/>
            </w:tcBorders>
            <w:vAlign w:val="center"/>
          </w:tcPr>
          <w:p w14:paraId="2C3B71A4">
            <w:pPr>
              <w:jc w:val="center"/>
              <w:rPr>
                <w:rFonts w:ascii="宋体" w:hAnsi="宋体" w:eastAsia="宋体"/>
                <w:color w:val="auto"/>
                <w:szCs w:val="21"/>
                <w:highlight w:val="none"/>
              </w:rPr>
            </w:pPr>
          </w:p>
        </w:tc>
        <w:tc>
          <w:tcPr>
            <w:tcW w:w="1295" w:type="dxa"/>
            <w:tcBorders>
              <w:top w:val="single" w:color="auto" w:sz="4" w:space="0"/>
              <w:left w:val="nil"/>
              <w:bottom w:val="single" w:color="auto" w:sz="4" w:space="0"/>
              <w:right w:val="single" w:color="auto" w:sz="4" w:space="0"/>
            </w:tcBorders>
            <w:vAlign w:val="center"/>
          </w:tcPr>
          <w:p w14:paraId="7CBF9219">
            <w:pPr>
              <w:jc w:val="center"/>
              <w:rPr>
                <w:rFonts w:ascii="宋体" w:hAnsi="宋体" w:eastAsia="宋体"/>
                <w:color w:val="auto"/>
                <w:szCs w:val="21"/>
                <w:highlight w:val="none"/>
              </w:rPr>
            </w:pPr>
          </w:p>
        </w:tc>
        <w:tc>
          <w:tcPr>
            <w:tcW w:w="1295" w:type="dxa"/>
            <w:tcBorders>
              <w:top w:val="single" w:color="auto" w:sz="4" w:space="0"/>
              <w:left w:val="nil"/>
              <w:bottom w:val="single" w:color="auto" w:sz="4" w:space="0"/>
              <w:right w:val="single" w:color="auto" w:sz="4" w:space="0"/>
            </w:tcBorders>
            <w:vAlign w:val="center"/>
          </w:tcPr>
          <w:p w14:paraId="782503DD">
            <w:pPr>
              <w:jc w:val="center"/>
              <w:rPr>
                <w:rFonts w:ascii="宋体" w:hAnsi="宋体" w:eastAsia="宋体"/>
                <w:color w:val="auto"/>
                <w:szCs w:val="21"/>
                <w:highlight w:val="none"/>
              </w:rPr>
            </w:pPr>
          </w:p>
        </w:tc>
        <w:tc>
          <w:tcPr>
            <w:tcW w:w="1292" w:type="dxa"/>
            <w:tcBorders>
              <w:top w:val="single" w:color="auto" w:sz="4" w:space="0"/>
              <w:left w:val="nil"/>
              <w:bottom w:val="single" w:color="auto" w:sz="4" w:space="0"/>
              <w:right w:val="single" w:color="auto" w:sz="4" w:space="0"/>
            </w:tcBorders>
            <w:vAlign w:val="center"/>
          </w:tcPr>
          <w:p w14:paraId="54BA333D">
            <w:pPr>
              <w:jc w:val="center"/>
              <w:rPr>
                <w:rFonts w:ascii="宋体" w:hAnsi="宋体" w:eastAsia="宋体"/>
                <w:color w:val="auto"/>
                <w:szCs w:val="21"/>
                <w:highlight w:val="none"/>
              </w:rPr>
            </w:pPr>
          </w:p>
        </w:tc>
      </w:tr>
      <w:tr w14:paraId="72BB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93" w:type="dxa"/>
            <w:tcBorders>
              <w:top w:val="single" w:color="auto" w:sz="4" w:space="0"/>
              <w:left w:val="single" w:color="auto" w:sz="4" w:space="0"/>
              <w:bottom w:val="single" w:color="auto" w:sz="4" w:space="0"/>
              <w:right w:val="single" w:color="auto" w:sz="4" w:space="0"/>
            </w:tcBorders>
            <w:vAlign w:val="center"/>
          </w:tcPr>
          <w:p w14:paraId="6777A676">
            <w:pPr>
              <w:jc w:val="center"/>
              <w:rPr>
                <w:rFonts w:ascii="宋体" w:hAnsi="宋体" w:eastAsia="宋体"/>
                <w:color w:val="auto"/>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14:paraId="3572D56F">
            <w:pPr>
              <w:jc w:val="center"/>
              <w:rPr>
                <w:rFonts w:ascii="宋体" w:hAnsi="宋体" w:eastAsia="宋体"/>
                <w:color w:val="auto"/>
                <w:szCs w:val="21"/>
                <w:highlight w:val="none"/>
              </w:rPr>
            </w:pPr>
          </w:p>
        </w:tc>
        <w:tc>
          <w:tcPr>
            <w:tcW w:w="2306" w:type="dxa"/>
            <w:tcBorders>
              <w:top w:val="single" w:color="auto" w:sz="4" w:space="0"/>
              <w:left w:val="nil"/>
              <w:bottom w:val="single" w:color="auto" w:sz="4" w:space="0"/>
              <w:right w:val="single" w:color="auto" w:sz="4" w:space="0"/>
            </w:tcBorders>
            <w:vAlign w:val="center"/>
          </w:tcPr>
          <w:p w14:paraId="44E5D5FD">
            <w:pPr>
              <w:jc w:val="center"/>
              <w:rPr>
                <w:rFonts w:ascii="宋体" w:hAnsi="宋体" w:eastAsia="宋体"/>
                <w:color w:val="auto"/>
                <w:szCs w:val="21"/>
                <w:highlight w:val="none"/>
              </w:rPr>
            </w:pPr>
          </w:p>
        </w:tc>
        <w:tc>
          <w:tcPr>
            <w:tcW w:w="1295" w:type="dxa"/>
            <w:tcBorders>
              <w:top w:val="single" w:color="auto" w:sz="4" w:space="0"/>
              <w:left w:val="nil"/>
              <w:bottom w:val="single" w:color="auto" w:sz="4" w:space="0"/>
              <w:right w:val="single" w:color="auto" w:sz="4" w:space="0"/>
            </w:tcBorders>
            <w:vAlign w:val="center"/>
          </w:tcPr>
          <w:p w14:paraId="43D8D597">
            <w:pPr>
              <w:jc w:val="center"/>
              <w:rPr>
                <w:rFonts w:ascii="宋体" w:hAnsi="宋体" w:eastAsia="宋体"/>
                <w:color w:val="auto"/>
                <w:szCs w:val="21"/>
                <w:highlight w:val="none"/>
              </w:rPr>
            </w:pPr>
          </w:p>
        </w:tc>
        <w:tc>
          <w:tcPr>
            <w:tcW w:w="1295" w:type="dxa"/>
            <w:tcBorders>
              <w:top w:val="single" w:color="auto" w:sz="4" w:space="0"/>
              <w:left w:val="nil"/>
              <w:bottom w:val="single" w:color="auto" w:sz="4" w:space="0"/>
              <w:right w:val="single" w:color="auto" w:sz="4" w:space="0"/>
            </w:tcBorders>
            <w:vAlign w:val="center"/>
          </w:tcPr>
          <w:p w14:paraId="6FD5CF36">
            <w:pPr>
              <w:jc w:val="center"/>
              <w:rPr>
                <w:rFonts w:ascii="宋体" w:hAnsi="宋体" w:eastAsia="宋体"/>
                <w:color w:val="auto"/>
                <w:szCs w:val="21"/>
                <w:highlight w:val="none"/>
              </w:rPr>
            </w:pPr>
          </w:p>
        </w:tc>
        <w:tc>
          <w:tcPr>
            <w:tcW w:w="1292" w:type="dxa"/>
            <w:tcBorders>
              <w:top w:val="single" w:color="auto" w:sz="4" w:space="0"/>
              <w:left w:val="nil"/>
              <w:bottom w:val="single" w:color="auto" w:sz="4" w:space="0"/>
              <w:right w:val="single" w:color="auto" w:sz="4" w:space="0"/>
            </w:tcBorders>
            <w:vAlign w:val="center"/>
          </w:tcPr>
          <w:p w14:paraId="649FC881">
            <w:pPr>
              <w:jc w:val="center"/>
              <w:rPr>
                <w:rFonts w:ascii="宋体" w:hAnsi="宋体" w:eastAsia="宋体"/>
                <w:color w:val="auto"/>
                <w:szCs w:val="21"/>
                <w:highlight w:val="none"/>
              </w:rPr>
            </w:pPr>
          </w:p>
        </w:tc>
      </w:tr>
      <w:tr w14:paraId="4F96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93" w:type="dxa"/>
            <w:tcBorders>
              <w:top w:val="single" w:color="auto" w:sz="4" w:space="0"/>
              <w:left w:val="single" w:color="auto" w:sz="4" w:space="0"/>
              <w:bottom w:val="single" w:color="auto" w:sz="4" w:space="0"/>
              <w:right w:val="single" w:color="auto" w:sz="4" w:space="0"/>
            </w:tcBorders>
            <w:vAlign w:val="center"/>
          </w:tcPr>
          <w:p w14:paraId="2DD44A2D">
            <w:pPr>
              <w:jc w:val="center"/>
              <w:rPr>
                <w:rFonts w:ascii="宋体" w:hAnsi="宋体" w:eastAsia="宋体"/>
                <w:color w:val="auto"/>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14:paraId="0AD6CED5">
            <w:pPr>
              <w:jc w:val="center"/>
              <w:rPr>
                <w:rFonts w:ascii="宋体" w:hAnsi="宋体" w:eastAsia="宋体"/>
                <w:color w:val="auto"/>
                <w:szCs w:val="21"/>
                <w:highlight w:val="none"/>
              </w:rPr>
            </w:pPr>
          </w:p>
        </w:tc>
        <w:tc>
          <w:tcPr>
            <w:tcW w:w="2306" w:type="dxa"/>
            <w:tcBorders>
              <w:top w:val="single" w:color="auto" w:sz="4" w:space="0"/>
              <w:left w:val="nil"/>
              <w:bottom w:val="single" w:color="auto" w:sz="4" w:space="0"/>
              <w:right w:val="single" w:color="auto" w:sz="4" w:space="0"/>
            </w:tcBorders>
            <w:vAlign w:val="center"/>
          </w:tcPr>
          <w:p w14:paraId="6C267545">
            <w:pPr>
              <w:jc w:val="center"/>
              <w:rPr>
                <w:rFonts w:ascii="宋体" w:hAnsi="宋体" w:eastAsia="宋体"/>
                <w:color w:val="auto"/>
                <w:szCs w:val="21"/>
                <w:highlight w:val="none"/>
              </w:rPr>
            </w:pPr>
          </w:p>
        </w:tc>
        <w:tc>
          <w:tcPr>
            <w:tcW w:w="1295" w:type="dxa"/>
            <w:tcBorders>
              <w:top w:val="single" w:color="auto" w:sz="4" w:space="0"/>
              <w:left w:val="nil"/>
              <w:bottom w:val="single" w:color="auto" w:sz="4" w:space="0"/>
              <w:right w:val="single" w:color="auto" w:sz="4" w:space="0"/>
            </w:tcBorders>
            <w:vAlign w:val="center"/>
          </w:tcPr>
          <w:p w14:paraId="6349E593">
            <w:pPr>
              <w:jc w:val="center"/>
              <w:rPr>
                <w:rFonts w:ascii="宋体" w:hAnsi="宋体" w:eastAsia="宋体"/>
                <w:color w:val="auto"/>
                <w:szCs w:val="21"/>
                <w:highlight w:val="none"/>
              </w:rPr>
            </w:pPr>
          </w:p>
        </w:tc>
        <w:tc>
          <w:tcPr>
            <w:tcW w:w="1295" w:type="dxa"/>
            <w:tcBorders>
              <w:top w:val="single" w:color="auto" w:sz="4" w:space="0"/>
              <w:left w:val="nil"/>
              <w:bottom w:val="single" w:color="auto" w:sz="4" w:space="0"/>
              <w:right w:val="single" w:color="auto" w:sz="4" w:space="0"/>
            </w:tcBorders>
            <w:vAlign w:val="center"/>
          </w:tcPr>
          <w:p w14:paraId="279C4415">
            <w:pPr>
              <w:jc w:val="center"/>
              <w:rPr>
                <w:rFonts w:ascii="宋体" w:hAnsi="宋体" w:eastAsia="宋体"/>
                <w:color w:val="auto"/>
                <w:szCs w:val="21"/>
                <w:highlight w:val="none"/>
              </w:rPr>
            </w:pPr>
          </w:p>
        </w:tc>
        <w:tc>
          <w:tcPr>
            <w:tcW w:w="1292" w:type="dxa"/>
            <w:tcBorders>
              <w:top w:val="single" w:color="auto" w:sz="4" w:space="0"/>
              <w:left w:val="nil"/>
              <w:bottom w:val="single" w:color="auto" w:sz="4" w:space="0"/>
              <w:right w:val="single" w:color="auto" w:sz="4" w:space="0"/>
            </w:tcBorders>
            <w:vAlign w:val="center"/>
          </w:tcPr>
          <w:p w14:paraId="2B9B5C83">
            <w:pPr>
              <w:jc w:val="center"/>
              <w:rPr>
                <w:rFonts w:ascii="宋体" w:hAnsi="宋体" w:eastAsia="宋体"/>
                <w:color w:val="auto"/>
                <w:szCs w:val="21"/>
                <w:highlight w:val="none"/>
              </w:rPr>
            </w:pPr>
          </w:p>
        </w:tc>
      </w:tr>
      <w:tr w14:paraId="78A2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293" w:type="dxa"/>
            <w:tcBorders>
              <w:top w:val="single" w:color="auto" w:sz="4" w:space="0"/>
              <w:left w:val="single" w:color="auto" w:sz="4" w:space="0"/>
              <w:bottom w:val="single" w:color="auto" w:sz="4" w:space="0"/>
              <w:right w:val="single" w:color="auto" w:sz="4" w:space="0"/>
            </w:tcBorders>
            <w:vAlign w:val="center"/>
          </w:tcPr>
          <w:p w14:paraId="32FDEF78">
            <w:pPr>
              <w:jc w:val="center"/>
              <w:rPr>
                <w:rFonts w:ascii="宋体" w:hAnsi="宋体" w:eastAsia="宋体"/>
                <w:color w:val="auto"/>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14:paraId="0C1A63C7">
            <w:pPr>
              <w:jc w:val="center"/>
              <w:rPr>
                <w:rFonts w:ascii="宋体" w:hAnsi="宋体" w:eastAsia="宋体"/>
                <w:color w:val="auto"/>
                <w:szCs w:val="21"/>
                <w:highlight w:val="none"/>
              </w:rPr>
            </w:pPr>
          </w:p>
        </w:tc>
        <w:tc>
          <w:tcPr>
            <w:tcW w:w="2306" w:type="dxa"/>
            <w:tcBorders>
              <w:top w:val="single" w:color="auto" w:sz="4" w:space="0"/>
              <w:left w:val="nil"/>
              <w:bottom w:val="single" w:color="auto" w:sz="4" w:space="0"/>
              <w:right w:val="single" w:color="auto" w:sz="4" w:space="0"/>
            </w:tcBorders>
            <w:vAlign w:val="center"/>
          </w:tcPr>
          <w:p w14:paraId="33A92C36">
            <w:pPr>
              <w:jc w:val="center"/>
              <w:rPr>
                <w:rFonts w:ascii="宋体" w:hAnsi="宋体" w:eastAsia="宋体"/>
                <w:color w:val="auto"/>
                <w:szCs w:val="21"/>
                <w:highlight w:val="none"/>
              </w:rPr>
            </w:pPr>
          </w:p>
        </w:tc>
        <w:tc>
          <w:tcPr>
            <w:tcW w:w="1295" w:type="dxa"/>
            <w:tcBorders>
              <w:top w:val="single" w:color="auto" w:sz="4" w:space="0"/>
              <w:left w:val="nil"/>
              <w:bottom w:val="single" w:color="auto" w:sz="4" w:space="0"/>
              <w:right w:val="single" w:color="auto" w:sz="4" w:space="0"/>
            </w:tcBorders>
            <w:vAlign w:val="center"/>
          </w:tcPr>
          <w:p w14:paraId="69F19246">
            <w:pPr>
              <w:jc w:val="center"/>
              <w:rPr>
                <w:rFonts w:ascii="宋体" w:hAnsi="宋体" w:eastAsia="宋体"/>
                <w:color w:val="auto"/>
                <w:szCs w:val="21"/>
                <w:highlight w:val="none"/>
              </w:rPr>
            </w:pPr>
          </w:p>
        </w:tc>
        <w:tc>
          <w:tcPr>
            <w:tcW w:w="1295" w:type="dxa"/>
            <w:tcBorders>
              <w:top w:val="single" w:color="auto" w:sz="4" w:space="0"/>
              <w:left w:val="nil"/>
              <w:bottom w:val="single" w:color="auto" w:sz="4" w:space="0"/>
              <w:right w:val="single" w:color="auto" w:sz="4" w:space="0"/>
            </w:tcBorders>
            <w:vAlign w:val="center"/>
          </w:tcPr>
          <w:p w14:paraId="576100C9">
            <w:pPr>
              <w:jc w:val="center"/>
              <w:rPr>
                <w:rFonts w:ascii="宋体" w:hAnsi="宋体" w:eastAsia="宋体"/>
                <w:color w:val="auto"/>
                <w:szCs w:val="21"/>
                <w:highlight w:val="none"/>
              </w:rPr>
            </w:pPr>
          </w:p>
        </w:tc>
        <w:tc>
          <w:tcPr>
            <w:tcW w:w="1292" w:type="dxa"/>
            <w:tcBorders>
              <w:top w:val="single" w:color="auto" w:sz="4" w:space="0"/>
              <w:left w:val="nil"/>
              <w:bottom w:val="single" w:color="auto" w:sz="4" w:space="0"/>
              <w:right w:val="single" w:color="auto" w:sz="4" w:space="0"/>
            </w:tcBorders>
            <w:vAlign w:val="center"/>
          </w:tcPr>
          <w:p w14:paraId="59FCCABA">
            <w:pPr>
              <w:jc w:val="center"/>
              <w:rPr>
                <w:rFonts w:ascii="宋体" w:hAnsi="宋体" w:eastAsia="宋体"/>
                <w:color w:val="auto"/>
                <w:szCs w:val="21"/>
                <w:highlight w:val="none"/>
              </w:rPr>
            </w:pPr>
          </w:p>
        </w:tc>
      </w:tr>
      <w:bookmarkEnd w:id="73"/>
      <w:bookmarkEnd w:id="74"/>
      <w:bookmarkEnd w:id="75"/>
    </w:tbl>
    <w:p w14:paraId="2E02518E">
      <w:pPr>
        <w:pStyle w:val="7"/>
        <w:spacing w:before="240"/>
        <w:rPr>
          <w:b/>
          <w:bCs/>
          <w:color w:val="auto"/>
          <w:highlight w:val="none"/>
          <w:lang w:eastAsia="zh-CN"/>
        </w:rPr>
      </w:pPr>
      <w:r>
        <w:rPr>
          <w:rFonts w:hint="eastAsia"/>
          <w:b/>
          <w:bCs/>
          <w:color w:val="auto"/>
          <w:highlight w:val="none"/>
          <w:lang w:eastAsia="zh-CN"/>
        </w:rPr>
        <w:t>注：1、需根据评分表备注的评审评分材料要求提供相应证明材料。</w:t>
      </w:r>
    </w:p>
    <w:p w14:paraId="66F54826">
      <w:pPr>
        <w:pStyle w:val="7"/>
        <w:spacing w:before="240"/>
        <w:ind w:firstLine="482" w:firstLineChars="200"/>
        <w:rPr>
          <w:b/>
          <w:bCs/>
          <w:color w:val="auto"/>
          <w:highlight w:val="none"/>
          <w:lang w:eastAsia="zh-CN"/>
        </w:rPr>
      </w:pPr>
      <w:r>
        <w:rPr>
          <w:rFonts w:hint="eastAsia"/>
          <w:b/>
          <w:bCs/>
          <w:color w:val="auto"/>
          <w:highlight w:val="none"/>
          <w:lang w:eastAsia="zh-CN"/>
        </w:rPr>
        <w:t>2、不在本表内的业绩不作为评审依据。</w:t>
      </w:r>
    </w:p>
    <w:p w14:paraId="6F1A6E7D">
      <w:pPr>
        <w:rPr>
          <w:rFonts w:ascii="宋体" w:hAnsi="宋体" w:eastAsia="宋体"/>
          <w:color w:val="auto"/>
          <w:highlight w:val="none"/>
          <w:lang w:eastAsia="zh-CN"/>
        </w:rPr>
      </w:pPr>
    </w:p>
    <w:p w14:paraId="055422BF">
      <w:pPr>
        <w:pStyle w:val="8"/>
        <w:kinsoku w:val="0"/>
        <w:overflowPunct w:val="0"/>
        <w:spacing w:line="360" w:lineRule="auto"/>
        <w:ind w:left="0" w:firstLine="2891" w:firstLineChars="1200"/>
        <w:rPr>
          <w:b/>
          <w:color w:val="auto"/>
          <w:sz w:val="24"/>
          <w:szCs w:val="24"/>
          <w:highlight w:val="none"/>
          <w:lang w:eastAsia="zh-CN"/>
        </w:rPr>
      </w:pPr>
    </w:p>
    <w:p w14:paraId="553243A5">
      <w:pPr>
        <w:pStyle w:val="8"/>
        <w:kinsoku w:val="0"/>
        <w:overflowPunct w:val="0"/>
        <w:spacing w:line="360" w:lineRule="auto"/>
        <w:ind w:left="0" w:firstLine="2891" w:firstLineChars="1200"/>
        <w:rPr>
          <w:b/>
          <w:color w:val="auto"/>
          <w:sz w:val="24"/>
          <w:szCs w:val="24"/>
          <w:highlight w:val="none"/>
          <w:lang w:eastAsia="zh-CN"/>
        </w:rPr>
      </w:pPr>
    </w:p>
    <w:p w14:paraId="256C4E72">
      <w:pPr>
        <w:pStyle w:val="8"/>
        <w:kinsoku w:val="0"/>
        <w:overflowPunct w:val="0"/>
        <w:spacing w:line="360" w:lineRule="auto"/>
        <w:ind w:left="0" w:firstLine="2891" w:firstLineChars="1200"/>
        <w:rPr>
          <w:b/>
          <w:color w:val="auto"/>
          <w:sz w:val="24"/>
          <w:szCs w:val="24"/>
          <w:highlight w:val="none"/>
          <w:lang w:eastAsia="zh-CN"/>
        </w:rPr>
      </w:pPr>
      <w:r>
        <w:rPr>
          <w:rFonts w:hint="eastAsia"/>
          <w:b/>
          <w:color w:val="auto"/>
          <w:sz w:val="24"/>
          <w:szCs w:val="24"/>
          <w:highlight w:val="none"/>
          <w:lang w:eastAsia="zh-CN"/>
        </w:rPr>
        <w:t>投标</w:t>
      </w:r>
      <w:r>
        <w:rPr>
          <w:rFonts w:hint="eastAsia"/>
          <w:b/>
          <w:color w:val="auto"/>
          <w:spacing w:val="-2"/>
          <w:sz w:val="24"/>
          <w:szCs w:val="24"/>
          <w:highlight w:val="none"/>
          <w:lang w:eastAsia="zh-CN"/>
        </w:rPr>
        <w:t>人：</w:t>
      </w:r>
      <w:r>
        <w:rPr>
          <w:rFonts w:hint="eastAsia"/>
          <w:b/>
          <w:color w:val="auto"/>
          <w:spacing w:val="-2"/>
          <w:sz w:val="24"/>
          <w:szCs w:val="24"/>
          <w:highlight w:val="none"/>
          <w:u w:val="single"/>
          <w:lang w:eastAsia="zh-CN"/>
        </w:rPr>
        <w:t xml:space="preserve">      </w:t>
      </w:r>
      <w:r>
        <w:rPr>
          <w:rFonts w:hint="eastAsia"/>
          <w:b/>
          <w:color w:val="auto"/>
          <w:spacing w:val="-1"/>
          <w:sz w:val="24"/>
          <w:szCs w:val="24"/>
          <w:highlight w:val="none"/>
          <w:lang w:eastAsia="zh-CN"/>
        </w:rPr>
        <w:t>（盖单位章）</w:t>
      </w:r>
    </w:p>
    <w:p w14:paraId="60B2E0CF">
      <w:pPr>
        <w:spacing w:line="360" w:lineRule="auto"/>
        <w:ind w:firstLine="2891" w:firstLineChars="1200"/>
        <w:rPr>
          <w:rFonts w:ascii="宋体" w:hAnsi="宋体" w:eastAsia="宋体"/>
          <w:b/>
          <w:bCs/>
          <w:color w:val="auto"/>
          <w:sz w:val="24"/>
          <w:szCs w:val="24"/>
          <w:highlight w:val="none"/>
          <w:lang w:eastAsia="zh-CN"/>
        </w:rPr>
      </w:pPr>
      <w:r>
        <w:rPr>
          <w:rFonts w:hint="eastAsia" w:ascii="宋体" w:hAnsi="宋体" w:eastAsia="宋体"/>
          <w:b/>
          <w:bCs/>
          <w:color w:val="auto"/>
          <w:sz w:val="24"/>
          <w:szCs w:val="24"/>
          <w:highlight w:val="none"/>
          <w:lang w:eastAsia="zh-CN"/>
        </w:rPr>
        <w:t>法定代表人或其委托代理人：</w:t>
      </w:r>
      <w:r>
        <w:rPr>
          <w:rFonts w:hint="eastAsia" w:ascii="宋体" w:hAnsi="宋体" w:eastAsia="宋体"/>
          <w:b/>
          <w:bCs/>
          <w:color w:val="auto"/>
          <w:sz w:val="24"/>
          <w:szCs w:val="24"/>
          <w:highlight w:val="none"/>
          <w:u w:val="single"/>
          <w:lang w:eastAsia="zh-CN"/>
        </w:rPr>
        <w:t xml:space="preserve">     </w:t>
      </w:r>
      <w:r>
        <w:rPr>
          <w:rFonts w:hint="eastAsia" w:ascii="宋体" w:hAnsi="宋体" w:eastAsia="宋体"/>
          <w:b/>
          <w:bCs/>
          <w:color w:val="auto"/>
          <w:sz w:val="24"/>
          <w:szCs w:val="24"/>
          <w:highlight w:val="none"/>
          <w:lang w:eastAsia="zh-CN"/>
        </w:rPr>
        <w:t>（签字或盖章）</w:t>
      </w:r>
    </w:p>
    <w:p w14:paraId="5B8DAA04">
      <w:pPr>
        <w:jc w:val="center"/>
        <w:rPr>
          <w:rFonts w:ascii="宋体" w:hAnsi="宋体" w:eastAsia="宋体"/>
          <w:b/>
          <w:color w:val="auto"/>
          <w:sz w:val="24"/>
          <w:szCs w:val="24"/>
          <w:highlight w:val="none"/>
          <w:lang w:eastAsia="zh-CN"/>
        </w:rPr>
      </w:pPr>
      <w:r>
        <w:rPr>
          <w:rFonts w:hint="eastAsia" w:ascii="宋体" w:hAnsi="宋体" w:eastAsia="宋体"/>
          <w:b/>
          <w:color w:val="auto"/>
          <w:sz w:val="24"/>
          <w:szCs w:val="24"/>
          <w:highlight w:val="none"/>
          <w:lang w:eastAsia="zh-CN"/>
        </w:rPr>
        <w:t>2024年</w:t>
      </w:r>
      <w:r>
        <w:rPr>
          <w:rFonts w:ascii="宋体" w:hAnsi="宋体" w:eastAsia="宋体"/>
          <w:b/>
          <w:color w:val="auto"/>
          <w:sz w:val="24"/>
          <w:szCs w:val="24"/>
          <w:highlight w:val="none"/>
          <w:u w:val="single"/>
          <w:lang w:eastAsia="zh-CN"/>
        </w:rPr>
        <w:tab/>
      </w:r>
      <w:r>
        <w:rPr>
          <w:rFonts w:hint="eastAsia" w:ascii="宋体" w:hAnsi="宋体" w:eastAsia="宋体"/>
          <w:b/>
          <w:color w:val="auto"/>
          <w:sz w:val="24"/>
          <w:szCs w:val="24"/>
          <w:highlight w:val="none"/>
          <w:u w:val="single"/>
          <w:lang w:eastAsia="zh-CN"/>
        </w:rPr>
        <w:t xml:space="preserve">   </w:t>
      </w:r>
      <w:r>
        <w:rPr>
          <w:rFonts w:hint="eastAsia" w:ascii="宋体" w:hAnsi="宋体" w:eastAsia="宋体"/>
          <w:b/>
          <w:color w:val="auto"/>
          <w:sz w:val="24"/>
          <w:szCs w:val="24"/>
          <w:highlight w:val="none"/>
          <w:lang w:eastAsia="zh-CN"/>
        </w:rPr>
        <w:t>月</w:t>
      </w:r>
      <w:r>
        <w:rPr>
          <w:rFonts w:ascii="宋体" w:hAnsi="宋体" w:eastAsia="宋体"/>
          <w:b/>
          <w:color w:val="auto"/>
          <w:sz w:val="24"/>
          <w:szCs w:val="24"/>
          <w:highlight w:val="none"/>
          <w:u w:val="single"/>
          <w:lang w:eastAsia="zh-CN"/>
        </w:rPr>
        <w:tab/>
      </w:r>
      <w:r>
        <w:rPr>
          <w:rFonts w:hint="eastAsia" w:ascii="宋体" w:hAnsi="宋体" w:eastAsia="宋体"/>
          <w:b/>
          <w:color w:val="auto"/>
          <w:sz w:val="24"/>
          <w:szCs w:val="24"/>
          <w:highlight w:val="none"/>
          <w:u w:val="single"/>
          <w:lang w:eastAsia="zh-CN"/>
        </w:rPr>
        <w:t xml:space="preserve"> </w:t>
      </w:r>
      <w:r>
        <w:rPr>
          <w:rFonts w:hint="eastAsia" w:ascii="宋体" w:hAnsi="宋体" w:eastAsia="宋体"/>
          <w:b/>
          <w:color w:val="auto"/>
          <w:sz w:val="24"/>
          <w:szCs w:val="24"/>
          <w:highlight w:val="none"/>
          <w:lang w:eastAsia="zh-CN"/>
        </w:rPr>
        <w:t>日</w:t>
      </w:r>
    </w:p>
    <w:p w14:paraId="116D55EB">
      <w:pPr>
        <w:rPr>
          <w:color w:val="auto"/>
          <w:highlight w:val="none"/>
          <w:lang w:eastAsia="zh-CN"/>
        </w:rPr>
      </w:pPr>
    </w:p>
    <w:p w14:paraId="683EEA4B">
      <w:pPr>
        <w:rPr>
          <w:color w:val="auto"/>
          <w:highlight w:val="none"/>
          <w:lang w:eastAsia="zh-CN"/>
        </w:rPr>
      </w:pPr>
    </w:p>
    <w:p w14:paraId="7A6A604F">
      <w:pPr>
        <w:rPr>
          <w:color w:val="auto"/>
          <w:highlight w:val="none"/>
          <w:lang w:eastAsia="zh-CN"/>
        </w:rPr>
      </w:pPr>
    </w:p>
    <w:p w14:paraId="05F292B6">
      <w:pPr>
        <w:rPr>
          <w:color w:val="auto"/>
          <w:highlight w:val="none"/>
          <w:lang w:eastAsia="zh-CN"/>
        </w:rPr>
      </w:pPr>
    </w:p>
    <w:p w14:paraId="5714319E">
      <w:pPr>
        <w:rPr>
          <w:color w:val="auto"/>
          <w:highlight w:val="none"/>
          <w:lang w:eastAsia="zh-CN"/>
        </w:rPr>
      </w:pPr>
    </w:p>
    <w:p w14:paraId="30DAAB7E">
      <w:pPr>
        <w:rPr>
          <w:color w:val="auto"/>
          <w:highlight w:val="none"/>
          <w:lang w:eastAsia="zh-CN"/>
        </w:rPr>
      </w:pPr>
    </w:p>
    <w:p w14:paraId="1EB6E6D4">
      <w:pPr>
        <w:rPr>
          <w:color w:val="auto"/>
          <w:highlight w:val="none"/>
          <w:lang w:eastAsia="zh-CN"/>
        </w:rPr>
      </w:pPr>
    </w:p>
    <w:p w14:paraId="01A6E610">
      <w:pPr>
        <w:rPr>
          <w:color w:val="auto"/>
          <w:highlight w:val="none"/>
          <w:lang w:eastAsia="zh-CN"/>
        </w:rPr>
      </w:pPr>
    </w:p>
    <w:p w14:paraId="24703368">
      <w:pPr>
        <w:rPr>
          <w:color w:val="auto"/>
          <w:highlight w:val="none"/>
          <w:lang w:eastAsia="zh-CN"/>
        </w:rPr>
      </w:pPr>
    </w:p>
    <w:p w14:paraId="5AD9E614">
      <w:pPr>
        <w:pStyle w:val="5"/>
        <w:rPr>
          <w:color w:val="auto"/>
          <w:highlight w:val="none"/>
        </w:rPr>
      </w:pPr>
    </w:p>
    <w:p w14:paraId="4E9BB01E">
      <w:pPr>
        <w:pStyle w:val="5"/>
        <w:rPr>
          <w:color w:val="auto"/>
          <w:highlight w:val="none"/>
        </w:rPr>
      </w:pPr>
    </w:p>
    <w:p w14:paraId="774AC7C9">
      <w:pPr>
        <w:pStyle w:val="3"/>
        <w:ind w:left="0"/>
        <w:rPr>
          <w:rFonts w:ascii="宋体" w:hAnsi="宋体" w:eastAsia="宋体"/>
          <w:color w:val="auto"/>
          <w:highlight w:val="none"/>
          <w:lang w:eastAsia="zh-CN"/>
        </w:rPr>
      </w:pPr>
      <w:r>
        <w:rPr>
          <w:rFonts w:ascii="宋体" w:hAnsi="宋体" w:eastAsia="宋体"/>
          <w:color w:val="auto"/>
          <w:highlight w:val="none"/>
          <w:lang w:eastAsia="zh-CN"/>
        </w:rPr>
        <w:br w:type="page"/>
      </w:r>
      <w:r>
        <w:rPr>
          <w:rFonts w:hint="eastAsia" w:ascii="宋体" w:hAnsi="宋体" w:eastAsia="宋体"/>
          <w:color w:val="auto"/>
          <w:highlight w:val="none"/>
          <w:lang w:eastAsia="zh-CN"/>
        </w:rPr>
        <w:t>格式九  企业业绩获奖情况</w:t>
      </w:r>
    </w:p>
    <w:p w14:paraId="603F48A1">
      <w:pPr>
        <w:rPr>
          <w:rFonts w:eastAsia="等线"/>
          <w:color w:val="auto"/>
          <w:highlight w:val="none"/>
          <w:lang w:eastAsia="zh-CN"/>
        </w:rPr>
      </w:pPr>
    </w:p>
    <w:p w14:paraId="7D7C99DE">
      <w:pPr>
        <w:jc w:val="center"/>
        <w:rPr>
          <w:rFonts w:ascii="宋体" w:hAnsi="宋体" w:eastAsia="宋体"/>
          <w:b/>
          <w:color w:val="auto"/>
          <w:spacing w:val="2"/>
          <w:position w:val="-1"/>
          <w:sz w:val="32"/>
          <w:szCs w:val="32"/>
          <w:highlight w:val="none"/>
          <w:lang w:eastAsia="zh-CN"/>
        </w:rPr>
      </w:pPr>
      <w:r>
        <w:rPr>
          <w:rFonts w:hint="eastAsia" w:ascii="宋体" w:hAnsi="宋体" w:eastAsia="宋体"/>
          <w:b/>
          <w:color w:val="auto"/>
          <w:spacing w:val="2"/>
          <w:position w:val="-1"/>
          <w:sz w:val="32"/>
          <w:szCs w:val="32"/>
          <w:highlight w:val="none"/>
          <w:lang w:eastAsia="zh-CN"/>
        </w:rPr>
        <w:t>企业业绩获奖一览表</w:t>
      </w:r>
    </w:p>
    <w:p w14:paraId="215C2BD9">
      <w:pPr>
        <w:rPr>
          <w:rFonts w:ascii="宋体" w:hAnsi="宋体" w:eastAsia="宋体"/>
          <w:color w:val="auto"/>
          <w:spacing w:val="2"/>
          <w:position w:val="-1"/>
          <w:sz w:val="32"/>
          <w:szCs w:val="32"/>
          <w:highlight w:val="none"/>
          <w:lang w:eastAsia="zh-CN"/>
        </w:rPr>
      </w:pPr>
    </w:p>
    <w:tbl>
      <w:tblPr>
        <w:tblStyle w:val="22"/>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2410"/>
        <w:gridCol w:w="1276"/>
        <w:gridCol w:w="1842"/>
        <w:gridCol w:w="1418"/>
        <w:gridCol w:w="1530"/>
      </w:tblGrid>
      <w:tr w14:paraId="73513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704" w:type="dxa"/>
            <w:vAlign w:val="center"/>
          </w:tcPr>
          <w:p w14:paraId="742253EB">
            <w:pPr>
              <w:pStyle w:val="46"/>
              <w:rPr>
                <w:rFonts w:ascii="宋体" w:hAnsi="宋体"/>
                <w:b/>
                <w:color w:val="auto"/>
                <w:sz w:val="22"/>
                <w:highlight w:val="none"/>
              </w:rPr>
            </w:pPr>
            <w:r>
              <w:rPr>
                <w:rFonts w:hint="eastAsia" w:ascii="宋体" w:hAnsi="宋体"/>
                <w:b/>
                <w:color w:val="auto"/>
                <w:sz w:val="22"/>
                <w:highlight w:val="none"/>
              </w:rPr>
              <w:t>序号</w:t>
            </w:r>
          </w:p>
        </w:tc>
        <w:tc>
          <w:tcPr>
            <w:tcW w:w="2410" w:type="dxa"/>
            <w:vAlign w:val="center"/>
          </w:tcPr>
          <w:p w14:paraId="68919A4C">
            <w:pPr>
              <w:pStyle w:val="46"/>
              <w:jc w:val="center"/>
              <w:rPr>
                <w:rFonts w:ascii="宋体" w:hAnsi="宋体"/>
                <w:b/>
                <w:color w:val="auto"/>
                <w:sz w:val="22"/>
                <w:highlight w:val="none"/>
              </w:rPr>
            </w:pPr>
            <w:r>
              <w:rPr>
                <w:rFonts w:hint="eastAsia" w:ascii="宋体" w:hAnsi="宋体"/>
                <w:b/>
                <w:color w:val="auto"/>
                <w:sz w:val="22"/>
                <w:highlight w:val="none"/>
              </w:rPr>
              <w:t>项目名称</w:t>
            </w:r>
          </w:p>
        </w:tc>
        <w:tc>
          <w:tcPr>
            <w:tcW w:w="1276" w:type="dxa"/>
            <w:vAlign w:val="center"/>
          </w:tcPr>
          <w:p w14:paraId="6BB9AE2A">
            <w:pPr>
              <w:pStyle w:val="46"/>
              <w:jc w:val="center"/>
              <w:rPr>
                <w:rFonts w:ascii="宋体" w:hAnsi="宋体"/>
                <w:b/>
                <w:color w:val="auto"/>
                <w:sz w:val="22"/>
                <w:highlight w:val="none"/>
              </w:rPr>
            </w:pPr>
            <w:r>
              <w:rPr>
                <w:rFonts w:hint="eastAsia" w:ascii="宋体" w:hAnsi="宋体"/>
                <w:b/>
                <w:color w:val="auto"/>
                <w:sz w:val="22"/>
                <w:highlight w:val="none"/>
              </w:rPr>
              <w:t>奖项名称</w:t>
            </w:r>
          </w:p>
        </w:tc>
        <w:tc>
          <w:tcPr>
            <w:tcW w:w="1842" w:type="dxa"/>
            <w:vAlign w:val="center"/>
          </w:tcPr>
          <w:p w14:paraId="645A0C3C">
            <w:pPr>
              <w:pStyle w:val="46"/>
              <w:jc w:val="center"/>
              <w:rPr>
                <w:rFonts w:ascii="宋体" w:hAnsi="宋体"/>
                <w:b/>
                <w:color w:val="auto"/>
                <w:sz w:val="22"/>
                <w:highlight w:val="none"/>
              </w:rPr>
            </w:pPr>
            <w:r>
              <w:rPr>
                <w:rFonts w:hint="eastAsia" w:ascii="宋体" w:hAnsi="宋体"/>
                <w:b/>
                <w:color w:val="auto"/>
                <w:sz w:val="22"/>
                <w:highlight w:val="none"/>
              </w:rPr>
              <w:t>奖项级别</w:t>
            </w:r>
          </w:p>
        </w:tc>
        <w:tc>
          <w:tcPr>
            <w:tcW w:w="1418" w:type="dxa"/>
            <w:vAlign w:val="center"/>
          </w:tcPr>
          <w:p w14:paraId="3D70C10A">
            <w:pPr>
              <w:pStyle w:val="46"/>
              <w:ind w:firstLine="108" w:firstLineChars="49"/>
              <w:jc w:val="center"/>
              <w:rPr>
                <w:rFonts w:ascii="宋体" w:hAnsi="宋体"/>
                <w:b/>
                <w:color w:val="auto"/>
                <w:sz w:val="22"/>
                <w:highlight w:val="none"/>
              </w:rPr>
            </w:pPr>
            <w:r>
              <w:rPr>
                <w:rFonts w:hint="eastAsia" w:ascii="宋体" w:hAnsi="宋体"/>
                <w:b/>
                <w:color w:val="auto"/>
                <w:sz w:val="22"/>
                <w:highlight w:val="none"/>
              </w:rPr>
              <w:t>获奖时间</w:t>
            </w:r>
          </w:p>
        </w:tc>
        <w:tc>
          <w:tcPr>
            <w:tcW w:w="1530" w:type="dxa"/>
            <w:vAlign w:val="center"/>
          </w:tcPr>
          <w:p w14:paraId="37CB8B70">
            <w:pPr>
              <w:pStyle w:val="46"/>
              <w:jc w:val="center"/>
              <w:rPr>
                <w:rFonts w:ascii="宋体" w:hAnsi="宋体"/>
                <w:b/>
                <w:color w:val="auto"/>
                <w:sz w:val="22"/>
                <w:highlight w:val="none"/>
              </w:rPr>
            </w:pPr>
            <w:r>
              <w:rPr>
                <w:rFonts w:hint="eastAsia" w:ascii="宋体" w:hAnsi="宋体"/>
                <w:b/>
                <w:color w:val="auto"/>
                <w:sz w:val="22"/>
                <w:highlight w:val="none"/>
              </w:rPr>
              <w:t>授奖机构</w:t>
            </w:r>
          </w:p>
        </w:tc>
      </w:tr>
      <w:tr w14:paraId="4FAEB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704" w:type="dxa"/>
            <w:vAlign w:val="center"/>
          </w:tcPr>
          <w:p w14:paraId="7D43F0ED">
            <w:pPr>
              <w:pStyle w:val="46"/>
              <w:jc w:val="center"/>
              <w:rPr>
                <w:rFonts w:ascii="宋体" w:hAnsi="宋体"/>
                <w:color w:val="auto"/>
                <w:sz w:val="22"/>
                <w:highlight w:val="none"/>
              </w:rPr>
            </w:pPr>
            <w:r>
              <w:rPr>
                <w:rFonts w:hint="eastAsia" w:ascii="宋体" w:hAnsi="宋体"/>
                <w:color w:val="auto"/>
                <w:sz w:val="22"/>
                <w:highlight w:val="none"/>
              </w:rPr>
              <w:t>1</w:t>
            </w:r>
          </w:p>
        </w:tc>
        <w:tc>
          <w:tcPr>
            <w:tcW w:w="2410" w:type="dxa"/>
            <w:vAlign w:val="center"/>
          </w:tcPr>
          <w:p w14:paraId="2E46B2B4">
            <w:pPr>
              <w:pStyle w:val="46"/>
              <w:jc w:val="center"/>
              <w:rPr>
                <w:rFonts w:ascii="宋体" w:hAnsi="宋体"/>
                <w:b/>
                <w:color w:val="auto"/>
                <w:sz w:val="24"/>
                <w:highlight w:val="none"/>
              </w:rPr>
            </w:pPr>
          </w:p>
        </w:tc>
        <w:tc>
          <w:tcPr>
            <w:tcW w:w="1276" w:type="dxa"/>
            <w:vAlign w:val="center"/>
          </w:tcPr>
          <w:p w14:paraId="117BAFAA">
            <w:pPr>
              <w:pStyle w:val="46"/>
              <w:jc w:val="center"/>
              <w:rPr>
                <w:rFonts w:ascii="宋体" w:hAnsi="宋体"/>
                <w:b/>
                <w:color w:val="auto"/>
                <w:sz w:val="24"/>
                <w:highlight w:val="none"/>
              </w:rPr>
            </w:pPr>
          </w:p>
        </w:tc>
        <w:tc>
          <w:tcPr>
            <w:tcW w:w="1842" w:type="dxa"/>
            <w:vAlign w:val="center"/>
          </w:tcPr>
          <w:p w14:paraId="76876B07">
            <w:pPr>
              <w:pStyle w:val="46"/>
              <w:jc w:val="center"/>
              <w:rPr>
                <w:rFonts w:ascii="宋体" w:hAnsi="宋体"/>
                <w:b/>
                <w:color w:val="auto"/>
                <w:sz w:val="24"/>
                <w:highlight w:val="none"/>
              </w:rPr>
            </w:pPr>
          </w:p>
        </w:tc>
        <w:tc>
          <w:tcPr>
            <w:tcW w:w="1418" w:type="dxa"/>
            <w:vAlign w:val="center"/>
          </w:tcPr>
          <w:p w14:paraId="1E04E2B4">
            <w:pPr>
              <w:pStyle w:val="46"/>
              <w:ind w:firstLine="118" w:firstLineChars="49"/>
              <w:jc w:val="center"/>
              <w:rPr>
                <w:rFonts w:ascii="宋体" w:hAnsi="宋体"/>
                <w:b/>
                <w:color w:val="auto"/>
                <w:sz w:val="24"/>
                <w:highlight w:val="none"/>
              </w:rPr>
            </w:pPr>
          </w:p>
        </w:tc>
        <w:tc>
          <w:tcPr>
            <w:tcW w:w="1530" w:type="dxa"/>
            <w:vAlign w:val="center"/>
          </w:tcPr>
          <w:p w14:paraId="07C8367C">
            <w:pPr>
              <w:pStyle w:val="46"/>
              <w:ind w:firstLine="482"/>
              <w:jc w:val="center"/>
              <w:rPr>
                <w:rFonts w:ascii="宋体" w:hAnsi="宋体"/>
                <w:b/>
                <w:color w:val="auto"/>
                <w:sz w:val="24"/>
                <w:highlight w:val="none"/>
              </w:rPr>
            </w:pPr>
          </w:p>
        </w:tc>
      </w:tr>
      <w:tr w14:paraId="11223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704" w:type="dxa"/>
            <w:vAlign w:val="center"/>
          </w:tcPr>
          <w:p w14:paraId="75A96998">
            <w:pPr>
              <w:pStyle w:val="46"/>
              <w:jc w:val="center"/>
              <w:rPr>
                <w:rFonts w:ascii="宋体" w:hAnsi="宋体"/>
                <w:color w:val="auto"/>
                <w:sz w:val="22"/>
                <w:highlight w:val="none"/>
              </w:rPr>
            </w:pPr>
            <w:r>
              <w:rPr>
                <w:rFonts w:hint="eastAsia" w:ascii="宋体" w:hAnsi="宋体"/>
                <w:color w:val="auto"/>
                <w:sz w:val="22"/>
                <w:highlight w:val="none"/>
              </w:rPr>
              <w:t>2</w:t>
            </w:r>
          </w:p>
        </w:tc>
        <w:tc>
          <w:tcPr>
            <w:tcW w:w="2410" w:type="dxa"/>
            <w:vAlign w:val="center"/>
          </w:tcPr>
          <w:p w14:paraId="3206D7D7">
            <w:pPr>
              <w:pStyle w:val="46"/>
              <w:jc w:val="center"/>
              <w:rPr>
                <w:rFonts w:ascii="宋体" w:hAnsi="宋体"/>
                <w:b/>
                <w:color w:val="auto"/>
                <w:sz w:val="24"/>
                <w:highlight w:val="none"/>
              </w:rPr>
            </w:pPr>
          </w:p>
        </w:tc>
        <w:tc>
          <w:tcPr>
            <w:tcW w:w="1276" w:type="dxa"/>
            <w:vAlign w:val="center"/>
          </w:tcPr>
          <w:p w14:paraId="18F9B343">
            <w:pPr>
              <w:pStyle w:val="46"/>
              <w:jc w:val="center"/>
              <w:rPr>
                <w:rFonts w:ascii="宋体" w:hAnsi="宋体"/>
                <w:b/>
                <w:color w:val="auto"/>
                <w:sz w:val="24"/>
                <w:highlight w:val="none"/>
              </w:rPr>
            </w:pPr>
          </w:p>
        </w:tc>
        <w:tc>
          <w:tcPr>
            <w:tcW w:w="1842" w:type="dxa"/>
            <w:vAlign w:val="center"/>
          </w:tcPr>
          <w:p w14:paraId="7E5B0011">
            <w:pPr>
              <w:pStyle w:val="46"/>
              <w:jc w:val="center"/>
              <w:rPr>
                <w:rFonts w:ascii="宋体" w:hAnsi="宋体"/>
                <w:b/>
                <w:color w:val="auto"/>
                <w:sz w:val="24"/>
                <w:highlight w:val="none"/>
              </w:rPr>
            </w:pPr>
          </w:p>
        </w:tc>
        <w:tc>
          <w:tcPr>
            <w:tcW w:w="1418" w:type="dxa"/>
            <w:vAlign w:val="center"/>
          </w:tcPr>
          <w:p w14:paraId="1D63C2F0">
            <w:pPr>
              <w:pStyle w:val="46"/>
              <w:ind w:firstLine="118" w:firstLineChars="49"/>
              <w:jc w:val="center"/>
              <w:rPr>
                <w:rFonts w:ascii="宋体" w:hAnsi="宋体"/>
                <w:b/>
                <w:color w:val="auto"/>
                <w:sz w:val="24"/>
                <w:highlight w:val="none"/>
              </w:rPr>
            </w:pPr>
          </w:p>
        </w:tc>
        <w:tc>
          <w:tcPr>
            <w:tcW w:w="1530" w:type="dxa"/>
            <w:vAlign w:val="center"/>
          </w:tcPr>
          <w:p w14:paraId="787603E9">
            <w:pPr>
              <w:pStyle w:val="46"/>
              <w:ind w:firstLine="482"/>
              <w:jc w:val="center"/>
              <w:rPr>
                <w:rFonts w:ascii="宋体" w:hAnsi="宋体"/>
                <w:b/>
                <w:color w:val="auto"/>
                <w:sz w:val="24"/>
                <w:highlight w:val="none"/>
              </w:rPr>
            </w:pPr>
          </w:p>
        </w:tc>
      </w:tr>
      <w:tr w14:paraId="792D5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704" w:type="dxa"/>
            <w:vAlign w:val="center"/>
          </w:tcPr>
          <w:p w14:paraId="27BB91E8">
            <w:pPr>
              <w:pStyle w:val="46"/>
              <w:jc w:val="center"/>
              <w:rPr>
                <w:rFonts w:ascii="宋体" w:hAnsi="宋体"/>
                <w:color w:val="auto"/>
                <w:sz w:val="22"/>
                <w:highlight w:val="none"/>
              </w:rPr>
            </w:pPr>
            <w:r>
              <w:rPr>
                <w:rFonts w:hint="eastAsia" w:ascii="宋体" w:hAnsi="宋体"/>
                <w:color w:val="auto"/>
                <w:sz w:val="22"/>
                <w:highlight w:val="none"/>
              </w:rPr>
              <w:t>3</w:t>
            </w:r>
          </w:p>
        </w:tc>
        <w:tc>
          <w:tcPr>
            <w:tcW w:w="2410" w:type="dxa"/>
            <w:vAlign w:val="center"/>
          </w:tcPr>
          <w:p w14:paraId="2D55A614">
            <w:pPr>
              <w:pStyle w:val="46"/>
              <w:jc w:val="center"/>
              <w:rPr>
                <w:rFonts w:ascii="宋体" w:hAnsi="宋体"/>
                <w:b/>
                <w:color w:val="auto"/>
                <w:sz w:val="24"/>
                <w:highlight w:val="none"/>
              </w:rPr>
            </w:pPr>
          </w:p>
        </w:tc>
        <w:tc>
          <w:tcPr>
            <w:tcW w:w="1276" w:type="dxa"/>
            <w:vAlign w:val="center"/>
          </w:tcPr>
          <w:p w14:paraId="7D1041CA">
            <w:pPr>
              <w:pStyle w:val="46"/>
              <w:jc w:val="center"/>
              <w:rPr>
                <w:rFonts w:ascii="宋体" w:hAnsi="宋体"/>
                <w:b/>
                <w:color w:val="auto"/>
                <w:sz w:val="24"/>
                <w:highlight w:val="none"/>
              </w:rPr>
            </w:pPr>
          </w:p>
        </w:tc>
        <w:tc>
          <w:tcPr>
            <w:tcW w:w="1842" w:type="dxa"/>
            <w:vAlign w:val="center"/>
          </w:tcPr>
          <w:p w14:paraId="0F95A1F4">
            <w:pPr>
              <w:pStyle w:val="46"/>
              <w:jc w:val="center"/>
              <w:rPr>
                <w:rFonts w:ascii="宋体" w:hAnsi="宋体"/>
                <w:b/>
                <w:color w:val="auto"/>
                <w:sz w:val="24"/>
                <w:highlight w:val="none"/>
              </w:rPr>
            </w:pPr>
          </w:p>
        </w:tc>
        <w:tc>
          <w:tcPr>
            <w:tcW w:w="1418" w:type="dxa"/>
            <w:vAlign w:val="center"/>
          </w:tcPr>
          <w:p w14:paraId="65E7221A">
            <w:pPr>
              <w:pStyle w:val="46"/>
              <w:ind w:firstLine="118" w:firstLineChars="49"/>
              <w:jc w:val="center"/>
              <w:rPr>
                <w:rFonts w:ascii="宋体" w:hAnsi="宋体"/>
                <w:b/>
                <w:color w:val="auto"/>
                <w:sz w:val="24"/>
                <w:highlight w:val="none"/>
              </w:rPr>
            </w:pPr>
          </w:p>
        </w:tc>
        <w:tc>
          <w:tcPr>
            <w:tcW w:w="1530" w:type="dxa"/>
            <w:vAlign w:val="center"/>
          </w:tcPr>
          <w:p w14:paraId="1AE328B6">
            <w:pPr>
              <w:pStyle w:val="46"/>
              <w:ind w:firstLine="482"/>
              <w:jc w:val="center"/>
              <w:rPr>
                <w:rFonts w:ascii="宋体" w:hAnsi="宋体"/>
                <w:b/>
                <w:color w:val="auto"/>
                <w:sz w:val="24"/>
                <w:highlight w:val="none"/>
              </w:rPr>
            </w:pPr>
          </w:p>
        </w:tc>
      </w:tr>
      <w:tr w14:paraId="0D657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704" w:type="dxa"/>
            <w:vAlign w:val="center"/>
          </w:tcPr>
          <w:p w14:paraId="4502C5F1">
            <w:pPr>
              <w:pStyle w:val="46"/>
              <w:jc w:val="center"/>
              <w:rPr>
                <w:rFonts w:ascii="宋体" w:hAnsi="宋体"/>
                <w:color w:val="auto"/>
                <w:sz w:val="22"/>
                <w:highlight w:val="none"/>
              </w:rPr>
            </w:pPr>
            <w:r>
              <w:rPr>
                <w:rFonts w:hint="eastAsia" w:ascii="宋体" w:hAnsi="宋体"/>
                <w:color w:val="auto"/>
                <w:sz w:val="22"/>
                <w:highlight w:val="none"/>
              </w:rPr>
              <w:t>4</w:t>
            </w:r>
          </w:p>
        </w:tc>
        <w:tc>
          <w:tcPr>
            <w:tcW w:w="2410" w:type="dxa"/>
            <w:vAlign w:val="center"/>
          </w:tcPr>
          <w:p w14:paraId="3671D8E9">
            <w:pPr>
              <w:pStyle w:val="46"/>
              <w:jc w:val="center"/>
              <w:rPr>
                <w:rFonts w:ascii="宋体" w:hAnsi="宋体"/>
                <w:b/>
                <w:color w:val="auto"/>
                <w:sz w:val="24"/>
                <w:highlight w:val="none"/>
              </w:rPr>
            </w:pPr>
          </w:p>
        </w:tc>
        <w:tc>
          <w:tcPr>
            <w:tcW w:w="1276" w:type="dxa"/>
            <w:vAlign w:val="center"/>
          </w:tcPr>
          <w:p w14:paraId="74E90C1F">
            <w:pPr>
              <w:pStyle w:val="46"/>
              <w:jc w:val="center"/>
              <w:rPr>
                <w:rFonts w:ascii="宋体" w:hAnsi="宋体"/>
                <w:b/>
                <w:color w:val="auto"/>
                <w:sz w:val="24"/>
                <w:highlight w:val="none"/>
              </w:rPr>
            </w:pPr>
          </w:p>
        </w:tc>
        <w:tc>
          <w:tcPr>
            <w:tcW w:w="1842" w:type="dxa"/>
            <w:vAlign w:val="center"/>
          </w:tcPr>
          <w:p w14:paraId="7CA2629E">
            <w:pPr>
              <w:pStyle w:val="46"/>
              <w:jc w:val="center"/>
              <w:rPr>
                <w:rFonts w:ascii="宋体" w:hAnsi="宋体"/>
                <w:b/>
                <w:color w:val="auto"/>
                <w:sz w:val="24"/>
                <w:highlight w:val="none"/>
              </w:rPr>
            </w:pPr>
          </w:p>
        </w:tc>
        <w:tc>
          <w:tcPr>
            <w:tcW w:w="1418" w:type="dxa"/>
            <w:vAlign w:val="center"/>
          </w:tcPr>
          <w:p w14:paraId="511D0E05">
            <w:pPr>
              <w:pStyle w:val="46"/>
              <w:ind w:firstLine="118" w:firstLineChars="49"/>
              <w:jc w:val="center"/>
              <w:rPr>
                <w:rFonts w:ascii="宋体" w:hAnsi="宋体"/>
                <w:b/>
                <w:color w:val="auto"/>
                <w:sz w:val="24"/>
                <w:highlight w:val="none"/>
              </w:rPr>
            </w:pPr>
          </w:p>
        </w:tc>
        <w:tc>
          <w:tcPr>
            <w:tcW w:w="1530" w:type="dxa"/>
            <w:vAlign w:val="center"/>
          </w:tcPr>
          <w:p w14:paraId="44E4F91E">
            <w:pPr>
              <w:pStyle w:val="46"/>
              <w:ind w:firstLine="482"/>
              <w:jc w:val="center"/>
              <w:rPr>
                <w:rFonts w:ascii="宋体" w:hAnsi="宋体"/>
                <w:b/>
                <w:color w:val="auto"/>
                <w:sz w:val="24"/>
                <w:highlight w:val="none"/>
              </w:rPr>
            </w:pPr>
          </w:p>
        </w:tc>
      </w:tr>
      <w:tr w14:paraId="085F8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704" w:type="dxa"/>
            <w:vAlign w:val="center"/>
          </w:tcPr>
          <w:p w14:paraId="0B886B05">
            <w:pPr>
              <w:pStyle w:val="46"/>
              <w:jc w:val="center"/>
              <w:rPr>
                <w:rFonts w:ascii="宋体" w:hAnsi="宋体"/>
                <w:color w:val="auto"/>
                <w:sz w:val="22"/>
                <w:highlight w:val="none"/>
              </w:rPr>
            </w:pPr>
            <w:r>
              <w:rPr>
                <w:rFonts w:hint="eastAsia" w:ascii="宋体" w:hAnsi="宋体"/>
                <w:color w:val="auto"/>
                <w:sz w:val="22"/>
                <w:highlight w:val="none"/>
              </w:rPr>
              <w:t>5</w:t>
            </w:r>
          </w:p>
        </w:tc>
        <w:tc>
          <w:tcPr>
            <w:tcW w:w="2410" w:type="dxa"/>
            <w:vAlign w:val="center"/>
          </w:tcPr>
          <w:p w14:paraId="1F8330CA">
            <w:pPr>
              <w:pStyle w:val="46"/>
              <w:jc w:val="center"/>
              <w:rPr>
                <w:rFonts w:ascii="宋体" w:hAnsi="宋体"/>
                <w:b/>
                <w:color w:val="auto"/>
                <w:sz w:val="24"/>
                <w:highlight w:val="none"/>
              </w:rPr>
            </w:pPr>
          </w:p>
        </w:tc>
        <w:tc>
          <w:tcPr>
            <w:tcW w:w="1276" w:type="dxa"/>
            <w:vAlign w:val="center"/>
          </w:tcPr>
          <w:p w14:paraId="1C7077F2">
            <w:pPr>
              <w:pStyle w:val="46"/>
              <w:jc w:val="center"/>
              <w:rPr>
                <w:rFonts w:ascii="宋体" w:hAnsi="宋体"/>
                <w:b/>
                <w:color w:val="auto"/>
                <w:sz w:val="24"/>
                <w:highlight w:val="none"/>
              </w:rPr>
            </w:pPr>
          </w:p>
        </w:tc>
        <w:tc>
          <w:tcPr>
            <w:tcW w:w="1842" w:type="dxa"/>
            <w:vAlign w:val="center"/>
          </w:tcPr>
          <w:p w14:paraId="16C4C1D5">
            <w:pPr>
              <w:pStyle w:val="46"/>
              <w:jc w:val="center"/>
              <w:rPr>
                <w:rFonts w:ascii="宋体" w:hAnsi="宋体"/>
                <w:b/>
                <w:color w:val="auto"/>
                <w:sz w:val="24"/>
                <w:highlight w:val="none"/>
              </w:rPr>
            </w:pPr>
          </w:p>
        </w:tc>
        <w:tc>
          <w:tcPr>
            <w:tcW w:w="1418" w:type="dxa"/>
            <w:vAlign w:val="center"/>
          </w:tcPr>
          <w:p w14:paraId="25A5A2D1">
            <w:pPr>
              <w:pStyle w:val="46"/>
              <w:ind w:firstLine="118" w:firstLineChars="49"/>
              <w:jc w:val="center"/>
              <w:rPr>
                <w:rFonts w:ascii="宋体" w:hAnsi="宋体"/>
                <w:b/>
                <w:color w:val="auto"/>
                <w:sz w:val="24"/>
                <w:highlight w:val="none"/>
              </w:rPr>
            </w:pPr>
          </w:p>
        </w:tc>
        <w:tc>
          <w:tcPr>
            <w:tcW w:w="1530" w:type="dxa"/>
            <w:vAlign w:val="center"/>
          </w:tcPr>
          <w:p w14:paraId="06F666D0">
            <w:pPr>
              <w:pStyle w:val="46"/>
              <w:ind w:firstLine="482"/>
              <w:jc w:val="center"/>
              <w:rPr>
                <w:rFonts w:ascii="宋体" w:hAnsi="宋体"/>
                <w:b/>
                <w:color w:val="auto"/>
                <w:sz w:val="24"/>
                <w:highlight w:val="none"/>
              </w:rPr>
            </w:pPr>
          </w:p>
        </w:tc>
      </w:tr>
      <w:tr w14:paraId="6B262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704" w:type="dxa"/>
            <w:vAlign w:val="center"/>
          </w:tcPr>
          <w:p w14:paraId="54A8F5F1">
            <w:pPr>
              <w:pStyle w:val="46"/>
              <w:jc w:val="center"/>
              <w:rPr>
                <w:rFonts w:ascii="宋体" w:hAnsi="宋体"/>
                <w:color w:val="auto"/>
                <w:sz w:val="22"/>
                <w:highlight w:val="none"/>
              </w:rPr>
            </w:pPr>
            <w:r>
              <w:rPr>
                <w:rFonts w:hint="eastAsia" w:ascii="宋体" w:hAnsi="宋体"/>
                <w:color w:val="auto"/>
                <w:sz w:val="22"/>
                <w:highlight w:val="none"/>
              </w:rPr>
              <w:t>6</w:t>
            </w:r>
          </w:p>
        </w:tc>
        <w:tc>
          <w:tcPr>
            <w:tcW w:w="2410" w:type="dxa"/>
            <w:vAlign w:val="center"/>
          </w:tcPr>
          <w:p w14:paraId="3CBCB89E">
            <w:pPr>
              <w:pStyle w:val="46"/>
              <w:jc w:val="center"/>
              <w:rPr>
                <w:rFonts w:ascii="宋体" w:hAnsi="宋体"/>
                <w:b/>
                <w:color w:val="auto"/>
                <w:sz w:val="24"/>
                <w:highlight w:val="none"/>
              </w:rPr>
            </w:pPr>
          </w:p>
        </w:tc>
        <w:tc>
          <w:tcPr>
            <w:tcW w:w="1276" w:type="dxa"/>
            <w:vAlign w:val="center"/>
          </w:tcPr>
          <w:p w14:paraId="6453CA8C">
            <w:pPr>
              <w:pStyle w:val="46"/>
              <w:jc w:val="center"/>
              <w:rPr>
                <w:rFonts w:ascii="宋体" w:hAnsi="宋体"/>
                <w:b/>
                <w:color w:val="auto"/>
                <w:sz w:val="24"/>
                <w:highlight w:val="none"/>
              </w:rPr>
            </w:pPr>
          </w:p>
        </w:tc>
        <w:tc>
          <w:tcPr>
            <w:tcW w:w="1842" w:type="dxa"/>
            <w:vAlign w:val="center"/>
          </w:tcPr>
          <w:p w14:paraId="78F33DA8">
            <w:pPr>
              <w:pStyle w:val="46"/>
              <w:jc w:val="center"/>
              <w:rPr>
                <w:rFonts w:ascii="宋体" w:hAnsi="宋体"/>
                <w:b/>
                <w:color w:val="auto"/>
                <w:sz w:val="24"/>
                <w:highlight w:val="none"/>
              </w:rPr>
            </w:pPr>
          </w:p>
        </w:tc>
        <w:tc>
          <w:tcPr>
            <w:tcW w:w="1418" w:type="dxa"/>
            <w:vAlign w:val="center"/>
          </w:tcPr>
          <w:p w14:paraId="553EA80F">
            <w:pPr>
              <w:pStyle w:val="46"/>
              <w:ind w:firstLine="118" w:firstLineChars="49"/>
              <w:jc w:val="center"/>
              <w:rPr>
                <w:rFonts w:ascii="宋体" w:hAnsi="宋体"/>
                <w:b/>
                <w:color w:val="auto"/>
                <w:sz w:val="24"/>
                <w:highlight w:val="none"/>
              </w:rPr>
            </w:pPr>
          </w:p>
        </w:tc>
        <w:tc>
          <w:tcPr>
            <w:tcW w:w="1530" w:type="dxa"/>
            <w:vAlign w:val="center"/>
          </w:tcPr>
          <w:p w14:paraId="59F82E61">
            <w:pPr>
              <w:pStyle w:val="46"/>
              <w:ind w:firstLine="482"/>
              <w:jc w:val="center"/>
              <w:rPr>
                <w:rFonts w:ascii="宋体" w:hAnsi="宋体"/>
                <w:b/>
                <w:color w:val="auto"/>
                <w:sz w:val="24"/>
                <w:highlight w:val="none"/>
              </w:rPr>
            </w:pPr>
          </w:p>
        </w:tc>
      </w:tr>
      <w:tr w14:paraId="02D6A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704" w:type="dxa"/>
            <w:vAlign w:val="center"/>
          </w:tcPr>
          <w:p w14:paraId="01C70050">
            <w:pPr>
              <w:pStyle w:val="46"/>
              <w:jc w:val="center"/>
              <w:rPr>
                <w:rFonts w:ascii="宋体" w:hAnsi="宋体"/>
                <w:color w:val="auto"/>
                <w:sz w:val="22"/>
                <w:highlight w:val="none"/>
              </w:rPr>
            </w:pPr>
            <w:r>
              <w:rPr>
                <w:rFonts w:hint="eastAsia" w:ascii="宋体" w:hAnsi="宋体"/>
                <w:color w:val="auto"/>
                <w:sz w:val="22"/>
                <w:highlight w:val="none"/>
              </w:rPr>
              <w:t>7</w:t>
            </w:r>
          </w:p>
        </w:tc>
        <w:tc>
          <w:tcPr>
            <w:tcW w:w="2410" w:type="dxa"/>
            <w:vAlign w:val="center"/>
          </w:tcPr>
          <w:p w14:paraId="32073E27">
            <w:pPr>
              <w:pStyle w:val="46"/>
              <w:jc w:val="center"/>
              <w:rPr>
                <w:rFonts w:ascii="宋体" w:hAnsi="宋体"/>
                <w:b/>
                <w:color w:val="auto"/>
                <w:sz w:val="24"/>
                <w:highlight w:val="none"/>
              </w:rPr>
            </w:pPr>
          </w:p>
        </w:tc>
        <w:tc>
          <w:tcPr>
            <w:tcW w:w="1276" w:type="dxa"/>
            <w:vAlign w:val="center"/>
          </w:tcPr>
          <w:p w14:paraId="65F1B1A5">
            <w:pPr>
              <w:pStyle w:val="46"/>
              <w:jc w:val="center"/>
              <w:rPr>
                <w:rFonts w:ascii="宋体" w:hAnsi="宋体"/>
                <w:b/>
                <w:color w:val="auto"/>
                <w:sz w:val="24"/>
                <w:highlight w:val="none"/>
              </w:rPr>
            </w:pPr>
          </w:p>
        </w:tc>
        <w:tc>
          <w:tcPr>
            <w:tcW w:w="1842" w:type="dxa"/>
            <w:vAlign w:val="center"/>
          </w:tcPr>
          <w:p w14:paraId="2AEE452F">
            <w:pPr>
              <w:pStyle w:val="46"/>
              <w:jc w:val="center"/>
              <w:rPr>
                <w:rFonts w:ascii="宋体" w:hAnsi="宋体"/>
                <w:b/>
                <w:color w:val="auto"/>
                <w:sz w:val="24"/>
                <w:highlight w:val="none"/>
              </w:rPr>
            </w:pPr>
          </w:p>
        </w:tc>
        <w:tc>
          <w:tcPr>
            <w:tcW w:w="1418" w:type="dxa"/>
            <w:vAlign w:val="center"/>
          </w:tcPr>
          <w:p w14:paraId="58F4B3B7">
            <w:pPr>
              <w:pStyle w:val="46"/>
              <w:ind w:firstLine="118" w:firstLineChars="49"/>
              <w:jc w:val="center"/>
              <w:rPr>
                <w:rFonts w:ascii="宋体" w:hAnsi="宋体"/>
                <w:b/>
                <w:color w:val="auto"/>
                <w:sz w:val="24"/>
                <w:highlight w:val="none"/>
              </w:rPr>
            </w:pPr>
          </w:p>
        </w:tc>
        <w:tc>
          <w:tcPr>
            <w:tcW w:w="1530" w:type="dxa"/>
            <w:vAlign w:val="center"/>
          </w:tcPr>
          <w:p w14:paraId="6DA267F4">
            <w:pPr>
              <w:pStyle w:val="46"/>
              <w:ind w:firstLine="482"/>
              <w:jc w:val="center"/>
              <w:rPr>
                <w:rFonts w:ascii="宋体" w:hAnsi="宋体"/>
                <w:b/>
                <w:color w:val="auto"/>
                <w:sz w:val="24"/>
                <w:highlight w:val="none"/>
              </w:rPr>
            </w:pPr>
          </w:p>
        </w:tc>
      </w:tr>
      <w:tr w14:paraId="26E07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704" w:type="dxa"/>
            <w:vAlign w:val="center"/>
          </w:tcPr>
          <w:p w14:paraId="7D75C289">
            <w:pPr>
              <w:pStyle w:val="46"/>
              <w:jc w:val="center"/>
              <w:rPr>
                <w:rFonts w:ascii="宋体" w:hAnsi="宋体"/>
                <w:color w:val="auto"/>
                <w:sz w:val="22"/>
                <w:highlight w:val="none"/>
              </w:rPr>
            </w:pPr>
            <w:r>
              <w:rPr>
                <w:rFonts w:hint="eastAsia" w:ascii="宋体" w:hAnsi="宋体"/>
                <w:color w:val="auto"/>
                <w:sz w:val="22"/>
                <w:highlight w:val="none"/>
              </w:rPr>
              <w:t>8</w:t>
            </w:r>
          </w:p>
        </w:tc>
        <w:tc>
          <w:tcPr>
            <w:tcW w:w="2410" w:type="dxa"/>
            <w:vAlign w:val="center"/>
          </w:tcPr>
          <w:p w14:paraId="14BABB5C">
            <w:pPr>
              <w:pStyle w:val="46"/>
              <w:jc w:val="center"/>
              <w:rPr>
                <w:rFonts w:ascii="宋体" w:hAnsi="宋体"/>
                <w:b/>
                <w:color w:val="auto"/>
                <w:sz w:val="24"/>
                <w:highlight w:val="none"/>
              </w:rPr>
            </w:pPr>
          </w:p>
        </w:tc>
        <w:tc>
          <w:tcPr>
            <w:tcW w:w="1276" w:type="dxa"/>
            <w:vAlign w:val="center"/>
          </w:tcPr>
          <w:p w14:paraId="3850D12D">
            <w:pPr>
              <w:pStyle w:val="46"/>
              <w:jc w:val="center"/>
              <w:rPr>
                <w:rFonts w:ascii="宋体" w:hAnsi="宋体"/>
                <w:b/>
                <w:color w:val="auto"/>
                <w:sz w:val="24"/>
                <w:highlight w:val="none"/>
              </w:rPr>
            </w:pPr>
          </w:p>
        </w:tc>
        <w:tc>
          <w:tcPr>
            <w:tcW w:w="1842" w:type="dxa"/>
            <w:vAlign w:val="center"/>
          </w:tcPr>
          <w:p w14:paraId="221C626D">
            <w:pPr>
              <w:pStyle w:val="46"/>
              <w:jc w:val="center"/>
              <w:rPr>
                <w:rFonts w:ascii="宋体" w:hAnsi="宋体"/>
                <w:b/>
                <w:color w:val="auto"/>
                <w:sz w:val="24"/>
                <w:highlight w:val="none"/>
              </w:rPr>
            </w:pPr>
          </w:p>
        </w:tc>
        <w:tc>
          <w:tcPr>
            <w:tcW w:w="1418" w:type="dxa"/>
            <w:vAlign w:val="center"/>
          </w:tcPr>
          <w:p w14:paraId="02815270">
            <w:pPr>
              <w:pStyle w:val="46"/>
              <w:ind w:firstLine="118" w:firstLineChars="49"/>
              <w:jc w:val="center"/>
              <w:rPr>
                <w:rFonts w:ascii="宋体" w:hAnsi="宋体"/>
                <w:b/>
                <w:color w:val="auto"/>
                <w:sz w:val="24"/>
                <w:highlight w:val="none"/>
              </w:rPr>
            </w:pPr>
          </w:p>
        </w:tc>
        <w:tc>
          <w:tcPr>
            <w:tcW w:w="1530" w:type="dxa"/>
            <w:vAlign w:val="center"/>
          </w:tcPr>
          <w:p w14:paraId="1328F5B4">
            <w:pPr>
              <w:pStyle w:val="46"/>
              <w:ind w:firstLine="482"/>
              <w:jc w:val="center"/>
              <w:rPr>
                <w:rFonts w:ascii="宋体" w:hAnsi="宋体"/>
                <w:b/>
                <w:color w:val="auto"/>
                <w:sz w:val="24"/>
                <w:highlight w:val="none"/>
              </w:rPr>
            </w:pPr>
          </w:p>
        </w:tc>
      </w:tr>
      <w:tr w14:paraId="67E54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704" w:type="dxa"/>
            <w:vAlign w:val="center"/>
          </w:tcPr>
          <w:p w14:paraId="75441927">
            <w:pPr>
              <w:pStyle w:val="46"/>
              <w:jc w:val="center"/>
              <w:rPr>
                <w:rFonts w:ascii="宋体" w:hAnsi="宋体"/>
                <w:color w:val="auto"/>
                <w:sz w:val="22"/>
                <w:highlight w:val="none"/>
              </w:rPr>
            </w:pPr>
            <w:r>
              <w:rPr>
                <w:rFonts w:hint="eastAsia" w:ascii="宋体" w:hAnsi="宋体"/>
                <w:color w:val="auto"/>
                <w:sz w:val="22"/>
                <w:highlight w:val="none"/>
              </w:rPr>
              <w:t>9</w:t>
            </w:r>
          </w:p>
        </w:tc>
        <w:tc>
          <w:tcPr>
            <w:tcW w:w="2410" w:type="dxa"/>
            <w:vAlign w:val="center"/>
          </w:tcPr>
          <w:p w14:paraId="52FBD3D2">
            <w:pPr>
              <w:pStyle w:val="46"/>
              <w:jc w:val="center"/>
              <w:rPr>
                <w:rFonts w:ascii="宋体" w:hAnsi="宋体"/>
                <w:b/>
                <w:color w:val="auto"/>
                <w:sz w:val="24"/>
                <w:highlight w:val="none"/>
              </w:rPr>
            </w:pPr>
          </w:p>
        </w:tc>
        <w:tc>
          <w:tcPr>
            <w:tcW w:w="1276" w:type="dxa"/>
            <w:vAlign w:val="center"/>
          </w:tcPr>
          <w:p w14:paraId="4228F33C">
            <w:pPr>
              <w:pStyle w:val="46"/>
              <w:jc w:val="center"/>
              <w:rPr>
                <w:rFonts w:ascii="宋体" w:hAnsi="宋体"/>
                <w:b/>
                <w:color w:val="auto"/>
                <w:sz w:val="24"/>
                <w:highlight w:val="none"/>
              </w:rPr>
            </w:pPr>
          </w:p>
        </w:tc>
        <w:tc>
          <w:tcPr>
            <w:tcW w:w="1842" w:type="dxa"/>
            <w:vAlign w:val="center"/>
          </w:tcPr>
          <w:p w14:paraId="77190672">
            <w:pPr>
              <w:pStyle w:val="46"/>
              <w:jc w:val="center"/>
              <w:rPr>
                <w:rFonts w:ascii="宋体" w:hAnsi="宋体"/>
                <w:b/>
                <w:color w:val="auto"/>
                <w:sz w:val="24"/>
                <w:highlight w:val="none"/>
              </w:rPr>
            </w:pPr>
          </w:p>
        </w:tc>
        <w:tc>
          <w:tcPr>
            <w:tcW w:w="1418" w:type="dxa"/>
            <w:vAlign w:val="center"/>
          </w:tcPr>
          <w:p w14:paraId="08FE08BB">
            <w:pPr>
              <w:pStyle w:val="46"/>
              <w:ind w:firstLine="118" w:firstLineChars="49"/>
              <w:jc w:val="center"/>
              <w:rPr>
                <w:rFonts w:ascii="宋体" w:hAnsi="宋体"/>
                <w:b/>
                <w:color w:val="auto"/>
                <w:sz w:val="24"/>
                <w:highlight w:val="none"/>
              </w:rPr>
            </w:pPr>
          </w:p>
        </w:tc>
        <w:tc>
          <w:tcPr>
            <w:tcW w:w="1530" w:type="dxa"/>
            <w:vAlign w:val="center"/>
          </w:tcPr>
          <w:p w14:paraId="1C9A178C">
            <w:pPr>
              <w:pStyle w:val="46"/>
              <w:ind w:firstLine="482"/>
              <w:jc w:val="center"/>
              <w:rPr>
                <w:rFonts w:ascii="宋体" w:hAnsi="宋体"/>
                <w:b/>
                <w:color w:val="auto"/>
                <w:sz w:val="24"/>
                <w:highlight w:val="none"/>
              </w:rPr>
            </w:pPr>
          </w:p>
        </w:tc>
      </w:tr>
      <w:tr w14:paraId="24DD0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704" w:type="dxa"/>
            <w:vAlign w:val="center"/>
          </w:tcPr>
          <w:p w14:paraId="57C7B451">
            <w:pPr>
              <w:pStyle w:val="46"/>
              <w:jc w:val="center"/>
              <w:rPr>
                <w:rFonts w:ascii="宋体" w:hAnsi="宋体"/>
                <w:color w:val="auto"/>
                <w:sz w:val="22"/>
                <w:highlight w:val="none"/>
              </w:rPr>
            </w:pPr>
            <w:r>
              <w:rPr>
                <w:rFonts w:hint="eastAsia" w:ascii="宋体" w:hAnsi="宋体"/>
                <w:color w:val="auto"/>
                <w:sz w:val="22"/>
                <w:highlight w:val="none"/>
              </w:rPr>
              <w:t>1</w:t>
            </w:r>
            <w:r>
              <w:rPr>
                <w:rFonts w:ascii="宋体" w:hAnsi="宋体"/>
                <w:color w:val="auto"/>
                <w:sz w:val="22"/>
                <w:highlight w:val="none"/>
              </w:rPr>
              <w:t>0</w:t>
            </w:r>
          </w:p>
        </w:tc>
        <w:tc>
          <w:tcPr>
            <w:tcW w:w="2410" w:type="dxa"/>
            <w:vAlign w:val="center"/>
          </w:tcPr>
          <w:p w14:paraId="0E7BECE6">
            <w:pPr>
              <w:pStyle w:val="46"/>
              <w:jc w:val="center"/>
              <w:rPr>
                <w:rFonts w:ascii="宋体" w:hAnsi="宋体"/>
                <w:b/>
                <w:color w:val="auto"/>
                <w:sz w:val="24"/>
                <w:highlight w:val="none"/>
              </w:rPr>
            </w:pPr>
          </w:p>
        </w:tc>
        <w:tc>
          <w:tcPr>
            <w:tcW w:w="1276" w:type="dxa"/>
            <w:vAlign w:val="center"/>
          </w:tcPr>
          <w:p w14:paraId="577055F0">
            <w:pPr>
              <w:pStyle w:val="46"/>
              <w:jc w:val="center"/>
              <w:rPr>
                <w:rFonts w:ascii="宋体" w:hAnsi="宋体"/>
                <w:b/>
                <w:color w:val="auto"/>
                <w:sz w:val="24"/>
                <w:highlight w:val="none"/>
              </w:rPr>
            </w:pPr>
          </w:p>
        </w:tc>
        <w:tc>
          <w:tcPr>
            <w:tcW w:w="1842" w:type="dxa"/>
            <w:vAlign w:val="center"/>
          </w:tcPr>
          <w:p w14:paraId="2A617615">
            <w:pPr>
              <w:pStyle w:val="46"/>
              <w:jc w:val="center"/>
              <w:rPr>
                <w:rFonts w:ascii="宋体" w:hAnsi="宋体"/>
                <w:b/>
                <w:color w:val="auto"/>
                <w:sz w:val="24"/>
                <w:highlight w:val="none"/>
              </w:rPr>
            </w:pPr>
          </w:p>
        </w:tc>
        <w:tc>
          <w:tcPr>
            <w:tcW w:w="1418" w:type="dxa"/>
            <w:vAlign w:val="center"/>
          </w:tcPr>
          <w:p w14:paraId="3C46FA28">
            <w:pPr>
              <w:pStyle w:val="46"/>
              <w:ind w:firstLine="118" w:firstLineChars="49"/>
              <w:jc w:val="center"/>
              <w:rPr>
                <w:rFonts w:ascii="宋体" w:hAnsi="宋体"/>
                <w:b/>
                <w:color w:val="auto"/>
                <w:sz w:val="24"/>
                <w:highlight w:val="none"/>
              </w:rPr>
            </w:pPr>
          </w:p>
        </w:tc>
        <w:tc>
          <w:tcPr>
            <w:tcW w:w="1530" w:type="dxa"/>
            <w:vAlign w:val="center"/>
          </w:tcPr>
          <w:p w14:paraId="2A8DB2A0">
            <w:pPr>
              <w:pStyle w:val="46"/>
              <w:ind w:firstLine="482"/>
              <w:jc w:val="center"/>
              <w:rPr>
                <w:rFonts w:ascii="宋体" w:hAnsi="宋体"/>
                <w:b/>
                <w:color w:val="auto"/>
                <w:sz w:val="24"/>
                <w:highlight w:val="none"/>
              </w:rPr>
            </w:pPr>
          </w:p>
        </w:tc>
      </w:tr>
    </w:tbl>
    <w:p w14:paraId="6D76DB88">
      <w:pPr>
        <w:pStyle w:val="7"/>
        <w:spacing w:before="240"/>
        <w:rPr>
          <w:b/>
          <w:bCs/>
          <w:color w:val="auto"/>
          <w:highlight w:val="none"/>
          <w:lang w:eastAsia="zh-CN"/>
        </w:rPr>
      </w:pPr>
      <w:r>
        <w:rPr>
          <w:rFonts w:hint="eastAsia"/>
          <w:b/>
          <w:bCs/>
          <w:color w:val="auto"/>
          <w:highlight w:val="none"/>
          <w:lang w:eastAsia="zh-CN"/>
        </w:rPr>
        <w:t>注：需根据评分表备注的评审评分材料要求提供相应证明材料。</w:t>
      </w:r>
    </w:p>
    <w:p w14:paraId="05E83E18">
      <w:pPr>
        <w:rPr>
          <w:rFonts w:ascii="宋体" w:hAnsi="宋体" w:eastAsia="宋体"/>
          <w:color w:val="auto"/>
          <w:highlight w:val="none"/>
          <w:lang w:eastAsia="zh-CN"/>
        </w:rPr>
      </w:pPr>
    </w:p>
    <w:p w14:paraId="231E0813">
      <w:pPr>
        <w:pStyle w:val="8"/>
        <w:kinsoku w:val="0"/>
        <w:overflowPunct w:val="0"/>
        <w:spacing w:line="360" w:lineRule="auto"/>
        <w:ind w:left="0" w:firstLine="2891" w:firstLineChars="1200"/>
        <w:rPr>
          <w:b/>
          <w:color w:val="auto"/>
          <w:sz w:val="24"/>
          <w:szCs w:val="24"/>
          <w:highlight w:val="none"/>
          <w:lang w:eastAsia="zh-CN"/>
        </w:rPr>
      </w:pPr>
    </w:p>
    <w:p w14:paraId="272EFCBB">
      <w:pPr>
        <w:pStyle w:val="8"/>
        <w:kinsoku w:val="0"/>
        <w:overflowPunct w:val="0"/>
        <w:spacing w:line="360" w:lineRule="auto"/>
        <w:ind w:left="0" w:firstLine="2891" w:firstLineChars="1200"/>
        <w:rPr>
          <w:b/>
          <w:color w:val="auto"/>
          <w:sz w:val="24"/>
          <w:szCs w:val="24"/>
          <w:highlight w:val="none"/>
          <w:lang w:eastAsia="zh-CN"/>
        </w:rPr>
      </w:pPr>
    </w:p>
    <w:p w14:paraId="53A4EA69">
      <w:pPr>
        <w:pStyle w:val="8"/>
        <w:kinsoku w:val="0"/>
        <w:overflowPunct w:val="0"/>
        <w:spacing w:line="360" w:lineRule="auto"/>
        <w:ind w:left="0" w:firstLine="2891" w:firstLineChars="1200"/>
        <w:rPr>
          <w:b/>
          <w:color w:val="auto"/>
          <w:sz w:val="24"/>
          <w:szCs w:val="24"/>
          <w:highlight w:val="none"/>
          <w:lang w:eastAsia="zh-CN"/>
        </w:rPr>
      </w:pPr>
    </w:p>
    <w:p w14:paraId="26C27B77">
      <w:pPr>
        <w:pStyle w:val="8"/>
        <w:kinsoku w:val="0"/>
        <w:overflowPunct w:val="0"/>
        <w:spacing w:line="360" w:lineRule="auto"/>
        <w:ind w:left="0" w:firstLine="2891" w:firstLineChars="1200"/>
        <w:rPr>
          <w:b/>
          <w:color w:val="auto"/>
          <w:sz w:val="24"/>
          <w:szCs w:val="24"/>
          <w:highlight w:val="none"/>
          <w:lang w:eastAsia="zh-CN"/>
        </w:rPr>
      </w:pPr>
      <w:r>
        <w:rPr>
          <w:rFonts w:hint="eastAsia"/>
          <w:b/>
          <w:color w:val="auto"/>
          <w:sz w:val="24"/>
          <w:szCs w:val="24"/>
          <w:highlight w:val="none"/>
          <w:lang w:eastAsia="zh-CN"/>
        </w:rPr>
        <w:t>投标</w:t>
      </w:r>
      <w:r>
        <w:rPr>
          <w:rFonts w:hint="eastAsia"/>
          <w:b/>
          <w:color w:val="auto"/>
          <w:spacing w:val="-2"/>
          <w:sz w:val="24"/>
          <w:szCs w:val="24"/>
          <w:highlight w:val="none"/>
          <w:lang w:eastAsia="zh-CN"/>
        </w:rPr>
        <w:t>人：</w:t>
      </w:r>
      <w:r>
        <w:rPr>
          <w:rFonts w:hint="eastAsia"/>
          <w:b/>
          <w:color w:val="auto"/>
          <w:spacing w:val="-2"/>
          <w:sz w:val="24"/>
          <w:szCs w:val="24"/>
          <w:highlight w:val="none"/>
          <w:u w:val="single"/>
          <w:lang w:eastAsia="zh-CN"/>
        </w:rPr>
        <w:t xml:space="preserve">      </w:t>
      </w:r>
      <w:r>
        <w:rPr>
          <w:rFonts w:hint="eastAsia"/>
          <w:b/>
          <w:color w:val="auto"/>
          <w:spacing w:val="-1"/>
          <w:sz w:val="24"/>
          <w:szCs w:val="24"/>
          <w:highlight w:val="none"/>
          <w:lang w:eastAsia="zh-CN"/>
        </w:rPr>
        <w:t>（盖单位章）</w:t>
      </w:r>
    </w:p>
    <w:p w14:paraId="54BBA96B">
      <w:pPr>
        <w:spacing w:line="360" w:lineRule="auto"/>
        <w:ind w:firstLine="2891" w:firstLineChars="1200"/>
        <w:rPr>
          <w:rFonts w:ascii="宋体" w:hAnsi="宋体" w:eastAsia="宋体"/>
          <w:b/>
          <w:bCs/>
          <w:color w:val="auto"/>
          <w:sz w:val="24"/>
          <w:szCs w:val="24"/>
          <w:highlight w:val="none"/>
          <w:lang w:eastAsia="zh-CN"/>
        </w:rPr>
      </w:pPr>
      <w:r>
        <w:rPr>
          <w:rFonts w:hint="eastAsia" w:ascii="宋体" w:hAnsi="宋体" w:eastAsia="宋体"/>
          <w:b/>
          <w:bCs/>
          <w:color w:val="auto"/>
          <w:sz w:val="24"/>
          <w:szCs w:val="24"/>
          <w:highlight w:val="none"/>
          <w:lang w:eastAsia="zh-CN"/>
        </w:rPr>
        <w:t>法定代表人或其委托代理人：</w:t>
      </w:r>
      <w:r>
        <w:rPr>
          <w:rFonts w:hint="eastAsia" w:ascii="宋体" w:hAnsi="宋体" w:eastAsia="宋体"/>
          <w:b/>
          <w:bCs/>
          <w:color w:val="auto"/>
          <w:sz w:val="24"/>
          <w:szCs w:val="24"/>
          <w:highlight w:val="none"/>
          <w:u w:val="single"/>
          <w:lang w:eastAsia="zh-CN"/>
        </w:rPr>
        <w:t xml:space="preserve">     </w:t>
      </w:r>
      <w:r>
        <w:rPr>
          <w:rFonts w:hint="eastAsia" w:ascii="宋体" w:hAnsi="宋体" w:eastAsia="宋体"/>
          <w:b/>
          <w:bCs/>
          <w:color w:val="auto"/>
          <w:sz w:val="24"/>
          <w:szCs w:val="24"/>
          <w:highlight w:val="none"/>
          <w:lang w:eastAsia="zh-CN"/>
        </w:rPr>
        <w:t>（签字或盖章）</w:t>
      </w:r>
    </w:p>
    <w:p w14:paraId="4B9D710D">
      <w:pPr>
        <w:ind w:firstLine="4337" w:firstLineChars="1800"/>
        <w:rPr>
          <w:color w:val="auto"/>
          <w:highlight w:val="none"/>
          <w:lang w:eastAsia="zh-CN"/>
        </w:rPr>
      </w:pPr>
      <w:r>
        <w:rPr>
          <w:rFonts w:hint="eastAsia" w:ascii="宋体" w:hAnsi="宋体" w:eastAsia="宋体"/>
          <w:b/>
          <w:color w:val="auto"/>
          <w:sz w:val="24"/>
          <w:szCs w:val="24"/>
          <w:highlight w:val="none"/>
          <w:lang w:eastAsia="zh-CN"/>
        </w:rPr>
        <w:t>年</w:t>
      </w:r>
      <w:r>
        <w:rPr>
          <w:rFonts w:ascii="宋体" w:hAnsi="宋体" w:eastAsia="宋体"/>
          <w:b/>
          <w:color w:val="auto"/>
          <w:sz w:val="24"/>
          <w:szCs w:val="24"/>
          <w:highlight w:val="none"/>
          <w:u w:val="single"/>
          <w:lang w:eastAsia="zh-CN"/>
        </w:rPr>
        <w:tab/>
      </w:r>
      <w:r>
        <w:rPr>
          <w:rFonts w:hint="eastAsia" w:ascii="宋体" w:hAnsi="宋体" w:eastAsia="宋体"/>
          <w:b/>
          <w:color w:val="auto"/>
          <w:sz w:val="24"/>
          <w:szCs w:val="24"/>
          <w:highlight w:val="none"/>
          <w:lang w:eastAsia="zh-CN"/>
        </w:rPr>
        <w:t>月</w:t>
      </w:r>
      <w:r>
        <w:rPr>
          <w:rFonts w:ascii="宋体" w:hAnsi="宋体" w:eastAsia="宋体"/>
          <w:b/>
          <w:color w:val="auto"/>
          <w:sz w:val="24"/>
          <w:szCs w:val="24"/>
          <w:highlight w:val="none"/>
          <w:u w:val="single"/>
          <w:lang w:eastAsia="zh-CN"/>
        </w:rPr>
        <w:tab/>
      </w:r>
      <w:r>
        <w:rPr>
          <w:rFonts w:hint="eastAsia" w:ascii="宋体" w:hAnsi="宋体" w:eastAsia="宋体"/>
          <w:b/>
          <w:color w:val="auto"/>
          <w:sz w:val="24"/>
          <w:szCs w:val="24"/>
          <w:highlight w:val="none"/>
          <w:lang w:eastAsia="zh-CN"/>
        </w:rPr>
        <w:t>日</w:t>
      </w:r>
    </w:p>
    <w:p w14:paraId="52195480">
      <w:pPr>
        <w:pStyle w:val="5"/>
        <w:rPr>
          <w:color w:val="auto"/>
          <w:highlight w:val="none"/>
        </w:rPr>
      </w:pPr>
    </w:p>
    <w:p w14:paraId="3FD36F46">
      <w:pPr>
        <w:rPr>
          <w:color w:val="auto"/>
          <w:highlight w:val="none"/>
          <w:lang w:eastAsia="zh-CN"/>
        </w:rPr>
      </w:pPr>
    </w:p>
    <w:p w14:paraId="0B782495">
      <w:pPr>
        <w:pStyle w:val="3"/>
        <w:rPr>
          <w:rFonts w:ascii="宋体" w:hAnsi="宋体" w:eastAsia="宋体"/>
          <w:color w:val="auto"/>
          <w:highlight w:val="none"/>
          <w:lang w:eastAsia="zh-CN"/>
        </w:rPr>
        <w:sectPr>
          <w:footerReference r:id="rId14" w:type="first"/>
          <w:footerReference r:id="rId13" w:type="default"/>
          <w:pgSz w:w="11907" w:h="16839"/>
          <w:pgMar w:top="1440" w:right="1440" w:bottom="1440" w:left="1440" w:header="0" w:footer="921" w:gutter="0"/>
          <w:cols w:space="720" w:num="1"/>
          <w:titlePg/>
          <w:docGrid w:linePitch="299" w:charSpace="0"/>
        </w:sectPr>
      </w:pPr>
    </w:p>
    <w:p w14:paraId="61F6962F">
      <w:pPr>
        <w:pStyle w:val="3"/>
        <w:rPr>
          <w:rFonts w:ascii="宋体" w:hAnsi="宋体" w:eastAsia="宋体"/>
          <w:color w:val="auto"/>
          <w:highlight w:val="none"/>
          <w:lang w:eastAsia="zh-CN"/>
        </w:rPr>
      </w:pPr>
      <w:r>
        <w:rPr>
          <w:rFonts w:hint="eastAsia" w:ascii="宋体" w:hAnsi="宋体" w:eastAsia="宋体"/>
          <w:color w:val="auto"/>
          <w:highlight w:val="none"/>
          <w:lang w:eastAsia="zh-CN"/>
        </w:rPr>
        <w:t>格式十  其他资料</w:t>
      </w:r>
    </w:p>
    <w:p w14:paraId="2FAFF14F">
      <w:pPr>
        <w:ind w:firstLine="300"/>
        <w:rPr>
          <w:color w:val="auto"/>
          <w:highlight w:val="none"/>
          <w:lang w:eastAsia="zh-CN"/>
        </w:rPr>
      </w:pPr>
    </w:p>
    <w:p w14:paraId="65C38B99">
      <w:pPr>
        <w:rPr>
          <w:rFonts w:eastAsia="宋体"/>
          <w:color w:val="auto"/>
          <w:highlight w:val="none"/>
          <w:lang w:eastAsia="zh-CN"/>
        </w:rPr>
      </w:pPr>
    </w:p>
    <w:p w14:paraId="544B8367">
      <w:pPr>
        <w:rPr>
          <w:color w:val="auto"/>
          <w:highlight w:val="none"/>
        </w:rPr>
      </w:pPr>
    </w:p>
    <w:sectPr>
      <w:pgSz w:w="11907" w:h="16839"/>
      <w:pgMar w:top="1440" w:right="1440" w:bottom="1440" w:left="1440" w:header="0" w:footer="921" w:gutter="0"/>
      <w:cols w:space="720" w:num="1"/>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0157A">
    <w:pPr>
      <w:spacing w:line="14" w:lineRule="auto"/>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02E50">
    <w:pPr>
      <w:spacing w:line="14" w:lineRule="auto"/>
      <w:rPr>
        <w:rFonts w:eastAsia="宋体"/>
        <w:sz w:val="20"/>
        <w:szCs w:val="20"/>
        <w:lang w:eastAsia="zh-CN"/>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TextEdit="1"/>
                    </wps:cNvSpPr>
                    <wps:spPr>
                      <a:xfrm>
                        <a:off x="0" y="0"/>
                        <a:ext cx="114935" cy="131445"/>
                      </a:xfrm>
                      <a:prstGeom prst="rect">
                        <a:avLst/>
                      </a:prstGeom>
                      <a:noFill/>
                      <a:ln>
                        <a:noFill/>
                      </a:ln>
                    </wps:spPr>
                    <wps:txbx>
                      <w:txbxContent>
                        <w:p w14:paraId="6E26955D">
                          <w:pPr>
                            <w:pStyle w:val="14"/>
                            <w:rPr>
                              <w:rFonts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65</w:t>
                          </w:r>
                          <w:r>
                            <w:rPr>
                              <w:rFonts w:hint="eastAsia" w:eastAsia="宋体"/>
                              <w:lang w:eastAsia="zh-CN"/>
                            </w:rPr>
                            <w:fldChar w:fldCharType="end"/>
                          </w: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LptwJ0BAgAA9wMAAA4AAABkcnMvZTJvRG9jLnhtbK1TzW7UMBC+I/EO&#10;lu9sNu0WQbTZqnQpQqoAqeUBvI6TWMQey+PdZHkAeANOXLjzXPscjJ39KeXSA5dkPB5/832fx/PL&#10;wXRsozxqsCXPJ1POlJVQaduU/PP9zYtXnGEQthIdWFXyrUJ+uXj+bN67Qp1BC12lPCMQi0XvSt6G&#10;4IosQ9kqI3ACTlnarMEbEWjpm6zyoid002Vn0+nLrAdfOQ9SIVJ2OW7yPaJ/CiDUtZZqCXJtlA0j&#10;qledCCQJW+2QLxLbulYyfKxrVIF1JSelIX2pCcWr+M0Wc1E0XrhWyz0F8RQKjzQZoS01PUItRRBs&#10;7fU/UEZLDwh1mEgw2SgkOUIq8ukjb+5a4VTSQlajO5qO/w9Wfth88kxXNAmcWWHownc/vu9+/t79&#10;+sbyaE/vsKCqO0d1YXgDQyyNUtHdgvyCzMJ1K2yjrtCR3SMQ3KshvK10WhJI9gBlhETCiyhD7U38&#10;kxWMoOletsd7IQwmY7989vr8gjNJW/l5PptdRGLZ6bDzGN4pMCwGJffEI1EUm1sMY+mhJPaycKO7&#10;jvKi6OxfCcKMmUR3ZBiJh2E1UHUMV1BtyQh6P9SnBf+Vs56mp+SWHgtn3XtLlxMH7RD4Q7A6BMJK&#10;OljywNkYXodxINfO66ZNlkVS6K7WgZgmAafee3Y0D8mC/ezGgXu4TlWn97r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PlfknQAAAAAwEAAA8AAAAAAAAAAQAgAAAAIgAAAGRycy9kb3ducmV2Lnht&#10;bFBLAQIUABQAAAAIAIdO4kC6bcCdAQIAAPcDAAAOAAAAAAAAAAEAIAAAAB8BAABkcnMvZTJvRG9j&#10;LnhtbFBLBQYAAAAABgAGAFkBAACSBQAAAAA=&#10;">
              <v:fill on="f" focussize="0,0"/>
              <v:stroke on="f"/>
              <v:imagedata o:title=""/>
              <o:lock v:ext="edit" text="t" aspectratio="t"/>
              <v:textbox inset="0mm,0mm,0mm,0mm" style="mso-fit-shape-to-text:t;">
                <w:txbxContent>
                  <w:p w14:paraId="6E26955D">
                    <w:pPr>
                      <w:pStyle w:val="14"/>
                      <w:rPr>
                        <w:rFonts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65</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520ED">
    <w:pPr>
      <w:pStyle w:val="14"/>
      <w:jc w:val="center"/>
    </w:pPr>
    <w:r>
      <w:rPr>
        <w:lang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2E9A64">
                          <w:pPr>
                            <w:pStyle w:val="14"/>
                            <w:jc w:val="center"/>
                          </w:pPr>
                          <w:r>
                            <w:fldChar w:fldCharType="begin"/>
                          </w:r>
                          <w:r>
                            <w:instrText xml:space="preserve"> PAGE   \* MERGEFORMAT </w:instrText>
                          </w:r>
                          <w:r>
                            <w:fldChar w:fldCharType="separate"/>
                          </w:r>
                          <w:r>
                            <w:rPr>
                              <w:lang w:val="zh-CN" w:eastAsia="zh-CN"/>
                            </w:rPr>
                            <w:t>66</w:t>
                          </w:r>
                          <w:r>
                            <w:fldChar w:fldCharType="end"/>
                          </w:r>
                        </w:p>
                      </w:txbxContent>
                    </wps:txbx>
                    <wps:bodyPr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mNKtcBAACyAwAADgAAAGRycy9lMm9Eb2MueG1srVPBjtMwEL0j8Q+W&#10;7zTZSqyqqOkKqBYhIUBa9gNcx2ks2R7LnjYpHwB/wIkLd76r38HYSbqwXPbAJRnPjN+8NzNe3wzW&#10;sKMKUYOr+dWi5Ew5CY12+5rff759seIsonCNMOBUzU8q8pvN82fr3ldqCR2YRgVGIC5Wva95h+ir&#10;ooiyU1bEBXjlKNhCsALpGPZFE0RP6NYUy7K8LnoIjQ8gVYzk3Y5BPiGGpwBC22qptiAPVjkcUYMy&#10;AklS7LSPfJPZtq2S+LFto0Jmak5KMX+pCNm79C02a1Htg/CdlhMF8RQKjzRZoR0VvUBtBQp2CPof&#10;KKtlgAgtLiTYYhSSO0IqrspHvbnrhFdZC7U6+kvT4/+DlR+OnwLTTc1fcuaEpYGfv387//h1/vmV&#10;Xaf29D5WlHXnKQ+H1zDQ0sz+SM6kemiDTX/SwyhOzT1dmqsGZDJdWi1Xq5JCkmLzgfCLh+s+RHyr&#10;wLJk1DzQ9HJTxfF9xDF1TknVHNxqY/IEjfvLQZjJUyTuI8dk4bAbJkE7aE6kh54B1ekgfOGspyWo&#10;uaOd58y8c9TjtC+zEWZjNxvCSbpYc+RsNN9g3qtEJPpXByR2mXQqPdabGNEos+xp7dKu/HnOWQ9P&#10;b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FDpjSrXAQAAsgMAAA4AAAAAAAAAAQAgAAAA&#10;HgEAAGRycy9lMm9Eb2MueG1sUEsFBgAAAAAGAAYAWQEAAGcFAAAAAA==&#10;">
              <v:fill on="f" focussize="0,0"/>
              <v:stroke on="f"/>
              <v:imagedata o:title=""/>
              <o:lock v:ext="edit" aspectratio="f"/>
              <v:textbox inset="0mm,0mm,0mm,0mm" style="mso-fit-shape-to-text:t;">
                <w:txbxContent>
                  <w:p w14:paraId="3C2E9A64">
                    <w:pPr>
                      <w:pStyle w:val="14"/>
                      <w:jc w:val="center"/>
                    </w:pPr>
                    <w:r>
                      <w:fldChar w:fldCharType="begin"/>
                    </w:r>
                    <w:r>
                      <w:instrText xml:space="preserve"> PAGE   \* MERGEFORMAT </w:instrText>
                    </w:r>
                    <w:r>
                      <w:fldChar w:fldCharType="separate"/>
                    </w:r>
                    <w:r>
                      <w:rPr>
                        <w:lang w:val="zh-CN" w:eastAsia="zh-CN"/>
                      </w:rPr>
                      <w:t>66</w:t>
                    </w:r>
                    <w:r>
                      <w:fldChar w:fldCharType="end"/>
                    </w:r>
                  </w:p>
                </w:txbxContent>
              </v:textbox>
            </v:shape>
          </w:pict>
        </mc:Fallback>
      </mc:AlternateContent>
    </w:r>
  </w:p>
  <w:p w14:paraId="2414B7DB">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0A0F5">
    <w:pPr>
      <w:pStyle w:val="14"/>
      <w:jc w:val="center"/>
    </w:pPr>
    <w:r>
      <w:rPr>
        <w:lang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F82AF1">
                          <w:pPr>
                            <w:pStyle w:val="14"/>
                            <w:jc w:val="center"/>
                          </w:pPr>
                          <w:r>
                            <w:fldChar w:fldCharType="begin"/>
                          </w:r>
                          <w:r>
                            <w:instrText xml:space="preserve"> PAGE   \* MERGEFORMAT </w:instrText>
                          </w:r>
                          <w:r>
                            <w:fldChar w:fldCharType="separate"/>
                          </w:r>
                          <w:r>
                            <w:rPr>
                              <w:lang w:val="zh-CN" w:eastAsia="zh-CN"/>
                            </w:rPr>
                            <w:t>29</w:t>
                          </w:r>
                          <w: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xFGj8EBAACN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3Hsjlsc+Pnnj/Ovx/PDd/I2&#10;y9MHqDHrLmBeGt77AZdm9gM6M+tBRZu/yIdgHMU9XcSVQyIiP1otV6sKQwJj8wXx2dPzECF9kN6S&#10;bDQ04vSKqPz4CdKYOqfkas7famPKBI37y4GY2cNy72OP2UrDbpgI7Xx7Qj49Dr6hDvecEvPRoa55&#10;R2YjzsZuMnINCO8OCQuXfjLqCDUVwykVRtNG5TX4816ynv6i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4xFGj8EBAACNAwAADgAAAAAAAAABACAAAAAeAQAAZHJzL2Uyb0RvYy54bWxQSwUG&#10;AAAAAAYABgBZAQAAUQUAAAAA&#10;">
              <v:fill on="f" focussize="0,0"/>
              <v:stroke on="f"/>
              <v:imagedata o:title=""/>
              <o:lock v:ext="edit" aspectratio="f"/>
              <v:textbox inset="0mm,0mm,0mm,0mm" style="mso-fit-shape-to-text:t;">
                <w:txbxContent>
                  <w:p w14:paraId="23F82AF1">
                    <w:pPr>
                      <w:pStyle w:val="14"/>
                      <w:jc w:val="center"/>
                    </w:pPr>
                    <w:r>
                      <w:fldChar w:fldCharType="begin"/>
                    </w:r>
                    <w:r>
                      <w:instrText xml:space="preserve"> PAGE   \* MERGEFORMAT </w:instrText>
                    </w:r>
                    <w:r>
                      <w:fldChar w:fldCharType="separate"/>
                    </w:r>
                    <w:r>
                      <w:rPr>
                        <w:lang w:val="zh-CN" w:eastAsia="zh-CN"/>
                      </w:rPr>
                      <w:t>29</w:t>
                    </w:r>
                    <w:r>
                      <w:fldChar w:fldCharType="end"/>
                    </w:r>
                  </w:p>
                </w:txbxContent>
              </v:textbox>
            </v:shape>
          </w:pict>
        </mc:Fallback>
      </mc:AlternateContent>
    </w:r>
  </w:p>
  <w:p w14:paraId="4D1C7197">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2A65E">
    <w:pPr>
      <w:pStyle w:val="1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4F59F">
    <w:pPr>
      <w:pStyle w:val="14"/>
      <w:jc w:val="center"/>
    </w:pPr>
    <w:sdt>
      <w:sdtPr>
        <w:id w:val="147452689"/>
      </w:sdtPr>
      <w:sdtContent>
        <w:sdt>
          <w:sdtPr>
            <w:id w:val="147481394"/>
          </w:sdtPr>
          <w:sdtContent/>
        </w:sdt>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A5F94">
    <w:pPr>
      <w:pStyle w:val="14"/>
      <w:jc w:val="center"/>
      <w:rPr>
        <w:rFonts w:hint="eastAsia" w:ascii="仿宋" w:hAnsi="仿宋" w:eastAsia="仿宋"/>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CEE80A">
                          <w:pPr>
                            <w:pStyle w:val="14"/>
                          </w:pPr>
                          <w:r>
                            <w:fldChar w:fldCharType="begin"/>
                          </w:r>
                          <w:r>
                            <w:instrText xml:space="preserve"> PAGE  \* MERGEFORMAT </w:instrText>
                          </w:r>
                          <w:r>
                            <w:fldChar w:fldCharType="separate"/>
                          </w:r>
                          <w:r>
                            <w:t>33</w:t>
                          </w:r>
                          <w: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mYKK8sBAACdAwAADgAAAGRycy9lMm9Eb2MueG1srVPNjtMwEL4j8Q6W&#10;79RpD6sqarraVbUICQHSwgO4jt1Y8p88bpO+ALwBJy7cea4+B2Mn6cJy2QOXZDwz+eb7vnE2t4M1&#10;5CQjaO8aulxUlEgnfKvdoaFfPj+8WVMCibuWG+9kQ88S6O329atNH2q58p03rYwEQRzUfWhol1Ko&#10;GQPRScth4YN0WFQ+Wp7wGA+sjbxHdGvYqqpuWO9jG6IXEgCzu7FIJ8T4EkCvlBZy58XRSpdG1CgN&#10;TygJOh2AbgtbpaRIH5UCmYhpKCpN5YlDMN7nJ9tueH2IPHRaTBT4Syg802S5djj0CrXjiZNj1P9A&#10;WS2iB6/SQnjLRiHFEVSxrJ5589jxIIsWtBrC1XT4f7Diw+lTJLrFm4CWOG5x45fv3y4/fl1+fiXL&#10;anWTLeoD1Nj5GLA3Dfd+wPY5D5jMygcVbX6jJoJ1RDtfDZZDIiJ/tF6t1xWWBNbmA+Kzp89DhPRW&#10;ekty0NCIGyzG8tN7SGPr3JKnOf+gjSlbNO6vBGLmDMvcR445SsN+mATtfXtGPT0uv6EO7zol5p1D&#10;b5FfmoM4B/s5OIaoDx1SWxZeEO6OCUkUbnnCCDsNxq0VddMNy9fiz3Ppevqr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pmCivLAQAAnQMAAA4AAAAAAAAAAQAgAAAAHgEAAGRycy9lMm9E&#10;b2MueG1sUEsFBgAAAAAGAAYAWQEAAFsFAAAAAA==&#10;">
              <v:fill on="f" focussize="0,0"/>
              <v:stroke on="f"/>
              <v:imagedata o:title=""/>
              <o:lock v:ext="edit" aspectratio="f"/>
              <v:textbox inset="0mm,0mm,0mm,0mm" style="mso-fit-shape-to-text:t;">
                <w:txbxContent>
                  <w:p w14:paraId="4ACEE80A">
                    <w:pPr>
                      <w:pStyle w:val="1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C31CC">
    <w:pPr>
      <w:pStyle w:val="14"/>
      <w:tabs>
        <w:tab w:val="center" w:pos="2268"/>
        <w:tab w:val="left" w:pos="4111"/>
        <w:tab w:val="center" w:pos="7088"/>
        <w:tab w:val="right" w:pos="10490"/>
        <w:tab w:val="clear" w:pos="4153"/>
        <w:tab w:val="clear" w:pos="8306"/>
      </w:tabs>
      <w:jc w:val="center"/>
      <w:rPr>
        <w:rFonts w:hint="eastAsia" w:ascii="仿宋" w:hAnsi="仿宋" w:eastAsia="仿宋"/>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2C0BA9">
                          <w:pPr>
                            <w:pStyle w:val="14"/>
                          </w:pPr>
                          <w:r>
                            <w:fldChar w:fldCharType="begin"/>
                          </w:r>
                          <w:r>
                            <w:instrText xml:space="preserve"> PAGE  \* MERGEFORMAT </w:instrText>
                          </w:r>
                          <w:r>
                            <w:fldChar w:fldCharType="separate"/>
                          </w:r>
                          <w:r>
                            <w:t>35</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xZIm8sBAACcAwAADgAAAGRycy9lMm9Eb2MueG1srVPNjtMwEL4j8Q6W&#10;79RpJVCJ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2J4xYHfvn+7fLj1+XnV7Ks&#10;Vi9z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CsWSJvLAQAAnAMAAA4AAAAAAAAAAQAgAAAAHgEAAGRycy9lMm9E&#10;b2MueG1sUEsFBgAAAAAGAAYAWQEAAFsFAAAAAA==&#10;">
              <v:fill on="f" focussize="0,0"/>
              <v:stroke on="f"/>
              <v:imagedata o:title=""/>
              <o:lock v:ext="edit" aspectratio="f"/>
              <v:textbox inset="0mm,0mm,0mm,0mm" style="mso-fit-shape-to-text:t;">
                <w:txbxContent>
                  <w:p w14:paraId="332C0BA9">
                    <w:pPr>
                      <w:pStyle w:val="1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11119">
    <w:pPr>
      <w:pStyle w:val="14"/>
      <w:tabs>
        <w:tab w:val="center" w:pos="2268"/>
        <w:tab w:val="left" w:pos="4111"/>
        <w:tab w:val="center" w:pos="7088"/>
        <w:tab w:val="right" w:pos="10490"/>
        <w:tab w:val="clear" w:pos="4153"/>
        <w:tab w:val="clear" w:pos="8306"/>
      </w:tabs>
      <w:jc w:val="center"/>
      <w:rPr>
        <w:rFonts w:hint="eastAsia" w:ascii="仿宋" w:hAnsi="仿宋" w:eastAsia="仿宋"/>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7AB2EE">
                          <w:pPr>
                            <w:pStyle w:val="14"/>
                          </w:pPr>
                          <w:r>
                            <w:fldChar w:fldCharType="begin"/>
                          </w:r>
                          <w:r>
                            <w:instrText xml:space="preserve"> PAGE  \* MERGEFORMAT </w:instrText>
                          </w:r>
                          <w:r>
                            <w:fldChar w:fldCharType="separate"/>
                          </w:r>
                          <w:r>
                            <w:t>36</w:t>
                          </w:r>
                          <w:r>
                            <w:fldChar w:fldCharType="end"/>
                          </w: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uRncwBAACdAwAADgAAAGRycy9lMm9Eb2MueG1srVNLbtswEN0XyB0I&#10;7mNKXrSGYDlIYKQIELQF0h6ApiiLAH/g0JZ8gfYGXXXTfc/lc3RISU6bbrLohhrODN+8NzNa3wxG&#10;k6MMoJytabkoKJFWuEbZfU2/fL6/XlECkduGa2dlTU8S6M3m6s2695Vcus7pRgaCIBaq3te0i9FX&#10;jIHopOGwcF5aDLYuGB7xGvasCbxHdKPZsijest6FxgcnJAB6t2OQTojhNYCubZWQWycORto4ogap&#10;eURJ0CkPdJPZtq0U8WPbgoxE1xSVxnxiEbR36WSbNa/2gftOiYkCfw2FF5oMVxaLXqC2PHJyCOof&#10;KKNEcODauBDOsFFI7giqKIsXvXnquJdZC7Ya/KXp8P9gxYfjp0BUg5tQUmK5wYmfv387//h1/vmV&#10;lMXyXWpR76HCzCePuXG4cwOmz35AZ1I+tMGkL2oiGMcGny4NlkMkIj1aLVerAkMCY/MF8dnzcx8g&#10;vpfOkGTUNOAEc2P58RHimDqnpGrW3Sut8xS1/cuBmMnDEveRY7LisBsmQTvXnFBPj8OvqcVdp0Q/&#10;WOxt2pPZCLOxm42DD2rfIbUy8wJ/e4hIInNLFUbYqTBOLaubNiytxZ/3nPX8V2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Aa5GdzAEAAJ0DAAAOAAAAAAAAAAEAIAAAAB4BAABkcnMvZTJv&#10;RG9jLnhtbFBLBQYAAAAABgAGAFkBAABcBQAAAAA=&#10;">
              <v:fill on="f" focussize="0,0"/>
              <v:stroke on="f"/>
              <v:imagedata o:title=""/>
              <o:lock v:ext="edit" aspectratio="f"/>
              <v:textbox inset="0mm,0mm,0mm,0mm" style="mso-fit-shape-to-text:t;">
                <w:txbxContent>
                  <w:p w14:paraId="2F7AB2EE">
                    <w:pPr>
                      <w:pStyle w:val="14"/>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38B52">
    <w:pPr>
      <w:pStyle w:val="14"/>
      <w:jc w:val="center"/>
    </w:pPr>
    <w:r>
      <w:rPr>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071E18">
                          <w:pPr>
                            <w:pStyle w:val="14"/>
                            <w:jc w:val="center"/>
                          </w:pPr>
                          <w:r>
                            <w:fldChar w:fldCharType="begin"/>
                          </w:r>
                          <w:r>
                            <w:instrText xml:space="preserve"> PAGE   \* MERGEFORMAT </w:instrText>
                          </w:r>
                          <w:r>
                            <w:fldChar w:fldCharType="separate"/>
                          </w:r>
                          <w:r>
                            <w:rPr>
                              <w:lang w:val="zh-CN" w:eastAsia="zh-CN"/>
                            </w:rPr>
                            <w:t>63</w:t>
                          </w:r>
                          <w:r>
                            <w:fldChar w:fldCharType="end"/>
                          </w:r>
                        </w:p>
                      </w:txbxContent>
                    </wps:txbx>
                    <wps:bodyPr vert="horz" wrap="none" lIns="0" tIns="0" rIns="0" bIns="0" anchor="t" anchorCtr="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Nb1t9cBAACyAwAADgAAAGRycy9lMm9Eb2MueG1srVPBjtMwEL0j8Q+W&#10;7zTZglAVNV0B1SIkBEgLH+A6TmPJ9lj2tEn5APgDTly48139jh07SReWyx64JOOZ8Zv3Zsbr68Ea&#10;dlQhanA1v1qUnCknodFuX/Mvn2+erTiLKFwjDDhV85OK/Hrz9Mm695VaQgemUYERiItV72veIfqq&#10;KKLslBVxAV45CrYQrEA6hn3RBNETujXFsixfFj2ExgeQKkbybscgnxDDYwChbbVUW5AHqxyOqEEZ&#10;gSQpdtpHvsls21ZJ/Ni2USEzNSelmL9UhOxd+habtaj2QfhOy4mCeAyFB5qs0I6KXqC2AgU7BP0P&#10;lNUyQIQWFxJsMQrJHSEVV+WD3tx2wqushVod/aXp8f/Byg/HT4HppubPOXPC0sDPP76ff/4+//rG&#10;XqT29D5WlHXrKQ+H1zDQ0sz+SM6kemiDTX/SwyhOzT1dmqsGZDJdWi1Xq5JCkmLzgfCL++s+RHyr&#10;wLJk1DzQ9HJTxfF9xDF1TknVHNxoY/IEjfvLQZjJUyTuI8dk4bAbJkE7aE6kh54B1ekgfOWspyWo&#10;uaOd58y8c9TjtC+zEWZjNxvCSbpYc+RsNN9g3qtEJPpXByR2mXQqPdabGNEos+xp7dKu/HnOWfdP&#10;bX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FzW9bfXAQAAsgMAAA4AAAAAAAAAAQAgAAAA&#10;HgEAAGRycy9lMm9Eb2MueG1sUEsFBgAAAAAGAAYAWQEAAGcFAAAAAA==&#10;">
              <v:fill on="f" focussize="0,0"/>
              <v:stroke on="f"/>
              <v:imagedata o:title=""/>
              <o:lock v:ext="edit" aspectratio="f"/>
              <v:textbox inset="0mm,0mm,0mm,0mm" style="mso-fit-shape-to-text:t;">
                <w:txbxContent>
                  <w:p w14:paraId="00071E18">
                    <w:pPr>
                      <w:pStyle w:val="14"/>
                      <w:jc w:val="center"/>
                    </w:pPr>
                    <w:r>
                      <w:fldChar w:fldCharType="begin"/>
                    </w:r>
                    <w:r>
                      <w:instrText xml:space="preserve"> PAGE   \* MERGEFORMAT </w:instrText>
                    </w:r>
                    <w:r>
                      <w:fldChar w:fldCharType="separate"/>
                    </w:r>
                    <w:r>
                      <w:rPr>
                        <w:lang w:val="zh-CN" w:eastAsia="zh-CN"/>
                      </w:rPr>
                      <w:t>63</w:t>
                    </w:r>
                    <w:r>
                      <w:fldChar w:fldCharType="end"/>
                    </w:r>
                  </w:p>
                </w:txbxContent>
              </v:textbox>
            </v:shape>
          </w:pict>
        </mc:Fallback>
      </mc:AlternateContent>
    </w:r>
  </w:p>
  <w:p w14:paraId="08DAE461">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FA3D7">
    <w:pPr>
      <w:pStyle w:val="14"/>
      <w:jc w:val="center"/>
    </w:pPr>
    <w:r>
      <w:rPr>
        <w:lang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E30328">
                          <w:pPr>
                            <w:pStyle w:val="14"/>
                            <w:jc w:val="center"/>
                          </w:pPr>
                          <w:r>
                            <w:fldChar w:fldCharType="begin"/>
                          </w:r>
                          <w:r>
                            <w:instrText xml:space="preserve"> PAGE   \* MERGEFORMAT </w:instrText>
                          </w:r>
                          <w:r>
                            <w:fldChar w:fldCharType="separate"/>
                          </w:r>
                          <w:r>
                            <w:rPr>
                              <w:lang w:val="zh-CN" w:eastAsia="zh-CN"/>
                            </w:rPr>
                            <w:t>47</w:t>
                          </w:r>
                          <w:r>
                            <w:fldChar w:fldCharType="end"/>
                          </w:r>
                        </w:p>
                      </w:txbxContent>
                    </wps:txbx>
                    <wps:bodyPr vert="horz" wrap="none" lIns="0" tIns="0" rIns="0" bIns="0" anchor="t" anchorCtr="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VdE59cBAACyAwAADgAAAGRycy9lMm9Eb2MueG1srVPBjtMwEL0j8Q+W&#10;7zTZClAVNV0B1SIkBEgLH+A6TmPJ9lj2tEn5APgDTly48139jh07SReWyx64JOOZ8Zv3Zsbr68Ea&#10;dlQhanA1v1qUnCknodFuX/Mvn2+erTiLKFwjDDhV85OK/Hrz9Mm695VaQgemUYERiItV72veIfqq&#10;KKLslBVxAV45CrYQrEA6hn3RBNETujXFsixfFj2ExgeQKkbybscgnxDDYwChbbVUW5AHqxyOqEEZ&#10;gSQpdtpHvsls21ZJ/Ni2USEzNSelmL9UhOxd+habtaj2QfhOy4mCeAyFB5qs0I6KXqC2AgU7BP0P&#10;lNUyQIQWFxJsMQrJHSEVV+WD3tx2wqushVod/aXp8f/Byg/HT4HppubPOXPC0sDPP76ff/4+//rG&#10;XqT29D5WlHXrKQ+H1zDQ0sz+SM6kemiDTX/SwyhOzT1dmqsGZDJdWi1Xq5JCkmLzgfCL++s+RHyr&#10;wLJk1DzQ9HJTxfF9xDF1TknVHNxoY/IEjfvLQZjJUyTuI8dk4bAbJkE7aE6kh54B1ekgfOWspyWo&#10;uaOd58y8c9TjtC+zEWZjNxvCSbpYc+RsNN9g3qtEJPpXByR2mXQqPdabGNEos+xp7dKu/HnOWfdP&#10;bX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OlXROfXAQAAsgMAAA4AAAAAAAAAAQAgAAAA&#10;HgEAAGRycy9lMm9Eb2MueG1sUEsFBgAAAAAGAAYAWQEAAGcFAAAAAA==&#10;">
              <v:fill on="f" focussize="0,0"/>
              <v:stroke on="f"/>
              <v:imagedata o:title=""/>
              <o:lock v:ext="edit" aspectratio="f"/>
              <v:textbox inset="0mm,0mm,0mm,0mm" style="mso-fit-shape-to-text:t;">
                <w:txbxContent>
                  <w:p w14:paraId="4EE30328">
                    <w:pPr>
                      <w:pStyle w:val="14"/>
                      <w:jc w:val="center"/>
                    </w:pPr>
                    <w:r>
                      <w:fldChar w:fldCharType="begin"/>
                    </w:r>
                    <w:r>
                      <w:instrText xml:space="preserve"> PAGE   \* MERGEFORMAT </w:instrText>
                    </w:r>
                    <w:r>
                      <w:fldChar w:fldCharType="separate"/>
                    </w:r>
                    <w:r>
                      <w:rPr>
                        <w:lang w:val="zh-CN" w:eastAsia="zh-CN"/>
                      </w:rPr>
                      <w:t>47</w:t>
                    </w:r>
                    <w:r>
                      <w:fldChar w:fldCharType="end"/>
                    </w:r>
                  </w:p>
                </w:txbxContent>
              </v:textbox>
            </v:shape>
          </w:pict>
        </mc:Fallback>
      </mc:AlternateContent>
    </w:r>
  </w:p>
  <w:p w14:paraId="32537E77">
    <w:pPr>
      <w:pStyle w:val="14"/>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71874">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0062CC"/>
    <w:multiLevelType w:val="multilevel"/>
    <w:tmpl w:val="1C0062CC"/>
    <w:lvl w:ilvl="0" w:tentative="0">
      <w:start w:val="1"/>
      <w:numFmt w:val="decimal"/>
      <w:lvlText w:val="%1."/>
      <w:lvlJc w:val="left"/>
      <w:pPr>
        <w:ind w:left="1680" w:hanging="420"/>
      </w:p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1">
    <w:nsid w:val="239D7EC0"/>
    <w:multiLevelType w:val="singleLevel"/>
    <w:tmpl w:val="239D7EC0"/>
    <w:lvl w:ilvl="0" w:tentative="0">
      <w:start w:val="1"/>
      <w:numFmt w:val="chineseCounting"/>
      <w:suff w:val="nothing"/>
      <w:lvlText w:val="%1、"/>
      <w:lvlJc w:val="left"/>
      <w:pPr>
        <w:ind w:left="0" w:firstLine="420"/>
      </w:pPr>
      <w:rPr>
        <w:rFonts w:hint="eastAsia"/>
      </w:rPr>
    </w:lvl>
  </w:abstractNum>
  <w:abstractNum w:abstractNumId="2">
    <w:nsid w:val="362858AA"/>
    <w:multiLevelType w:val="multilevel"/>
    <w:tmpl w:val="362858AA"/>
    <w:lvl w:ilvl="0" w:tentative="0">
      <w:start w:val="1"/>
      <w:numFmt w:val="decimal"/>
      <w:lvlText w:val="%1."/>
      <w:lvlJc w:val="left"/>
      <w:pPr>
        <w:ind w:left="1620" w:hanging="420"/>
      </w:pPr>
      <w:rPr>
        <w:rFonts w:hint="default"/>
      </w:rPr>
    </w:lvl>
    <w:lvl w:ilvl="1" w:tentative="0">
      <w:start w:val="1"/>
      <w:numFmt w:val="bullet"/>
      <w:lvlText w:val=""/>
      <w:lvlJc w:val="left"/>
      <w:pPr>
        <w:ind w:left="2040" w:hanging="420"/>
      </w:pPr>
      <w:rPr>
        <w:rFonts w:hint="default" w:ascii="Wingdings" w:hAnsi="Wingdings"/>
      </w:rPr>
    </w:lvl>
    <w:lvl w:ilvl="2" w:tentative="0">
      <w:start w:val="1"/>
      <w:numFmt w:val="bullet"/>
      <w:lvlText w:val=""/>
      <w:lvlJc w:val="left"/>
      <w:pPr>
        <w:ind w:left="2460" w:hanging="420"/>
      </w:pPr>
      <w:rPr>
        <w:rFonts w:hint="default" w:ascii="Wingdings" w:hAnsi="Wingdings"/>
      </w:rPr>
    </w:lvl>
    <w:lvl w:ilvl="3" w:tentative="0">
      <w:start w:val="1"/>
      <w:numFmt w:val="bullet"/>
      <w:lvlText w:val=""/>
      <w:lvlJc w:val="left"/>
      <w:pPr>
        <w:ind w:left="2880" w:hanging="420"/>
      </w:pPr>
      <w:rPr>
        <w:rFonts w:hint="default" w:ascii="Wingdings" w:hAnsi="Wingdings"/>
      </w:rPr>
    </w:lvl>
    <w:lvl w:ilvl="4" w:tentative="0">
      <w:start w:val="1"/>
      <w:numFmt w:val="bullet"/>
      <w:lvlText w:val=""/>
      <w:lvlJc w:val="left"/>
      <w:pPr>
        <w:ind w:left="3300" w:hanging="420"/>
      </w:pPr>
      <w:rPr>
        <w:rFonts w:hint="default" w:ascii="Wingdings" w:hAnsi="Wingdings"/>
      </w:rPr>
    </w:lvl>
    <w:lvl w:ilvl="5" w:tentative="0">
      <w:start w:val="1"/>
      <w:numFmt w:val="bullet"/>
      <w:lvlText w:val=""/>
      <w:lvlJc w:val="left"/>
      <w:pPr>
        <w:ind w:left="3720" w:hanging="420"/>
      </w:pPr>
      <w:rPr>
        <w:rFonts w:hint="default" w:ascii="Wingdings" w:hAnsi="Wingdings"/>
      </w:rPr>
    </w:lvl>
    <w:lvl w:ilvl="6" w:tentative="0">
      <w:start w:val="1"/>
      <w:numFmt w:val="bullet"/>
      <w:lvlText w:val=""/>
      <w:lvlJc w:val="left"/>
      <w:pPr>
        <w:ind w:left="4140" w:hanging="420"/>
      </w:pPr>
      <w:rPr>
        <w:rFonts w:hint="default" w:ascii="Wingdings" w:hAnsi="Wingdings"/>
      </w:rPr>
    </w:lvl>
    <w:lvl w:ilvl="7" w:tentative="0">
      <w:start w:val="1"/>
      <w:numFmt w:val="bullet"/>
      <w:lvlText w:val=""/>
      <w:lvlJc w:val="left"/>
      <w:pPr>
        <w:ind w:left="4560" w:hanging="420"/>
      </w:pPr>
      <w:rPr>
        <w:rFonts w:hint="default" w:ascii="Wingdings" w:hAnsi="Wingdings"/>
      </w:rPr>
    </w:lvl>
    <w:lvl w:ilvl="8" w:tentative="0">
      <w:start w:val="1"/>
      <w:numFmt w:val="bullet"/>
      <w:lvlText w:val=""/>
      <w:lvlJc w:val="left"/>
      <w:pPr>
        <w:ind w:left="4980" w:hanging="420"/>
      </w:pPr>
      <w:rPr>
        <w:rFonts w:hint="default" w:ascii="Wingdings" w:hAnsi="Wingdings"/>
      </w:rPr>
    </w:lvl>
  </w:abstractNum>
  <w:abstractNum w:abstractNumId="3">
    <w:nsid w:val="3E992959"/>
    <w:multiLevelType w:val="multilevel"/>
    <w:tmpl w:val="3E992959"/>
    <w:lvl w:ilvl="0" w:tentative="0">
      <w:start w:val="1"/>
      <w:numFmt w:val="decimal"/>
      <w:lvlText w:val="%1."/>
      <w:lvlJc w:val="left"/>
      <w:pPr>
        <w:ind w:left="1680" w:hanging="420"/>
      </w:p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4">
    <w:nsid w:val="4447B9A4"/>
    <w:multiLevelType w:val="singleLevel"/>
    <w:tmpl w:val="4447B9A4"/>
    <w:lvl w:ilvl="0" w:tentative="0">
      <w:start w:val="5"/>
      <w:numFmt w:val="chineseCounting"/>
      <w:suff w:val="space"/>
      <w:lvlText w:val="第%1章"/>
      <w:lvlJc w:val="left"/>
      <w:rPr>
        <w:rFonts w:hint="eastAsia"/>
      </w:rPr>
    </w:lvl>
  </w:abstractNum>
  <w:abstractNum w:abstractNumId="5">
    <w:nsid w:val="5492A447"/>
    <w:multiLevelType w:val="singleLevel"/>
    <w:tmpl w:val="5492A447"/>
    <w:lvl w:ilvl="0" w:tentative="0">
      <w:start w:val="1"/>
      <w:numFmt w:val="chineseCounting"/>
      <w:suff w:val="nothing"/>
      <w:lvlText w:val="（%1）"/>
      <w:lvlJc w:val="left"/>
      <w:pPr>
        <w:ind w:left="0" w:firstLine="420"/>
      </w:pPr>
      <w:rPr>
        <w:rFonts w:hint="eastAsia"/>
        <w:lang w:val="en-US"/>
      </w:rPr>
    </w:lvl>
  </w:abstractNum>
  <w:abstractNum w:abstractNumId="6">
    <w:nsid w:val="5492A5FE"/>
    <w:multiLevelType w:val="multilevel"/>
    <w:tmpl w:val="5492A5FE"/>
    <w:lvl w:ilvl="0" w:tentative="0">
      <w:start w:val="1"/>
      <w:numFmt w:val="decimal"/>
      <w:lvlText w:val="%1."/>
      <w:lvlJc w:val="left"/>
      <w:pPr>
        <w:ind w:left="1140" w:hanging="420"/>
      </w:pPr>
      <w:rPr>
        <w:rFonts w:hint="eastAsia"/>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7">
    <w:nsid w:val="54939EC0"/>
    <w:multiLevelType w:val="singleLevel"/>
    <w:tmpl w:val="54939EC0"/>
    <w:lvl w:ilvl="0" w:tentative="0">
      <w:start w:val="1"/>
      <w:numFmt w:val="chineseCounting"/>
      <w:suff w:val="nothing"/>
      <w:lvlText w:val="（%1）"/>
      <w:lvlJc w:val="left"/>
      <w:pPr>
        <w:ind w:left="0" w:firstLine="420"/>
      </w:pPr>
      <w:rPr>
        <w:rFonts w:hint="eastAsia"/>
      </w:rPr>
    </w:lvl>
  </w:abstractNum>
  <w:abstractNum w:abstractNumId="8">
    <w:nsid w:val="54B8845E"/>
    <w:multiLevelType w:val="singleLevel"/>
    <w:tmpl w:val="54B8845E"/>
    <w:lvl w:ilvl="0" w:tentative="0">
      <w:start w:val="1"/>
      <w:numFmt w:val="decimal"/>
      <w:lvlText w:val="%1."/>
      <w:lvlJc w:val="left"/>
      <w:pPr>
        <w:ind w:left="840" w:hanging="420"/>
      </w:pPr>
      <w:rPr>
        <w:rFonts w:hint="eastAsia"/>
      </w:rPr>
    </w:lvl>
  </w:abstractNum>
  <w:abstractNum w:abstractNumId="9">
    <w:nsid w:val="54B886E9"/>
    <w:multiLevelType w:val="multilevel"/>
    <w:tmpl w:val="54B886E9"/>
    <w:lvl w:ilvl="0" w:tentative="0">
      <w:start w:val="1"/>
      <w:numFmt w:val="decimal"/>
      <w:lvlText w:val="2.%1"/>
      <w:lvlJc w:val="left"/>
      <w:pPr>
        <w:ind w:left="1140" w:hanging="420"/>
      </w:pPr>
      <w:rPr>
        <w:rFonts w:hint="eastAsia" w:ascii="宋体" w:hAnsi="宋体" w:eastAsia="宋体"/>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0">
    <w:nsid w:val="54B8BA9F"/>
    <w:multiLevelType w:val="singleLevel"/>
    <w:tmpl w:val="54B8BA9F"/>
    <w:lvl w:ilvl="0" w:tentative="0">
      <w:start w:val="1"/>
      <w:numFmt w:val="chineseCounting"/>
      <w:suff w:val="nothing"/>
      <w:lvlText w:val="（%1）"/>
      <w:lvlJc w:val="left"/>
      <w:pPr>
        <w:ind w:left="0" w:firstLine="420"/>
      </w:pPr>
      <w:rPr>
        <w:rFonts w:hint="eastAsia"/>
      </w:rPr>
    </w:lvl>
  </w:abstractNum>
  <w:abstractNum w:abstractNumId="11">
    <w:nsid w:val="54B8CBE1"/>
    <w:multiLevelType w:val="multilevel"/>
    <w:tmpl w:val="54B8CBE1"/>
    <w:lvl w:ilvl="0" w:tentative="0">
      <w:start w:val="1"/>
      <w:numFmt w:val="decimal"/>
      <w:lvlText w:val="%1."/>
      <w:lvlJc w:val="left"/>
      <w:pPr>
        <w:ind w:left="1140" w:hanging="420"/>
      </w:pPr>
      <w:rPr>
        <w:rFonts w:hint="eastAsia"/>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2">
    <w:nsid w:val="54BDFD1D"/>
    <w:multiLevelType w:val="singleLevel"/>
    <w:tmpl w:val="54BDFD1D"/>
    <w:lvl w:ilvl="0" w:tentative="0">
      <w:start w:val="1"/>
      <w:numFmt w:val="decimal"/>
      <w:suff w:val="nothing"/>
      <w:lvlText w:val="附件%1："/>
      <w:lvlJc w:val="left"/>
      <w:pPr>
        <w:tabs>
          <w:tab w:val="left" w:pos="-420"/>
        </w:tabs>
        <w:ind w:left="-420" w:firstLine="420"/>
      </w:pPr>
      <w:rPr>
        <w:rFonts w:hint="default" w:ascii="宋体" w:hAnsi="宋体" w:eastAsia="宋体" w:cs="宋体"/>
      </w:rPr>
    </w:lvl>
  </w:abstractNum>
  <w:abstractNum w:abstractNumId="13">
    <w:nsid w:val="5BE10E37"/>
    <w:multiLevelType w:val="multilevel"/>
    <w:tmpl w:val="5BE10E37"/>
    <w:lvl w:ilvl="0" w:tentative="0">
      <w:start w:val="1"/>
      <w:numFmt w:val="chineseCountingThousand"/>
      <w:lvlText w:val="(%1)"/>
      <w:lvlJc w:val="left"/>
      <w:pPr>
        <w:ind w:left="680" w:hanging="440"/>
      </w:pPr>
    </w:lvl>
    <w:lvl w:ilvl="1" w:tentative="0">
      <w:start w:val="1"/>
      <w:numFmt w:val="lowerLetter"/>
      <w:lvlText w:val="%2)"/>
      <w:lvlJc w:val="left"/>
      <w:pPr>
        <w:ind w:left="1120" w:hanging="440"/>
      </w:pPr>
    </w:lvl>
    <w:lvl w:ilvl="2" w:tentative="0">
      <w:start w:val="1"/>
      <w:numFmt w:val="lowerRoman"/>
      <w:lvlText w:val="%3."/>
      <w:lvlJc w:val="right"/>
      <w:pPr>
        <w:ind w:left="1560" w:hanging="440"/>
      </w:pPr>
    </w:lvl>
    <w:lvl w:ilvl="3" w:tentative="0">
      <w:start w:val="1"/>
      <w:numFmt w:val="decimal"/>
      <w:lvlText w:val="%4."/>
      <w:lvlJc w:val="left"/>
      <w:pPr>
        <w:ind w:left="2000" w:hanging="440"/>
      </w:pPr>
    </w:lvl>
    <w:lvl w:ilvl="4" w:tentative="0">
      <w:start w:val="1"/>
      <w:numFmt w:val="lowerLetter"/>
      <w:lvlText w:val="%5)"/>
      <w:lvlJc w:val="left"/>
      <w:pPr>
        <w:ind w:left="2440" w:hanging="440"/>
      </w:pPr>
    </w:lvl>
    <w:lvl w:ilvl="5" w:tentative="0">
      <w:start w:val="1"/>
      <w:numFmt w:val="lowerRoman"/>
      <w:lvlText w:val="%6."/>
      <w:lvlJc w:val="right"/>
      <w:pPr>
        <w:ind w:left="2880" w:hanging="440"/>
      </w:pPr>
    </w:lvl>
    <w:lvl w:ilvl="6" w:tentative="0">
      <w:start w:val="1"/>
      <w:numFmt w:val="decimal"/>
      <w:lvlText w:val="%7."/>
      <w:lvlJc w:val="left"/>
      <w:pPr>
        <w:ind w:left="3320" w:hanging="440"/>
      </w:pPr>
    </w:lvl>
    <w:lvl w:ilvl="7" w:tentative="0">
      <w:start w:val="1"/>
      <w:numFmt w:val="lowerLetter"/>
      <w:lvlText w:val="%8)"/>
      <w:lvlJc w:val="left"/>
      <w:pPr>
        <w:ind w:left="3760" w:hanging="440"/>
      </w:pPr>
    </w:lvl>
    <w:lvl w:ilvl="8" w:tentative="0">
      <w:start w:val="1"/>
      <w:numFmt w:val="lowerRoman"/>
      <w:lvlText w:val="%9."/>
      <w:lvlJc w:val="right"/>
      <w:pPr>
        <w:ind w:left="4200" w:hanging="440"/>
      </w:pPr>
    </w:lvl>
  </w:abstractNum>
  <w:abstractNum w:abstractNumId="14">
    <w:nsid w:val="5E204F3E"/>
    <w:multiLevelType w:val="multilevel"/>
    <w:tmpl w:val="5E204F3E"/>
    <w:lvl w:ilvl="0" w:tentative="0">
      <w:start w:val="1"/>
      <w:numFmt w:val="bullet"/>
      <w:lvlText w:val=""/>
      <w:lvlJc w:val="left"/>
      <w:pPr>
        <w:ind w:left="1620" w:hanging="420"/>
      </w:pPr>
      <w:rPr>
        <w:rFonts w:hint="default" w:ascii="Wingdings" w:hAnsi="Wingdings"/>
      </w:rPr>
    </w:lvl>
    <w:lvl w:ilvl="1" w:tentative="0">
      <w:start w:val="1"/>
      <w:numFmt w:val="bullet"/>
      <w:lvlText w:val=""/>
      <w:lvlJc w:val="left"/>
      <w:pPr>
        <w:ind w:left="2040" w:hanging="420"/>
      </w:pPr>
      <w:rPr>
        <w:rFonts w:hint="default" w:ascii="Wingdings" w:hAnsi="Wingdings"/>
      </w:rPr>
    </w:lvl>
    <w:lvl w:ilvl="2" w:tentative="0">
      <w:start w:val="1"/>
      <w:numFmt w:val="bullet"/>
      <w:lvlText w:val=""/>
      <w:lvlJc w:val="left"/>
      <w:pPr>
        <w:ind w:left="2460" w:hanging="420"/>
      </w:pPr>
      <w:rPr>
        <w:rFonts w:hint="default" w:ascii="Wingdings" w:hAnsi="Wingdings"/>
      </w:rPr>
    </w:lvl>
    <w:lvl w:ilvl="3" w:tentative="0">
      <w:start w:val="1"/>
      <w:numFmt w:val="bullet"/>
      <w:lvlText w:val=""/>
      <w:lvlJc w:val="left"/>
      <w:pPr>
        <w:ind w:left="2880" w:hanging="420"/>
      </w:pPr>
      <w:rPr>
        <w:rFonts w:hint="default" w:ascii="Wingdings" w:hAnsi="Wingdings"/>
      </w:rPr>
    </w:lvl>
    <w:lvl w:ilvl="4" w:tentative="0">
      <w:start w:val="1"/>
      <w:numFmt w:val="bullet"/>
      <w:lvlText w:val=""/>
      <w:lvlJc w:val="left"/>
      <w:pPr>
        <w:ind w:left="3300" w:hanging="420"/>
      </w:pPr>
      <w:rPr>
        <w:rFonts w:hint="default" w:ascii="Wingdings" w:hAnsi="Wingdings"/>
      </w:rPr>
    </w:lvl>
    <w:lvl w:ilvl="5" w:tentative="0">
      <w:start w:val="1"/>
      <w:numFmt w:val="bullet"/>
      <w:lvlText w:val=""/>
      <w:lvlJc w:val="left"/>
      <w:pPr>
        <w:ind w:left="3720" w:hanging="420"/>
      </w:pPr>
      <w:rPr>
        <w:rFonts w:hint="default" w:ascii="Wingdings" w:hAnsi="Wingdings"/>
      </w:rPr>
    </w:lvl>
    <w:lvl w:ilvl="6" w:tentative="0">
      <w:start w:val="1"/>
      <w:numFmt w:val="bullet"/>
      <w:lvlText w:val=""/>
      <w:lvlJc w:val="left"/>
      <w:pPr>
        <w:ind w:left="4140" w:hanging="420"/>
      </w:pPr>
      <w:rPr>
        <w:rFonts w:hint="default" w:ascii="Wingdings" w:hAnsi="Wingdings"/>
      </w:rPr>
    </w:lvl>
    <w:lvl w:ilvl="7" w:tentative="0">
      <w:start w:val="1"/>
      <w:numFmt w:val="bullet"/>
      <w:lvlText w:val=""/>
      <w:lvlJc w:val="left"/>
      <w:pPr>
        <w:ind w:left="4560" w:hanging="420"/>
      </w:pPr>
      <w:rPr>
        <w:rFonts w:hint="default" w:ascii="Wingdings" w:hAnsi="Wingdings"/>
      </w:rPr>
    </w:lvl>
    <w:lvl w:ilvl="8" w:tentative="0">
      <w:start w:val="1"/>
      <w:numFmt w:val="bullet"/>
      <w:lvlText w:val=""/>
      <w:lvlJc w:val="left"/>
      <w:pPr>
        <w:ind w:left="4980" w:hanging="420"/>
      </w:pPr>
      <w:rPr>
        <w:rFonts w:hint="default" w:ascii="Wingdings" w:hAnsi="Wingdings"/>
      </w:rPr>
    </w:lvl>
  </w:abstractNum>
  <w:abstractNum w:abstractNumId="15">
    <w:nsid w:val="652B73EA"/>
    <w:multiLevelType w:val="multilevel"/>
    <w:tmpl w:val="652B73EA"/>
    <w:lvl w:ilvl="0" w:tentative="0">
      <w:start w:val="1"/>
      <w:numFmt w:val="decimal"/>
      <w:lvlText w:val="%1."/>
      <w:lvlJc w:val="left"/>
      <w:pPr>
        <w:ind w:left="1620" w:hanging="420"/>
      </w:pPr>
      <w:rPr>
        <w:rFonts w:hint="default"/>
      </w:rPr>
    </w:lvl>
    <w:lvl w:ilvl="1" w:tentative="0">
      <w:start w:val="1"/>
      <w:numFmt w:val="decimal"/>
      <w:lvlText w:val="%2)"/>
      <w:lvlJc w:val="left"/>
      <w:pPr>
        <w:ind w:left="2040" w:hanging="420"/>
      </w:pPr>
      <w:rPr>
        <w:rFonts w:hint="default"/>
      </w:rPr>
    </w:lvl>
    <w:lvl w:ilvl="2" w:tentative="0">
      <w:start w:val="1"/>
      <w:numFmt w:val="bullet"/>
      <w:lvlText w:val=""/>
      <w:lvlJc w:val="left"/>
      <w:pPr>
        <w:ind w:left="2460" w:hanging="420"/>
      </w:pPr>
      <w:rPr>
        <w:rFonts w:hint="default" w:ascii="Wingdings" w:hAnsi="Wingdings"/>
      </w:rPr>
    </w:lvl>
    <w:lvl w:ilvl="3" w:tentative="0">
      <w:start w:val="1"/>
      <w:numFmt w:val="bullet"/>
      <w:lvlText w:val=""/>
      <w:lvlJc w:val="left"/>
      <w:pPr>
        <w:ind w:left="2880" w:hanging="420"/>
      </w:pPr>
      <w:rPr>
        <w:rFonts w:hint="default" w:ascii="Wingdings" w:hAnsi="Wingdings"/>
      </w:rPr>
    </w:lvl>
    <w:lvl w:ilvl="4" w:tentative="0">
      <w:start w:val="1"/>
      <w:numFmt w:val="bullet"/>
      <w:lvlText w:val=""/>
      <w:lvlJc w:val="left"/>
      <w:pPr>
        <w:ind w:left="3300" w:hanging="420"/>
      </w:pPr>
      <w:rPr>
        <w:rFonts w:hint="default" w:ascii="Wingdings" w:hAnsi="Wingdings"/>
      </w:rPr>
    </w:lvl>
    <w:lvl w:ilvl="5" w:tentative="0">
      <w:start w:val="1"/>
      <w:numFmt w:val="bullet"/>
      <w:lvlText w:val=""/>
      <w:lvlJc w:val="left"/>
      <w:pPr>
        <w:ind w:left="3720" w:hanging="420"/>
      </w:pPr>
      <w:rPr>
        <w:rFonts w:hint="default" w:ascii="Wingdings" w:hAnsi="Wingdings"/>
      </w:rPr>
    </w:lvl>
    <w:lvl w:ilvl="6" w:tentative="0">
      <w:start w:val="1"/>
      <w:numFmt w:val="bullet"/>
      <w:lvlText w:val=""/>
      <w:lvlJc w:val="left"/>
      <w:pPr>
        <w:ind w:left="4140" w:hanging="420"/>
      </w:pPr>
      <w:rPr>
        <w:rFonts w:hint="default" w:ascii="Wingdings" w:hAnsi="Wingdings"/>
      </w:rPr>
    </w:lvl>
    <w:lvl w:ilvl="7" w:tentative="0">
      <w:start w:val="1"/>
      <w:numFmt w:val="bullet"/>
      <w:lvlText w:val=""/>
      <w:lvlJc w:val="left"/>
      <w:pPr>
        <w:ind w:left="4560" w:hanging="420"/>
      </w:pPr>
      <w:rPr>
        <w:rFonts w:hint="default" w:ascii="Wingdings" w:hAnsi="Wingdings"/>
      </w:rPr>
    </w:lvl>
    <w:lvl w:ilvl="8" w:tentative="0">
      <w:start w:val="1"/>
      <w:numFmt w:val="bullet"/>
      <w:lvlText w:val=""/>
      <w:lvlJc w:val="left"/>
      <w:pPr>
        <w:ind w:left="4980" w:hanging="420"/>
      </w:pPr>
      <w:rPr>
        <w:rFonts w:hint="default" w:ascii="Wingdings" w:hAnsi="Wingdings"/>
      </w:rPr>
    </w:lvl>
  </w:abstractNum>
  <w:abstractNum w:abstractNumId="16">
    <w:nsid w:val="68350494"/>
    <w:multiLevelType w:val="multilevel"/>
    <w:tmpl w:val="68350494"/>
    <w:lvl w:ilvl="0" w:tentative="0">
      <w:start w:val="1"/>
      <w:numFmt w:val="decimal"/>
      <w:lvlText w:val="%1."/>
      <w:lvlJc w:val="left"/>
      <w:pPr>
        <w:ind w:left="1680" w:hanging="420"/>
      </w:pPr>
      <w:rPr>
        <w:rFonts w:hint="eastAsia"/>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17">
    <w:nsid w:val="6CF073B7"/>
    <w:multiLevelType w:val="singleLevel"/>
    <w:tmpl w:val="6CF073B7"/>
    <w:lvl w:ilvl="0" w:tentative="0">
      <w:start w:val="1"/>
      <w:numFmt w:val="decimal"/>
      <w:lvlText w:val="%1."/>
      <w:lvlJc w:val="left"/>
      <w:pPr>
        <w:ind w:left="425" w:hanging="425"/>
      </w:pPr>
      <w:rPr>
        <w:rFonts w:hint="default"/>
      </w:rPr>
    </w:lvl>
  </w:abstractNum>
  <w:abstractNum w:abstractNumId="18">
    <w:nsid w:val="7F0A6761"/>
    <w:multiLevelType w:val="multilevel"/>
    <w:tmpl w:val="7F0A6761"/>
    <w:lvl w:ilvl="0" w:tentative="0">
      <w:start w:val="1"/>
      <w:numFmt w:val="bullet"/>
      <w:lvlText w:val=""/>
      <w:lvlJc w:val="left"/>
      <w:pPr>
        <w:ind w:left="1620" w:hanging="420"/>
      </w:pPr>
      <w:rPr>
        <w:rFonts w:hint="default" w:ascii="Wingdings" w:hAnsi="Wingdings"/>
      </w:rPr>
    </w:lvl>
    <w:lvl w:ilvl="1" w:tentative="0">
      <w:start w:val="1"/>
      <w:numFmt w:val="bullet"/>
      <w:lvlText w:val=""/>
      <w:lvlJc w:val="left"/>
      <w:pPr>
        <w:ind w:left="2040" w:hanging="420"/>
      </w:pPr>
      <w:rPr>
        <w:rFonts w:hint="default" w:ascii="Wingdings" w:hAnsi="Wingdings"/>
      </w:rPr>
    </w:lvl>
    <w:lvl w:ilvl="2" w:tentative="0">
      <w:start w:val="1"/>
      <w:numFmt w:val="bullet"/>
      <w:lvlText w:val=""/>
      <w:lvlJc w:val="left"/>
      <w:pPr>
        <w:ind w:left="2460" w:hanging="420"/>
      </w:pPr>
      <w:rPr>
        <w:rFonts w:hint="default" w:ascii="Wingdings" w:hAnsi="Wingdings"/>
      </w:rPr>
    </w:lvl>
    <w:lvl w:ilvl="3" w:tentative="0">
      <w:start w:val="1"/>
      <w:numFmt w:val="bullet"/>
      <w:lvlText w:val=""/>
      <w:lvlJc w:val="left"/>
      <w:pPr>
        <w:ind w:left="2880" w:hanging="420"/>
      </w:pPr>
      <w:rPr>
        <w:rFonts w:hint="default" w:ascii="Wingdings" w:hAnsi="Wingdings"/>
      </w:rPr>
    </w:lvl>
    <w:lvl w:ilvl="4" w:tentative="0">
      <w:start w:val="1"/>
      <w:numFmt w:val="bullet"/>
      <w:lvlText w:val=""/>
      <w:lvlJc w:val="left"/>
      <w:pPr>
        <w:ind w:left="3300" w:hanging="420"/>
      </w:pPr>
      <w:rPr>
        <w:rFonts w:hint="default" w:ascii="Wingdings" w:hAnsi="Wingdings"/>
      </w:rPr>
    </w:lvl>
    <w:lvl w:ilvl="5" w:tentative="0">
      <w:start w:val="1"/>
      <w:numFmt w:val="bullet"/>
      <w:lvlText w:val=""/>
      <w:lvlJc w:val="left"/>
      <w:pPr>
        <w:ind w:left="3720" w:hanging="420"/>
      </w:pPr>
      <w:rPr>
        <w:rFonts w:hint="default" w:ascii="Wingdings" w:hAnsi="Wingdings"/>
      </w:rPr>
    </w:lvl>
    <w:lvl w:ilvl="6" w:tentative="0">
      <w:start w:val="1"/>
      <w:numFmt w:val="bullet"/>
      <w:lvlText w:val=""/>
      <w:lvlJc w:val="left"/>
      <w:pPr>
        <w:ind w:left="4140" w:hanging="420"/>
      </w:pPr>
      <w:rPr>
        <w:rFonts w:hint="default" w:ascii="Wingdings" w:hAnsi="Wingdings"/>
      </w:rPr>
    </w:lvl>
    <w:lvl w:ilvl="7" w:tentative="0">
      <w:start w:val="1"/>
      <w:numFmt w:val="bullet"/>
      <w:lvlText w:val=""/>
      <w:lvlJc w:val="left"/>
      <w:pPr>
        <w:ind w:left="4560" w:hanging="420"/>
      </w:pPr>
      <w:rPr>
        <w:rFonts w:hint="default" w:ascii="Wingdings" w:hAnsi="Wingdings"/>
      </w:rPr>
    </w:lvl>
    <w:lvl w:ilvl="8" w:tentative="0">
      <w:start w:val="1"/>
      <w:numFmt w:val="bullet"/>
      <w:lvlText w:val=""/>
      <w:lvlJc w:val="left"/>
      <w:pPr>
        <w:ind w:left="4980" w:hanging="420"/>
      </w:pPr>
      <w:rPr>
        <w:rFonts w:hint="default" w:ascii="Wingdings" w:hAnsi="Wingdings"/>
      </w:rPr>
    </w:lvl>
  </w:abstractNum>
  <w:num w:numId="1">
    <w:abstractNumId w:val="7"/>
  </w:num>
  <w:num w:numId="2">
    <w:abstractNumId w:val="4"/>
  </w:num>
  <w:num w:numId="3">
    <w:abstractNumId w:val="1"/>
  </w:num>
  <w:num w:numId="4">
    <w:abstractNumId w:val="13"/>
  </w:num>
  <w:num w:numId="5">
    <w:abstractNumId w:val="5"/>
  </w:num>
  <w:num w:numId="6">
    <w:abstractNumId w:val="6"/>
  </w:num>
  <w:num w:numId="7">
    <w:abstractNumId w:val="17"/>
  </w:num>
  <w:num w:numId="8">
    <w:abstractNumId w:val="11"/>
  </w:num>
  <w:num w:numId="9">
    <w:abstractNumId w:val="2"/>
  </w:num>
  <w:num w:numId="10">
    <w:abstractNumId w:val="15"/>
  </w:num>
  <w:num w:numId="11">
    <w:abstractNumId w:val="18"/>
  </w:num>
  <w:num w:numId="12">
    <w:abstractNumId w:val="8"/>
  </w:num>
  <w:num w:numId="13">
    <w:abstractNumId w:val="9"/>
  </w:num>
  <w:num w:numId="14">
    <w:abstractNumId w:val="14"/>
  </w:num>
  <w:num w:numId="15">
    <w:abstractNumId w:val="10"/>
  </w:num>
  <w:num w:numId="16">
    <w:abstractNumId w:val="0"/>
  </w:num>
  <w:num w:numId="17">
    <w:abstractNumId w:val="3"/>
  </w:num>
  <w:num w:numId="18">
    <w:abstractNumId w:val="16"/>
  </w:num>
  <w:num w:numId="19">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iZDIzMjBhYjY3YjcwYmIxYWI1NjM4YzVmYjEyMDMifQ=="/>
  </w:docVars>
  <w:rsids>
    <w:rsidRoot w:val="00650CB5"/>
    <w:rsid w:val="00005769"/>
    <w:rsid w:val="00017B62"/>
    <w:rsid w:val="00065A99"/>
    <w:rsid w:val="000759F4"/>
    <w:rsid w:val="00080D21"/>
    <w:rsid w:val="000A1A1F"/>
    <w:rsid w:val="000B617C"/>
    <w:rsid w:val="000C2A48"/>
    <w:rsid w:val="000D4BDC"/>
    <w:rsid w:val="000E1123"/>
    <w:rsid w:val="000E7F35"/>
    <w:rsid w:val="000F1227"/>
    <w:rsid w:val="00100BE6"/>
    <w:rsid w:val="00106DCD"/>
    <w:rsid w:val="001104A3"/>
    <w:rsid w:val="00110D24"/>
    <w:rsid w:val="00113C4B"/>
    <w:rsid w:val="00122EAD"/>
    <w:rsid w:val="00130323"/>
    <w:rsid w:val="00132318"/>
    <w:rsid w:val="001521EA"/>
    <w:rsid w:val="00165EB8"/>
    <w:rsid w:val="00172995"/>
    <w:rsid w:val="00177C5E"/>
    <w:rsid w:val="00185803"/>
    <w:rsid w:val="001878D0"/>
    <w:rsid w:val="001C2955"/>
    <w:rsid w:val="001D7155"/>
    <w:rsid w:val="001E16C3"/>
    <w:rsid w:val="001E245A"/>
    <w:rsid w:val="001F4F20"/>
    <w:rsid w:val="002132C3"/>
    <w:rsid w:val="00244658"/>
    <w:rsid w:val="002531A3"/>
    <w:rsid w:val="0025345A"/>
    <w:rsid w:val="0025400F"/>
    <w:rsid w:val="00254F20"/>
    <w:rsid w:val="002666CB"/>
    <w:rsid w:val="00280264"/>
    <w:rsid w:val="00282E52"/>
    <w:rsid w:val="002C02AC"/>
    <w:rsid w:val="002C57C9"/>
    <w:rsid w:val="002E36F5"/>
    <w:rsid w:val="002E4117"/>
    <w:rsid w:val="002F0F6A"/>
    <w:rsid w:val="003025E6"/>
    <w:rsid w:val="0030387B"/>
    <w:rsid w:val="003320F2"/>
    <w:rsid w:val="003432F1"/>
    <w:rsid w:val="00365759"/>
    <w:rsid w:val="00366B5D"/>
    <w:rsid w:val="00366DD0"/>
    <w:rsid w:val="00374B03"/>
    <w:rsid w:val="003C7CB8"/>
    <w:rsid w:val="003D2560"/>
    <w:rsid w:val="003E12D9"/>
    <w:rsid w:val="003F0DF3"/>
    <w:rsid w:val="004073A9"/>
    <w:rsid w:val="00407D9E"/>
    <w:rsid w:val="00412860"/>
    <w:rsid w:val="00415CEA"/>
    <w:rsid w:val="00435C92"/>
    <w:rsid w:val="00436477"/>
    <w:rsid w:val="00443B09"/>
    <w:rsid w:val="00445F1A"/>
    <w:rsid w:val="0045692A"/>
    <w:rsid w:val="004605E2"/>
    <w:rsid w:val="00493532"/>
    <w:rsid w:val="004B3B55"/>
    <w:rsid w:val="004B4560"/>
    <w:rsid w:val="004D2193"/>
    <w:rsid w:val="004D4C18"/>
    <w:rsid w:val="004F6257"/>
    <w:rsid w:val="004F63B8"/>
    <w:rsid w:val="00500ECD"/>
    <w:rsid w:val="005038C9"/>
    <w:rsid w:val="00511BF3"/>
    <w:rsid w:val="00515175"/>
    <w:rsid w:val="00522AB3"/>
    <w:rsid w:val="00543836"/>
    <w:rsid w:val="005A1DC9"/>
    <w:rsid w:val="005B1E73"/>
    <w:rsid w:val="005B7DEA"/>
    <w:rsid w:val="005C788B"/>
    <w:rsid w:val="005D0B97"/>
    <w:rsid w:val="005D28C6"/>
    <w:rsid w:val="005E6665"/>
    <w:rsid w:val="005F03EE"/>
    <w:rsid w:val="00603CD9"/>
    <w:rsid w:val="006133E8"/>
    <w:rsid w:val="00614F74"/>
    <w:rsid w:val="00617E06"/>
    <w:rsid w:val="0062065E"/>
    <w:rsid w:val="006254A9"/>
    <w:rsid w:val="00631FFA"/>
    <w:rsid w:val="00632B4F"/>
    <w:rsid w:val="00650CB5"/>
    <w:rsid w:val="00672836"/>
    <w:rsid w:val="0069146A"/>
    <w:rsid w:val="00693FF3"/>
    <w:rsid w:val="006966B0"/>
    <w:rsid w:val="006971BE"/>
    <w:rsid w:val="006C5047"/>
    <w:rsid w:val="006C7B5D"/>
    <w:rsid w:val="006E5592"/>
    <w:rsid w:val="00703AFB"/>
    <w:rsid w:val="00711E51"/>
    <w:rsid w:val="00720F30"/>
    <w:rsid w:val="00722A43"/>
    <w:rsid w:val="007233C9"/>
    <w:rsid w:val="00744D3E"/>
    <w:rsid w:val="00746958"/>
    <w:rsid w:val="00770143"/>
    <w:rsid w:val="00780E14"/>
    <w:rsid w:val="007B6094"/>
    <w:rsid w:val="007D30A2"/>
    <w:rsid w:val="00803AB4"/>
    <w:rsid w:val="00805110"/>
    <w:rsid w:val="00817C0B"/>
    <w:rsid w:val="00830FF1"/>
    <w:rsid w:val="00833448"/>
    <w:rsid w:val="00835FA9"/>
    <w:rsid w:val="00872421"/>
    <w:rsid w:val="008942A9"/>
    <w:rsid w:val="008A347A"/>
    <w:rsid w:val="008B52F3"/>
    <w:rsid w:val="008D0A1C"/>
    <w:rsid w:val="008D1A82"/>
    <w:rsid w:val="008E0D95"/>
    <w:rsid w:val="008E3B90"/>
    <w:rsid w:val="008E4ECE"/>
    <w:rsid w:val="008F27D4"/>
    <w:rsid w:val="0090450E"/>
    <w:rsid w:val="009159F9"/>
    <w:rsid w:val="00920EB4"/>
    <w:rsid w:val="00946D71"/>
    <w:rsid w:val="00950B52"/>
    <w:rsid w:val="009540CD"/>
    <w:rsid w:val="00955353"/>
    <w:rsid w:val="009618ED"/>
    <w:rsid w:val="009679AB"/>
    <w:rsid w:val="00980505"/>
    <w:rsid w:val="009842E0"/>
    <w:rsid w:val="00995493"/>
    <w:rsid w:val="009B31B5"/>
    <w:rsid w:val="009B47B4"/>
    <w:rsid w:val="009B629F"/>
    <w:rsid w:val="009C7BB0"/>
    <w:rsid w:val="009E0C7C"/>
    <w:rsid w:val="00A00603"/>
    <w:rsid w:val="00A0194C"/>
    <w:rsid w:val="00A26643"/>
    <w:rsid w:val="00A432A8"/>
    <w:rsid w:val="00A523D4"/>
    <w:rsid w:val="00A55A68"/>
    <w:rsid w:val="00A7127F"/>
    <w:rsid w:val="00A726C8"/>
    <w:rsid w:val="00A7408C"/>
    <w:rsid w:val="00A8094F"/>
    <w:rsid w:val="00A85076"/>
    <w:rsid w:val="00A85A39"/>
    <w:rsid w:val="00AA397F"/>
    <w:rsid w:val="00AB69E6"/>
    <w:rsid w:val="00AE7BD4"/>
    <w:rsid w:val="00B033CE"/>
    <w:rsid w:val="00B12FCA"/>
    <w:rsid w:val="00B26AD6"/>
    <w:rsid w:val="00B43381"/>
    <w:rsid w:val="00B80D7A"/>
    <w:rsid w:val="00B93123"/>
    <w:rsid w:val="00BC65DF"/>
    <w:rsid w:val="00BE11A3"/>
    <w:rsid w:val="00C067DB"/>
    <w:rsid w:val="00C07318"/>
    <w:rsid w:val="00C16BD3"/>
    <w:rsid w:val="00C2091A"/>
    <w:rsid w:val="00C223CB"/>
    <w:rsid w:val="00C25AC3"/>
    <w:rsid w:val="00C27BDB"/>
    <w:rsid w:val="00C27D5A"/>
    <w:rsid w:val="00C5351B"/>
    <w:rsid w:val="00C65530"/>
    <w:rsid w:val="00C72A32"/>
    <w:rsid w:val="00C800AD"/>
    <w:rsid w:val="00C80909"/>
    <w:rsid w:val="00C82077"/>
    <w:rsid w:val="00CB2469"/>
    <w:rsid w:val="00CB5D76"/>
    <w:rsid w:val="00CC03E5"/>
    <w:rsid w:val="00CD24F9"/>
    <w:rsid w:val="00CF68DD"/>
    <w:rsid w:val="00D14FDB"/>
    <w:rsid w:val="00D23159"/>
    <w:rsid w:val="00D61027"/>
    <w:rsid w:val="00D61889"/>
    <w:rsid w:val="00D61B28"/>
    <w:rsid w:val="00D67E6D"/>
    <w:rsid w:val="00D93A2E"/>
    <w:rsid w:val="00D956CC"/>
    <w:rsid w:val="00DA77A8"/>
    <w:rsid w:val="00DB3AA4"/>
    <w:rsid w:val="00DC775F"/>
    <w:rsid w:val="00DF153C"/>
    <w:rsid w:val="00DF772A"/>
    <w:rsid w:val="00E03424"/>
    <w:rsid w:val="00E146EC"/>
    <w:rsid w:val="00E17127"/>
    <w:rsid w:val="00E623DA"/>
    <w:rsid w:val="00E750CF"/>
    <w:rsid w:val="00E854E8"/>
    <w:rsid w:val="00EA26AC"/>
    <w:rsid w:val="00EA400B"/>
    <w:rsid w:val="00ED6D62"/>
    <w:rsid w:val="00EE7B54"/>
    <w:rsid w:val="00F56BA6"/>
    <w:rsid w:val="00F62ED9"/>
    <w:rsid w:val="00F6569E"/>
    <w:rsid w:val="00F65FEB"/>
    <w:rsid w:val="00F6619E"/>
    <w:rsid w:val="00F676E8"/>
    <w:rsid w:val="00F91E8B"/>
    <w:rsid w:val="00FA0089"/>
    <w:rsid w:val="00FB1D47"/>
    <w:rsid w:val="00FC65B8"/>
    <w:rsid w:val="00FF5584"/>
    <w:rsid w:val="01545A05"/>
    <w:rsid w:val="01EC0AA0"/>
    <w:rsid w:val="020411DA"/>
    <w:rsid w:val="025B0D98"/>
    <w:rsid w:val="04137926"/>
    <w:rsid w:val="04531FA4"/>
    <w:rsid w:val="045A3CD7"/>
    <w:rsid w:val="048760F2"/>
    <w:rsid w:val="04E03A46"/>
    <w:rsid w:val="04FB0ECF"/>
    <w:rsid w:val="0571302A"/>
    <w:rsid w:val="057142EE"/>
    <w:rsid w:val="069B6055"/>
    <w:rsid w:val="07156226"/>
    <w:rsid w:val="07E55609"/>
    <w:rsid w:val="08A9504E"/>
    <w:rsid w:val="098A6AB8"/>
    <w:rsid w:val="0A1D1ABD"/>
    <w:rsid w:val="0A401ACD"/>
    <w:rsid w:val="0C3D530F"/>
    <w:rsid w:val="0C445D0F"/>
    <w:rsid w:val="0C8A701F"/>
    <w:rsid w:val="0E15651D"/>
    <w:rsid w:val="0E1E442E"/>
    <w:rsid w:val="0F15207A"/>
    <w:rsid w:val="119D0DBB"/>
    <w:rsid w:val="12076974"/>
    <w:rsid w:val="126E269F"/>
    <w:rsid w:val="12F608A2"/>
    <w:rsid w:val="14CD36F2"/>
    <w:rsid w:val="14EB747B"/>
    <w:rsid w:val="15997A33"/>
    <w:rsid w:val="16005432"/>
    <w:rsid w:val="163712B2"/>
    <w:rsid w:val="16A677CD"/>
    <w:rsid w:val="16AD7C3A"/>
    <w:rsid w:val="176C179A"/>
    <w:rsid w:val="17797F9A"/>
    <w:rsid w:val="1898050E"/>
    <w:rsid w:val="189D44F3"/>
    <w:rsid w:val="193B06B8"/>
    <w:rsid w:val="19871F2D"/>
    <w:rsid w:val="1BA801E2"/>
    <w:rsid w:val="1CD4601C"/>
    <w:rsid w:val="1D7713D4"/>
    <w:rsid w:val="1D9E02DC"/>
    <w:rsid w:val="1E9C2D34"/>
    <w:rsid w:val="1FE30086"/>
    <w:rsid w:val="204D5D07"/>
    <w:rsid w:val="232F754A"/>
    <w:rsid w:val="23952182"/>
    <w:rsid w:val="23FF584D"/>
    <w:rsid w:val="242332EA"/>
    <w:rsid w:val="248B29EF"/>
    <w:rsid w:val="26453D19"/>
    <w:rsid w:val="2660342B"/>
    <w:rsid w:val="27127645"/>
    <w:rsid w:val="27A91D58"/>
    <w:rsid w:val="27FB5720"/>
    <w:rsid w:val="289C2F81"/>
    <w:rsid w:val="289D1143"/>
    <w:rsid w:val="291430B9"/>
    <w:rsid w:val="295403E9"/>
    <w:rsid w:val="2A273408"/>
    <w:rsid w:val="2A564F7F"/>
    <w:rsid w:val="2AB729DE"/>
    <w:rsid w:val="2AD6555A"/>
    <w:rsid w:val="2B57151A"/>
    <w:rsid w:val="2CD206AC"/>
    <w:rsid w:val="2DEC1B6D"/>
    <w:rsid w:val="2E6C768F"/>
    <w:rsid w:val="2EEB46D3"/>
    <w:rsid w:val="2F2953BE"/>
    <w:rsid w:val="2F3D47DD"/>
    <w:rsid w:val="306467DC"/>
    <w:rsid w:val="30CB2E10"/>
    <w:rsid w:val="317309E2"/>
    <w:rsid w:val="31B47818"/>
    <w:rsid w:val="3202774E"/>
    <w:rsid w:val="32C22EE0"/>
    <w:rsid w:val="32EA3A01"/>
    <w:rsid w:val="3375653F"/>
    <w:rsid w:val="338A1CA1"/>
    <w:rsid w:val="342509B8"/>
    <w:rsid w:val="342A3881"/>
    <w:rsid w:val="34735BC7"/>
    <w:rsid w:val="356E638F"/>
    <w:rsid w:val="35AE4064"/>
    <w:rsid w:val="371B504E"/>
    <w:rsid w:val="38070EDB"/>
    <w:rsid w:val="39B93D6E"/>
    <w:rsid w:val="39C76950"/>
    <w:rsid w:val="3AAB4447"/>
    <w:rsid w:val="3AC30F2B"/>
    <w:rsid w:val="3BA07529"/>
    <w:rsid w:val="3BF3166B"/>
    <w:rsid w:val="3C445F71"/>
    <w:rsid w:val="3F105813"/>
    <w:rsid w:val="3F7D109F"/>
    <w:rsid w:val="3FF621E0"/>
    <w:rsid w:val="41264365"/>
    <w:rsid w:val="416B22B2"/>
    <w:rsid w:val="41C0670C"/>
    <w:rsid w:val="41EC49D0"/>
    <w:rsid w:val="43193BA5"/>
    <w:rsid w:val="438753F9"/>
    <w:rsid w:val="458F38CB"/>
    <w:rsid w:val="46426007"/>
    <w:rsid w:val="47665166"/>
    <w:rsid w:val="47B642F1"/>
    <w:rsid w:val="48B55035"/>
    <w:rsid w:val="48D53DA5"/>
    <w:rsid w:val="490D6193"/>
    <w:rsid w:val="49CE41A9"/>
    <w:rsid w:val="49E757FA"/>
    <w:rsid w:val="4AEC2662"/>
    <w:rsid w:val="4B5F38EA"/>
    <w:rsid w:val="4BB02E05"/>
    <w:rsid w:val="4BD43D34"/>
    <w:rsid w:val="4C224323"/>
    <w:rsid w:val="4C912C2B"/>
    <w:rsid w:val="4CAA5AA7"/>
    <w:rsid w:val="4CEB0AFD"/>
    <w:rsid w:val="4DA2678B"/>
    <w:rsid w:val="4DD41178"/>
    <w:rsid w:val="4E8D0AA1"/>
    <w:rsid w:val="4EF63185"/>
    <w:rsid w:val="4F612EF7"/>
    <w:rsid w:val="4F6E1BEC"/>
    <w:rsid w:val="4FC35ECF"/>
    <w:rsid w:val="505828B7"/>
    <w:rsid w:val="50946A1B"/>
    <w:rsid w:val="50C572AF"/>
    <w:rsid w:val="51422A86"/>
    <w:rsid w:val="526112FD"/>
    <w:rsid w:val="527E1EAF"/>
    <w:rsid w:val="52AC15CD"/>
    <w:rsid w:val="530A5D69"/>
    <w:rsid w:val="539E6A2C"/>
    <w:rsid w:val="53B33409"/>
    <w:rsid w:val="53FE56C2"/>
    <w:rsid w:val="558A7FCB"/>
    <w:rsid w:val="55F078F5"/>
    <w:rsid w:val="55F1520B"/>
    <w:rsid w:val="589C3867"/>
    <w:rsid w:val="5A593D91"/>
    <w:rsid w:val="5ADA105F"/>
    <w:rsid w:val="5C1D6295"/>
    <w:rsid w:val="5C7E45B0"/>
    <w:rsid w:val="5D221689"/>
    <w:rsid w:val="5E0B7A64"/>
    <w:rsid w:val="5E5C1B80"/>
    <w:rsid w:val="5E872CF8"/>
    <w:rsid w:val="5EF01A3F"/>
    <w:rsid w:val="601935D8"/>
    <w:rsid w:val="602A50CA"/>
    <w:rsid w:val="606F2D5D"/>
    <w:rsid w:val="6198016C"/>
    <w:rsid w:val="61DC62AA"/>
    <w:rsid w:val="62B204CD"/>
    <w:rsid w:val="634265E1"/>
    <w:rsid w:val="63EE34B9"/>
    <w:rsid w:val="640E6F33"/>
    <w:rsid w:val="652348B9"/>
    <w:rsid w:val="65784910"/>
    <w:rsid w:val="66011168"/>
    <w:rsid w:val="66216982"/>
    <w:rsid w:val="665572AD"/>
    <w:rsid w:val="66637402"/>
    <w:rsid w:val="66CB7ADA"/>
    <w:rsid w:val="67174343"/>
    <w:rsid w:val="673E5311"/>
    <w:rsid w:val="67AA5C81"/>
    <w:rsid w:val="67F00D02"/>
    <w:rsid w:val="680E2F36"/>
    <w:rsid w:val="68430781"/>
    <w:rsid w:val="68C905CA"/>
    <w:rsid w:val="68FD62F9"/>
    <w:rsid w:val="69A9560C"/>
    <w:rsid w:val="69D0388D"/>
    <w:rsid w:val="6A717184"/>
    <w:rsid w:val="6B4A084F"/>
    <w:rsid w:val="6B660D3C"/>
    <w:rsid w:val="6D206F1C"/>
    <w:rsid w:val="6DE97CFE"/>
    <w:rsid w:val="6FFA527B"/>
    <w:rsid w:val="708B7819"/>
    <w:rsid w:val="71341C5F"/>
    <w:rsid w:val="714D14A2"/>
    <w:rsid w:val="723914F7"/>
    <w:rsid w:val="724E32D1"/>
    <w:rsid w:val="73B65375"/>
    <w:rsid w:val="73B66806"/>
    <w:rsid w:val="741240A1"/>
    <w:rsid w:val="744A4D94"/>
    <w:rsid w:val="7488554D"/>
    <w:rsid w:val="74A77B40"/>
    <w:rsid w:val="74CB0B2C"/>
    <w:rsid w:val="756A088D"/>
    <w:rsid w:val="75D5437D"/>
    <w:rsid w:val="772F198C"/>
    <w:rsid w:val="776E2853"/>
    <w:rsid w:val="77915106"/>
    <w:rsid w:val="78F817C4"/>
    <w:rsid w:val="7AB43E11"/>
    <w:rsid w:val="7AF65314"/>
    <w:rsid w:val="7B93248B"/>
    <w:rsid w:val="7BE800AB"/>
    <w:rsid w:val="7CD42548"/>
    <w:rsid w:val="7D007EFF"/>
    <w:rsid w:val="7DD16A88"/>
    <w:rsid w:val="7DE20C95"/>
    <w:rsid w:val="7DE809B6"/>
    <w:rsid w:val="7E8458A8"/>
    <w:rsid w:val="7F882454"/>
    <w:rsid w:val="7FC129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1"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pPr>
    <w:rPr>
      <w:rFonts w:ascii="Times New Roman" w:hAnsi="Times New Roman" w:eastAsia="Calibri" w:cs="Times New Roman"/>
      <w:sz w:val="22"/>
      <w:szCs w:val="22"/>
      <w:lang w:val="en-US" w:eastAsia="en-US" w:bidi="ar-SA"/>
    </w:rPr>
  </w:style>
  <w:style w:type="paragraph" w:styleId="2">
    <w:name w:val="heading 1"/>
    <w:basedOn w:val="1"/>
    <w:next w:val="1"/>
    <w:link w:val="30"/>
    <w:autoRedefine/>
    <w:qFormat/>
    <w:uiPriority w:val="1"/>
    <w:pPr>
      <w:ind w:left="3"/>
      <w:outlineLvl w:val="0"/>
    </w:pPr>
    <w:rPr>
      <w:rFonts w:ascii="Microsoft JhengHei" w:hAnsi="Microsoft JhengHei" w:eastAsia="Microsoft JhengHei"/>
      <w:b/>
      <w:bCs/>
      <w:sz w:val="44"/>
      <w:szCs w:val="44"/>
    </w:rPr>
  </w:style>
  <w:style w:type="paragraph" w:styleId="3">
    <w:name w:val="heading 3"/>
    <w:basedOn w:val="1"/>
    <w:next w:val="1"/>
    <w:link w:val="31"/>
    <w:autoRedefine/>
    <w:qFormat/>
    <w:uiPriority w:val="1"/>
    <w:pPr>
      <w:ind w:left="100"/>
      <w:outlineLvl w:val="2"/>
    </w:pPr>
    <w:rPr>
      <w:rFonts w:ascii="Microsoft JhengHei" w:hAnsi="Microsoft JhengHei" w:eastAsia="Microsoft JhengHei"/>
      <w:b/>
      <w:bCs/>
      <w:sz w:val="32"/>
      <w:szCs w:val="32"/>
    </w:rPr>
  </w:style>
  <w:style w:type="paragraph" w:styleId="4">
    <w:name w:val="heading 4"/>
    <w:basedOn w:val="1"/>
    <w:next w:val="1"/>
    <w:link w:val="32"/>
    <w:autoRedefine/>
    <w:qFormat/>
    <w:uiPriority w:val="1"/>
    <w:pPr>
      <w:ind w:left="237"/>
      <w:outlineLvl w:val="3"/>
    </w:pPr>
    <w:rPr>
      <w:rFonts w:ascii="宋体" w:hAnsi="宋体" w:eastAsia="宋体"/>
      <w:sz w:val="28"/>
      <w:szCs w:val="28"/>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spacing w:line="300" w:lineRule="auto"/>
      <w:jc w:val="center"/>
    </w:pPr>
    <w:rPr>
      <w:rFonts w:ascii="宋体" w:hAnsi="宋体" w:eastAsia="宋体" w:cs="宋体"/>
      <w:bCs/>
      <w:color w:val="FF0000"/>
      <w:sz w:val="21"/>
      <w:szCs w:val="21"/>
      <w:lang w:eastAsia="zh-CN"/>
    </w:rPr>
  </w:style>
  <w:style w:type="paragraph" w:styleId="6">
    <w:name w:val="annotation text"/>
    <w:basedOn w:val="1"/>
    <w:link w:val="33"/>
    <w:autoRedefine/>
    <w:qFormat/>
    <w:uiPriority w:val="0"/>
  </w:style>
  <w:style w:type="paragraph" w:styleId="7">
    <w:name w:val="Body Text 3"/>
    <w:basedOn w:val="1"/>
    <w:link w:val="34"/>
    <w:autoRedefine/>
    <w:qFormat/>
    <w:uiPriority w:val="0"/>
    <w:pPr>
      <w:jc w:val="both"/>
    </w:pPr>
    <w:rPr>
      <w:rFonts w:ascii="宋体" w:eastAsia="宋体"/>
      <w:sz w:val="24"/>
      <w:szCs w:val="20"/>
    </w:rPr>
  </w:style>
  <w:style w:type="paragraph" w:styleId="8">
    <w:name w:val="Body Text"/>
    <w:basedOn w:val="1"/>
    <w:next w:val="1"/>
    <w:link w:val="29"/>
    <w:autoRedefine/>
    <w:qFormat/>
    <w:uiPriority w:val="1"/>
    <w:pPr>
      <w:ind w:left="100"/>
    </w:pPr>
    <w:rPr>
      <w:rFonts w:ascii="宋体" w:hAnsi="宋体" w:eastAsia="宋体"/>
      <w:sz w:val="20"/>
      <w:szCs w:val="21"/>
    </w:rPr>
  </w:style>
  <w:style w:type="paragraph" w:styleId="9">
    <w:name w:val="Body Text Indent"/>
    <w:basedOn w:val="1"/>
    <w:next w:val="10"/>
    <w:autoRedefine/>
    <w:qFormat/>
    <w:uiPriority w:val="0"/>
    <w:pPr>
      <w:ind w:firstLine="600" w:firstLineChars="200"/>
    </w:pPr>
    <w:rPr>
      <w:rFonts w:ascii="宋体"/>
      <w:sz w:val="30"/>
      <w:szCs w:val="20"/>
    </w:rPr>
  </w:style>
  <w:style w:type="paragraph" w:styleId="10">
    <w:name w:val="envelope return"/>
    <w:basedOn w:val="1"/>
    <w:autoRedefine/>
    <w:qFormat/>
    <w:uiPriority w:val="0"/>
    <w:pPr>
      <w:snapToGrid w:val="0"/>
    </w:pPr>
    <w:rPr>
      <w:rFonts w:ascii="Arial" w:hAnsi="Arial" w:eastAsia="宋体"/>
      <w:szCs w:val="24"/>
    </w:rPr>
  </w:style>
  <w:style w:type="paragraph" w:styleId="11">
    <w:name w:val="toc 3"/>
    <w:basedOn w:val="1"/>
    <w:next w:val="1"/>
    <w:autoRedefine/>
    <w:qFormat/>
    <w:uiPriority w:val="39"/>
    <w:pPr>
      <w:ind w:left="520"/>
    </w:pPr>
    <w:rPr>
      <w:rFonts w:ascii="宋体" w:hAnsi="宋体" w:eastAsia="宋体"/>
      <w:sz w:val="21"/>
      <w:szCs w:val="21"/>
    </w:rPr>
  </w:style>
  <w:style w:type="paragraph" w:styleId="12">
    <w:name w:val="Plain Text"/>
    <w:basedOn w:val="1"/>
    <w:next w:val="1"/>
    <w:link w:val="35"/>
    <w:autoRedefine/>
    <w:qFormat/>
    <w:uiPriority w:val="0"/>
    <w:pPr>
      <w:jc w:val="both"/>
    </w:pPr>
    <w:rPr>
      <w:rFonts w:ascii="宋体" w:hAnsi="Courier New" w:eastAsia="宋体"/>
      <w:sz w:val="20"/>
      <w:szCs w:val="20"/>
    </w:rPr>
  </w:style>
  <w:style w:type="paragraph" w:styleId="13">
    <w:name w:val="Balloon Text"/>
    <w:basedOn w:val="1"/>
    <w:link w:val="36"/>
    <w:autoRedefine/>
    <w:qFormat/>
    <w:uiPriority w:val="0"/>
    <w:rPr>
      <w:sz w:val="18"/>
      <w:szCs w:val="18"/>
    </w:rPr>
  </w:style>
  <w:style w:type="paragraph" w:styleId="14">
    <w:name w:val="footer"/>
    <w:basedOn w:val="1"/>
    <w:link w:val="37"/>
    <w:autoRedefine/>
    <w:qFormat/>
    <w:uiPriority w:val="99"/>
    <w:pPr>
      <w:tabs>
        <w:tab w:val="center" w:pos="4153"/>
        <w:tab w:val="right" w:pos="8306"/>
      </w:tabs>
      <w:snapToGrid w:val="0"/>
    </w:pPr>
    <w:rPr>
      <w:sz w:val="18"/>
      <w:szCs w:val="18"/>
    </w:rPr>
  </w:style>
  <w:style w:type="paragraph" w:styleId="15">
    <w:name w:val="header"/>
    <w:basedOn w:val="1"/>
    <w:link w:val="38"/>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rPr>
      <w:rFonts w:ascii="宋体" w:hAnsi="宋体" w:eastAsia="宋体"/>
      <w:sz w:val="21"/>
      <w:szCs w:val="21"/>
    </w:rPr>
  </w:style>
  <w:style w:type="paragraph" w:styleId="17">
    <w:name w:val="toc 2"/>
    <w:basedOn w:val="1"/>
    <w:next w:val="1"/>
    <w:autoRedefine/>
    <w:qFormat/>
    <w:uiPriority w:val="1"/>
    <w:pPr>
      <w:ind w:left="100"/>
    </w:pPr>
    <w:rPr>
      <w:rFonts w:ascii="宋体" w:hAnsi="宋体" w:eastAsia="宋体"/>
      <w:sz w:val="21"/>
      <w:szCs w:val="21"/>
    </w:rPr>
  </w:style>
  <w:style w:type="paragraph" w:styleId="18">
    <w:name w:val="Normal (Web)"/>
    <w:basedOn w:val="1"/>
    <w:autoRedefine/>
    <w:unhideWhenUsed/>
    <w:qFormat/>
    <w:uiPriority w:val="99"/>
    <w:pPr>
      <w:widowControl/>
    </w:pPr>
    <w:rPr>
      <w:rFonts w:ascii="微软雅黑" w:hAnsi="微软雅黑" w:eastAsia="微软雅黑" w:cs="宋体"/>
      <w:sz w:val="24"/>
      <w:szCs w:val="24"/>
      <w:lang w:eastAsia="zh-CN"/>
    </w:rPr>
  </w:style>
  <w:style w:type="paragraph" w:styleId="19">
    <w:name w:val="annotation subject"/>
    <w:basedOn w:val="6"/>
    <w:next w:val="6"/>
    <w:link w:val="39"/>
    <w:autoRedefine/>
    <w:qFormat/>
    <w:uiPriority w:val="0"/>
    <w:rPr>
      <w:b/>
      <w:bCs/>
    </w:rPr>
  </w:style>
  <w:style w:type="paragraph" w:styleId="20">
    <w:name w:val="Body Text First Indent"/>
    <w:basedOn w:val="8"/>
    <w:link w:val="40"/>
    <w:autoRedefine/>
    <w:qFormat/>
    <w:uiPriority w:val="0"/>
    <w:pPr>
      <w:spacing w:line="480" w:lineRule="atLeast"/>
      <w:ind w:left="0" w:firstLine="100" w:firstLineChars="100"/>
      <w:jc w:val="both"/>
    </w:pPr>
    <w:rPr>
      <w:rFonts w:ascii="楷体_GB2312" w:hAnsi="Calibri" w:eastAsia="楷体_GB2312"/>
      <w:b/>
      <w:sz w:val="30"/>
    </w:rPr>
  </w:style>
  <w:style w:type="paragraph" w:styleId="21">
    <w:name w:val="Body Text First Indent 2"/>
    <w:basedOn w:val="9"/>
    <w:autoRedefine/>
    <w:qFormat/>
    <w:uiPriority w:val="0"/>
    <w:pPr>
      <w:spacing w:after="120"/>
      <w:ind w:left="420" w:leftChars="200" w:firstLine="420"/>
    </w:pPr>
    <w:rPr>
      <w:rFonts w:ascii="Calibri" w:hAnsi="Calibri"/>
      <w:sz w:val="20"/>
      <w:szCs w:val="24"/>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autoRedefine/>
    <w:qFormat/>
    <w:uiPriority w:val="0"/>
    <w:rPr>
      <w:b/>
    </w:rPr>
  </w:style>
  <w:style w:type="character" w:styleId="26">
    <w:name w:val="page number"/>
    <w:basedOn w:val="24"/>
    <w:autoRedefine/>
    <w:qFormat/>
    <w:uiPriority w:val="0"/>
  </w:style>
  <w:style w:type="character" w:styleId="27">
    <w:name w:val="Hyperlink"/>
    <w:autoRedefine/>
    <w:unhideWhenUsed/>
    <w:qFormat/>
    <w:uiPriority w:val="99"/>
    <w:rPr>
      <w:color w:val="0000FF"/>
      <w:u w:val="single"/>
    </w:rPr>
  </w:style>
  <w:style w:type="character" w:styleId="28">
    <w:name w:val="annotation reference"/>
    <w:autoRedefine/>
    <w:qFormat/>
    <w:uiPriority w:val="0"/>
    <w:rPr>
      <w:sz w:val="21"/>
      <w:szCs w:val="21"/>
    </w:rPr>
  </w:style>
  <w:style w:type="character" w:customStyle="1" w:styleId="29">
    <w:name w:val="正文文本 Char"/>
    <w:link w:val="8"/>
    <w:autoRedefine/>
    <w:qFormat/>
    <w:uiPriority w:val="1"/>
    <w:rPr>
      <w:rFonts w:ascii="宋体" w:hAnsi="宋体" w:eastAsia="宋体" w:cs="Times New Roman"/>
      <w:kern w:val="0"/>
      <w:szCs w:val="21"/>
      <w:lang w:eastAsia="en-US"/>
    </w:rPr>
  </w:style>
  <w:style w:type="character" w:customStyle="1" w:styleId="30">
    <w:name w:val="标题 1 Char"/>
    <w:link w:val="2"/>
    <w:autoRedefine/>
    <w:qFormat/>
    <w:uiPriority w:val="1"/>
    <w:rPr>
      <w:rFonts w:ascii="Microsoft JhengHei" w:hAnsi="Microsoft JhengHei" w:eastAsia="Microsoft JhengHei" w:cs="Times New Roman"/>
      <w:b/>
      <w:bCs/>
      <w:kern w:val="0"/>
      <w:sz w:val="44"/>
      <w:szCs w:val="44"/>
      <w:lang w:eastAsia="en-US"/>
    </w:rPr>
  </w:style>
  <w:style w:type="character" w:customStyle="1" w:styleId="31">
    <w:name w:val="标题 3 Char"/>
    <w:link w:val="3"/>
    <w:autoRedefine/>
    <w:qFormat/>
    <w:uiPriority w:val="1"/>
    <w:rPr>
      <w:rFonts w:ascii="Microsoft JhengHei" w:hAnsi="Microsoft JhengHei" w:eastAsia="Microsoft JhengHei" w:cs="Times New Roman"/>
      <w:b/>
      <w:bCs/>
      <w:kern w:val="0"/>
      <w:sz w:val="32"/>
      <w:szCs w:val="32"/>
      <w:lang w:eastAsia="en-US"/>
    </w:rPr>
  </w:style>
  <w:style w:type="character" w:customStyle="1" w:styleId="32">
    <w:name w:val="标题 4 Char"/>
    <w:link w:val="4"/>
    <w:autoRedefine/>
    <w:qFormat/>
    <w:uiPriority w:val="1"/>
    <w:rPr>
      <w:rFonts w:ascii="宋体" w:hAnsi="宋体" w:eastAsia="宋体" w:cs="Times New Roman"/>
      <w:kern w:val="0"/>
      <w:sz w:val="28"/>
      <w:szCs w:val="28"/>
      <w:lang w:eastAsia="en-US"/>
    </w:rPr>
  </w:style>
  <w:style w:type="character" w:customStyle="1" w:styleId="33">
    <w:name w:val="批注文字 Char"/>
    <w:link w:val="6"/>
    <w:autoRedefine/>
    <w:qFormat/>
    <w:uiPriority w:val="0"/>
    <w:rPr>
      <w:rFonts w:ascii="Times New Roman" w:hAnsi="Times New Roman" w:eastAsia="Calibri" w:cs="Times New Roman"/>
      <w:kern w:val="0"/>
      <w:sz w:val="22"/>
      <w:szCs w:val="22"/>
      <w:lang w:eastAsia="en-US"/>
    </w:rPr>
  </w:style>
  <w:style w:type="character" w:customStyle="1" w:styleId="34">
    <w:name w:val="正文文本 3 Char"/>
    <w:link w:val="7"/>
    <w:autoRedefine/>
    <w:qFormat/>
    <w:uiPriority w:val="0"/>
    <w:rPr>
      <w:rFonts w:ascii="宋体" w:hAnsi="Times New Roman" w:eastAsia="宋体" w:cs="Times New Roman"/>
      <w:sz w:val="24"/>
      <w:szCs w:val="20"/>
      <w:lang w:eastAsia="en-US"/>
    </w:rPr>
  </w:style>
  <w:style w:type="character" w:customStyle="1" w:styleId="35">
    <w:name w:val="纯文本 Char"/>
    <w:link w:val="12"/>
    <w:autoRedefine/>
    <w:qFormat/>
    <w:uiPriority w:val="0"/>
    <w:rPr>
      <w:rFonts w:ascii="宋体" w:hAnsi="Courier New" w:eastAsia="宋体" w:cs="Times New Roman"/>
      <w:szCs w:val="20"/>
      <w:lang w:eastAsia="en-US"/>
    </w:rPr>
  </w:style>
  <w:style w:type="character" w:customStyle="1" w:styleId="36">
    <w:name w:val="批注框文本 Char"/>
    <w:link w:val="13"/>
    <w:autoRedefine/>
    <w:qFormat/>
    <w:uiPriority w:val="0"/>
    <w:rPr>
      <w:rFonts w:ascii="Times New Roman" w:hAnsi="Times New Roman" w:eastAsia="Calibri" w:cs="Times New Roman"/>
      <w:kern w:val="0"/>
      <w:sz w:val="18"/>
      <w:szCs w:val="18"/>
      <w:lang w:eastAsia="en-US"/>
    </w:rPr>
  </w:style>
  <w:style w:type="character" w:customStyle="1" w:styleId="37">
    <w:name w:val="页脚 Char"/>
    <w:link w:val="14"/>
    <w:autoRedefine/>
    <w:qFormat/>
    <w:uiPriority w:val="99"/>
    <w:rPr>
      <w:rFonts w:ascii="Times New Roman" w:hAnsi="Times New Roman" w:eastAsia="Calibri" w:cs="Times New Roman"/>
      <w:kern w:val="0"/>
      <w:sz w:val="18"/>
      <w:szCs w:val="18"/>
      <w:lang w:eastAsia="en-US"/>
    </w:rPr>
  </w:style>
  <w:style w:type="character" w:customStyle="1" w:styleId="38">
    <w:name w:val="页眉 Char"/>
    <w:link w:val="15"/>
    <w:autoRedefine/>
    <w:qFormat/>
    <w:uiPriority w:val="0"/>
    <w:rPr>
      <w:rFonts w:ascii="Times New Roman" w:hAnsi="Times New Roman" w:eastAsia="Calibri" w:cs="Times New Roman"/>
      <w:kern w:val="0"/>
      <w:sz w:val="18"/>
      <w:szCs w:val="18"/>
      <w:lang w:eastAsia="en-US"/>
    </w:rPr>
  </w:style>
  <w:style w:type="character" w:customStyle="1" w:styleId="39">
    <w:name w:val="批注主题 Char"/>
    <w:link w:val="19"/>
    <w:autoRedefine/>
    <w:qFormat/>
    <w:uiPriority w:val="0"/>
    <w:rPr>
      <w:rFonts w:ascii="Times New Roman" w:hAnsi="Times New Roman" w:eastAsia="Calibri" w:cs="Times New Roman"/>
      <w:b/>
      <w:bCs/>
      <w:kern w:val="0"/>
      <w:sz w:val="22"/>
      <w:szCs w:val="22"/>
      <w:lang w:eastAsia="en-US"/>
    </w:rPr>
  </w:style>
  <w:style w:type="character" w:customStyle="1" w:styleId="40">
    <w:name w:val="正文首行缩进 Char"/>
    <w:link w:val="20"/>
    <w:autoRedefine/>
    <w:qFormat/>
    <w:uiPriority w:val="0"/>
    <w:rPr>
      <w:rFonts w:ascii="楷体_GB2312" w:hAnsi="Calibri" w:eastAsia="楷体_GB2312" w:cs="黑体"/>
      <w:b/>
      <w:kern w:val="0"/>
      <w:sz w:val="30"/>
      <w:szCs w:val="21"/>
      <w:lang w:eastAsia="en-US"/>
    </w:rPr>
  </w:style>
  <w:style w:type="paragraph" w:customStyle="1" w:styleId="41">
    <w:name w:val="修订1"/>
    <w:autoRedefine/>
    <w:semiHidden/>
    <w:qFormat/>
    <w:uiPriority w:val="99"/>
    <w:rPr>
      <w:rFonts w:ascii="Times New Roman" w:hAnsi="Times New Roman" w:eastAsia="Calibri" w:cs="Times New Roman"/>
      <w:sz w:val="22"/>
      <w:szCs w:val="22"/>
      <w:lang w:val="en-US" w:eastAsia="en-US" w:bidi="ar-SA"/>
    </w:rPr>
  </w:style>
  <w:style w:type="paragraph" w:customStyle="1" w:styleId="42">
    <w:name w:val="Other|1"/>
    <w:basedOn w:val="1"/>
    <w:autoRedefine/>
    <w:qFormat/>
    <w:uiPriority w:val="0"/>
    <w:pPr>
      <w:spacing w:line="228" w:lineRule="exact"/>
    </w:pPr>
    <w:rPr>
      <w:rFonts w:ascii="宋体" w:hAnsi="宋体" w:eastAsia="宋体" w:cs="宋体"/>
      <w:sz w:val="17"/>
      <w:szCs w:val="17"/>
      <w:lang w:val="zh-TW" w:eastAsia="zh-TW" w:bidi="zh-TW"/>
    </w:rPr>
  </w:style>
  <w:style w:type="paragraph" w:customStyle="1" w:styleId="43">
    <w:name w:val="Table Paragraph"/>
    <w:basedOn w:val="1"/>
    <w:autoRedefine/>
    <w:qFormat/>
    <w:uiPriority w:val="0"/>
  </w:style>
  <w:style w:type="paragraph" w:customStyle="1" w:styleId="44">
    <w:name w:val="_Style 3"/>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45">
    <w:name w:val="列出段落1"/>
    <w:basedOn w:val="1"/>
    <w:autoRedefine/>
    <w:unhideWhenUsed/>
    <w:qFormat/>
    <w:uiPriority w:val="99"/>
    <w:pPr>
      <w:ind w:firstLine="420" w:firstLineChars="200"/>
      <w:jc w:val="both"/>
    </w:pPr>
    <w:rPr>
      <w:rFonts w:eastAsia="宋体"/>
      <w:kern w:val="2"/>
      <w:sz w:val="21"/>
      <w:szCs w:val="24"/>
      <w:lang w:eastAsia="zh-CN"/>
    </w:rPr>
  </w:style>
  <w:style w:type="paragraph" w:customStyle="1" w:styleId="46">
    <w:name w:val="Normal_3_0"/>
    <w:autoRedefine/>
    <w:qFormat/>
    <w:uiPriority w:val="0"/>
    <w:pPr>
      <w:widowControl w:val="0"/>
    </w:pPr>
    <w:rPr>
      <w:rFonts w:ascii="Times New Roman" w:hAnsi="Times New Roman" w:eastAsia="宋体" w:cs="Times New Roman"/>
      <w:kern w:val="2"/>
      <w:sz w:val="21"/>
      <w:szCs w:val="24"/>
      <w:lang w:val="en-US" w:eastAsia="zh-CN" w:bidi="ar-SA"/>
    </w:rPr>
  </w:style>
  <w:style w:type="paragraph" w:customStyle="1" w:styleId="47">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48">
    <w:name w:val="文二"/>
    <w:basedOn w:val="1"/>
    <w:autoRedefine/>
    <w:qFormat/>
    <w:uiPriority w:val="0"/>
    <w:rPr>
      <w:rFonts w:ascii="宋体" w:hAnsi="宋体" w:eastAsia="宋体"/>
      <w:kern w:val="2"/>
      <w:sz w:val="21"/>
      <w:szCs w:val="21"/>
      <w:lang w:eastAsia="zh-CN"/>
    </w:rPr>
  </w:style>
  <w:style w:type="paragraph" w:customStyle="1" w:styleId="49">
    <w:name w:val="_Style 46"/>
    <w:autoRedefine/>
    <w:unhideWhenUsed/>
    <w:qFormat/>
    <w:uiPriority w:val="99"/>
    <w:rPr>
      <w:rFonts w:ascii="Times New Roman" w:hAnsi="Times New Roman" w:eastAsia="Calibri" w:cs="Times New Roman"/>
      <w:sz w:val="22"/>
      <w:szCs w:val="22"/>
      <w:lang w:val="en-US" w:eastAsia="en-US" w:bidi="ar-SA"/>
    </w:rPr>
  </w:style>
  <w:style w:type="paragraph" w:styleId="50">
    <w:name w:val="List Paragraph"/>
    <w:basedOn w:val="1"/>
    <w:autoRedefine/>
    <w:unhideWhenUsed/>
    <w:qFormat/>
    <w:uiPriority w:val="34"/>
    <w:pPr>
      <w:ind w:firstLine="420" w:firstLineChars="200"/>
    </w:pPr>
  </w:style>
  <w:style w:type="paragraph" w:customStyle="1" w:styleId="51">
    <w:name w:val="多级正文3"/>
    <w:basedOn w:val="1"/>
    <w:autoRedefine/>
    <w:qFormat/>
    <w:uiPriority w:val="0"/>
    <w:pPr>
      <w:spacing w:line="420" w:lineRule="exact"/>
      <w:ind w:firstLine="420" w:firstLineChars="200"/>
    </w:pPr>
  </w:style>
  <w:style w:type="table" w:customStyle="1" w:styleId="52">
    <w:name w:val="网格型2"/>
    <w:basedOn w:val="22"/>
    <w:autoRedefine/>
    <w:qFormat/>
    <w:uiPriority w:val="99"/>
    <w:rPr>
      <w:rFonts w:ascii="Times New Roman" w:hAnsi="宋体"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Table Normal"/>
    <w:autoRedefine/>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123</Pages>
  <Words>1778</Words>
  <Characters>1963</Characters>
  <Lines>273</Lines>
  <Paragraphs>76</Paragraphs>
  <TotalTime>159</TotalTime>
  <ScaleCrop>false</ScaleCrop>
  <LinksUpToDate>false</LinksUpToDate>
  <CharactersWithSpaces>2052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2024-12-05T06:00:00Z</dcterms:created>
  <dc:creator>Administrator</dc:creator>
  <cp:lastModifiedBy>admin</cp:lastModifiedBy>
  <cp:lastPrinted>2024-05-16T06:23:00Z</cp:lastPrinted>
  <dcterms:modified xsi:type="dcterms:W3CDTF">2025-07-10T06:19:34Z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B58D8D87076D4E8A9B722B61789C148D_13</vt:lpwstr>
  </property>
  <property fmtid="{D5CDD505-2E9C-101B-9397-08002B2CF9AE}" pid="4" name="KSOTemplateDocerSaveRecord">
    <vt:lpwstr>eyJoZGlkIjoiNjlmYzY2ZDc2YmU0NGZmMGNmOWE1ZjBlMjY0MjEyMWUiLCJ1c2VySWQiOiIxNjk1NTQ0ODkxIn0=</vt:lpwstr>
  </property>
</Properties>
</file>