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C937079">
      <w:pPr>
        <w:snapToGrid w:val="0"/>
        <w:jc w:val="center"/>
        <w:rPr>
          <w:rStyle w:val="53"/>
          <w:rFonts w:hint="default" w:ascii="方正小标宋简体" w:hAnsi="方正小标宋简体" w:eastAsia="方正小标宋简体"/>
          <w:sz w:val="44"/>
          <w:szCs w:val="44"/>
          <w:highlight w:val="none"/>
          <w:lang w:val="en-US" w:eastAsia="zh-CN"/>
        </w:rPr>
      </w:pPr>
      <w:r>
        <w:rPr>
          <w:rStyle w:val="53"/>
          <w:rFonts w:hint="eastAsia" w:ascii="方正小标宋简体" w:hAnsi="方正小标宋简体" w:eastAsia="方正小标宋简体"/>
          <w:sz w:val="44"/>
          <w:szCs w:val="44"/>
          <w:highlight w:val="none"/>
          <w:lang w:val="en-US" w:eastAsia="zh-CN"/>
        </w:rPr>
        <w:t>南沙资产经营集团战略规划及综合管理</w:t>
      </w:r>
    </w:p>
    <w:p w14:paraId="13066BD4">
      <w:pPr>
        <w:snapToGrid w:val="0"/>
        <w:jc w:val="center"/>
        <w:rPr>
          <w:rStyle w:val="53"/>
          <w:rFonts w:hint="eastAsia" w:ascii="方正小标宋简体" w:hAnsi="方正小标宋简体" w:eastAsia="方正小标宋简体"/>
          <w:sz w:val="44"/>
          <w:szCs w:val="44"/>
          <w:highlight w:val="none"/>
        </w:rPr>
      </w:pPr>
      <w:r>
        <w:rPr>
          <w:rStyle w:val="53"/>
          <w:rFonts w:hint="eastAsia" w:ascii="方正小标宋简体" w:hAnsi="方正小标宋简体" w:eastAsia="方正小标宋简体"/>
          <w:sz w:val="44"/>
          <w:szCs w:val="44"/>
          <w:highlight w:val="none"/>
          <w:lang w:val="en-US" w:eastAsia="zh-CN"/>
        </w:rPr>
        <w:t>咨询</w:t>
      </w:r>
      <w:r>
        <w:rPr>
          <w:rStyle w:val="53"/>
          <w:rFonts w:hint="eastAsia" w:ascii="方正小标宋简体" w:hAnsi="方正小标宋简体" w:eastAsia="方正小标宋简体"/>
          <w:sz w:val="44"/>
          <w:szCs w:val="44"/>
          <w:highlight w:val="none"/>
        </w:rPr>
        <w:t>服务项目（第二次）</w:t>
      </w:r>
    </w:p>
    <w:p w14:paraId="6638B560">
      <w:pPr>
        <w:snapToGrid w:val="0"/>
        <w:jc w:val="center"/>
        <w:rPr>
          <w:rFonts w:ascii="黑体" w:eastAsia="黑体"/>
          <w:sz w:val="36"/>
          <w:szCs w:val="36"/>
          <w:highlight w:val="none"/>
        </w:rPr>
      </w:pPr>
    </w:p>
    <w:p w14:paraId="1260BE6D">
      <w:pPr>
        <w:spacing w:line="360" w:lineRule="auto"/>
        <w:jc w:val="center"/>
        <w:rPr>
          <w:rFonts w:ascii="黑体" w:eastAsia="黑体"/>
          <w:sz w:val="36"/>
          <w:szCs w:val="36"/>
          <w:highlight w:val="none"/>
        </w:rPr>
      </w:pPr>
    </w:p>
    <w:p w14:paraId="171FD43F">
      <w:pPr>
        <w:spacing w:line="360" w:lineRule="auto"/>
        <w:jc w:val="center"/>
        <w:rPr>
          <w:rFonts w:ascii="黑体" w:eastAsia="黑体"/>
          <w:sz w:val="36"/>
          <w:szCs w:val="36"/>
          <w:highlight w:val="none"/>
        </w:rPr>
      </w:pPr>
    </w:p>
    <w:p w14:paraId="3BDBC53F">
      <w:pPr>
        <w:spacing w:line="360" w:lineRule="auto"/>
        <w:rPr>
          <w:rFonts w:ascii="黑体" w:eastAsia="黑体"/>
          <w:sz w:val="36"/>
          <w:szCs w:val="36"/>
          <w:highlight w:val="none"/>
        </w:rPr>
      </w:pPr>
      <w:r>
        <w:rPr>
          <w:rFonts w:hint="eastAsia" w:ascii="黑体" w:eastAsia="黑体"/>
          <w:sz w:val="36"/>
          <w:szCs w:val="36"/>
          <w:highlight w:val="none"/>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305435</wp:posOffset>
                </wp:positionV>
                <wp:extent cx="5334000" cy="0"/>
                <wp:effectExtent l="0" t="15875" r="0" b="22225"/>
                <wp:wrapNone/>
                <wp:docPr id="1" name="Line 2"/>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0.85pt;margin-top:24.05pt;height:0pt;width:420pt;z-index:251659264;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xFoHHSAAAABwEAAA8AAAAAAAAAAQAgAAAAIgAAAGRy&#10;cy9kb3ducmV2LnhtbFBLAQIUABQAAAAIAIdO4kD4fNci0gEAAM4DAAAOAAAAAAAAAAEAIAAAACEB&#10;AABkcnMvZTJvRG9jLnhtbFBLBQYAAAAABgAGAFkBAABlBQAAAAA=&#10;">
                <v:fill on="f" focussize="0,0"/>
                <v:stroke weight="2.5pt" color="#000000" joinstyle="round"/>
                <v:imagedata o:title=""/>
                <o:lock v:ext="edit" aspectratio="f"/>
              </v:line>
            </w:pict>
          </mc:Fallback>
        </mc:AlternateContent>
      </w:r>
    </w:p>
    <w:p w14:paraId="3B82AFC9">
      <w:pPr>
        <w:tabs>
          <w:tab w:val="left" w:pos="2160"/>
        </w:tabs>
        <w:spacing w:line="300" w:lineRule="auto"/>
        <w:jc w:val="center"/>
        <w:rPr>
          <w:rFonts w:ascii="黑体" w:eastAsia="黑体"/>
          <w:b/>
          <w:spacing w:val="120"/>
          <w:sz w:val="84"/>
          <w:szCs w:val="84"/>
          <w:highlight w:val="none"/>
          <w14:shadow w14:blurRad="50800" w14:dist="38100" w14:dir="2700000" w14:sx="100000" w14:sy="100000" w14:kx="0" w14:ky="0" w14:algn="tl">
            <w14:srgbClr w14:val="000000">
              <w14:alpha w14:val="60000"/>
            </w14:srgbClr>
          </w14:shadow>
        </w:rPr>
      </w:pPr>
      <w:r>
        <w:rPr>
          <w:rFonts w:hint="eastAsia" w:ascii="黑体" w:eastAsia="黑体"/>
          <w:b/>
          <w:spacing w:val="120"/>
          <w:position w:val="-2"/>
          <w:sz w:val="84"/>
          <w:szCs w:val="84"/>
          <w:highlight w:val="none"/>
          <w14:shadow w14:blurRad="50800" w14:dist="38100" w14:dir="2700000" w14:sx="100000" w14:sy="100000" w14:kx="0" w14:ky="0" w14:algn="tl">
            <w14:srgbClr w14:val="000000">
              <w14:alpha w14:val="60000"/>
            </w14:srgbClr>
          </w14:shadow>
        </w:rPr>
        <w:t>招标文件</w:t>
      </w:r>
    </w:p>
    <w:p w14:paraId="2BB9B4B1">
      <w:pPr>
        <w:spacing w:line="360" w:lineRule="auto"/>
        <w:jc w:val="center"/>
        <w:rPr>
          <w:rFonts w:ascii="黑体" w:eastAsia="黑体"/>
          <w:sz w:val="36"/>
          <w:szCs w:val="36"/>
          <w:highlight w:val="none"/>
        </w:rPr>
      </w:pPr>
      <w:r>
        <w:rPr>
          <w:rFonts w:hint="eastAsia" w:ascii="黑体" w:eastAsia="黑体"/>
          <w:sz w:val="36"/>
          <w:szCs w:val="36"/>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31115</wp:posOffset>
                </wp:positionV>
                <wp:extent cx="5334000" cy="0"/>
                <wp:effectExtent l="0" t="15875" r="0" b="22225"/>
                <wp:wrapNone/>
                <wp:docPr id="2" name="Line 3"/>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0pt;margin-top:2.45pt;height:0pt;width:420pt;z-index:251660288;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YFfi3RAAAABAEAAA8AAAAAAAAAAQAgAAAAIgAAAGRy&#10;cy9kb3ducmV2LnhtbFBLAQIUABQAAAAIAIdO4kA4Lqeh0wEAAM4DAAAOAAAAAAAAAAEAIAAAACAB&#10;AABkcnMvZTJvRG9jLnhtbFBLBQYAAAAABgAGAFkBAABlBQAAAAA=&#10;">
                <v:fill on="f" focussize="0,0"/>
                <v:stroke weight="2.5pt" color="#000000" joinstyle="round"/>
                <v:imagedata o:title=""/>
                <o:lock v:ext="edit" aspectratio="f"/>
              </v:line>
            </w:pict>
          </mc:Fallback>
        </mc:AlternateContent>
      </w:r>
    </w:p>
    <w:p w14:paraId="60B7B8EE">
      <w:pPr>
        <w:spacing w:line="360" w:lineRule="auto"/>
        <w:jc w:val="center"/>
        <w:rPr>
          <w:rFonts w:ascii="黑体" w:eastAsia="黑体"/>
          <w:sz w:val="36"/>
          <w:szCs w:val="36"/>
          <w:highlight w:val="none"/>
        </w:rPr>
      </w:pPr>
    </w:p>
    <w:p w14:paraId="5CF90063">
      <w:pPr>
        <w:pStyle w:val="3"/>
        <w:rPr>
          <w:rFonts w:ascii="黑体" w:eastAsia="黑体"/>
          <w:sz w:val="36"/>
          <w:szCs w:val="36"/>
          <w:highlight w:val="none"/>
        </w:rPr>
      </w:pPr>
    </w:p>
    <w:p w14:paraId="58499E71">
      <w:pPr>
        <w:rPr>
          <w:highlight w:val="none"/>
        </w:rPr>
      </w:pPr>
    </w:p>
    <w:p w14:paraId="4C52BE91">
      <w:pPr>
        <w:spacing w:line="360" w:lineRule="auto"/>
        <w:jc w:val="center"/>
        <w:rPr>
          <w:rFonts w:ascii="黑体" w:eastAsia="黑体"/>
          <w:sz w:val="36"/>
          <w:szCs w:val="36"/>
          <w:highlight w:val="none"/>
        </w:rPr>
      </w:pPr>
    </w:p>
    <w:p w14:paraId="44570E8A">
      <w:pPr>
        <w:spacing w:line="360" w:lineRule="auto"/>
        <w:jc w:val="center"/>
        <w:rPr>
          <w:rFonts w:ascii="黑体" w:eastAsia="黑体"/>
          <w:sz w:val="36"/>
          <w:szCs w:val="36"/>
          <w:highlight w:val="none"/>
        </w:rPr>
      </w:pPr>
    </w:p>
    <w:p w14:paraId="5AAE074B">
      <w:pPr>
        <w:spacing w:line="360" w:lineRule="auto"/>
        <w:jc w:val="center"/>
        <w:rPr>
          <w:rFonts w:ascii="黑体" w:eastAsia="黑体"/>
          <w:sz w:val="36"/>
          <w:szCs w:val="36"/>
          <w:highlight w:val="none"/>
        </w:rPr>
      </w:pPr>
    </w:p>
    <w:p w14:paraId="55F22B64">
      <w:pPr>
        <w:spacing w:line="360" w:lineRule="auto"/>
        <w:jc w:val="center"/>
        <w:rPr>
          <w:rFonts w:ascii="黑体" w:eastAsia="黑体"/>
          <w:sz w:val="36"/>
          <w:szCs w:val="36"/>
          <w:highlight w:val="none"/>
        </w:rPr>
      </w:pPr>
    </w:p>
    <w:p w14:paraId="7B66BA54">
      <w:pPr>
        <w:spacing w:line="360" w:lineRule="auto"/>
        <w:jc w:val="center"/>
        <w:rPr>
          <w:rFonts w:ascii="黑体" w:eastAsia="黑体"/>
          <w:sz w:val="44"/>
          <w:szCs w:val="44"/>
          <w:highlight w:val="none"/>
        </w:rPr>
      </w:pPr>
    </w:p>
    <w:p w14:paraId="2A155D08">
      <w:pPr>
        <w:spacing w:line="360" w:lineRule="auto"/>
        <w:jc w:val="center"/>
        <w:rPr>
          <w:rFonts w:ascii="黑体" w:eastAsia="黑体"/>
          <w:sz w:val="44"/>
          <w:szCs w:val="44"/>
          <w:highlight w:val="none"/>
        </w:rPr>
      </w:pPr>
      <w:r>
        <w:rPr>
          <w:rFonts w:hint="eastAsia" w:ascii="黑体" w:eastAsia="黑体"/>
          <w:sz w:val="44"/>
          <w:szCs w:val="44"/>
          <w:highlight w:val="none"/>
          <w:lang w:val="en-US" w:eastAsia="zh-CN"/>
        </w:rPr>
        <w:t>广州南沙资产经营集团有限公司</w:t>
      </w:r>
    </w:p>
    <w:p w14:paraId="092077FF">
      <w:pPr>
        <w:spacing w:line="360" w:lineRule="auto"/>
        <w:jc w:val="center"/>
        <w:rPr>
          <w:rFonts w:ascii="黑体" w:eastAsia="黑体"/>
          <w:sz w:val="44"/>
          <w:szCs w:val="44"/>
          <w:highlight w:val="none"/>
        </w:rPr>
      </w:pPr>
    </w:p>
    <w:p w14:paraId="40FCDCEE">
      <w:pPr>
        <w:spacing w:line="360" w:lineRule="auto"/>
        <w:jc w:val="center"/>
        <w:rPr>
          <w:rFonts w:ascii="黑体" w:eastAsia="黑体"/>
          <w:sz w:val="44"/>
          <w:szCs w:val="44"/>
          <w:highlight w:val="none"/>
        </w:rPr>
        <w:sectPr>
          <w:footerReference r:id="rId5" w:type="first"/>
          <w:footerReference r:id="rId3" w:type="default"/>
          <w:footerReference r:id="rId4" w:type="even"/>
          <w:pgSz w:w="11906" w:h="16838"/>
          <w:pgMar w:top="1440" w:right="1646" w:bottom="1440" w:left="1620" w:header="851" w:footer="1259" w:gutter="0"/>
          <w:pgNumType w:fmt="decimal"/>
          <w:cols w:space="720" w:num="1"/>
          <w:docGrid w:type="lines" w:linePitch="312" w:charSpace="0"/>
        </w:sectPr>
      </w:pPr>
      <w:r>
        <w:rPr>
          <w:rFonts w:hint="eastAsia" w:ascii="黑体" w:eastAsia="黑体"/>
          <w:sz w:val="44"/>
          <w:szCs w:val="44"/>
          <w:highlight w:val="none"/>
        </w:rPr>
        <w:t>202</w:t>
      </w:r>
      <w:r>
        <w:rPr>
          <w:rFonts w:hint="eastAsia" w:ascii="黑体" w:eastAsia="黑体"/>
          <w:sz w:val="44"/>
          <w:szCs w:val="44"/>
          <w:highlight w:val="none"/>
          <w:lang w:val="en-US" w:eastAsia="zh-CN"/>
        </w:rPr>
        <w:t>5</w:t>
      </w:r>
      <w:r>
        <w:rPr>
          <w:rFonts w:hint="eastAsia" w:ascii="黑体" w:eastAsia="黑体"/>
          <w:sz w:val="44"/>
          <w:szCs w:val="44"/>
          <w:highlight w:val="none"/>
        </w:rPr>
        <w:t>年</w:t>
      </w:r>
      <w:r>
        <w:rPr>
          <w:rFonts w:hint="eastAsia" w:ascii="黑体" w:eastAsia="黑体"/>
          <w:sz w:val="44"/>
          <w:szCs w:val="44"/>
          <w:highlight w:val="none"/>
          <w:lang w:val="en-US" w:eastAsia="zh-CN"/>
        </w:rPr>
        <w:t>8</w:t>
      </w:r>
      <w:r>
        <w:rPr>
          <w:rFonts w:hint="eastAsia" w:ascii="黑体" w:eastAsia="黑体"/>
          <w:sz w:val="44"/>
          <w:szCs w:val="44"/>
          <w:highlight w:val="none"/>
        </w:rPr>
        <w:t>月</w:t>
      </w:r>
    </w:p>
    <w:p w14:paraId="2F3FBACB">
      <w:pPr>
        <w:spacing w:line="580" w:lineRule="exact"/>
        <w:jc w:val="center"/>
        <w:rPr>
          <w:rFonts w:hint="eastAsia" w:eastAsia="方正小标宋简体"/>
          <w:sz w:val="36"/>
          <w:szCs w:val="36"/>
          <w:highlight w:val="none"/>
        </w:rPr>
      </w:pPr>
      <w:r>
        <w:rPr>
          <w:rFonts w:hint="eastAsia" w:eastAsia="方正小标宋简体"/>
          <w:sz w:val="36"/>
          <w:szCs w:val="36"/>
          <w:highlight w:val="none"/>
        </w:rPr>
        <w:t>南沙资产经营集团战略规划及综合管理</w:t>
      </w:r>
    </w:p>
    <w:p w14:paraId="3777C450">
      <w:pPr>
        <w:spacing w:line="580" w:lineRule="exact"/>
        <w:jc w:val="center"/>
        <w:rPr>
          <w:rFonts w:ascii="方正小标宋简体" w:hAnsi="华文仿宋" w:eastAsia="方正小标宋简体"/>
          <w:sz w:val="36"/>
          <w:szCs w:val="36"/>
          <w:highlight w:val="none"/>
        </w:rPr>
      </w:pPr>
      <w:r>
        <w:rPr>
          <w:rFonts w:hint="eastAsia" w:eastAsia="方正小标宋简体"/>
          <w:sz w:val="36"/>
          <w:szCs w:val="36"/>
          <w:highlight w:val="none"/>
          <w:lang w:val="en-US" w:eastAsia="zh-CN"/>
        </w:rPr>
        <w:t>咨询</w:t>
      </w:r>
      <w:r>
        <w:rPr>
          <w:rFonts w:hint="eastAsia" w:eastAsia="方正小标宋简体"/>
          <w:sz w:val="36"/>
          <w:szCs w:val="36"/>
          <w:highlight w:val="none"/>
        </w:rPr>
        <w:t>服务项目</w:t>
      </w:r>
      <w:r>
        <w:rPr>
          <w:rFonts w:eastAsia="方正小标宋简体"/>
          <w:sz w:val="36"/>
          <w:szCs w:val="36"/>
          <w:highlight w:val="none"/>
        </w:rPr>
        <w:t>招标</w:t>
      </w:r>
      <w:r>
        <w:rPr>
          <w:rFonts w:hint="eastAsia" w:eastAsia="方正小标宋简体"/>
          <w:sz w:val="36"/>
          <w:szCs w:val="36"/>
          <w:highlight w:val="none"/>
        </w:rPr>
        <w:t>公告</w:t>
      </w:r>
      <w:r>
        <w:rPr>
          <w:rFonts w:hint="eastAsia" w:eastAsia="方正小标宋简体"/>
          <w:sz w:val="36"/>
          <w:szCs w:val="36"/>
          <w:highlight w:val="none"/>
          <w:lang w:eastAsia="zh-CN"/>
        </w:rPr>
        <w:t>（</w:t>
      </w:r>
      <w:r>
        <w:rPr>
          <w:rFonts w:hint="eastAsia" w:eastAsia="方正小标宋简体"/>
          <w:sz w:val="36"/>
          <w:szCs w:val="36"/>
          <w:highlight w:val="none"/>
          <w:lang w:val="en-US" w:eastAsia="zh-CN"/>
        </w:rPr>
        <w:t>第二次</w:t>
      </w:r>
      <w:r>
        <w:rPr>
          <w:rFonts w:hint="eastAsia" w:eastAsia="方正小标宋简体"/>
          <w:sz w:val="36"/>
          <w:szCs w:val="36"/>
          <w:highlight w:val="none"/>
          <w:lang w:eastAsia="zh-CN"/>
        </w:rPr>
        <w:t>）</w:t>
      </w:r>
    </w:p>
    <w:p w14:paraId="3D280470">
      <w:pPr>
        <w:widowControl/>
        <w:spacing w:line="560" w:lineRule="exact"/>
        <w:ind w:firstLine="640" w:firstLineChars="200"/>
        <w:jc w:val="left"/>
        <w:rPr>
          <w:rFonts w:ascii="仿宋_GB2312" w:hAnsi="仿宋_GB2312" w:eastAsia="仿宋_GB2312" w:cs="仿宋_GB2312"/>
          <w:kern w:val="0"/>
          <w:sz w:val="32"/>
          <w:szCs w:val="32"/>
          <w:highlight w:val="none"/>
          <w:shd w:val="clear" w:color="auto" w:fill="FFFFFF"/>
          <w:lang w:bidi="ar"/>
        </w:rPr>
      </w:pPr>
    </w:p>
    <w:p w14:paraId="7A34F190">
      <w:pPr>
        <w:widowControl/>
        <w:spacing w:line="560" w:lineRule="exact"/>
        <w:ind w:firstLine="640" w:firstLineChars="200"/>
        <w:jc w:val="left"/>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招标人：广州南沙资产经营集团有限公司</w:t>
      </w:r>
    </w:p>
    <w:p w14:paraId="21C49A5F">
      <w:pPr>
        <w:widowControl/>
        <w:ind w:firstLine="640" w:firstLineChars="200"/>
        <w:jc w:val="left"/>
        <w:rPr>
          <w:rFonts w:hint="eastAsia" w:ascii="仿宋_GB2312" w:hAnsi="仿宋_GB2312" w:eastAsia="仿宋_GB2312" w:cs="仿宋_GB2312"/>
          <w:kern w:val="0"/>
          <w:sz w:val="32"/>
          <w:szCs w:val="32"/>
          <w:highlight w:val="none"/>
          <w:shd w:val="clear" w:color="auto" w:fill="FFFFFF"/>
          <w:lang w:eastAsia="zh-CN" w:bidi="ar"/>
        </w:rPr>
      </w:pPr>
      <w:r>
        <w:rPr>
          <w:rFonts w:hint="eastAsia" w:ascii="仿宋_GB2312" w:hAnsi="仿宋_GB2312" w:eastAsia="仿宋_GB2312" w:cs="仿宋_GB2312"/>
          <w:kern w:val="0"/>
          <w:sz w:val="32"/>
          <w:szCs w:val="32"/>
          <w:highlight w:val="none"/>
          <w:shd w:val="clear" w:color="auto" w:fill="FFFFFF"/>
          <w:lang w:bidi="ar"/>
        </w:rPr>
        <w:t>招标项目名称：南沙资产经营集团战略规划及综合管理咨询服务项目</w:t>
      </w:r>
      <w:r>
        <w:rPr>
          <w:rFonts w:hint="eastAsia" w:ascii="仿宋_GB2312" w:hAnsi="仿宋_GB2312" w:eastAsia="仿宋_GB2312" w:cs="仿宋_GB2312"/>
          <w:kern w:val="0"/>
          <w:sz w:val="32"/>
          <w:szCs w:val="32"/>
          <w:highlight w:val="none"/>
          <w:shd w:val="clear" w:color="auto" w:fill="FFFFFF"/>
          <w:lang w:eastAsia="zh-CN" w:bidi="ar"/>
        </w:rPr>
        <w:t>（</w:t>
      </w:r>
      <w:r>
        <w:rPr>
          <w:rFonts w:hint="eastAsia" w:ascii="仿宋_GB2312" w:hAnsi="仿宋_GB2312" w:eastAsia="仿宋_GB2312" w:cs="仿宋_GB2312"/>
          <w:kern w:val="0"/>
          <w:sz w:val="32"/>
          <w:szCs w:val="32"/>
          <w:highlight w:val="none"/>
          <w:shd w:val="clear" w:color="auto" w:fill="FFFFFF"/>
          <w:lang w:val="en-US" w:eastAsia="zh-CN" w:bidi="ar"/>
        </w:rPr>
        <w:t>第二次</w:t>
      </w:r>
      <w:r>
        <w:rPr>
          <w:rFonts w:hint="eastAsia" w:ascii="仿宋_GB2312" w:hAnsi="仿宋_GB2312" w:eastAsia="仿宋_GB2312" w:cs="仿宋_GB2312"/>
          <w:kern w:val="0"/>
          <w:sz w:val="32"/>
          <w:szCs w:val="32"/>
          <w:highlight w:val="none"/>
          <w:shd w:val="clear" w:color="auto" w:fill="FFFFFF"/>
          <w:lang w:eastAsia="zh-CN" w:bidi="ar"/>
        </w:rPr>
        <w:t>）</w:t>
      </w:r>
    </w:p>
    <w:p w14:paraId="5288FC2E">
      <w:pPr>
        <w:widowControl/>
        <w:numPr>
          <w:ilvl w:val="255"/>
          <w:numId w:val="0"/>
        </w:numPr>
        <w:ind w:firstLine="640" w:firstLineChars="200"/>
        <w:jc w:val="left"/>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招标内容：本项目要求中标人向招标人提供战略规划及综合管理咨询服务</w:t>
      </w:r>
      <w:r>
        <w:rPr>
          <w:rFonts w:hint="eastAsia" w:ascii="仿宋_GB2312" w:hAnsi="仿宋_GB2312" w:eastAsia="仿宋_GB2312" w:cs="仿宋_GB2312"/>
          <w:kern w:val="0"/>
          <w:sz w:val="32"/>
          <w:szCs w:val="32"/>
          <w:highlight w:val="none"/>
          <w:shd w:val="clear" w:color="auto" w:fill="FFFFFF"/>
          <w:lang w:val="en-US" w:eastAsia="zh-CN" w:bidi="ar"/>
        </w:rPr>
        <w:t>并出具相关成果文件</w:t>
      </w:r>
      <w:r>
        <w:rPr>
          <w:rFonts w:hint="eastAsia" w:ascii="仿宋_GB2312" w:hAnsi="仿宋_GB2312" w:eastAsia="仿宋_GB2312" w:cs="仿宋_GB2312"/>
          <w:kern w:val="0"/>
          <w:sz w:val="32"/>
          <w:szCs w:val="32"/>
          <w:highlight w:val="none"/>
          <w:shd w:val="clear" w:color="auto" w:fill="FFFFFF"/>
          <w:lang w:bidi="ar"/>
        </w:rPr>
        <w:t>。</w:t>
      </w:r>
      <w:r>
        <w:rPr>
          <w:rFonts w:hint="eastAsia" w:ascii="仿宋_GB2312" w:hAnsi="仿宋_GB2312" w:eastAsia="仿宋_GB2312" w:cs="仿宋_GB2312"/>
          <w:b/>
          <w:bCs/>
          <w:kern w:val="0"/>
          <w:sz w:val="32"/>
          <w:szCs w:val="32"/>
          <w:highlight w:val="none"/>
          <w:shd w:val="clear" w:color="auto" w:fill="FFFFFF"/>
          <w:lang w:bidi="ar"/>
        </w:rPr>
        <w:t>战略规划服务：</w:t>
      </w:r>
      <w:r>
        <w:rPr>
          <w:rFonts w:hint="eastAsia" w:ascii="仿宋_GB2312" w:hAnsi="仿宋_GB2312" w:eastAsia="仿宋_GB2312" w:cs="仿宋_GB2312"/>
          <w:kern w:val="0"/>
          <w:sz w:val="32"/>
          <w:szCs w:val="32"/>
          <w:highlight w:val="none"/>
          <w:shd w:val="clear" w:color="auto" w:fill="FFFFFF"/>
          <w:lang w:bidi="ar"/>
        </w:rPr>
        <w:t>结合宏观政策、经济形势、区域发展、产业发展研究，对集团当前经营总体成效、业务布局、管控体系、组织架构、激励机制进行全面分析与评估，识别企业核心优势和存在问题，在此基础上提出优化集团业务结构思路，明确关键战略及业务组合，规划各业务板块的定位、发展目标和发展策略；从党建文化、治理体系、组织管控、人力资源、投资管理、财务管理、风险管理等方面提出支撑集团战略目标实现的配套管理机制与方案；并将战略目标和关键举措分解为未来三年可执行的年度计划和重点项目，明确责任主体、时间节点、主要产出等；完成《南沙资产集团“十五五”战略发展规划》、《南沙资产集团“十五五”规划实施三年行动方案》。</w:t>
      </w:r>
      <w:r>
        <w:rPr>
          <w:rFonts w:hint="eastAsia" w:ascii="仿宋_GB2312" w:hAnsi="仿宋_GB2312" w:eastAsia="仿宋_GB2312" w:cs="仿宋_GB2312"/>
          <w:b/>
          <w:bCs/>
          <w:kern w:val="0"/>
          <w:sz w:val="32"/>
          <w:szCs w:val="32"/>
          <w:highlight w:val="none"/>
          <w:shd w:val="clear" w:color="auto" w:fill="FFFFFF"/>
          <w:lang w:bidi="ar"/>
        </w:rPr>
        <w:t>综合管理咨询：</w:t>
      </w:r>
      <w:r>
        <w:rPr>
          <w:rFonts w:hint="eastAsia" w:ascii="仿宋_GB2312" w:hAnsi="仿宋_GB2312" w:eastAsia="仿宋_GB2312" w:cs="仿宋_GB2312"/>
          <w:kern w:val="0"/>
          <w:sz w:val="32"/>
          <w:szCs w:val="32"/>
          <w:highlight w:val="none"/>
          <w:shd w:val="clear" w:color="auto" w:fill="FFFFFF"/>
          <w:lang w:bidi="ar"/>
        </w:rPr>
        <w:t>基于集团战略定位与业务特点，设计适配的管控模式，明确集团总部与下属公司的权责边界，完成《南沙资产集团权责体系优化报告》、《南沙资产集团权责表》、《南沙资产集团管控体系制度汇编》；对集团组织架构进行系统性诊断与优化设计，科学设置总部职能部门与各部门岗位，提升组织协同性，完成《南沙资产集团组织体系优化报告》、《南沙资产集团部门职能说明书》、《南沙资产集团岗位设计方案》、《南沙资产集团岗位职责说明书》；</w:t>
      </w:r>
      <w:r>
        <w:rPr>
          <w:rFonts w:hint="eastAsia" w:ascii="仿宋_GB2312" w:hAnsi="仿宋_GB2312" w:eastAsia="仿宋_GB2312" w:cs="仿宋_GB2312"/>
          <w:kern w:val="0"/>
          <w:sz w:val="32"/>
          <w:szCs w:val="32"/>
          <w:highlight w:val="none"/>
          <w:shd w:val="clear" w:color="auto" w:fill="FFFFFF"/>
          <w:lang w:val="en-US" w:eastAsia="zh-CN" w:bidi="ar"/>
        </w:rPr>
        <w:t>根据公司发展战略提出人力资源管理提升建议，完成《</w:t>
      </w:r>
      <w:r>
        <w:rPr>
          <w:rFonts w:hint="eastAsia" w:ascii="仿宋_GB2312" w:hAnsi="仿宋_GB2312" w:eastAsia="仿宋_GB2312" w:cs="仿宋_GB2312"/>
          <w:kern w:val="0"/>
          <w:sz w:val="32"/>
          <w:szCs w:val="32"/>
          <w:highlight w:val="none"/>
          <w:shd w:val="clear" w:color="auto" w:fill="FFFFFF"/>
          <w:lang w:bidi="ar"/>
        </w:rPr>
        <w:t>南沙资产集团人力资源规划</w:t>
      </w:r>
      <w:r>
        <w:rPr>
          <w:rFonts w:hint="eastAsia" w:ascii="仿宋_GB2312" w:hAnsi="仿宋_GB2312" w:eastAsia="仿宋_GB2312" w:cs="仿宋_GB2312"/>
          <w:kern w:val="0"/>
          <w:sz w:val="32"/>
          <w:szCs w:val="32"/>
          <w:highlight w:val="none"/>
          <w:shd w:val="clear" w:color="auto" w:fill="FFFFFF"/>
          <w:lang w:val="en-US" w:eastAsia="zh-CN" w:bidi="ar"/>
        </w:rPr>
        <w:t>》；</w:t>
      </w:r>
      <w:r>
        <w:rPr>
          <w:rFonts w:hint="eastAsia" w:ascii="仿宋_GB2312" w:hAnsi="仿宋_GB2312" w:eastAsia="仿宋_GB2312" w:cs="仿宋_GB2312"/>
          <w:kern w:val="0"/>
          <w:sz w:val="32"/>
          <w:szCs w:val="32"/>
          <w:highlight w:val="none"/>
          <w:shd w:val="clear" w:color="auto" w:fill="FFFFFF"/>
          <w:lang w:bidi="ar"/>
        </w:rPr>
        <w:t>设计以战略目标为导向的绩效考核体系，完成《南沙资产集团绩效管理方案》、《南沙资产集团绩效管理制度》；优化薪酬激励机制，完成《南沙资产集团薪酬管理方案》、《南沙资产集团薪酬管理制度》、《南沙资产集团薪级表》；完善职级管理体系，完成《南沙资产集团职级管理制度》、《南沙资产集团职级表》；设计系统化的</w:t>
      </w:r>
      <w:r>
        <w:rPr>
          <w:rFonts w:hint="eastAsia" w:ascii="仿宋_GB2312" w:hAnsi="仿宋_GB2312" w:eastAsia="仿宋_GB2312" w:cs="仿宋_GB2312"/>
          <w:kern w:val="0"/>
          <w:sz w:val="32"/>
          <w:szCs w:val="32"/>
          <w:highlight w:val="none"/>
          <w:shd w:val="clear" w:color="auto" w:fill="FFFFFF"/>
          <w:lang w:val="en-US" w:eastAsia="zh-CN" w:bidi="ar"/>
        </w:rPr>
        <w:t>人才梯队</w:t>
      </w:r>
      <w:r>
        <w:rPr>
          <w:rFonts w:hint="eastAsia" w:ascii="仿宋_GB2312" w:hAnsi="仿宋_GB2312" w:eastAsia="仿宋_GB2312" w:cs="仿宋_GB2312"/>
          <w:kern w:val="0"/>
          <w:sz w:val="32"/>
          <w:szCs w:val="32"/>
          <w:highlight w:val="none"/>
          <w:shd w:val="clear" w:color="auto" w:fill="FFFFFF"/>
          <w:lang w:bidi="ar"/>
        </w:rPr>
        <w:t>培养发展方案，完成《南沙资产集团</w:t>
      </w:r>
      <w:r>
        <w:rPr>
          <w:rFonts w:hint="eastAsia" w:ascii="仿宋_GB2312" w:hAnsi="仿宋_GB2312" w:eastAsia="仿宋_GB2312" w:cs="仿宋_GB2312"/>
          <w:kern w:val="0"/>
          <w:sz w:val="32"/>
          <w:szCs w:val="32"/>
          <w:highlight w:val="none"/>
          <w:shd w:val="clear" w:color="auto" w:fill="FFFFFF"/>
          <w:lang w:val="en-US" w:eastAsia="zh-CN" w:bidi="ar"/>
        </w:rPr>
        <w:t>人才梯队</w:t>
      </w:r>
      <w:r>
        <w:rPr>
          <w:rFonts w:hint="eastAsia" w:ascii="仿宋_GB2312" w:hAnsi="仿宋_GB2312" w:eastAsia="仿宋_GB2312" w:cs="仿宋_GB2312"/>
          <w:kern w:val="0"/>
          <w:sz w:val="32"/>
          <w:szCs w:val="32"/>
          <w:highlight w:val="none"/>
          <w:shd w:val="clear" w:color="auto" w:fill="FFFFFF"/>
          <w:lang w:bidi="ar"/>
        </w:rPr>
        <w:t>培养方案》。</w:t>
      </w:r>
    </w:p>
    <w:p w14:paraId="3B954369">
      <w:pPr>
        <w:widowControl/>
        <w:shd w:val="clear" w:color="auto" w:fill="FFFFFF"/>
        <w:spacing w:line="560" w:lineRule="exact"/>
        <w:ind w:firstLine="640" w:firstLineChars="200"/>
        <w:jc w:val="left"/>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评审办法：综合评审法</w:t>
      </w:r>
    </w:p>
    <w:p w14:paraId="72DDAE0F">
      <w:pPr>
        <w:widowControl/>
        <w:shd w:val="clear" w:color="auto" w:fill="FFFFFF"/>
        <w:spacing w:line="560" w:lineRule="exact"/>
        <w:ind w:firstLine="640" w:firstLineChars="200"/>
        <w:jc w:val="left"/>
        <w:rPr>
          <w:rFonts w:hint="default" w:ascii="仿宋_GB2312" w:hAnsi="仿宋_GB2312" w:eastAsia="仿宋_GB2312" w:cs="仿宋_GB2312"/>
          <w:kern w:val="0"/>
          <w:sz w:val="32"/>
          <w:szCs w:val="32"/>
          <w:highlight w:val="none"/>
          <w:shd w:val="clear" w:color="auto" w:fill="FFFFFF"/>
          <w:lang w:val="en-US" w:eastAsia="zh-CN" w:bidi="ar"/>
        </w:rPr>
      </w:pPr>
      <w:r>
        <w:rPr>
          <w:rFonts w:hint="eastAsia" w:ascii="仿宋_GB2312" w:hAnsi="仿宋_GB2312" w:eastAsia="仿宋_GB2312" w:cs="仿宋_GB2312"/>
          <w:kern w:val="0"/>
          <w:sz w:val="32"/>
          <w:szCs w:val="32"/>
          <w:highlight w:val="none"/>
          <w:shd w:val="clear" w:color="auto" w:fill="FFFFFF"/>
          <w:lang w:bidi="ar"/>
        </w:rPr>
        <w:t>招标价格：不高于人民币</w:t>
      </w:r>
      <w:r>
        <w:rPr>
          <w:rFonts w:hint="eastAsia" w:ascii="仿宋_GB2312" w:hAnsi="仿宋_GB2312" w:eastAsia="仿宋_GB2312" w:cs="仿宋_GB2312"/>
          <w:kern w:val="0"/>
          <w:sz w:val="32"/>
          <w:szCs w:val="32"/>
          <w:highlight w:val="none"/>
          <w:shd w:val="clear" w:color="auto" w:fill="FFFFFF"/>
          <w:lang w:val="en-US" w:eastAsia="zh-CN" w:bidi="ar"/>
        </w:rPr>
        <w:t>190</w:t>
      </w:r>
      <w:r>
        <w:rPr>
          <w:rFonts w:hint="eastAsia" w:ascii="仿宋_GB2312" w:hAnsi="仿宋_GB2312" w:eastAsia="仿宋_GB2312" w:cs="仿宋_GB2312"/>
          <w:kern w:val="0"/>
          <w:sz w:val="32"/>
          <w:szCs w:val="32"/>
          <w:highlight w:val="none"/>
          <w:shd w:val="clear" w:color="auto" w:fill="FFFFFF"/>
          <w:lang w:bidi="ar"/>
        </w:rPr>
        <w:t>万元</w:t>
      </w:r>
      <w:r>
        <w:rPr>
          <w:rFonts w:hint="eastAsia" w:ascii="仿宋_GB2312" w:hAnsi="仿宋_GB2312" w:eastAsia="仿宋_GB2312" w:cs="仿宋_GB2312"/>
          <w:kern w:val="0"/>
          <w:sz w:val="32"/>
          <w:szCs w:val="32"/>
          <w:highlight w:val="none"/>
          <w:shd w:val="clear" w:color="auto" w:fill="FFFFFF"/>
          <w:lang w:val="en-US" w:eastAsia="zh-CN" w:bidi="ar"/>
        </w:rPr>
        <w:t>且不低于160万元</w:t>
      </w:r>
    </w:p>
    <w:p w14:paraId="2DAB5FC1">
      <w:pPr>
        <w:widowControl/>
        <w:shd w:val="clear" w:color="auto" w:fill="FFFFFF"/>
        <w:spacing w:line="560" w:lineRule="exact"/>
        <w:ind w:firstLine="640" w:firstLineChars="200"/>
        <w:jc w:val="left"/>
        <w:rPr>
          <w:rFonts w:ascii="仿宋_GB2312" w:hAnsi="仿宋_GB2312" w:eastAsia="仿宋_GB2312" w:cs="仿宋_GB2312"/>
          <w:kern w:val="0"/>
          <w:sz w:val="32"/>
          <w:szCs w:val="32"/>
          <w:highlight w:val="none"/>
          <w:shd w:val="clear" w:color="auto" w:fill="FFFFFF"/>
          <w:lang w:bidi="ar"/>
        </w:rPr>
      </w:pPr>
      <w:bookmarkStart w:id="0" w:name="投标人资格要求（公告）"/>
      <w:r>
        <w:rPr>
          <w:rFonts w:hint="eastAsia" w:ascii="仿宋_GB2312" w:hAnsi="仿宋_GB2312" w:eastAsia="仿宋_GB2312" w:cs="仿宋_GB2312"/>
          <w:kern w:val="0"/>
          <w:sz w:val="32"/>
          <w:szCs w:val="32"/>
          <w:highlight w:val="none"/>
          <w:shd w:val="clear" w:color="auto" w:fill="FFFFFF"/>
          <w:lang w:bidi="ar"/>
        </w:rPr>
        <w:t>投标人资格要求：</w:t>
      </w:r>
    </w:p>
    <w:bookmarkEnd w:id="0"/>
    <w:p w14:paraId="4887932C">
      <w:pPr>
        <w:widowControl/>
        <w:numPr>
          <w:ilvl w:val="0"/>
          <w:numId w:val="1"/>
        </w:numPr>
        <w:shd w:val="clear" w:color="auto" w:fill="FFFFFF"/>
        <w:spacing w:line="560" w:lineRule="exact"/>
        <w:ind w:firstLine="640" w:firstLineChars="200"/>
        <w:jc w:val="left"/>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在中华人民共和国境内注册，具有独立承担民事责任能力并具有法人资格；持有工商行政管理部门核发的法人营业执照，按国家法律正常经营；</w:t>
      </w:r>
    </w:p>
    <w:p w14:paraId="58456E84">
      <w:pPr>
        <w:widowControl/>
        <w:numPr>
          <w:ilvl w:val="0"/>
          <w:numId w:val="1"/>
        </w:numPr>
        <w:shd w:val="clear" w:color="auto" w:fill="FFFFFF"/>
        <w:spacing w:line="560" w:lineRule="exact"/>
        <w:ind w:firstLine="640"/>
        <w:jc w:val="left"/>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投标人</w:t>
      </w:r>
      <w:r>
        <w:rPr>
          <w:rFonts w:hint="eastAsia" w:ascii="仿宋_GB2312" w:hAnsi="仿宋_GB2312" w:eastAsia="仿宋_GB2312" w:cs="仿宋_GB2312"/>
          <w:kern w:val="0"/>
          <w:sz w:val="32"/>
          <w:szCs w:val="32"/>
          <w:highlight w:val="none"/>
          <w:shd w:val="clear" w:color="auto" w:fill="FFFFFF"/>
          <w:lang w:val="en-US" w:eastAsia="zh-CN" w:bidi="ar"/>
        </w:rPr>
        <w:t>需具备企业管理咨询、经济咨询、技术咨询等与本咨询服务项目相关的经营范围</w:t>
      </w:r>
      <w:r>
        <w:rPr>
          <w:rFonts w:hint="eastAsia" w:ascii="仿宋_GB2312" w:hAnsi="仿宋_GB2312" w:eastAsia="仿宋_GB2312" w:cs="仿宋_GB2312"/>
          <w:kern w:val="0"/>
          <w:sz w:val="32"/>
          <w:szCs w:val="32"/>
          <w:highlight w:val="none"/>
          <w:shd w:val="clear" w:color="auto" w:fill="FFFFFF"/>
          <w:lang w:bidi="ar"/>
        </w:rPr>
        <w:t>；</w:t>
      </w:r>
    </w:p>
    <w:p w14:paraId="441B75B7">
      <w:pPr>
        <w:widowControl/>
        <w:numPr>
          <w:ilvl w:val="0"/>
          <w:numId w:val="1"/>
        </w:numPr>
        <w:shd w:val="clear" w:color="auto" w:fill="FFFFFF"/>
        <w:spacing w:line="560" w:lineRule="exact"/>
        <w:ind w:firstLine="640"/>
        <w:jc w:val="left"/>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投标人</w:t>
      </w:r>
      <w:r>
        <w:rPr>
          <w:rFonts w:hint="eastAsia" w:ascii="仿宋_GB2312" w:hAnsi="仿宋_GB2312" w:eastAsia="仿宋_GB2312" w:cs="仿宋_GB2312"/>
          <w:kern w:val="0"/>
          <w:sz w:val="32"/>
          <w:szCs w:val="32"/>
          <w:highlight w:val="none"/>
          <w:shd w:val="clear" w:color="auto" w:fill="FFFFFF"/>
          <w:lang w:val="en-US" w:eastAsia="zh-CN" w:bidi="ar"/>
        </w:rPr>
        <w:t>近三年</w:t>
      </w:r>
      <w:r>
        <w:rPr>
          <w:rFonts w:hint="eastAsia" w:ascii="仿宋_GB2312" w:hAnsi="仿宋_GB2312" w:eastAsia="仿宋_GB2312" w:cs="仿宋_GB2312"/>
          <w:kern w:val="0"/>
          <w:sz w:val="32"/>
          <w:szCs w:val="32"/>
          <w:highlight w:val="none"/>
          <w:shd w:val="clear" w:color="auto" w:fill="FFFFFF"/>
          <w:lang w:bidi="ar"/>
        </w:rPr>
        <w:t>具有良好的财务状况（提供承诺函）；</w:t>
      </w:r>
    </w:p>
    <w:p w14:paraId="23DA5F97">
      <w:pPr>
        <w:widowControl/>
        <w:numPr>
          <w:ilvl w:val="0"/>
          <w:numId w:val="1"/>
        </w:numPr>
        <w:shd w:val="clear" w:color="auto" w:fill="FFFFFF"/>
        <w:spacing w:line="560" w:lineRule="exact"/>
        <w:ind w:firstLine="640" w:firstLineChars="200"/>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投标人必须为未被列入信用中国网站(www.creditchina.gov.cn)的“失信被执行人”、“重大税收违法案件当事人名单”的供应商（提供开标时间前10天内的查询结果网页截图并加盖公章</w:t>
      </w:r>
      <w:r>
        <w:rPr>
          <w:rFonts w:hint="eastAsia" w:ascii="仿宋_GB2312" w:hAnsi="仿宋_GB2312" w:eastAsia="仿宋_GB2312" w:cs="仿宋_GB2312"/>
          <w:kern w:val="0"/>
          <w:sz w:val="32"/>
          <w:szCs w:val="32"/>
          <w:highlight w:val="none"/>
          <w:shd w:val="clear" w:color="auto" w:fill="FFFFFF"/>
          <w:lang w:eastAsia="zh-CN" w:bidi="ar"/>
        </w:rPr>
        <w:t>，</w:t>
      </w:r>
      <w:r>
        <w:rPr>
          <w:rFonts w:hint="eastAsia" w:ascii="仿宋_GB2312" w:hAnsi="仿宋_GB2312" w:eastAsia="仿宋_GB2312" w:cs="仿宋_GB2312"/>
          <w:kern w:val="0"/>
          <w:sz w:val="32"/>
          <w:szCs w:val="32"/>
          <w:highlight w:val="none"/>
          <w:shd w:val="clear" w:color="auto" w:fill="FFFFFF"/>
          <w:lang w:val="en-US" w:eastAsia="zh-CN" w:bidi="ar"/>
        </w:rPr>
        <w:t>截图须显示截图时间</w:t>
      </w:r>
      <w:r>
        <w:rPr>
          <w:rFonts w:hint="eastAsia" w:ascii="仿宋_GB2312" w:hAnsi="仿宋_GB2312" w:eastAsia="仿宋_GB2312" w:cs="仿宋_GB2312"/>
          <w:kern w:val="0"/>
          <w:sz w:val="32"/>
          <w:szCs w:val="32"/>
          <w:highlight w:val="none"/>
          <w:shd w:val="clear" w:color="auto" w:fill="FFFFFF"/>
          <w:lang w:bidi="ar"/>
        </w:rPr>
        <w:t>）；投标人近三年内（202</w:t>
      </w:r>
      <w:r>
        <w:rPr>
          <w:rFonts w:hint="eastAsia" w:ascii="仿宋_GB2312" w:hAnsi="仿宋_GB2312" w:eastAsia="仿宋_GB2312" w:cs="仿宋_GB2312"/>
          <w:kern w:val="0"/>
          <w:sz w:val="32"/>
          <w:szCs w:val="32"/>
          <w:highlight w:val="none"/>
          <w:shd w:val="clear" w:color="auto" w:fill="FFFFFF"/>
          <w:lang w:val="en-US" w:eastAsia="zh-CN" w:bidi="ar"/>
        </w:rPr>
        <w:t>2</w:t>
      </w:r>
      <w:r>
        <w:rPr>
          <w:rFonts w:hint="eastAsia" w:ascii="仿宋_GB2312" w:hAnsi="仿宋_GB2312" w:eastAsia="仿宋_GB2312" w:cs="仿宋_GB2312"/>
          <w:kern w:val="0"/>
          <w:sz w:val="32"/>
          <w:szCs w:val="32"/>
          <w:highlight w:val="none"/>
          <w:shd w:val="clear" w:color="auto" w:fill="FFFFFF"/>
          <w:lang w:bidi="ar"/>
        </w:rPr>
        <w:t>年</w:t>
      </w:r>
      <w:r>
        <w:rPr>
          <w:rFonts w:hint="eastAsia" w:ascii="仿宋_GB2312" w:hAnsi="仿宋_GB2312" w:eastAsia="仿宋_GB2312" w:cs="仿宋_GB2312"/>
          <w:kern w:val="0"/>
          <w:sz w:val="32"/>
          <w:szCs w:val="32"/>
          <w:highlight w:val="none"/>
          <w:shd w:val="clear" w:color="auto" w:fill="FFFFFF"/>
          <w:lang w:val="en-US" w:eastAsia="zh-CN" w:bidi="ar"/>
        </w:rPr>
        <w:t>8</w:t>
      </w:r>
      <w:r>
        <w:rPr>
          <w:rFonts w:hint="eastAsia" w:ascii="仿宋_GB2312" w:hAnsi="仿宋_GB2312" w:eastAsia="仿宋_GB2312" w:cs="仿宋_GB2312"/>
          <w:kern w:val="0"/>
          <w:sz w:val="32"/>
          <w:szCs w:val="32"/>
          <w:highlight w:val="none"/>
          <w:shd w:val="clear" w:color="auto" w:fill="FFFFFF"/>
          <w:lang w:bidi="ar"/>
        </w:rPr>
        <w:t>月</w:t>
      </w:r>
      <w:r>
        <w:rPr>
          <w:rFonts w:hint="eastAsia" w:ascii="仿宋_GB2312" w:hAnsi="仿宋_GB2312" w:eastAsia="仿宋_GB2312" w:cs="仿宋_GB2312"/>
          <w:kern w:val="0"/>
          <w:sz w:val="32"/>
          <w:szCs w:val="32"/>
          <w:highlight w:val="none"/>
          <w:shd w:val="clear" w:color="auto" w:fill="FFFFFF"/>
          <w:lang w:val="en-US" w:eastAsia="zh-CN" w:bidi="ar"/>
        </w:rPr>
        <w:t>1</w:t>
      </w:r>
      <w:r>
        <w:rPr>
          <w:rFonts w:hint="eastAsia" w:ascii="仿宋_GB2312" w:hAnsi="仿宋_GB2312" w:eastAsia="仿宋_GB2312" w:cs="仿宋_GB2312"/>
          <w:kern w:val="0"/>
          <w:sz w:val="32"/>
          <w:szCs w:val="32"/>
          <w:highlight w:val="none"/>
          <w:shd w:val="clear" w:color="auto" w:fill="FFFFFF"/>
          <w:lang w:bidi="ar"/>
        </w:rPr>
        <w:t>日至202</w:t>
      </w:r>
      <w:r>
        <w:rPr>
          <w:rFonts w:hint="eastAsia" w:ascii="仿宋_GB2312" w:hAnsi="仿宋_GB2312" w:eastAsia="仿宋_GB2312" w:cs="仿宋_GB2312"/>
          <w:kern w:val="0"/>
          <w:sz w:val="32"/>
          <w:szCs w:val="32"/>
          <w:highlight w:val="none"/>
          <w:shd w:val="clear" w:color="auto" w:fill="FFFFFF"/>
          <w:lang w:val="en-US" w:eastAsia="zh-CN" w:bidi="ar"/>
        </w:rPr>
        <w:t>5</w:t>
      </w:r>
      <w:r>
        <w:rPr>
          <w:rFonts w:hint="eastAsia" w:ascii="仿宋_GB2312" w:hAnsi="仿宋_GB2312" w:eastAsia="仿宋_GB2312" w:cs="仿宋_GB2312"/>
          <w:kern w:val="0"/>
          <w:sz w:val="32"/>
          <w:szCs w:val="32"/>
          <w:highlight w:val="none"/>
          <w:shd w:val="clear" w:color="auto" w:fill="FFFFFF"/>
          <w:lang w:bidi="ar"/>
        </w:rPr>
        <w:t>年</w:t>
      </w:r>
      <w:r>
        <w:rPr>
          <w:rFonts w:hint="eastAsia" w:ascii="仿宋_GB2312" w:hAnsi="仿宋_GB2312" w:eastAsia="仿宋_GB2312" w:cs="仿宋_GB2312"/>
          <w:kern w:val="0"/>
          <w:sz w:val="32"/>
          <w:szCs w:val="32"/>
          <w:highlight w:val="none"/>
          <w:shd w:val="clear" w:color="auto" w:fill="FFFFFF"/>
          <w:lang w:val="en-US" w:eastAsia="zh-CN" w:bidi="ar"/>
        </w:rPr>
        <w:t>7</w:t>
      </w:r>
      <w:r>
        <w:rPr>
          <w:rFonts w:hint="eastAsia" w:ascii="仿宋_GB2312" w:hAnsi="仿宋_GB2312" w:eastAsia="仿宋_GB2312" w:cs="仿宋_GB2312"/>
          <w:kern w:val="0"/>
          <w:sz w:val="32"/>
          <w:szCs w:val="32"/>
          <w:highlight w:val="none"/>
          <w:shd w:val="clear" w:color="auto" w:fill="FFFFFF"/>
          <w:lang w:bidi="ar"/>
        </w:rPr>
        <w:t>月</w:t>
      </w:r>
      <w:r>
        <w:rPr>
          <w:rFonts w:hint="eastAsia" w:ascii="仿宋_GB2312" w:hAnsi="仿宋_GB2312" w:eastAsia="仿宋_GB2312" w:cs="仿宋_GB2312"/>
          <w:kern w:val="0"/>
          <w:sz w:val="32"/>
          <w:szCs w:val="32"/>
          <w:highlight w:val="none"/>
          <w:shd w:val="clear" w:color="auto" w:fill="FFFFFF"/>
          <w:lang w:val="en-US" w:eastAsia="zh-CN" w:bidi="ar"/>
        </w:rPr>
        <w:t>31</w:t>
      </w:r>
      <w:r>
        <w:rPr>
          <w:rFonts w:hint="eastAsia" w:ascii="仿宋_GB2312" w:hAnsi="仿宋_GB2312" w:eastAsia="仿宋_GB2312" w:cs="仿宋_GB2312"/>
          <w:kern w:val="0"/>
          <w:sz w:val="32"/>
          <w:szCs w:val="32"/>
          <w:highlight w:val="none"/>
          <w:shd w:val="clear" w:color="auto" w:fill="FFFFFF"/>
          <w:lang w:bidi="ar"/>
        </w:rPr>
        <w:t>日）没有重大违法记录、</w:t>
      </w:r>
      <w:r>
        <w:rPr>
          <w:rFonts w:hint="eastAsia" w:ascii="仿宋_GB2312" w:hAnsi="仿宋_GB2312" w:eastAsia="仿宋_GB2312" w:cs="仿宋_GB2312"/>
          <w:kern w:val="0"/>
          <w:sz w:val="32"/>
          <w:szCs w:val="32"/>
          <w:highlight w:val="none"/>
          <w:shd w:val="clear" w:color="auto" w:fill="FFFFFF"/>
          <w:lang w:val="en-US" w:eastAsia="zh-CN" w:bidi="ar"/>
        </w:rPr>
        <w:t>不存在骗取中标、严重违约等情况、</w:t>
      </w:r>
      <w:r>
        <w:rPr>
          <w:rFonts w:hint="eastAsia" w:ascii="仿宋_GB2312" w:hAnsi="仿宋_GB2312" w:eastAsia="仿宋_GB2312" w:cs="仿宋_GB2312"/>
          <w:kern w:val="0"/>
          <w:sz w:val="32"/>
          <w:szCs w:val="32"/>
          <w:highlight w:val="none"/>
          <w:shd w:val="clear" w:color="auto" w:fill="FFFFFF"/>
          <w:lang w:bidi="ar"/>
        </w:rPr>
        <w:t>有依法缴纳税收和社会保障资金的良好记录、服务团队成员为投标人员工并未受过行业处罚或涉及行业相关的法律诉讼事项（提供承诺函）；</w:t>
      </w:r>
    </w:p>
    <w:p w14:paraId="5012712E">
      <w:pPr>
        <w:widowControl/>
        <w:numPr>
          <w:ilvl w:val="0"/>
          <w:numId w:val="1"/>
        </w:numPr>
        <w:shd w:val="clear" w:color="auto" w:fill="FFFFFF"/>
        <w:spacing w:line="560" w:lineRule="exact"/>
        <w:ind w:firstLine="640" w:firstLineChars="200"/>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val="en-US" w:eastAsia="zh-CN" w:bidi="ar"/>
        </w:rPr>
        <w:t>投标人须确保项目服务团队成员（包括项目负责人）与投标文件保持一致，且项目负责人驻场时间须超过15个工作日（提供承诺函）；</w:t>
      </w:r>
    </w:p>
    <w:p w14:paraId="39F4DD51">
      <w:pPr>
        <w:widowControl/>
        <w:numPr>
          <w:ilvl w:val="0"/>
          <w:numId w:val="1"/>
        </w:numPr>
        <w:shd w:val="clear" w:color="auto" w:fill="FFFFFF"/>
        <w:spacing w:line="560" w:lineRule="exact"/>
        <w:ind w:firstLine="640" w:firstLineChars="200"/>
        <w:rPr>
          <w:highlight w:val="none"/>
        </w:rPr>
      </w:pPr>
      <w:r>
        <w:rPr>
          <w:rFonts w:hint="eastAsia" w:ascii="仿宋_GB2312" w:hAnsi="仿宋_GB2312" w:eastAsia="仿宋_GB2312" w:cs="仿宋_GB2312"/>
          <w:kern w:val="0"/>
          <w:sz w:val="32"/>
          <w:szCs w:val="32"/>
          <w:highlight w:val="none"/>
          <w:shd w:val="clear" w:color="auto" w:fill="FFFFFF"/>
          <w:lang w:bidi="ar"/>
        </w:rPr>
        <w:t>本次招标</w:t>
      </w:r>
      <w:r>
        <w:rPr>
          <w:rFonts w:hint="eastAsia" w:ascii="仿宋_GB2312" w:hAnsi="仿宋_GB2312" w:eastAsia="仿宋_GB2312" w:cs="仿宋_GB2312"/>
          <w:kern w:val="0"/>
          <w:sz w:val="32"/>
          <w:szCs w:val="32"/>
          <w:highlight w:val="none"/>
          <w:shd w:val="clear" w:color="auto" w:fill="FFFFFF"/>
          <w:lang w:val="en-US" w:eastAsia="zh-CN" w:bidi="ar"/>
        </w:rPr>
        <w:t>不</w:t>
      </w:r>
      <w:r>
        <w:rPr>
          <w:rFonts w:hint="eastAsia" w:ascii="仿宋_GB2312" w:hAnsi="仿宋_GB2312" w:eastAsia="仿宋_GB2312" w:cs="仿宋_GB2312"/>
          <w:kern w:val="0"/>
          <w:sz w:val="32"/>
          <w:szCs w:val="32"/>
          <w:highlight w:val="none"/>
          <w:shd w:val="clear" w:color="auto" w:fill="FFFFFF"/>
          <w:lang w:bidi="ar"/>
        </w:rPr>
        <w:t>接受联合体投标。</w:t>
      </w:r>
    </w:p>
    <w:p w14:paraId="7A3234A2">
      <w:pPr>
        <w:widowControl/>
        <w:numPr>
          <w:ilvl w:val="0"/>
          <w:numId w:val="1"/>
        </w:numPr>
        <w:shd w:val="clear" w:color="auto" w:fill="FFFFFF"/>
        <w:spacing w:line="560" w:lineRule="exact"/>
        <w:ind w:firstLine="640" w:firstLineChars="200"/>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招标公告、招标文件和中标候选人</w:t>
      </w:r>
      <w:r>
        <w:rPr>
          <w:rFonts w:hint="eastAsia" w:ascii="仿宋_GB2312" w:hAnsi="仿宋_GB2312" w:eastAsia="仿宋_GB2312" w:cs="仿宋_GB2312"/>
          <w:kern w:val="0"/>
          <w:sz w:val="32"/>
          <w:szCs w:val="32"/>
          <w:highlight w:val="none"/>
          <w:shd w:val="clear" w:color="auto" w:fill="FFFFFF"/>
          <w:lang w:val="en-US" w:eastAsia="zh-CN" w:bidi="ar"/>
        </w:rPr>
        <w:t>于</w:t>
      </w:r>
      <w:r>
        <w:rPr>
          <w:rFonts w:hint="eastAsia" w:ascii="仿宋_GB2312" w:hAnsi="仿宋_GB2312" w:eastAsia="仿宋_GB2312" w:cs="仿宋_GB2312"/>
          <w:kern w:val="0"/>
          <w:sz w:val="32"/>
          <w:szCs w:val="32"/>
          <w:highlight w:val="none"/>
          <w:shd w:val="clear" w:color="auto" w:fill="FFFFFF"/>
          <w:lang w:bidi="ar"/>
        </w:rPr>
        <w:t>广州南沙资产经营集团有限公司网站(http</w:t>
      </w:r>
      <w:r>
        <w:rPr>
          <w:rFonts w:hint="eastAsia" w:ascii="仿宋_GB2312" w:hAnsi="仿宋_GB2312" w:eastAsia="仿宋_GB2312" w:cs="仿宋_GB2312"/>
          <w:kern w:val="0"/>
          <w:sz w:val="32"/>
          <w:szCs w:val="32"/>
          <w:highlight w:val="none"/>
          <w:shd w:val="clear" w:color="auto" w:fill="FFFFFF"/>
          <w:lang w:val="en-US" w:eastAsia="zh-CN" w:bidi="ar"/>
        </w:rPr>
        <w:t>:</w:t>
      </w:r>
      <w:r>
        <w:rPr>
          <w:rFonts w:hint="eastAsia" w:ascii="仿宋_GB2312" w:hAnsi="仿宋_GB2312" w:eastAsia="仿宋_GB2312" w:cs="仿宋_GB2312"/>
          <w:kern w:val="0"/>
          <w:sz w:val="32"/>
          <w:szCs w:val="32"/>
          <w:highlight w:val="none"/>
          <w:shd w:val="clear" w:color="auto" w:fill="FFFFFF"/>
          <w:lang w:bidi="ar"/>
        </w:rPr>
        <w:t>//www.gnao.com.cn)</w:t>
      </w:r>
      <w:r>
        <w:rPr>
          <w:rFonts w:hint="eastAsia" w:ascii="仿宋_GB2312" w:hAnsi="仿宋_GB2312" w:eastAsia="仿宋_GB2312" w:cs="仿宋_GB2312"/>
          <w:kern w:val="0"/>
          <w:sz w:val="32"/>
          <w:szCs w:val="32"/>
          <w:highlight w:val="none"/>
          <w:shd w:val="clear" w:color="auto" w:fill="FFFFFF"/>
          <w:lang w:val="en-US" w:eastAsia="zh-CN" w:bidi="ar"/>
        </w:rPr>
        <w:t>及广州国企阳光采购信息发布平台（https://ygcg.gzggzy.cn）</w:t>
      </w:r>
      <w:r>
        <w:rPr>
          <w:rFonts w:hint="eastAsia" w:ascii="仿宋_GB2312" w:hAnsi="仿宋_GB2312" w:eastAsia="仿宋_GB2312" w:cs="仿宋_GB2312"/>
          <w:kern w:val="0"/>
          <w:sz w:val="32"/>
          <w:szCs w:val="32"/>
          <w:highlight w:val="none"/>
          <w:shd w:val="clear" w:color="auto" w:fill="FFFFFF"/>
          <w:lang w:bidi="ar"/>
        </w:rPr>
        <w:t>上公示。</w:t>
      </w:r>
    </w:p>
    <w:p w14:paraId="649F88E2">
      <w:pPr>
        <w:widowControl/>
        <w:numPr>
          <w:ilvl w:val="0"/>
          <w:numId w:val="1"/>
        </w:numPr>
        <w:shd w:val="clear" w:color="auto" w:fill="FFFFFF"/>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投标文件邮寄截止日期：202</w:t>
      </w:r>
      <w:r>
        <w:rPr>
          <w:rFonts w:hint="eastAsia" w:ascii="仿宋_GB2312" w:hAnsi="仿宋_GB2312" w:eastAsia="仿宋_GB2312" w:cs="仿宋_GB2312"/>
          <w:kern w:val="0"/>
          <w:sz w:val="32"/>
          <w:szCs w:val="32"/>
          <w:highlight w:val="none"/>
          <w:shd w:val="clear" w:color="auto" w:fill="FFFFFF"/>
          <w:lang w:val="en-US" w:eastAsia="zh-CN" w:bidi="ar"/>
        </w:rPr>
        <w:t>5</w:t>
      </w:r>
      <w:r>
        <w:rPr>
          <w:rFonts w:hint="eastAsia" w:ascii="仿宋_GB2312" w:hAnsi="仿宋_GB2312" w:eastAsia="仿宋_GB2312" w:cs="仿宋_GB2312"/>
          <w:kern w:val="0"/>
          <w:sz w:val="32"/>
          <w:szCs w:val="32"/>
          <w:highlight w:val="none"/>
          <w:shd w:val="clear" w:color="auto" w:fill="FFFFFF"/>
          <w:lang w:bidi="ar"/>
        </w:rPr>
        <w:t>年</w:t>
      </w:r>
      <w:r>
        <w:rPr>
          <w:rFonts w:hint="eastAsia" w:ascii="仿宋_GB2312" w:hAnsi="仿宋_GB2312" w:eastAsia="仿宋_GB2312" w:cs="仿宋_GB2312"/>
          <w:kern w:val="0"/>
          <w:sz w:val="32"/>
          <w:szCs w:val="32"/>
          <w:highlight w:val="none"/>
          <w:shd w:val="clear" w:color="auto" w:fill="FFFFFF"/>
          <w:lang w:val="en-US" w:eastAsia="zh-CN" w:bidi="ar"/>
        </w:rPr>
        <w:t>8</w:t>
      </w:r>
      <w:r>
        <w:rPr>
          <w:rFonts w:hint="eastAsia" w:ascii="仿宋_GB2312" w:hAnsi="仿宋_GB2312" w:eastAsia="仿宋_GB2312" w:cs="仿宋_GB2312"/>
          <w:kern w:val="0"/>
          <w:sz w:val="32"/>
          <w:szCs w:val="32"/>
          <w:highlight w:val="none"/>
          <w:shd w:val="clear" w:color="auto" w:fill="FFFFFF"/>
          <w:lang w:bidi="ar"/>
        </w:rPr>
        <w:t>月</w:t>
      </w:r>
      <w:r>
        <w:rPr>
          <w:rFonts w:hint="eastAsia" w:ascii="仿宋_GB2312" w:hAnsi="仿宋_GB2312" w:eastAsia="仿宋_GB2312" w:cs="仿宋_GB2312"/>
          <w:kern w:val="0"/>
          <w:sz w:val="32"/>
          <w:szCs w:val="32"/>
          <w:highlight w:val="none"/>
          <w:shd w:val="clear" w:color="auto" w:fill="FFFFFF"/>
          <w:lang w:val="en-US" w:eastAsia="zh-CN" w:bidi="ar"/>
        </w:rPr>
        <w:t>7</w:t>
      </w:r>
      <w:r>
        <w:rPr>
          <w:rFonts w:hint="eastAsia" w:ascii="仿宋_GB2312" w:hAnsi="仿宋_GB2312" w:eastAsia="仿宋_GB2312" w:cs="仿宋_GB2312"/>
          <w:kern w:val="0"/>
          <w:sz w:val="32"/>
          <w:szCs w:val="32"/>
          <w:highlight w:val="none"/>
          <w:shd w:val="clear" w:color="auto" w:fill="FFFFFF"/>
          <w:lang w:bidi="ar"/>
        </w:rPr>
        <w:t>日</w:t>
      </w:r>
      <w:r>
        <w:rPr>
          <w:rFonts w:hint="eastAsia" w:ascii="仿宋_GB2312" w:hAnsi="仿宋_GB2312" w:eastAsia="仿宋_GB2312" w:cs="仿宋_GB2312"/>
          <w:kern w:val="0"/>
          <w:sz w:val="32"/>
          <w:szCs w:val="32"/>
          <w:highlight w:val="none"/>
          <w:shd w:val="clear" w:color="auto" w:fill="FFFFFF"/>
          <w:lang w:val="en-US" w:eastAsia="zh-CN" w:bidi="ar"/>
        </w:rPr>
        <w:t>10</w:t>
      </w:r>
      <w:r>
        <w:rPr>
          <w:rFonts w:hint="eastAsia" w:ascii="仿宋_GB2312" w:hAnsi="仿宋_GB2312" w:eastAsia="仿宋_GB2312" w:cs="仿宋_GB2312"/>
          <w:kern w:val="0"/>
          <w:sz w:val="32"/>
          <w:szCs w:val="32"/>
          <w:highlight w:val="none"/>
          <w:shd w:val="clear" w:color="auto" w:fill="FFFFFF"/>
          <w:lang w:bidi="ar"/>
        </w:rPr>
        <w:t>时</w:t>
      </w:r>
      <w:r>
        <w:rPr>
          <w:rFonts w:hint="eastAsia" w:ascii="仿宋_GB2312" w:hAnsi="仿宋_GB2312" w:eastAsia="仿宋_GB2312" w:cs="仿宋_GB2312"/>
          <w:kern w:val="0"/>
          <w:sz w:val="32"/>
          <w:szCs w:val="32"/>
          <w:highlight w:val="none"/>
          <w:shd w:val="clear" w:color="auto" w:fill="FFFFFF"/>
          <w:lang w:val="en-US" w:eastAsia="zh-CN" w:bidi="ar"/>
        </w:rPr>
        <w:t>00</w:t>
      </w:r>
      <w:r>
        <w:rPr>
          <w:rFonts w:hint="eastAsia" w:ascii="仿宋_GB2312" w:hAnsi="仿宋_GB2312" w:eastAsia="仿宋_GB2312" w:cs="仿宋_GB2312"/>
          <w:kern w:val="0"/>
          <w:sz w:val="32"/>
          <w:szCs w:val="32"/>
          <w:highlight w:val="none"/>
          <w:shd w:val="clear" w:color="auto" w:fill="FFFFFF"/>
          <w:lang w:bidi="ar"/>
        </w:rPr>
        <w:t>分前</w:t>
      </w:r>
    </w:p>
    <w:p w14:paraId="3D1CAD76">
      <w:pPr>
        <w:widowControl/>
        <w:shd w:val="clear" w:color="auto" w:fill="FFFFFF"/>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开标与评审日期：202</w:t>
      </w:r>
      <w:r>
        <w:rPr>
          <w:rFonts w:hint="eastAsia" w:ascii="仿宋_GB2312" w:hAnsi="仿宋_GB2312" w:eastAsia="仿宋_GB2312" w:cs="仿宋_GB2312"/>
          <w:kern w:val="0"/>
          <w:sz w:val="32"/>
          <w:szCs w:val="32"/>
          <w:highlight w:val="none"/>
          <w:shd w:val="clear" w:color="auto" w:fill="FFFFFF"/>
          <w:lang w:val="en-US" w:eastAsia="zh-CN" w:bidi="ar"/>
        </w:rPr>
        <w:t>5</w:t>
      </w:r>
      <w:r>
        <w:rPr>
          <w:rFonts w:hint="eastAsia" w:ascii="仿宋_GB2312" w:hAnsi="仿宋_GB2312" w:eastAsia="仿宋_GB2312" w:cs="仿宋_GB2312"/>
          <w:kern w:val="0"/>
          <w:sz w:val="32"/>
          <w:szCs w:val="32"/>
          <w:highlight w:val="none"/>
          <w:shd w:val="clear" w:color="auto" w:fill="FFFFFF"/>
          <w:lang w:bidi="ar"/>
        </w:rPr>
        <w:t>年</w:t>
      </w:r>
      <w:r>
        <w:rPr>
          <w:rFonts w:hint="eastAsia" w:ascii="仿宋_GB2312" w:hAnsi="仿宋_GB2312" w:eastAsia="仿宋_GB2312" w:cs="仿宋_GB2312"/>
          <w:kern w:val="0"/>
          <w:sz w:val="32"/>
          <w:szCs w:val="32"/>
          <w:highlight w:val="none"/>
          <w:shd w:val="clear" w:color="auto" w:fill="FFFFFF"/>
          <w:lang w:val="en-US" w:eastAsia="zh-CN" w:bidi="ar"/>
        </w:rPr>
        <w:t>8</w:t>
      </w:r>
      <w:r>
        <w:rPr>
          <w:rFonts w:hint="eastAsia" w:ascii="仿宋_GB2312" w:hAnsi="仿宋_GB2312" w:eastAsia="仿宋_GB2312" w:cs="仿宋_GB2312"/>
          <w:kern w:val="0"/>
          <w:sz w:val="32"/>
          <w:szCs w:val="32"/>
          <w:highlight w:val="none"/>
          <w:shd w:val="clear" w:color="auto" w:fill="FFFFFF"/>
          <w:lang w:bidi="ar"/>
        </w:rPr>
        <w:t>月</w:t>
      </w:r>
      <w:r>
        <w:rPr>
          <w:rFonts w:hint="eastAsia" w:ascii="仿宋_GB2312" w:hAnsi="仿宋_GB2312" w:eastAsia="仿宋_GB2312" w:cs="仿宋_GB2312"/>
          <w:kern w:val="0"/>
          <w:sz w:val="32"/>
          <w:szCs w:val="32"/>
          <w:highlight w:val="none"/>
          <w:shd w:val="clear" w:color="auto" w:fill="FFFFFF"/>
          <w:lang w:val="en-US" w:eastAsia="zh-CN" w:bidi="ar"/>
        </w:rPr>
        <w:t>7</w:t>
      </w:r>
      <w:r>
        <w:rPr>
          <w:rFonts w:hint="eastAsia" w:ascii="仿宋_GB2312" w:hAnsi="仿宋_GB2312" w:eastAsia="仿宋_GB2312" w:cs="仿宋_GB2312"/>
          <w:kern w:val="0"/>
          <w:sz w:val="32"/>
          <w:szCs w:val="32"/>
          <w:highlight w:val="none"/>
          <w:shd w:val="clear" w:color="auto" w:fill="FFFFFF"/>
          <w:lang w:bidi="ar"/>
        </w:rPr>
        <w:t>日</w:t>
      </w:r>
      <w:r>
        <w:rPr>
          <w:rFonts w:hint="eastAsia" w:ascii="仿宋_GB2312" w:hAnsi="仿宋_GB2312" w:eastAsia="仿宋_GB2312" w:cs="仿宋_GB2312"/>
          <w:kern w:val="0"/>
          <w:sz w:val="32"/>
          <w:szCs w:val="32"/>
          <w:highlight w:val="none"/>
          <w:shd w:val="clear" w:color="auto" w:fill="FFFFFF"/>
          <w:lang w:val="en-US" w:eastAsia="zh-CN" w:bidi="ar"/>
        </w:rPr>
        <w:t>10</w:t>
      </w:r>
      <w:r>
        <w:rPr>
          <w:rFonts w:hint="eastAsia" w:ascii="仿宋_GB2312" w:hAnsi="仿宋_GB2312" w:eastAsia="仿宋_GB2312" w:cs="仿宋_GB2312"/>
          <w:kern w:val="0"/>
          <w:sz w:val="32"/>
          <w:szCs w:val="32"/>
          <w:highlight w:val="none"/>
          <w:shd w:val="clear" w:color="auto" w:fill="FFFFFF"/>
          <w:lang w:bidi="ar"/>
        </w:rPr>
        <w:t>时</w:t>
      </w:r>
      <w:r>
        <w:rPr>
          <w:rFonts w:hint="eastAsia" w:ascii="仿宋_GB2312" w:hAnsi="仿宋_GB2312" w:eastAsia="仿宋_GB2312" w:cs="仿宋_GB2312"/>
          <w:kern w:val="0"/>
          <w:sz w:val="32"/>
          <w:szCs w:val="32"/>
          <w:highlight w:val="none"/>
          <w:shd w:val="clear" w:color="auto" w:fill="FFFFFF"/>
          <w:lang w:val="en-US" w:eastAsia="zh-CN" w:bidi="ar"/>
        </w:rPr>
        <w:t>00</w:t>
      </w:r>
      <w:r>
        <w:rPr>
          <w:rFonts w:hint="eastAsia" w:ascii="仿宋_GB2312" w:hAnsi="仿宋_GB2312" w:eastAsia="仿宋_GB2312" w:cs="仿宋_GB2312"/>
          <w:kern w:val="0"/>
          <w:sz w:val="32"/>
          <w:szCs w:val="32"/>
          <w:highlight w:val="none"/>
          <w:shd w:val="clear" w:color="auto" w:fill="FFFFFF"/>
          <w:lang w:bidi="ar"/>
        </w:rPr>
        <w:t>分</w:t>
      </w:r>
    </w:p>
    <w:p w14:paraId="51FFA487">
      <w:pPr>
        <w:widowControl/>
        <w:shd w:val="clear" w:color="auto" w:fill="FFFFFF"/>
        <w:spacing w:line="560" w:lineRule="exact"/>
        <w:ind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0"/>
          <w:sz w:val="32"/>
          <w:szCs w:val="32"/>
          <w:highlight w:val="none"/>
          <w:shd w:val="clear" w:color="auto" w:fill="FFFFFF"/>
          <w:lang w:bidi="ar"/>
        </w:rPr>
        <w:t>开标地点：广东省广州市南沙区海滨路171号南沙金融大厦</w:t>
      </w:r>
      <w:r>
        <w:rPr>
          <w:rFonts w:hint="eastAsia" w:ascii="仿宋_GB2312" w:hAnsi="仿宋_GB2312" w:eastAsia="仿宋_GB2312" w:cs="仿宋_GB2312"/>
          <w:kern w:val="0"/>
          <w:sz w:val="32"/>
          <w:szCs w:val="32"/>
          <w:highlight w:val="none"/>
          <w:shd w:val="clear" w:color="auto" w:fill="FFFFFF"/>
          <w:lang w:val="en-US" w:eastAsia="zh-CN" w:bidi="ar"/>
        </w:rPr>
        <w:t>1807室</w:t>
      </w:r>
    </w:p>
    <w:p w14:paraId="345FA454">
      <w:pPr>
        <w:widowControl/>
        <w:shd w:val="clear" w:color="auto" w:fill="FFFFFF"/>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投标份数：正本1份，副本2份，电子版本1份。</w:t>
      </w:r>
    </w:p>
    <w:p w14:paraId="28EA553D">
      <w:pPr>
        <w:widowControl/>
        <w:shd w:val="clear" w:color="auto" w:fill="FFFFFF"/>
        <w:spacing w:line="560" w:lineRule="exact"/>
        <w:ind w:firstLine="640" w:firstLineChars="200"/>
        <w:jc w:val="left"/>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投标文件邮寄地址：广东省广州市南沙区海滨路171号南沙金融大厦11楼风控合规部</w:t>
      </w:r>
    </w:p>
    <w:p w14:paraId="070AECCB">
      <w:pPr>
        <w:widowControl/>
        <w:shd w:val="clear" w:color="auto" w:fill="FFFFFF"/>
        <w:spacing w:line="560" w:lineRule="exact"/>
        <w:ind w:firstLine="640" w:firstLineChars="200"/>
        <w:jc w:val="left"/>
        <w:rPr>
          <w:rFonts w:hint="default" w:ascii="仿宋_GB2312" w:hAnsi="仿宋_GB2312" w:eastAsia="仿宋_GB2312" w:cs="仿宋_GB2312"/>
          <w:kern w:val="0"/>
          <w:sz w:val="32"/>
          <w:szCs w:val="32"/>
          <w:highlight w:val="none"/>
          <w:shd w:val="clear" w:color="auto" w:fill="FFFFFF"/>
          <w:lang w:val="en-US" w:eastAsia="zh-CN" w:bidi="ar"/>
        </w:rPr>
      </w:pPr>
      <w:r>
        <w:rPr>
          <w:rFonts w:hint="eastAsia" w:ascii="仿宋_GB2312" w:hAnsi="仿宋_GB2312" w:eastAsia="仿宋_GB2312" w:cs="仿宋_GB2312"/>
          <w:kern w:val="0"/>
          <w:sz w:val="32"/>
          <w:szCs w:val="32"/>
          <w:highlight w:val="none"/>
          <w:shd w:val="clear" w:color="auto" w:fill="FFFFFF"/>
          <w:lang w:bidi="ar"/>
        </w:rPr>
        <w:t>联系人：陈小姐</w:t>
      </w:r>
    </w:p>
    <w:p w14:paraId="53749449">
      <w:pPr>
        <w:widowControl/>
        <w:shd w:val="clear" w:color="auto" w:fill="FFFFFF"/>
        <w:spacing w:line="560" w:lineRule="exact"/>
        <w:ind w:firstLine="640" w:firstLineChars="200"/>
        <w:jc w:val="left"/>
        <w:rPr>
          <w:rFonts w:hint="default" w:ascii="仿宋_GB2312" w:hAnsi="仿宋_GB2312" w:eastAsia="仿宋_GB2312" w:cs="仿宋_GB2312"/>
          <w:kern w:val="0"/>
          <w:sz w:val="32"/>
          <w:szCs w:val="32"/>
          <w:highlight w:val="none"/>
          <w:shd w:val="clear" w:color="auto" w:fill="FFFFFF"/>
          <w:lang w:val="en-US" w:eastAsia="zh-CN" w:bidi="ar"/>
        </w:rPr>
      </w:pPr>
      <w:r>
        <w:rPr>
          <w:rFonts w:hint="eastAsia" w:ascii="仿宋_GB2312" w:hAnsi="仿宋_GB2312" w:eastAsia="仿宋_GB2312" w:cs="仿宋_GB2312"/>
          <w:kern w:val="0"/>
          <w:sz w:val="32"/>
          <w:szCs w:val="32"/>
          <w:highlight w:val="none"/>
          <w:shd w:val="clear" w:color="auto" w:fill="FFFFFF"/>
          <w:lang w:bidi="ar"/>
        </w:rPr>
        <w:t>电话：020-66810073</w:t>
      </w:r>
    </w:p>
    <w:p w14:paraId="4FA252AE">
      <w:pPr>
        <w:pStyle w:val="3"/>
        <w:spacing w:line="560" w:lineRule="exact"/>
        <w:ind w:firstLine="643" w:firstLineChars="200"/>
        <w:rPr>
          <w:rFonts w:ascii="仿宋_GB2312" w:hAnsi="仿宋_GB2312" w:eastAsia="仿宋_GB2312" w:cs="仿宋_GB2312"/>
          <w:kern w:val="0"/>
          <w:sz w:val="32"/>
          <w:szCs w:val="32"/>
          <w:highlight w:val="none"/>
          <w:shd w:val="clear" w:color="auto" w:fill="FFFFFF"/>
          <w:lang w:bidi="ar"/>
        </w:rPr>
      </w:pPr>
    </w:p>
    <w:p w14:paraId="2C77EDC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highlight w:val="none"/>
        </w:rPr>
      </w:pPr>
    </w:p>
    <w:p w14:paraId="5238470C">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right"/>
        <w:textAlignment w:val="auto"/>
        <w:rPr>
          <w:rFonts w:hint="eastAsia" w:ascii="仿宋_GB2312" w:hAnsi="仿宋_GB2312" w:eastAsia="仿宋_GB2312" w:cs="仿宋_GB2312"/>
          <w:kern w:val="0"/>
          <w:sz w:val="32"/>
          <w:szCs w:val="32"/>
          <w:highlight w:val="none"/>
          <w:shd w:val="clear" w:color="auto" w:fill="FFFFFF"/>
          <w:lang w:eastAsia="zh-CN" w:bidi="ar"/>
        </w:rPr>
      </w:pPr>
      <w:r>
        <w:rPr>
          <w:rFonts w:hint="eastAsia" w:ascii="仿宋_GB2312" w:hAnsi="仿宋_GB2312" w:eastAsia="仿宋_GB2312" w:cs="仿宋_GB2312"/>
          <w:kern w:val="0"/>
          <w:sz w:val="32"/>
          <w:szCs w:val="32"/>
          <w:highlight w:val="none"/>
          <w:shd w:val="clear" w:color="auto" w:fill="FFFFFF"/>
          <w:lang w:bidi="ar"/>
        </w:rPr>
        <w:t>广州南沙资产经营集团有限公司</w:t>
      </w:r>
    </w:p>
    <w:p w14:paraId="534759BF">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right"/>
        <w:textAlignment w:val="auto"/>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202</w:t>
      </w:r>
      <w:r>
        <w:rPr>
          <w:rFonts w:hint="eastAsia" w:ascii="仿宋_GB2312" w:hAnsi="仿宋_GB2312" w:eastAsia="仿宋_GB2312" w:cs="仿宋_GB2312"/>
          <w:kern w:val="0"/>
          <w:sz w:val="32"/>
          <w:szCs w:val="32"/>
          <w:highlight w:val="none"/>
          <w:shd w:val="clear" w:color="auto" w:fill="FFFFFF"/>
          <w:lang w:val="en-US" w:eastAsia="zh-CN" w:bidi="ar"/>
        </w:rPr>
        <w:t>5</w:t>
      </w:r>
      <w:r>
        <w:rPr>
          <w:rFonts w:hint="eastAsia" w:ascii="仿宋_GB2312" w:hAnsi="仿宋_GB2312" w:eastAsia="仿宋_GB2312" w:cs="仿宋_GB2312"/>
          <w:kern w:val="0"/>
          <w:sz w:val="32"/>
          <w:szCs w:val="32"/>
          <w:highlight w:val="none"/>
          <w:shd w:val="clear" w:color="auto" w:fill="FFFFFF"/>
          <w:lang w:bidi="ar"/>
        </w:rPr>
        <w:t>年</w:t>
      </w:r>
      <w:r>
        <w:rPr>
          <w:rFonts w:hint="eastAsia" w:ascii="仿宋_GB2312" w:hAnsi="仿宋_GB2312" w:eastAsia="仿宋_GB2312" w:cs="仿宋_GB2312"/>
          <w:kern w:val="0"/>
          <w:sz w:val="32"/>
          <w:szCs w:val="32"/>
          <w:highlight w:val="none"/>
          <w:shd w:val="clear" w:color="auto" w:fill="FFFFFF"/>
          <w:lang w:val="en-US" w:eastAsia="zh-CN" w:bidi="ar"/>
        </w:rPr>
        <w:t>8</w:t>
      </w:r>
      <w:r>
        <w:rPr>
          <w:rFonts w:hint="eastAsia" w:ascii="仿宋_GB2312" w:hAnsi="仿宋_GB2312" w:eastAsia="仿宋_GB2312" w:cs="仿宋_GB2312"/>
          <w:kern w:val="0"/>
          <w:sz w:val="32"/>
          <w:szCs w:val="32"/>
          <w:highlight w:val="none"/>
          <w:shd w:val="clear" w:color="auto" w:fill="FFFFFF"/>
          <w:lang w:bidi="ar"/>
        </w:rPr>
        <w:t>月</w:t>
      </w:r>
      <w:r>
        <w:rPr>
          <w:rFonts w:hint="eastAsia" w:ascii="仿宋_GB2312" w:hAnsi="仿宋_GB2312" w:eastAsia="仿宋_GB2312" w:cs="仿宋_GB2312"/>
          <w:kern w:val="0"/>
          <w:sz w:val="32"/>
          <w:szCs w:val="32"/>
          <w:highlight w:val="none"/>
          <w:shd w:val="clear" w:color="auto" w:fill="FFFFFF"/>
          <w:lang w:val="en-US" w:eastAsia="zh-CN" w:bidi="ar"/>
        </w:rPr>
        <w:t>4</w:t>
      </w:r>
      <w:r>
        <w:rPr>
          <w:rFonts w:hint="eastAsia" w:ascii="仿宋_GB2312" w:hAnsi="仿宋_GB2312" w:eastAsia="仿宋_GB2312" w:cs="仿宋_GB2312"/>
          <w:kern w:val="0"/>
          <w:sz w:val="32"/>
          <w:szCs w:val="32"/>
          <w:highlight w:val="none"/>
          <w:shd w:val="clear" w:color="auto" w:fill="FFFFFF"/>
          <w:lang w:bidi="ar"/>
        </w:rPr>
        <w:t>日</w:t>
      </w:r>
    </w:p>
    <w:p w14:paraId="772B7F1D">
      <w:pPr>
        <w:widowControl/>
        <w:spacing w:line="240" w:lineRule="auto"/>
        <w:jc w:val="center"/>
        <w:rPr>
          <w:rFonts w:hint="eastAsia" w:eastAsia="方正小标宋简体"/>
          <w:sz w:val="36"/>
          <w:szCs w:val="36"/>
          <w:highlight w:val="none"/>
        </w:rPr>
      </w:pPr>
      <w:r>
        <w:rPr>
          <w:rFonts w:hint="eastAsia" w:ascii="仿宋_GB2312" w:hAnsi="仿宋_GB2312" w:eastAsia="仿宋_GB2312" w:cs="仿宋_GB2312"/>
          <w:kern w:val="0"/>
          <w:sz w:val="32"/>
          <w:szCs w:val="32"/>
          <w:highlight w:val="none"/>
          <w:shd w:val="clear" w:color="auto" w:fill="FFFFFF"/>
          <w:lang w:bidi="ar"/>
        </w:rPr>
        <w:br w:type="page"/>
      </w:r>
      <w:r>
        <w:rPr>
          <w:rFonts w:hint="eastAsia" w:ascii="Times New Roman" w:hAnsi="Times New Roman" w:eastAsia="方正小标宋简体" w:cs="Times New Roman"/>
          <w:kern w:val="2"/>
          <w:sz w:val="36"/>
          <w:szCs w:val="36"/>
          <w:highlight w:val="none"/>
          <w:shd w:val="clear"/>
          <w:lang w:bidi="ar"/>
        </w:rPr>
        <w:t>南沙资产经营集团战略规划及综合管理</w:t>
      </w:r>
    </w:p>
    <w:p w14:paraId="7E927A55">
      <w:pPr>
        <w:widowControl/>
        <w:jc w:val="center"/>
        <w:rPr>
          <w:rFonts w:hint="default" w:eastAsia="方正小标宋简体"/>
          <w:sz w:val="36"/>
          <w:szCs w:val="36"/>
          <w:highlight w:val="none"/>
          <w:lang w:val="en-US" w:eastAsia="zh-CN"/>
        </w:rPr>
      </w:pPr>
      <w:r>
        <w:rPr>
          <w:rFonts w:hint="eastAsia" w:eastAsia="方正小标宋简体"/>
          <w:sz w:val="36"/>
          <w:szCs w:val="36"/>
          <w:highlight w:val="none"/>
          <w:lang w:val="en-US" w:eastAsia="zh-CN"/>
        </w:rPr>
        <w:t>咨询</w:t>
      </w:r>
      <w:r>
        <w:rPr>
          <w:rFonts w:hint="eastAsia" w:eastAsia="方正小标宋简体"/>
          <w:sz w:val="36"/>
          <w:szCs w:val="36"/>
          <w:highlight w:val="none"/>
        </w:rPr>
        <w:t>服务项目</w:t>
      </w:r>
      <w:r>
        <w:rPr>
          <w:rFonts w:eastAsia="方正小标宋简体"/>
          <w:sz w:val="36"/>
          <w:szCs w:val="36"/>
          <w:highlight w:val="none"/>
        </w:rPr>
        <w:t>招标</w:t>
      </w:r>
      <w:r>
        <w:rPr>
          <w:rFonts w:hint="eastAsia" w:eastAsia="方正小标宋简体"/>
          <w:sz w:val="36"/>
          <w:szCs w:val="36"/>
          <w:highlight w:val="none"/>
          <w:lang w:val="en-US" w:eastAsia="zh-CN"/>
        </w:rPr>
        <w:t>文件</w:t>
      </w:r>
      <w:r>
        <w:rPr>
          <w:rFonts w:hint="eastAsia" w:eastAsia="方正小标宋简体"/>
          <w:sz w:val="36"/>
          <w:szCs w:val="36"/>
          <w:highlight w:val="none"/>
          <w:lang w:eastAsia="zh-CN"/>
        </w:rPr>
        <w:t>（</w:t>
      </w:r>
      <w:r>
        <w:rPr>
          <w:rFonts w:hint="eastAsia" w:eastAsia="方正小标宋简体"/>
          <w:sz w:val="36"/>
          <w:szCs w:val="36"/>
          <w:highlight w:val="none"/>
          <w:lang w:val="en-US" w:eastAsia="zh-CN"/>
        </w:rPr>
        <w:t>第二次</w:t>
      </w:r>
      <w:r>
        <w:rPr>
          <w:rFonts w:hint="eastAsia" w:eastAsia="方正小标宋简体"/>
          <w:sz w:val="36"/>
          <w:szCs w:val="36"/>
          <w:highlight w:val="none"/>
          <w:lang w:eastAsia="zh-CN"/>
        </w:rPr>
        <w:t>）</w:t>
      </w:r>
    </w:p>
    <w:p w14:paraId="5FF89F8F">
      <w:pPr>
        <w:widowControl/>
        <w:shd w:val="clear" w:color="auto" w:fill="FFFFFF"/>
        <w:jc w:val="center"/>
        <w:rPr>
          <w:rFonts w:eastAsia="方正小标宋简体"/>
          <w:sz w:val="36"/>
          <w:szCs w:val="36"/>
          <w:highlight w:val="none"/>
        </w:rPr>
      </w:pPr>
    </w:p>
    <w:p w14:paraId="027E17EE">
      <w:pPr>
        <w:widowControl/>
        <w:shd w:val="clear" w:color="auto" w:fill="FFFFFF"/>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致</w:t>
      </w:r>
      <w:r>
        <w:rPr>
          <w:rFonts w:hint="eastAsia" w:ascii="仿宋_GB2312" w:hAnsi="仿宋_GB2312" w:eastAsia="仿宋_GB2312" w:cs="仿宋_GB2312"/>
          <w:kern w:val="0"/>
          <w:sz w:val="32"/>
          <w:szCs w:val="32"/>
          <w:highlight w:val="none"/>
          <w:u w:val="single"/>
          <w:shd w:val="clear" w:color="auto" w:fill="FFFFFF"/>
          <w:lang w:bidi="ar"/>
        </w:rPr>
        <w:t>投标人：</w:t>
      </w:r>
    </w:p>
    <w:p w14:paraId="465CFF57">
      <w:pPr>
        <w:widowControl/>
        <w:shd w:val="clear" w:color="auto" w:fill="FFFFFF"/>
        <w:ind w:firstLine="640" w:firstLineChars="200"/>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本次招标为选聘南沙资产经营集团战略规划及综合管理</w:t>
      </w:r>
      <w:r>
        <w:rPr>
          <w:rFonts w:hint="eastAsia" w:ascii="仿宋_GB2312" w:hAnsi="仿宋_GB2312" w:eastAsia="仿宋_GB2312" w:cs="仿宋_GB2312"/>
          <w:kern w:val="0"/>
          <w:sz w:val="32"/>
          <w:szCs w:val="32"/>
          <w:highlight w:val="none"/>
          <w:shd w:val="clear" w:color="auto" w:fill="FFFFFF"/>
          <w:lang w:val="en-US" w:eastAsia="zh-CN" w:bidi="ar"/>
        </w:rPr>
        <w:t>咨询</w:t>
      </w:r>
      <w:r>
        <w:rPr>
          <w:rFonts w:hint="eastAsia" w:ascii="仿宋_GB2312" w:hAnsi="仿宋_GB2312" w:eastAsia="仿宋_GB2312" w:cs="仿宋_GB2312"/>
          <w:kern w:val="0"/>
          <w:sz w:val="32"/>
          <w:szCs w:val="32"/>
          <w:highlight w:val="none"/>
          <w:shd w:val="clear" w:color="auto" w:fill="FFFFFF"/>
          <w:lang w:bidi="ar"/>
        </w:rPr>
        <w:t>服务单位，在指定期限内，完成</w:t>
      </w:r>
      <w:r>
        <w:rPr>
          <w:rFonts w:hint="eastAsia" w:ascii="仿宋_GB2312" w:hAnsi="仿宋_GB2312" w:eastAsia="仿宋_GB2312" w:cs="仿宋_GB2312"/>
          <w:b w:val="0"/>
          <w:bCs w:val="0"/>
          <w:kern w:val="0"/>
          <w:sz w:val="32"/>
          <w:szCs w:val="32"/>
          <w:highlight w:val="none"/>
          <w:shd w:val="clear" w:color="auto" w:fill="FFFFFF"/>
          <w:lang w:val="en-US" w:eastAsia="zh-CN" w:bidi="ar"/>
        </w:rPr>
        <w:t>战略规划服务</w:t>
      </w:r>
      <w:r>
        <w:rPr>
          <w:rFonts w:hint="eastAsia" w:ascii="仿宋_GB2312" w:hAnsi="仿宋_GB2312" w:eastAsia="仿宋_GB2312" w:cs="仿宋_GB2312"/>
          <w:kern w:val="0"/>
          <w:sz w:val="32"/>
          <w:szCs w:val="32"/>
          <w:highlight w:val="none"/>
          <w:shd w:val="clear" w:color="auto" w:fill="FFFFFF"/>
          <w:lang w:val="en-US" w:eastAsia="zh-CN" w:bidi="ar"/>
        </w:rPr>
        <w:t>及综合管理咨询</w:t>
      </w:r>
      <w:r>
        <w:rPr>
          <w:rFonts w:hint="eastAsia" w:ascii="仿宋_GB2312" w:hAnsi="仿宋_GB2312" w:eastAsia="仿宋_GB2312" w:cs="仿宋_GB2312"/>
          <w:kern w:val="0"/>
          <w:sz w:val="32"/>
          <w:szCs w:val="32"/>
          <w:highlight w:val="none"/>
          <w:shd w:val="clear" w:color="auto" w:fill="FFFFFF"/>
          <w:lang w:bidi="ar"/>
        </w:rPr>
        <w:t>工作</w:t>
      </w:r>
      <w:r>
        <w:rPr>
          <w:rFonts w:hint="eastAsia" w:ascii="仿宋_GB2312" w:hAnsi="仿宋_GB2312" w:eastAsia="仿宋_GB2312" w:cs="仿宋_GB2312"/>
          <w:kern w:val="0"/>
          <w:sz w:val="32"/>
          <w:szCs w:val="32"/>
          <w:highlight w:val="none"/>
          <w:shd w:val="clear" w:color="auto" w:fill="FFFFFF"/>
          <w:lang w:val="en-US" w:eastAsia="zh-CN" w:bidi="ar"/>
        </w:rPr>
        <w:t>并出具相关成果文件</w:t>
      </w:r>
      <w:r>
        <w:rPr>
          <w:rFonts w:hint="eastAsia" w:ascii="仿宋_GB2312" w:hAnsi="仿宋_GB2312" w:eastAsia="仿宋_GB2312" w:cs="仿宋_GB2312"/>
          <w:kern w:val="0"/>
          <w:sz w:val="32"/>
          <w:szCs w:val="32"/>
          <w:highlight w:val="none"/>
          <w:shd w:val="clear" w:color="auto" w:fill="FFFFFF"/>
          <w:lang w:bidi="ar"/>
        </w:rPr>
        <w:t>。投标人须仔细阅读招标文件，如发现有任何疑问、冲突或技术问题，投标人须要求招标人澄清。</w:t>
      </w:r>
    </w:p>
    <w:p w14:paraId="14BEE577">
      <w:pPr>
        <w:widowControl/>
        <w:shd w:val="clear" w:color="auto" w:fill="FFFFFF"/>
        <w:ind w:firstLine="640" w:firstLineChars="200"/>
        <w:rPr>
          <w:rFonts w:eastAsia="仿宋_GB2312"/>
          <w:color w:val="000000"/>
          <w:kern w:val="0"/>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一、项目概述</w:t>
      </w:r>
    </w:p>
    <w:p w14:paraId="61423D23">
      <w:pPr>
        <w:widowControl/>
        <w:ind w:firstLine="640" w:firstLineChars="200"/>
        <w:rPr>
          <w:rFonts w:hint="eastAsia" w:eastAsia="仿宋_GB2312"/>
          <w:color w:val="000000"/>
          <w:kern w:val="0"/>
          <w:sz w:val="32"/>
          <w:szCs w:val="32"/>
          <w:highlight w:val="none"/>
        </w:rPr>
      </w:pPr>
      <w:r>
        <w:rPr>
          <w:rFonts w:hint="eastAsia" w:eastAsia="仿宋_GB2312"/>
          <w:color w:val="000000"/>
          <w:kern w:val="0"/>
          <w:sz w:val="32"/>
          <w:szCs w:val="32"/>
          <w:highlight w:val="none"/>
        </w:rPr>
        <w:t>广州南沙资产经营集团有限公司（以下简称“</w:t>
      </w:r>
      <w:r>
        <w:rPr>
          <w:rFonts w:hint="eastAsia" w:eastAsia="仿宋_GB2312"/>
          <w:color w:val="000000"/>
          <w:kern w:val="0"/>
          <w:sz w:val="32"/>
          <w:szCs w:val="32"/>
          <w:highlight w:val="none"/>
          <w:lang w:val="en-US" w:eastAsia="zh-CN"/>
        </w:rPr>
        <w:t>南沙</w:t>
      </w:r>
      <w:r>
        <w:rPr>
          <w:rFonts w:hint="eastAsia" w:eastAsia="仿宋_GB2312"/>
          <w:color w:val="000000"/>
          <w:kern w:val="0"/>
          <w:sz w:val="32"/>
          <w:szCs w:val="32"/>
          <w:highlight w:val="none"/>
        </w:rPr>
        <w:t>资产集团”）始创于1992年。2019年12月30日，整合南沙区港口仓储物流、文化旅游等资产资源，正式挂牌成立集团公司，是南沙开发区管委会出资组建的区属国有一级集团公司。</w:t>
      </w:r>
      <w:r>
        <w:rPr>
          <w:rFonts w:hint="eastAsia" w:eastAsia="仿宋_GB2312"/>
          <w:color w:val="000000"/>
          <w:kern w:val="0"/>
          <w:sz w:val="32"/>
          <w:szCs w:val="32"/>
          <w:highlight w:val="none"/>
          <w:lang w:val="en-US" w:eastAsia="zh-CN"/>
        </w:rPr>
        <w:t>南沙</w:t>
      </w:r>
      <w:r>
        <w:rPr>
          <w:rFonts w:hint="eastAsia" w:eastAsia="仿宋_GB2312"/>
          <w:color w:val="000000"/>
          <w:kern w:val="0"/>
          <w:sz w:val="32"/>
          <w:szCs w:val="32"/>
          <w:highlight w:val="none"/>
        </w:rPr>
        <w:t>资产集团以“建设南沙，服务湾区”为宗旨，以服务南沙改革发展和开发建设大局为使命，围绕</w:t>
      </w:r>
      <w:r>
        <w:rPr>
          <w:rFonts w:hint="eastAsia" w:eastAsia="仿宋_GB2312"/>
          <w:color w:val="000000"/>
          <w:kern w:val="0"/>
          <w:sz w:val="32"/>
          <w:szCs w:val="32"/>
          <w:highlight w:val="none"/>
          <w:lang w:val="en-US" w:eastAsia="zh-CN"/>
        </w:rPr>
        <w:t>以</w:t>
      </w:r>
      <w:r>
        <w:rPr>
          <w:rFonts w:hint="eastAsia" w:ascii="仿宋_GB2312" w:hAnsi="仿宋_GB2312" w:eastAsia="仿宋_GB2312" w:cs="仿宋_GB2312"/>
          <w:sz w:val="32"/>
          <w:szCs w:val="32"/>
          <w:lang w:val="en-US" w:eastAsia="zh-CN"/>
        </w:rPr>
        <w:t>“文商旅体、港航物流、资产管理、数字经济”四大主业为支撑、以南沙湾核心区为战略支点的“4+1”发展战略</w:t>
      </w:r>
      <w:r>
        <w:rPr>
          <w:rFonts w:hint="eastAsia" w:eastAsia="仿宋_GB2312"/>
          <w:color w:val="000000"/>
          <w:kern w:val="0"/>
          <w:sz w:val="32"/>
          <w:szCs w:val="32"/>
          <w:highlight w:val="none"/>
        </w:rPr>
        <w:t>，充分发挥区域功能性产业重要平台作用，助力南沙打造立足湾区、协同港澳、面向世界的重大战略性平台。</w:t>
      </w:r>
    </w:p>
    <w:p w14:paraId="6526272F">
      <w:pPr>
        <w:pStyle w:val="17"/>
        <w:rPr>
          <w:rFonts w:hint="eastAsia" w:ascii="Times New Roman" w:hAnsi="Times New Roman" w:eastAsia="仿宋_GB2312" w:cs="Times New Roman"/>
          <w:color w:val="000000"/>
          <w:kern w:val="0"/>
          <w:sz w:val="32"/>
          <w:szCs w:val="32"/>
          <w:highlight w:val="none"/>
          <w:lang w:val="en-US" w:eastAsia="zh-CN" w:bidi="ar-SA"/>
        </w:rPr>
      </w:pPr>
      <w:r>
        <w:rPr>
          <w:rFonts w:hint="default" w:ascii="仿宋_GB2312" w:hAnsi="仿宋_GB2312" w:eastAsia="仿宋_GB2312" w:cs="仿宋_GB2312"/>
          <w:sz w:val="32"/>
          <w:szCs w:val="32"/>
          <w:lang w:val="en-US" w:eastAsia="zh-CN"/>
        </w:rPr>
        <w:t>随着“十四五”步入收官阶段，</w:t>
      </w:r>
      <w:r>
        <w:rPr>
          <w:rFonts w:hint="eastAsia" w:eastAsia="仿宋_GB2312"/>
          <w:color w:val="000000"/>
          <w:kern w:val="0"/>
          <w:sz w:val="32"/>
          <w:szCs w:val="32"/>
          <w:highlight w:val="none"/>
          <w:lang w:val="en-US" w:eastAsia="zh-CN"/>
        </w:rPr>
        <w:t>南沙</w:t>
      </w:r>
      <w:r>
        <w:rPr>
          <w:rFonts w:hint="eastAsia" w:eastAsia="仿宋_GB2312"/>
          <w:color w:val="000000"/>
          <w:kern w:val="0"/>
          <w:sz w:val="32"/>
          <w:szCs w:val="32"/>
          <w:highlight w:val="none"/>
        </w:rPr>
        <w:t>资产集团</w:t>
      </w:r>
      <w:r>
        <w:rPr>
          <w:rFonts w:hint="default" w:ascii="仿宋_GB2312" w:hAnsi="仿宋_GB2312" w:eastAsia="仿宋_GB2312" w:cs="仿宋_GB2312"/>
          <w:sz w:val="32"/>
          <w:szCs w:val="32"/>
          <w:lang w:val="en-US" w:eastAsia="zh-CN"/>
        </w:rPr>
        <w:t>所处的</w:t>
      </w:r>
      <w:r>
        <w:rPr>
          <w:rFonts w:hint="eastAsia" w:ascii="仿宋_GB2312" w:hAnsi="仿宋_GB2312" w:eastAsia="仿宋_GB2312" w:cs="仿宋_GB2312"/>
          <w:sz w:val="32"/>
          <w:szCs w:val="32"/>
          <w:lang w:val="en-US" w:eastAsia="zh-CN"/>
        </w:rPr>
        <w:t>内外部</w:t>
      </w:r>
      <w:r>
        <w:rPr>
          <w:rFonts w:hint="default" w:ascii="仿宋_GB2312" w:hAnsi="仿宋_GB2312" w:eastAsia="仿宋_GB2312" w:cs="仿宋_GB2312"/>
          <w:sz w:val="32"/>
          <w:szCs w:val="32"/>
          <w:lang w:val="en-US" w:eastAsia="zh-CN"/>
        </w:rPr>
        <w:t>环境正经历着持续且深刻的变化</w:t>
      </w:r>
      <w:r>
        <w:rPr>
          <w:rFonts w:hint="eastAsia" w:ascii="仿宋_GB2312" w:hAnsi="仿宋_GB2312" w:eastAsia="仿宋_GB2312" w:cs="仿宋_GB2312"/>
          <w:sz w:val="32"/>
          <w:szCs w:val="32"/>
          <w:lang w:val="en-US" w:eastAsia="zh-CN"/>
        </w:rPr>
        <w:t>，为精准把握粤港澳大湾区战略升级机遇，深度融入南沙区“十五五”规划发展蓝图，全面提升集团核心竞争力，拟聘请第三方专业咨询机构开展集团战略规划及综合管理咨询工作。</w:t>
      </w:r>
    </w:p>
    <w:p w14:paraId="3B73D7A1">
      <w:pPr>
        <w:widowControl/>
        <w:numPr>
          <w:ilvl w:val="0"/>
          <w:numId w:val="2"/>
        </w:numPr>
        <w:shd w:val="clear" w:color="auto" w:fill="FFFFFF"/>
        <w:ind w:firstLine="640" w:firstLineChars="200"/>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招标内容及成果要求</w:t>
      </w:r>
    </w:p>
    <w:p w14:paraId="5E9EC96B">
      <w:pPr>
        <w:keepNext w:val="0"/>
        <w:keepLines w:val="0"/>
        <w:pageBreakBefore w:val="0"/>
        <w:widowControl/>
        <w:numPr>
          <w:ilvl w:val="0"/>
          <w:numId w:val="3"/>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招标内容</w:t>
      </w:r>
    </w:p>
    <w:p w14:paraId="1E00AF2E">
      <w:pPr>
        <w:widowControl/>
        <w:numPr>
          <w:ilvl w:val="255"/>
          <w:numId w:val="0"/>
        </w:numPr>
        <w:ind w:firstLine="640" w:firstLineChars="200"/>
        <w:jc w:val="left"/>
        <w:rPr>
          <w:highlight w:val="none"/>
        </w:rPr>
      </w:pPr>
      <w:r>
        <w:rPr>
          <w:rFonts w:hint="eastAsia" w:ascii="仿宋_GB2312" w:hAnsi="仿宋_GB2312" w:eastAsia="仿宋_GB2312" w:cs="仿宋_GB2312"/>
          <w:kern w:val="0"/>
          <w:sz w:val="32"/>
          <w:szCs w:val="32"/>
          <w:highlight w:val="none"/>
          <w:shd w:val="clear" w:color="auto" w:fill="FFFFFF"/>
          <w:lang w:bidi="ar"/>
        </w:rPr>
        <w:t>本项目要求中标人</w:t>
      </w:r>
      <w:r>
        <w:rPr>
          <w:rFonts w:hint="eastAsia" w:ascii="仿宋_GB2312" w:hAnsi="仿宋_GB2312" w:eastAsia="仿宋_GB2312" w:cs="仿宋_GB2312"/>
          <w:kern w:val="0"/>
          <w:sz w:val="32"/>
          <w:szCs w:val="32"/>
          <w:highlight w:val="none"/>
          <w:shd w:val="clear" w:color="auto" w:fill="FFFFFF"/>
          <w:lang w:val="en-US" w:eastAsia="zh-CN" w:bidi="ar"/>
        </w:rPr>
        <w:t>向招标人提供战略规划及综合管理咨询服务并出具相关成果文件。</w:t>
      </w:r>
      <w:r>
        <w:rPr>
          <w:rFonts w:hint="eastAsia" w:ascii="仿宋_GB2312" w:hAnsi="仿宋_GB2312" w:eastAsia="仿宋_GB2312" w:cs="仿宋_GB2312"/>
          <w:b/>
          <w:bCs/>
          <w:kern w:val="0"/>
          <w:sz w:val="32"/>
          <w:szCs w:val="32"/>
          <w:highlight w:val="none"/>
          <w:shd w:val="clear" w:color="auto" w:fill="FFFFFF"/>
          <w:lang w:val="en-US" w:eastAsia="zh-CN" w:bidi="ar"/>
        </w:rPr>
        <w:t>战略规划服务：</w:t>
      </w:r>
      <w:r>
        <w:rPr>
          <w:rFonts w:hint="eastAsia" w:ascii="仿宋_GB2312" w:hAnsi="仿宋_GB2312" w:eastAsia="仿宋_GB2312" w:cs="仿宋_GB2312"/>
          <w:sz w:val="32"/>
          <w:szCs w:val="32"/>
          <w:lang w:val="en-US" w:eastAsia="zh-CN"/>
        </w:rPr>
        <w:t>结合宏观政策、经济形势、区域发展、产业发展研究，对集团当前经营总体成效、业务布局、管控体系、组织架构、激励机制进行全面分析与评估，识别企业核心优势和存在问题，在此基础上提出优化集团业务结构思路，明确关键战略及业务组合，规划各业务板块的定位、发展目标和发展策略；</w:t>
      </w:r>
      <w:r>
        <w:rPr>
          <w:rFonts w:hint="default" w:ascii="仿宋_GB2312" w:hAnsi="仿宋_GB2312" w:eastAsia="仿宋_GB2312" w:cs="仿宋_GB2312"/>
          <w:sz w:val="32"/>
          <w:szCs w:val="32"/>
          <w:lang w:val="en-US" w:eastAsia="zh-CN"/>
        </w:rPr>
        <w:t>从党建文化、治理体系、组织管控、人力资源、投资管理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财务管理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风险管理等方面提出支撑集团战略目标实现的配套管理机制与方案</w:t>
      </w:r>
      <w:r>
        <w:rPr>
          <w:rFonts w:hint="eastAsia" w:ascii="仿宋_GB2312" w:hAnsi="仿宋_GB2312" w:eastAsia="仿宋_GB2312" w:cs="仿宋_GB2312"/>
          <w:sz w:val="32"/>
          <w:szCs w:val="32"/>
          <w:lang w:val="en-US" w:eastAsia="zh-CN"/>
        </w:rPr>
        <w:t>；并将战略目标和关键举措分解为未来三年可执行的年度计划和重点项目，明确责任主体、时间节点、主要产出等；完成《</w:t>
      </w:r>
      <w:r>
        <w:rPr>
          <w:rFonts w:hint="eastAsia" w:eastAsia="仿宋_GB2312"/>
          <w:color w:val="000000"/>
          <w:kern w:val="0"/>
          <w:sz w:val="32"/>
          <w:szCs w:val="32"/>
          <w:highlight w:val="none"/>
          <w:lang w:val="en-US" w:eastAsia="zh-CN"/>
        </w:rPr>
        <w:t>南沙</w:t>
      </w:r>
      <w:r>
        <w:rPr>
          <w:rFonts w:hint="eastAsia" w:eastAsia="仿宋_GB2312"/>
          <w:color w:val="000000"/>
          <w:kern w:val="0"/>
          <w:sz w:val="32"/>
          <w:szCs w:val="32"/>
          <w:highlight w:val="none"/>
        </w:rPr>
        <w:t>资产集团</w:t>
      </w:r>
      <w:r>
        <w:rPr>
          <w:rFonts w:hint="eastAsia" w:ascii="仿宋_GB2312" w:hAnsi="仿宋_GB2312" w:eastAsia="仿宋_GB2312" w:cs="仿宋_GB2312"/>
          <w:sz w:val="32"/>
          <w:szCs w:val="32"/>
          <w:lang w:val="en-US" w:eastAsia="zh-CN"/>
        </w:rPr>
        <w:t>“十五五”战略发展规划》、《</w:t>
      </w:r>
      <w:r>
        <w:rPr>
          <w:rFonts w:hint="eastAsia" w:eastAsia="仿宋_GB2312"/>
          <w:color w:val="000000"/>
          <w:kern w:val="0"/>
          <w:sz w:val="32"/>
          <w:szCs w:val="32"/>
          <w:highlight w:val="none"/>
          <w:lang w:val="en-US" w:eastAsia="zh-CN"/>
        </w:rPr>
        <w:t>南沙</w:t>
      </w:r>
      <w:r>
        <w:rPr>
          <w:rFonts w:hint="eastAsia" w:eastAsia="仿宋_GB2312"/>
          <w:color w:val="000000"/>
          <w:kern w:val="0"/>
          <w:sz w:val="32"/>
          <w:szCs w:val="32"/>
          <w:highlight w:val="none"/>
        </w:rPr>
        <w:t>资产集团</w:t>
      </w:r>
      <w:r>
        <w:rPr>
          <w:rFonts w:hint="eastAsia" w:ascii="仿宋_GB2312" w:hAnsi="仿宋_GB2312" w:eastAsia="仿宋_GB2312" w:cs="仿宋_GB2312"/>
          <w:sz w:val="32"/>
          <w:szCs w:val="32"/>
          <w:lang w:val="en-US" w:eastAsia="zh-CN"/>
        </w:rPr>
        <w:t>“十五五”规划实施三年行动方案》。</w:t>
      </w:r>
      <w:r>
        <w:rPr>
          <w:rFonts w:hint="eastAsia" w:ascii="仿宋_GB2312" w:hAnsi="仿宋_GB2312" w:eastAsia="仿宋_GB2312" w:cs="仿宋_GB2312"/>
          <w:b/>
          <w:bCs/>
          <w:sz w:val="32"/>
          <w:szCs w:val="32"/>
          <w:lang w:val="en-US" w:eastAsia="zh-CN"/>
        </w:rPr>
        <w:t>综合管理咨询：</w:t>
      </w:r>
      <w:r>
        <w:rPr>
          <w:rFonts w:hint="eastAsia" w:ascii="仿宋_GB2312" w:hAnsi="仿宋_GB2312" w:eastAsia="仿宋_GB2312" w:cs="仿宋_GB2312"/>
          <w:sz w:val="32"/>
          <w:szCs w:val="32"/>
          <w:lang w:val="en-US" w:eastAsia="zh-CN"/>
        </w:rPr>
        <w:t>基于集团战略定位与业务特点，设计适配的管控模式，明确集团总部与下属公司的权责边界，完成《</w:t>
      </w:r>
      <w:r>
        <w:rPr>
          <w:rFonts w:hint="eastAsia" w:eastAsia="仿宋_GB2312"/>
          <w:color w:val="000000"/>
          <w:kern w:val="0"/>
          <w:sz w:val="32"/>
          <w:szCs w:val="32"/>
          <w:highlight w:val="none"/>
          <w:lang w:val="en-US" w:eastAsia="zh-CN"/>
        </w:rPr>
        <w:t>南沙</w:t>
      </w:r>
      <w:r>
        <w:rPr>
          <w:rFonts w:hint="eastAsia" w:eastAsia="仿宋_GB2312"/>
          <w:color w:val="000000"/>
          <w:kern w:val="0"/>
          <w:sz w:val="32"/>
          <w:szCs w:val="32"/>
          <w:highlight w:val="none"/>
        </w:rPr>
        <w:t>资产集团</w:t>
      </w:r>
      <w:r>
        <w:rPr>
          <w:rFonts w:hint="eastAsia" w:ascii="仿宋_GB2312" w:hAnsi="仿宋_GB2312" w:eastAsia="仿宋_GB2312" w:cs="仿宋_GB2312"/>
          <w:sz w:val="32"/>
          <w:szCs w:val="32"/>
          <w:lang w:val="en-US" w:eastAsia="zh-CN"/>
        </w:rPr>
        <w:t>权责体系优化报告》、《</w:t>
      </w:r>
      <w:r>
        <w:rPr>
          <w:rFonts w:hint="eastAsia" w:eastAsia="仿宋_GB2312"/>
          <w:color w:val="000000"/>
          <w:kern w:val="0"/>
          <w:sz w:val="32"/>
          <w:szCs w:val="32"/>
          <w:highlight w:val="none"/>
          <w:lang w:val="en-US" w:eastAsia="zh-CN"/>
        </w:rPr>
        <w:t>南沙</w:t>
      </w:r>
      <w:r>
        <w:rPr>
          <w:rFonts w:hint="eastAsia" w:eastAsia="仿宋_GB2312"/>
          <w:color w:val="000000"/>
          <w:kern w:val="0"/>
          <w:sz w:val="32"/>
          <w:szCs w:val="32"/>
          <w:highlight w:val="none"/>
        </w:rPr>
        <w:t>资产集团</w:t>
      </w:r>
      <w:r>
        <w:rPr>
          <w:rFonts w:hint="eastAsia" w:ascii="仿宋_GB2312" w:hAnsi="仿宋_GB2312" w:eastAsia="仿宋_GB2312" w:cs="仿宋_GB2312"/>
          <w:sz w:val="32"/>
          <w:szCs w:val="32"/>
          <w:lang w:val="en-US" w:eastAsia="zh-CN"/>
        </w:rPr>
        <w:t>权责表》、《</w:t>
      </w:r>
      <w:r>
        <w:rPr>
          <w:rFonts w:hint="eastAsia" w:eastAsia="仿宋_GB2312"/>
          <w:color w:val="000000"/>
          <w:kern w:val="0"/>
          <w:sz w:val="32"/>
          <w:szCs w:val="32"/>
          <w:highlight w:val="none"/>
          <w:lang w:val="en-US" w:eastAsia="zh-CN"/>
        </w:rPr>
        <w:t>南沙</w:t>
      </w:r>
      <w:r>
        <w:rPr>
          <w:rFonts w:hint="eastAsia" w:eastAsia="仿宋_GB2312"/>
          <w:color w:val="000000"/>
          <w:kern w:val="0"/>
          <w:sz w:val="32"/>
          <w:szCs w:val="32"/>
          <w:highlight w:val="none"/>
        </w:rPr>
        <w:t>资产</w:t>
      </w:r>
      <w:r>
        <w:rPr>
          <w:rFonts w:hint="eastAsia" w:ascii="仿宋_GB2312" w:hAnsi="仿宋_GB2312" w:eastAsia="仿宋_GB2312" w:cs="仿宋_GB2312"/>
          <w:sz w:val="32"/>
          <w:szCs w:val="32"/>
          <w:lang w:val="en-US" w:eastAsia="zh-CN"/>
        </w:rPr>
        <w:t>集团管控体系制度汇编》；对集团组织架构进行系统性诊断与优化设计，科学设置总部职能部门与各部门岗位，提升组织协同性，完成《</w:t>
      </w:r>
      <w:r>
        <w:rPr>
          <w:rFonts w:hint="eastAsia" w:eastAsia="仿宋_GB2312"/>
          <w:color w:val="000000"/>
          <w:kern w:val="0"/>
          <w:sz w:val="32"/>
          <w:szCs w:val="32"/>
          <w:highlight w:val="none"/>
          <w:lang w:val="en-US" w:eastAsia="zh-CN"/>
        </w:rPr>
        <w:t>南沙</w:t>
      </w:r>
      <w:r>
        <w:rPr>
          <w:rFonts w:hint="eastAsia" w:eastAsia="仿宋_GB2312"/>
          <w:color w:val="000000"/>
          <w:kern w:val="0"/>
          <w:sz w:val="32"/>
          <w:szCs w:val="32"/>
          <w:highlight w:val="none"/>
        </w:rPr>
        <w:t>资产集团</w:t>
      </w:r>
      <w:r>
        <w:rPr>
          <w:rFonts w:hint="eastAsia" w:ascii="仿宋_GB2312" w:hAnsi="仿宋_GB2312" w:eastAsia="仿宋_GB2312" w:cs="仿宋_GB2312"/>
          <w:sz w:val="32"/>
          <w:szCs w:val="32"/>
          <w:lang w:val="en-US" w:eastAsia="zh-CN"/>
        </w:rPr>
        <w:t>组织体系优化报告》、《</w:t>
      </w:r>
      <w:r>
        <w:rPr>
          <w:rFonts w:hint="eastAsia" w:eastAsia="仿宋_GB2312"/>
          <w:color w:val="000000"/>
          <w:kern w:val="0"/>
          <w:sz w:val="32"/>
          <w:szCs w:val="32"/>
          <w:highlight w:val="none"/>
          <w:lang w:val="en-US" w:eastAsia="zh-CN"/>
        </w:rPr>
        <w:t>南沙</w:t>
      </w:r>
      <w:r>
        <w:rPr>
          <w:rFonts w:hint="eastAsia" w:eastAsia="仿宋_GB2312"/>
          <w:color w:val="000000"/>
          <w:kern w:val="0"/>
          <w:sz w:val="32"/>
          <w:szCs w:val="32"/>
          <w:highlight w:val="none"/>
        </w:rPr>
        <w:t>资产集团</w:t>
      </w:r>
      <w:r>
        <w:rPr>
          <w:rFonts w:hint="eastAsia" w:ascii="仿宋_GB2312" w:hAnsi="仿宋_GB2312" w:eastAsia="仿宋_GB2312" w:cs="仿宋_GB2312"/>
          <w:sz w:val="32"/>
          <w:szCs w:val="32"/>
          <w:lang w:val="en-US" w:eastAsia="zh-CN"/>
        </w:rPr>
        <w:t>部门职能说明书》、《</w:t>
      </w:r>
      <w:r>
        <w:rPr>
          <w:rFonts w:hint="eastAsia" w:eastAsia="仿宋_GB2312"/>
          <w:color w:val="000000"/>
          <w:kern w:val="0"/>
          <w:sz w:val="32"/>
          <w:szCs w:val="32"/>
          <w:highlight w:val="none"/>
          <w:lang w:val="en-US" w:eastAsia="zh-CN"/>
        </w:rPr>
        <w:t>南沙</w:t>
      </w:r>
      <w:r>
        <w:rPr>
          <w:rFonts w:hint="eastAsia" w:eastAsia="仿宋_GB2312"/>
          <w:color w:val="000000"/>
          <w:kern w:val="0"/>
          <w:sz w:val="32"/>
          <w:szCs w:val="32"/>
          <w:highlight w:val="none"/>
        </w:rPr>
        <w:t>资产集团</w:t>
      </w:r>
      <w:r>
        <w:rPr>
          <w:rFonts w:hint="eastAsia" w:ascii="仿宋_GB2312" w:hAnsi="仿宋_GB2312" w:eastAsia="仿宋_GB2312" w:cs="仿宋_GB2312"/>
          <w:sz w:val="32"/>
          <w:szCs w:val="32"/>
          <w:lang w:val="en-US" w:eastAsia="zh-CN"/>
        </w:rPr>
        <w:t>岗位设计方案》、《</w:t>
      </w:r>
      <w:r>
        <w:rPr>
          <w:rFonts w:hint="eastAsia" w:eastAsia="仿宋_GB2312"/>
          <w:color w:val="000000"/>
          <w:kern w:val="0"/>
          <w:sz w:val="32"/>
          <w:szCs w:val="32"/>
          <w:highlight w:val="none"/>
          <w:lang w:val="en-US" w:eastAsia="zh-CN"/>
        </w:rPr>
        <w:t>南沙</w:t>
      </w:r>
      <w:r>
        <w:rPr>
          <w:rFonts w:hint="eastAsia" w:eastAsia="仿宋_GB2312"/>
          <w:color w:val="000000"/>
          <w:kern w:val="0"/>
          <w:sz w:val="32"/>
          <w:szCs w:val="32"/>
          <w:highlight w:val="none"/>
        </w:rPr>
        <w:t>资产集团</w:t>
      </w:r>
      <w:r>
        <w:rPr>
          <w:rFonts w:hint="eastAsia" w:ascii="仿宋_GB2312" w:hAnsi="仿宋_GB2312" w:eastAsia="仿宋_GB2312" w:cs="仿宋_GB2312"/>
          <w:sz w:val="32"/>
          <w:szCs w:val="32"/>
          <w:lang w:val="en-US" w:eastAsia="zh-CN"/>
        </w:rPr>
        <w:t>岗位职责说明书》；</w:t>
      </w:r>
      <w:r>
        <w:rPr>
          <w:rFonts w:hint="eastAsia" w:ascii="仿宋_GB2312" w:hAnsi="仿宋_GB2312" w:eastAsia="仿宋_GB2312" w:cs="仿宋_GB2312"/>
          <w:kern w:val="0"/>
          <w:sz w:val="32"/>
          <w:szCs w:val="32"/>
          <w:highlight w:val="none"/>
          <w:shd w:val="clear" w:color="auto" w:fill="FFFFFF"/>
          <w:lang w:val="en-US" w:eastAsia="zh-CN" w:bidi="ar"/>
        </w:rPr>
        <w:t>根据公司发展战略提出人力资源管理提升建议，完成《</w:t>
      </w:r>
      <w:r>
        <w:rPr>
          <w:rFonts w:hint="eastAsia" w:ascii="仿宋_GB2312" w:hAnsi="仿宋_GB2312" w:eastAsia="仿宋_GB2312" w:cs="仿宋_GB2312"/>
          <w:kern w:val="0"/>
          <w:sz w:val="32"/>
          <w:szCs w:val="32"/>
          <w:highlight w:val="none"/>
          <w:shd w:val="clear" w:color="auto" w:fill="FFFFFF"/>
          <w:lang w:bidi="ar"/>
        </w:rPr>
        <w:t>南沙资产集团人力资源规划</w:t>
      </w:r>
      <w:r>
        <w:rPr>
          <w:rFonts w:hint="eastAsia" w:ascii="仿宋_GB2312" w:hAnsi="仿宋_GB2312" w:eastAsia="仿宋_GB2312" w:cs="仿宋_GB2312"/>
          <w:kern w:val="0"/>
          <w:sz w:val="32"/>
          <w:szCs w:val="32"/>
          <w:highlight w:val="none"/>
          <w:shd w:val="clear" w:color="auto" w:fill="FFFFFF"/>
          <w:lang w:val="en-US" w:eastAsia="zh-CN" w:bidi="ar"/>
        </w:rPr>
        <w:t>》；</w:t>
      </w:r>
      <w:r>
        <w:rPr>
          <w:rFonts w:hint="eastAsia" w:ascii="仿宋_GB2312" w:hAnsi="仿宋_GB2312" w:eastAsia="仿宋_GB2312" w:cs="仿宋_GB2312"/>
          <w:sz w:val="32"/>
          <w:szCs w:val="32"/>
          <w:lang w:val="en-US" w:eastAsia="zh-CN"/>
        </w:rPr>
        <w:t>设计以战略目标为导向的绩效考核体系，完成《</w:t>
      </w:r>
      <w:r>
        <w:rPr>
          <w:rFonts w:hint="eastAsia" w:eastAsia="仿宋_GB2312"/>
          <w:color w:val="000000"/>
          <w:kern w:val="0"/>
          <w:sz w:val="32"/>
          <w:szCs w:val="32"/>
          <w:highlight w:val="none"/>
          <w:lang w:val="en-US" w:eastAsia="zh-CN"/>
        </w:rPr>
        <w:t>南沙</w:t>
      </w:r>
      <w:r>
        <w:rPr>
          <w:rFonts w:hint="eastAsia" w:eastAsia="仿宋_GB2312"/>
          <w:color w:val="000000"/>
          <w:kern w:val="0"/>
          <w:sz w:val="32"/>
          <w:szCs w:val="32"/>
          <w:highlight w:val="none"/>
        </w:rPr>
        <w:t>资产集团</w:t>
      </w:r>
      <w:r>
        <w:rPr>
          <w:rFonts w:hint="eastAsia" w:ascii="仿宋_GB2312" w:hAnsi="仿宋_GB2312" w:eastAsia="仿宋_GB2312" w:cs="仿宋_GB2312"/>
          <w:sz w:val="32"/>
          <w:szCs w:val="32"/>
          <w:lang w:val="en-US" w:eastAsia="zh-CN"/>
        </w:rPr>
        <w:t>绩效管理方案》、《</w:t>
      </w:r>
      <w:r>
        <w:rPr>
          <w:rFonts w:hint="eastAsia" w:eastAsia="仿宋_GB2312"/>
          <w:color w:val="000000"/>
          <w:kern w:val="0"/>
          <w:sz w:val="32"/>
          <w:szCs w:val="32"/>
          <w:highlight w:val="none"/>
          <w:lang w:val="en-US" w:eastAsia="zh-CN"/>
        </w:rPr>
        <w:t>南沙</w:t>
      </w:r>
      <w:r>
        <w:rPr>
          <w:rFonts w:hint="eastAsia" w:eastAsia="仿宋_GB2312"/>
          <w:color w:val="000000"/>
          <w:kern w:val="0"/>
          <w:sz w:val="32"/>
          <w:szCs w:val="32"/>
          <w:highlight w:val="none"/>
        </w:rPr>
        <w:t>资产集团</w:t>
      </w:r>
      <w:r>
        <w:rPr>
          <w:rFonts w:hint="eastAsia" w:ascii="仿宋_GB2312" w:hAnsi="仿宋_GB2312" w:eastAsia="仿宋_GB2312" w:cs="仿宋_GB2312"/>
          <w:sz w:val="32"/>
          <w:szCs w:val="32"/>
          <w:lang w:val="en-US" w:eastAsia="zh-CN"/>
        </w:rPr>
        <w:t>绩效管理制度》；优化薪酬激励机制，完成《</w:t>
      </w:r>
      <w:r>
        <w:rPr>
          <w:rFonts w:hint="eastAsia" w:eastAsia="仿宋_GB2312"/>
          <w:color w:val="000000"/>
          <w:kern w:val="0"/>
          <w:sz w:val="32"/>
          <w:szCs w:val="32"/>
          <w:highlight w:val="none"/>
          <w:lang w:val="en-US" w:eastAsia="zh-CN"/>
        </w:rPr>
        <w:t>南沙</w:t>
      </w:r>
      <w:r>
        <w:rPr>
          <w:rFonts w:hint="eastAsia" w:eastAsia="仿宋_GB2312"/>
          <w:color w:val="000000"/>
          <w:kern w:val="0"/>
          <w:sz w:val="32"/>
          <w:szCs w:val="32"/>
          <w:highlight w:val="none"/>
        </w:rPr>
        <w:t>资产集团</w:t>
      </w:r>
      <w:r>
        <w:rPr>
          <w:rFonts w:hint="eastAsia" w:ascii="仿宋_GB2312" w:hAnsi="仿宋_GB2312" w:eastAsia="仿宋_GB2312" w:cs="仿宋_GB2312"/>
          <w:sz w:val="32"/>
          <w:szCs w:val="32"/>
          <w:lang w:val="en-US" w:eastAsia="zh-CN"/>
        </w:rPr>
        <w:t>薪酬管理方案》、《</w:t>
      </w:r>
      <w:r>
        <w:rPr>
          <w:rFonts w:hint="eastAsia" w:eastAsia="仿宋_GB2312"/>
          <w:color w:val="000000"/>
          <w:kern w:val="0"/>
          <w:sz w:val="32"/>
          <w:szCs w:val="32"/>
          <w:highlight w:val="none"/>
          <w:lang w:val="en-US" w:eastAsia="zh-CN"/>
        </w:rPr>
        <w:t>南沙</w:t>
      </w:r>
      <w:r>
        <w:rPr>
          <w:rFonts w:hint="eastAsia" w:eastAsia="仿宋_GB2312"/>
          <w:color w:val="000000"/>
          <w:kern w:val="0"/>
          <w:sz w:val="32"/>
          <w:szCs w:val="32"/>
          <w:highlight w:val="none"/>
        </w:rPr>
        <w:t>资产集团</w:t>
      </w:r>
      <w:r>
        <w:rPr>
          <w:rFonts w:hint="eastAsia" w:ascii="仿宋_GB2312" w:hAnsi="仿宋_GB2312" w:eastAsia="仿宋_GB2312" w:cs="仿宋_GB2312"/>
          <w:sz w:val="32"/>
          <w:szCs w:val="32"/>
          <w:lang w:val="en-US" w:eastAsia="zh-CN"/>
        </w:rPr>
        <w:t>薪酬管理制度》、《</w:t>
      </w:r>
      <w:r>
        <w:rPr>
          <w:rFonts w:hint="eastAsia" w:eastAsia="仿宋_GB2312"/>
          <w:color w:val="000000"/>
          <w:kern w:val="0"/>
          <w:sz w:val="32"/>
          <w:szCs w:val="32"/>
          <w:highlight w:val="none"/>
          <w:lang w:val="en-US" w:eastAsia="zh-CN"/>
        </w:rPr>
        <w:t>南沙</w:t>
      </w:r>
      <w:r>
        <w:rPr>
          <w:rFonts w:hint="eastAsia" w:eastAsia="仿宋_GB2312"/>
          <w:color w:val="000000"/>
          <w:kern w:val="0"/>
          <w:sz w:val="32"/>
          <w:szCs w:val="32"/>
          <w:highlight w:val="none"/>
        </w:rPr>
        <w:t>资产集团</w:t>
      </w:r>
      <w:r>
        <w:rPr>
          <w:rFonts w:hint="eastAsia" w:ascii="仿宋_GB2312" w:hAnsi="仿宋_GB2312" w:eastAsia="仿宋_GB2312" w:cs="仿宋_GB2312"/>
          <w:sz w:val="32"/>
          <w:szCs w:val="32"/>
          <w:lang w:val="en-US" w:eastAsia="zh-CN"/>
        </w:rPr>
        <w:t>薪级表》；完善职级管理体系，完成《</w:t>
      </w:r>
      <w:r>
        <w:rPr>
          <w:rFonts w:hint="eastAsia" w:eastAsia="仿宋_GB2312"/>
          <w:color w:val="000000"/>
          <w:kern w:val="0"/>
          <w:sz w:val="32"/>
          <w:szCs w:val="32"/>
          <w:highlight w:val="none"/>
          <w:lang w:val="en-US" w:eastAsia="zh-CN"/>
        </w:rPr>
        <w:t>南沙</w:t>
      </w:r>
      <w:r>
        <w:rPr>
          <w:rFonts w:hint="eastAsia" w:eastAsia="仿宋_GB2312"/>
          <w:color w:val="000000"/>
          <w:kern w:val="0"/>
          <w:sz w:val="32"/>
          <w:szCs w:val="32"/>
          <w:highlight w:val="none"/>
        </w:rPr>
        <w:t>资产集团</w:t>
      </w:r>
      <w:r>
        <w:rPr>
          <w:rFonts w:hint="eastAsia" w:ascii="仿宋_GB2312" w:hAnsi="仿宋_GB2312" w:eastAsia="仿宋_GB2312" w:cs="仿宋_GB2312"/>
          <w:sz w:val="32"/>
          <w:szCs w:val="32"/>
          <w:lang w:val="en-US" w:eastAsia="zh-CN"/>
        </w:rPr>
        <w:t>职级管理制度》、《</w:t>
      </w:r>
      <w:r>
        <w:rPr>
          <w:rFonts w:hint="eastAsia" w:eastAsia="仿宋_GB2312"/>
          <w:color w:val="000000"/>
          <w:kern w:val="0"/>
          <w:sz w:val="32"/>
          <w:szCs w:val="32"/>
          <w:highlight w:val="none"/>
          <w:lang w:val="en-US" w:eastAsia="zh-CN"/>
        </w:rPr>
        <w:t>南沙</w:t>
      </w:r>
      <w:r>
        <w:rPr>
          <w:rFonts w:hint="eastAsia" w:eastAsia="仿宋_GB2312"/>
          <w:color w:val="000000"/>
          <w:kern w:val="0"/>
          <w:sz w:val="32"/>
          <w:szCs w:val="32"/>
          <w:highlight w:val="none"/>
        </w:rPr>
        <w:t>资产集团</w:t>
      </w:r>
      <w:r>
        <w:rPr>
          <w:rFonts w:hint="eastAsia" w:ascii="仿宋_GB2312" w:hAnsi="仿宋_GB2312" w:eastAsia="仿宋_GB2312" w:cs="仿宋_GB2312"/>
          <w:sz w:val="32"/>
          <w:szCs w:val="32"/>
          <w:lang w:val="en-US" w:eastAsia="zh-CN"/>
        </w:rPr>
        <w:t>职级表》；设计系统化的</w:t>
      </w:r>
      <w:r>
        <w:rPr>
          <w:rFonts w:hint="eastAsia" w:ascii="仿宋_GB2312" w:hAnsi="仿宋_GB2312" w:eastAsia="仿宋_GB2312" w:cs="仿宋_GB2312"/>
          <w:kern w:val="0"/>
          <w:sz w:val="32"/>
          <w:szCs w:val="32"/>
          <w:highlight w:val="none"/>
          <w:shd w:val="clear" w:color="auto" w:fill="FFFFFF"/>
          <w:lang w:val="en-US" w:eastAsia="zh-CN" w:bidi="ar"/>
        </w:rPr>
        <w:t>人才梯队</w:t>
      </w:r>
      <w:r>
        <w:rPr>
          <w:rFonts w:hint="eastAsia" w:ascii="仿宋_GB2312" w:hAnsi="仿宋_GB2312" w:eastAsia="仿宋_GB2312" w:cs="仿宋_GB2312"/>
          <w:sz w:val="32"/>
          <w:szCs w:val="32"/>
          <w:lang w:val="en-US" w:eastAsia="zh-CN"/>
        </w:rPr>
        <w:t>培养发展方案，完成《</w:t>
      </w:r>
      <w:r>
        <w:rPr>
          <w:rFonts w:hint="eastAsia" w:eastAsia="仿宋_GB2312"/>
          <w:color w:val="000000"/>
          <w:kern w:val="0"/>
          <w:sz w:val="32"/>
          <w:szCs w:val="32"/>
          <w:highlight w:val="none"/>
          <w:lang w:val="en-US" w:eastAsia="zh-CN"/>
        </w:rPr>
        <w:t>南沙</w:t>
      </w:r>
      <w:r>
        <w:rPr>
          <w:rFonts w:hint="eastAsia" w:eastAsia="仿宋_GB2312"/>
          <w:color w:val="000000"/>
          <w:kern w:val="0"/>
          <w:sz w:val="32"/>
          <w:szCs w:val="32"/>
          <w:highlight w:val="none"/>
        </w:rPr>
        <w:t>资产集团</w:t>
      </w:r>
      <w:r>
        <w:rPr>
          <w:rFonts w:hint="eastAsia" w:ascii="仿宋_GB2312" w:hAnsi="仿宋_GB2312" w:eastAsia="仿宋_GB2312" w:cs="仿宋_GB2312"/>
          <w:kern w:val="0"/>
          <w:sz w:val="32"/>
          <w:szCs w:val="32"/>
          <w:highlight w:val="none"/>
          <w:shd w:val="clear" w:color="auto" w:fill="FFFFFF"/>
          <w:lang w:val="en-US" w:eastAsia="zh-CN" w:bidi="ar"/>
        </w:rPr>
        <w:t>人才梯队</w:t>
      </w:r>
      <w:r>
        <w:rPr>
          <w:rFonts w:hint="eastAsia" w:ascii="仿宋_GB2312" w:hAnsi="仿宋_GB2312" w:eastAsia="仿宋_GB2312" w:cs="仿宋_GB2312"/>
          <w:sz w:val="32"/>
          <w:szCs w:val="32"/>
          <w:lang w:val="en-US" w:eastAsia="zh-CN"/>
        </w:rPr>
        <w:t>培养方案》。</w:t>
      </w:r>
    </w:p>
    <w:p w14:paraId="7D3F0065">
      <w:pPr>
        <w:widowControl/>
        <w:shd w:val="clear" w:color="auto" w:fill="FFFFFF"/>
        <w:ind w:firstLine="640" w:firstLineChars="200"/>
        <w:rPr>
          <w:rFonts w:hint="default"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（二）服务期限</w:t>
      </w:r>
    </w:p>
    <w:p w14:paraId="5AA1121F">
      <w:pPr>
        <w:widowControl/>
        <w:shd w:val="clear" w:color="auto" w:fill="FFFFFF"/>
        <w:ind w:firstLine="640" w:firstLineChars="200"/>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此次专项服务期限</w:t>
      </w:r>
      <w:r>
        <w:rPr>
          <w:rFonts w:hint="eastAsia" w:ascii="仿宋_GB2312" w:hAnsi="仿宋_GB2312" w:eastAsia="仿宋_GB2312" w:cs="仿宋_GB2312"/>
          <w:kern w:val="0"/>
          <w:sz w:val="32"/>
          <w:szCs w:val="32"/>
          <w:highlight w:val="none"/>
          <w:shd w:val="clear" w:color="auto" w:fill="FFFFFF"/>
          <w:lang w:eastAsia="zh-CN" w:bidi="ar"/>
        </w:rPr>
        <w:t>，</w:t>
      </w:r>
      <w:r>
        <w:rPr>
          <w:rFonts w:hint="eastAsia" w:ascii="仿宋_GB2312" w:hAnsi="仿宋_GB2312" w:eastAsia="仿宋_GB2312" w:cs="仿宋_GB2312"/>
          <w:kern w:val="0"/>
          <w:sz w:val="32"/>
          <w:szCs w:val="32"/>
          <w:highlight w:val="none"/>
          <w:shd w:val="clear" w:color="auto" w:fill="FFFFFF"/>
          <w:lang w:bidi="ar"/>
        </w:rPr>
        <w:t>原则上</w:t>
      </w:r>
      <w:r>
        <w:rPr>
          <w:rFonts w:hint="eastAsia" w:ascii="仿宋_GB2312" w:hAnsi="仿宋_GB2312" w:eastAsia="仿宋_GB2312" w:cs="仿宋_GB2312"/>
          <w:kern w:val="0"/>
          <w:sz w:val="32"/>
          <w:szCs w:val="32"/>
          <w:highlight w:val="none"/>
          <w:shd w:val="clear" w:color="auto" w:fill="FFFFFF"/>
          <w:lang w:val="en-US" w:eastAsia="zh-CN" w:bidi="ar"/>
        </w:rPr>
        <w:t>以全部成果文件经招标人按程序审定且辅导服务期结束为限。</w:t>
      </w:r>
      <w:r>
        <w:rPr>
          <w:rFonts w:hint="eastAsia" w:ascii="仿宋_GB2312" w:hAnsi="仿宋_GB2312" w:eastAsia="仿宋_GB2312" w:cs="仿宋_GB2312"/>
          <w:kern w:val="0"/>
          <w:sz w:val="32"/>
          <w:szCs w:val="32"/>
          <w:highlight w:val="none"/>
          <w:shd w:val="clear" w:color="auto" w:fill="FFFFFF"/>
          <w:lang w:bidi="ar"/>
        </w:rPr>
        <w:t>受托方自中标通知书发出起</w:t>
      </w:r>
      <w:r>
        <w:rPr>
          <w:rFonts w:hint="eastAsia" w:ascii="仿宋_GB2312" w:hAnsi="仿宋_GB2312" w:eastAsia="仿宋_GB2312" w:cs="仿宋_GB2312"/>
          <w:kern w:val="0"/>
          <w:sz w:val="32"/>
          <w:szCs w:val="32"/>
          <w:highlight w:val="none"/>
          <w:shd w:val="clear" w:color="auto" w:fill="FFFFFF"/>
          <w:lang w:val="en-US" w:eastAsia="zh-CN" w:bidi="ar"/>
        </w:rPr>
        <w:t>60</w:t>
      </w:r>
      <w:r>
        <w:rPr>
          <w:rFonts w:hint="eastAsia" w:ascii="仿宋_GB2312" w:hAnsi="仿宋_GB2312" w:eastAsia="仿宋_GB2312" w:cs="仿宋_GB2312"/>
          <w:kern w:val="0"/>
          <w:sz w:val="32"/>
          <w:szCs w:val="32"/>
          <w:highlight w:val="none"/>
          <w:shd w:val="clear" w:color="auto" w:fill="FFFFFF"/>
          <w:lang w:bidi="ar"/>
        </w:rPr>
        <w:t>个</w:t>
      </w:r>
      <w:r>
        <w:rPr>
          <w:rFonts w:hint="eastAsia" w:ascii="仿宋_GB2312" w:hAnsi="仿宋_GB2312" w:eastAsia="仿宋_GB2312" w:cs="仿宋_GB2312"/>
          <w:kern w:val="0"/>
          <w:sz w:val="32"/>
          <w:szCs w:val="32"/>
          <w:highlight w:val="none"/>
          <w:shd w:val="clear" w:color="auto" w:fill="FFFFFF"/>
          <w:lang w:val="en-US" w:eastAsia="zh-CN" w:bidi="ar"/>
        </w:rPr>
        <w:t>日历日</w:t>
      </w:r>
      <w:r>
        <w:rPr>
          <w:rFonts w:hint="eastAsia" w:ascii="仿宋_GB2312" w:hAnsi="仿宋_GB2312" w:eastAsia="仿宋_GB2312" w:cs="仿宋_GB2312"/>
          <w:kern w:val="0"/>
          <w:sz w:val="32"/>
          <w:szCs w:val="32"/>
          <w:highlight w:val="none"/>
          <w:shd w:val="clear" w:color="auto" w:fill="FFFFFF"/>
          <w:lang w:bidi="ar"/>
        </w:rPr>
        <w:t>内提交</w:t>
      </w:r>
      <w:r>
        <w:rPr>
          <w:rFonts w:hint="eastAsia" w:ascii="仿宋_GB2312" w:hAnsi="仿宋_GB2312" w:eastAsia="仿宋_GB2312" w:cs="仿宋_GB2312"/>
          <w:sz w:val="32"/>
          <w:szCs w:val="32"/>
          <w:lang w:val="en-US" w:eastAsia="zh-CN"/>
        </w:rPr>
        <w:t>“十五五”战略发展规划、“十五五”规划实施三年行动方案</w:t>
      </w:r>
      <w:r>
        <w:rPr>
          <w:rFonts w:hint="eastAsia" w:ascii="仿宋_GB2312" w:hAnsi="仿宋_GB2312" w:eastAsia="仿宋_GB2312" w:cs="仿宋_GB2312"/>
          <w:kern w:val="0"/>
          <w:sz w:val="32"/>
          <w:szCs w:val="32"/>
          <w:highlight w:val="none"/>
          <w:shd w:val="clear" w:color="auto" w:fill="FFFFFF"/>
          <w:lang w:bidi="ar"/>
        </w:rPr>
        <w:t>初稿，</w:t>
      </w:r>
      <w:r>
        <w:rPr>
          <w:rFonts w:hint="eastAsia" w:ascii="仿宋_GB2312" w:hAnsi="仿宋_GB2312" w:eastAsia="仿宋_GB2312" w:cs="仿宋_GB2312"/>
          <w:kern w:val="0"/>
          <w:sz w:val="32"/>
          <w:szCs w:val="32"/>
          <w:highlight w:val="none"/>
          <w:shd w:val="clear" w:color="auto" w:fill="FFFFFF"/>
          <w:lang w:val="en-US" w:eastAsia="zh-CN" w:bidi="ar"/>
        </w:rPr>
        <w:t>90个日历日内出具达到报审深度的成果文件且经招标人按程序审定；120个日历日内提交</w:t>
      </w:r>
      <w:r>
        <w:rPr>
          <w:rFonts w:hint="eastAsia" w:ascii="仿宋_GB2312" w:hAnsi="仿宋_GB2312" w:eastAsia="仿宋_GB2312" w:cs="仿宋_GB2312"/>
          <w:sz w:val="32"/>
          <w:szCs w:val="32"/>
          <w:lang w:val="en-US" w:eastAsia="zh-CN"/>
        </w:rPr>
        <w:t>权责体系优化报告、权责表、管控体系制度汇编、组织体系优化报告、部门职能说明书、岗位设计方案、岗位职责说明书初稿，150个</w:t>
      </w:r>
      <w:r>
        <w:rPr>
          <w:rFonts w:hint="eastAsia" w:ascii="仿宋_GB2312" w:hAnsi="仿宋_GB2312" w:eastAsia="仿宋_GB2312" w:cs="仿宋_GB2312"/>
          <w:kern w:val="0"/>
          <w:sz w:val="32"/>
          <w:szCs w:val="32"/>
          <w:highlight w:val="none"/>
          <w:shd w:val="clear" w:color="auto" w:fill="FFFFFF"/>
          <w:lang w:val="en-US" w:eastAsia="zh-CN" w:bidi="ar"/>
        </w:rPr>
        <w:t>日历日内出具达到报审深度的成果文件且经招标人按程序审定；</w:t>
      </w:r>
      <w:r>
        <w:rPr>
          <w:rFonts w:hint="eastAsia" w:ascii="仿宋_GB2312" w:hAnsi="仿宋_GB2312" w:eastAsia="仿宋_GB2312" w:cs="仿宋_GB2312"/>
          <w:sz w:val="32"/>
          <w:szCs w:val="32"/>
          <w:lang w:val="en-US" w:eastAsia="zh-CN"/>
        </w:rPr>
        <w:t>150个</w:t>
      </w:r>
      <w:r>
        <w:rPr>
          <w:rFonts w:hint="eastAsia" w:ascii="仿宋_GB2312" w:hAnsi="仿宋_GB2312" w:eastAsia="仿宋_GB2312" w:cs="仿宋_GB2312"/>
          <w:kern w:val="0"/>
          <w:sz w:val="32"/>
          <w:szCs w:val="32"/>
          <w:highlight w:val="none"/>
          <w:shd w:val="clear" w:color="auto" w:fill="FFFFFF"/>
          <w:lang w:val="en-US" w:eastAsia="zh-CN" w:bidi="ar"/>
        </w:rPr>
        <w:t>日历日内提交</w:t>
      </w:r>
      <w:r>
        <w:rPr>
          <w:rFonts w:hint="eastAsia" w:ascii="仿宋_GB2312" w:hAnsi="仿宋_GB2312" w:eastAsia="仿宋_GB2312" w:cs="仿宋_GB2312"/>
          <w:kern w:val="0"/>
          <w:sz w:val="32"/>
          <w:szCs w:val="32"/>
          <w:highlight w:val="none"/>
          <w:shd w:val="clear" w:color="auto" w:fill="FFFFFF"/>
          <w:lang w:bidi="ar"/>
        </w:rPr>
        <w:t>人力资源规划</w:t>
      </w:r>
      <w:r>
        <w:rPr>
          <w:rFonts w:hint="eastAsia" w:ascii="仿宋_GB2312" w:hAnsi="仿宋_GB2312" w:eastAsia="仿宋_GB2312" w:cs="仿宋_GB2312"/>
          <w:kern w:val="0"/>
          <w:sz w:val="32"/>
          <w:szCs w:val="32"/>
          <w:highlight w:val="none"/>
          <w:shd w:val="clear" w:color="auto" w:fill="FFFFFF"/>
          <w:lang w:eastAsia="zh-CN" w:bidi="ar"/>
        </w:rPr>
        <w:t>、</w:t>
      </w:r>
      <w:r>
        <w:rPr>
          <w:rFonts w:hint="eastAsia" w:ascii="仿宋_GB2312" w:hAnsi="仿宋_GB2312" w:eastAsia="仿宋_GB2312" w:cs="仿宋_GB2312"/>
          <w:sz w:val="32"/>
          <w:szCs w:val="32"/>
          <w:lang w:val="en-US" w:eastAsia="zh-CN"/>
        </w:rPr>
        <w:t>薪酬管理方案、薪酬管理制度、薪级表、职级管理制度、职级表、绩效管理方案、绩效管理制度、人才梯队培养方案初稿，180个</w:t>
      </w:r>
      <w:r>
        <w:rPr>
          <w:rFonts w:hint="eastAsia" w:ascii="仿宋_GB2312" w:hAnsi="仿宋_GB2312" w:eastAsia="仿宋_GB2312" w:cs="仿宋_GB2312"/>
          <w:kern w:val="0"/>
          <w:sz w:val="32"/>
          <w:szCs w:val="32"/>
          <w:highlight w:val="none"/>
          <w:shd w:val="clear" w:color="auto" w:fill="FFFFFF"/>
          <w:lang w:val="en-US" w:eastAsia="zh-CN" w:bidi="ar"/>
        </w:rPr>
        <w:t>日历日内出具达到报审深度的成果文件且经招标人按程序审定。</w:t>
      </w:r>
      <w:r>
        <w:rPr>
          <w:rFonts w:hint="eastAsia" w:ascii="仿宋_GB2312" w:hAnsi="仿宋_GB2312" w:eastAsia="仿宋_GB2312" w:cs="仿宋_GB2312"/>
          <w:kern w:val="0"/>
          <w:sz w:val="32"/>
          <w:szCs w:val="32"/>
          <w:highlight w:val="none"/>
          <w:shd w:val="clear" w:color="auto" w:fill="FFFFFF"/>
          <w:lang w:bidi="ar"/>
        </w:rPr>
        <w:t>后续中标人应根据项目实施需要，</w:t>
      </w:r>
      <w:r>
        <w:rPr>
          <w:rFonts w:hint="eastAsia" w:ascii="仿宋_GB2312" w:hAnsi="仿宋_GB2312" w:eastAsia="仿宋_GB2312" w:cs="仿宋_GB2312"/>
          <w:kern w:val="0"/>
          <w:sz w:val="32"/>
          <w:szCs w:val="32"/>
          <w:highlight w:val="none"/>
          <w:shd w:val="clear" w:color="auto" w:fill="FFFFFF"/>
          <w:lang w:val="en-US" w:eastAsia="zh-CN" w:bidi="ar"/>
        </w:rPr>
        <w:t>在全部成果文件经招标人按程序审定之日起持续1年的辅导服务期内向</w:t>
      </w:r>
      <w:r>
        <w:rPr>
          <w:rFonts w:hint="eastAsia" w:ascii="仿宋_GB2312" w:hAnsi="仿宋_GB2312" w:eastAsia="仿宋_GB2312" w:cs="仿宋_GB2312"/>
          <w:kern w:val="0"/>
          <w:sz w:val="32"/>
          <w:szCs w:val="32"/>
          <w:highlight w:val="none"/>
          <w:shd w:val="clear" w:color="auto" w:fill="FFFFFF"/>
          <w:lang w:bidi="ar"/>
        </w:rPr>
        <w:t>招标人</w:t>
      </w:r>
      <w:r>
        <w:rPr>
          <w:rFonts w:hint="eastAsia" w:ascii="仿宋_GB2312" w:hAnsi="仿宋_GB2312" w:eastAsia="仿宋_GB2312" w:cs="仿宋_GB2312"/>
          <w:kern w:val="0"/>
          <w:sz w:val="32"/>
          <w:szCs w:val="32"/>
          <w:highlight w:val="none"/>
          <w:shd w:val="clear" w:color="auto" w:fill="FFFFFF"/>
          <w:lang w:val="en-US" w:eastAsia="zh-CN" w:bidi="ar"/>
        </w:rPr>
        <w:t>提供相应的落地实施辅导服务，包括但不限于宣贯培训、指导落地、向上级单位汇报等。</w:t>
      </w:r>
    </w:p>
    <w:p w14:paraId="0654FA2A">
      <w:pPr>
        <w:widowControl/>
        <w:numPr>
          <w:ilvl w:val="0"/>
          <w:numId w:val="4"/>
        </w:numPr>
        <w:shd w:val="clear" w:color="auto" w:fill="FFFFFF"/>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服务成果</w:t>
      </w:r>
    </w:p>
    <w:p w14:paraId="78CD232E">
      <w:pPr>
        <w:widowControl/>
        <w:numPr>
          <w:ilvl w:val="255"/>
          <w:numId w:val="0"/>
        </w:numPr>
        <w:shd w:val="clear" w:color="auto" w:fill="FFFFFF"/>
        <w:ind w:firstLine="640" w:firstLineChars="200"/>
        <w:rPr>
          <w:rFonts w:hint="eastAsia" w:ascii="仿宋_GB2312" w:hAnsi="仿宋_GB2312" w:eastAsia="仿宋_GB2312" w:cs="仿宋_GB2312"/>
          <w:kern w:val="0"/>
          <w:sz w:val="32"/>
          <w:szCs w:val="32"/>
          <w:highlight w:val="none"/>
          <w:shd w:val="clear" w:color="auto" w:fill="FFFFFF"/>
          <w:lang w:eastAsia="zh-CN" w:bidi="ar"/>
        </w:rPr>
      </w:pPr>
      <w:r>
        <w:rPr>
          <w:rFonts w:hint="eastAsia" w:ascii="仿宋_GB2312" w:hAnsi="仿宋_GB2312" w:eastAsia="仿宋_GB2312" w:cs="仿宋_GB2312"/>
          <w:kern w:val="0"/>
          <w:sz w:val="32"/>
          <w:szCs w:val="32"/>
          <w:highlight w:val="none"/>
          <w:shd w:val="clear" w:color="auto" w:fill="FFFFFF"/>
          <w:lang w:bidi="ar"/>
        </w:rPr>
        <w:t>服务成果分为</w:t>
      </w:r>
      <w:r>
        <w:rPr>
          <w:rFonts w:hint="eastAsia" w:ascii="仿宋_GB2312" w:hAnsi="仿宋_GB2312" w:eastAsia="仿宋_GB2312" w:cs="仿宋_GB2312"/>
          <w:kern w:val="0"/>
          <w:sz w:val="32"/>
          <w:szCs w:val="32"/>
          <w:highlight w:val="none"/>
          <w:shd w:val="clear" w:color="auto" w:fill="FFFFFF"/>
          <w:lang w:val="en-US" w:eastAsia="zh-CN" w:bidi="ar"/>
        </w:rPr>
        <w:t>书面成果与非书面成果，包括但不限于以下内容（具体以合同签订为准）：</w:t>
      </w:r>
    </w:p>
    <w:tbl>
      <w:tblPr>
        <w:tblStyle w:val="18"/>
        <w:tblW w:w="105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1237"/>
        <w:gridCol w:w="5161"/>
        <w:gridCol w:w="2301"/>
        <w:gridCol w:w="1375"/>
      </w:tblGrid>
      <w:tr w14:paraId="5ABA4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0C49">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序号</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F311">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服务内容</w:t>
            </w:r>
          </w:p>
        </w:tc>
        <w:tc>
          <w:tcPr>
            <w:tcW w:w="5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E5A1">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具体要求</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6DCE">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书面成果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2135">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非书面</w:t>
            </w:r>
          </w:p>
          <w:p w14:paraId="79194F4F">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成果</w:t>
            </w:r>
          </w:p>
        </w:tc>
      </w:tr>
      <w:tr w14:paraId="31002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66B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CA9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战略规划</w:t>
            </w:r>
          </w:p>
        </w:tc>
        <w:tc>
          <w:tcPr>
            <w:tcW w:w="5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01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8"/>
                <w:lang w:val="en-US" w:eastAsia="zh-CN" w:bidi="ar"/>
              </w:rPr>
              <w:t>·</w:t>
            </w:r>
            <w:r>
              <w:rPr>
                <w:rStyle w:val="59"/>
                <w:rFonts w:hAnsi="宋体"/>
                <w:lang w:val="en-US" w:eastAsia="zh-CN" w:bidi="ar"/>
              </w:rPr>
              <w:t>内外部分析：通过调研访谈、内部研讨、案头研究，系统诊断南沙资产集团发展优势和劣势、科学分析外部发展机遇和挑战；</w:t>
            </w:r>
            <w:r>
              <w:rPr>
                <w:rStyle w:val="59"/>
                <w:rFonts w:hAnsi="宋体"/>
                <w:lang w:val="en-US" w:eastAsia="zh-CN" w:bidi="ar"/>
              </w:rPr>
              <w:br w:type="textWrapping"/>
            </w:r>
            <w:r>
              <w:rPr>
                <w:rStyle w:val="58"/>
                <w:lang w:val="en-US" w:eastAsia="zh-CN" w:bidi="ar"/>
              </w:rPr>
              <w:t>·</w:t>
            </w:r>
            <w:r>
              <w:rPr>
                <w:rStyle w:val="59"/>
                <w:rFonts w:hAnsi="宋体"/>
                <w:lang w:val="en-US" w:eastAsia="zh-CN" w:bidi="ar"/>
              </w:rPr>
              <w:t>战略规划：明确南沙资产集团战略定位、提出未来发展战略目标、商业模式、业务布局，谋划具体业务板块发展目标和发展策略；</w:t>
            </w:r>
            <w:r>
              <w:rPr>
                <w:rStyle w:val="59"/>
                <w:rFonts w:hAnsi="宋体"/>
                <w:lang w:val="en-US" w:eastAsia="zh-CN" w:bidi="ar"/>
              </w:rPr>
              <w:br w:type="textWrapping"/>
            </w:r>
            <w:r>
              <w:rPr>
                <w:rStyle w:val="58"/>
                <w:lang w:val="en-US" w:eastAsia="zh-CN" w:bidi="ar"/>
              </w:rPr>
              <w:t>·</w:t>
            </w:r>
            <w:r>
              <w:rPr>
                <w:rStyle w:val="59"/>
                <w:rFonts w:hAnsi="宋体"/>
                <w:lang w:val="en-US" w:eastAsia="zh-CN" w:bidi="ar"/>
              </w:rPr>
              <w:t>重点举措和保障措施：从项目谋划、融资优化、管理提升、企业文化、人才梯队等方面制定支撑战略实现的重点举措和保障措施；</w:t>
            </w:r>
            <w:r>
              <w:rPr>
                <w:rStyle w:val="59"/>
                <w:rFonts w:hAnsi="宋体"/>
                <w:lang w:val="en-US" w:eastAsia="zh-CN" w:bidi="ar"/>
              </w:rPr>
              <w:br w:type="textWrapping"/>
            </w:r>
            <w:r>
              <w:rPr>
                <w:rStyle w:val="58"/>
                <w:lang w:val="en-US" w:eastAsia="zh-CN" w:bidi="ar"/>
              </w:rPr>
              <w:t>·</w:t>
            </w:r>
            <w:r>
              <w:rPr>
                <w:rStyle w:val="59"/>
                <w:rFonts w:hAnsi="宋体"/>
                <w:lang w:val="en-US" w:eastAsia="zh-CN" w:bidi="ar"/>
              </w:rPr>
              <w:t>战略解码与行动方案：通过战略解码的形式将业务举措和保障措施拆解落实到未来三年各部门、各子公司的具体工作计划与任务中。</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C6F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1.《南沙资产集团“十五五”战略发展规划》</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2.《南沙资产集团“十五五”规划实施三年行动方案》</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FD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8"/>
                <w:lang w:val="en-US" w:eastAsia="zh-CN" w:bidi="ar"/>
              </w:rPr>
              <w:t>·</w:t>
            </w:r>
            <w:r>
              <w:rPr>
                <w:rStyle w:val="59"/>
                <w:rFonts w:hAnsi="宋体"/>
                <w:lang w:val="en-US" w:eastAsia="zh-CN" w:bidi="ar"/>
              </w:rPr>
              <w:t>战略宣贯</w:t>
            </w:r>
            <w:r>
              <w:rPr>
                <w:rStyle w:val="59"/>
                <w:rFonts w:hAnsi="宋体"/>
                <w:lang w:val="en-US" w:eastAsia="zh-CN" w:bidi="ar"/>
              </w:rPr>
              <w:br w:type="textWrapping"/>
            </w:r>
            <w:r>
              <w:rPr>
                <w:rStyle w:val="58"/>
                <w:lang w:val="en-US" w:eastAsia="zh-CN" w:bidi="ar"/>
              </w:rPr>
              <w:t>·</w:t>
            </w:r>
            <w:r>
              <w:rPr>
                <w:rStyle w:val="59"/>
                <w:rFonts w:hAnsi="宋体"/>
                <w:lang w:val="en-US" w:eastAsia="zh-CN" w:bidi="ar"/>
              </w:rPr>
              <w:t>战略解码</w:t>
            </w:r>
            <w:r>
              <w:rPr>
                <w:rStyle w:val="58"/>
                <w:lang w:val="en-US" w:eastAsia="zh-CN" w:bidi="ar"/>
              </w:rPr>
              <w:br w:type="textWrapping"/>
            </w:r>
            <w:r>
              <w:rPr>
                <w:rStyle w:val="58"/>
                <w:lang w:val="en-US" w:eastAsia="zh-CN" w:bidi="ar"/>
              </w:rPr>
              <w:t>·</w:t>
            </w:r>
            <w:r>
              <w:rPr>
                <w:rStyle w:val="59"/>
                <w:rFonts w:hAnsi="宋体"/>
                <w:lang w:val="en-US" w:eastAsia="zh-CN" w:bidi="ar"/>
              </w:rPr>
              <w:t>向上汇报</w:t>
            </w:r>
          </w:p>
        </w:tc>
      </w:tr>
      <w:tr w14:paraId="6C626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50F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CF2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集团管控</w:t>
            </w:r>
          </w:p>
        </w:tc>
        <w:tc>
          <w:tcPr>
            <w:tcW w:w="5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8E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8"/>
                <w:lang w:val="en-US" w:eastAsia="zh-CN" w:bidi="ar"/>
              </w:rPr>
              <w:t>·</w:t>
            </w:r>
            <w:r>
              <w:rPr>
                <w:rStyle w:val="59"/>
                <w:rFonts w:hAnsi="宋体"/>
                <w:lang w:val="en-US" w:eastAsia="zh-CN" w:bidi="ar"/>
              </w:rPr>
              <w:t>管理诊断：深入剖析南沙资产集团在管控体系上的发展现状与核心问题，厘清管控体系调整方向和思路；</w:t>
            </w:r>
            <w:r>
              <w:rPr>
                <w:rStyle w:val="59"/>
                <w:rFonts w:hAnsi="宋体"/>
                <w:lang w:val="en-US" w:eastAsia="zh-CN" w:bidi="ar"/>
              </w:rPr>
              <w:br w:type="textWrapping"/>
            </w:r>
            <w:r>
              <w:rPr>
                <w:rStyle w:val="58"/>
                <w:lang w:val="en-US" w:eastAsia="zh-CN" w:bidi="ar"/>
              </w:rPr>
              <w:t>·</w:t>
            </w:r>
            <w:r>
              <w:rPr>
                <w:rStyle w:val="59"/>
                <w:rFonts w:hAnsi="宋体"/>
                <w:lang w:val="en-US" w:eastAsia="zh-CN" w:bidi="ar"/>
              </w:rPr>
              <w:t>体系设计：明确集团总部及下属公司功能定位，做好权责界面梳理和权责体系设计，将权责界面通过权责表实现清单化；</w:t>
            </w:r>
            <w:r>
              <w:rPr>
                <w:rStyle w:val="58"/>
                <w:lang w:val="en-US" w:eastAsia="zh-CN" w:bidi="ar"/>
              </w:rPr>
              <w:br w:type="textWrapping"/>
            </w:r>
            <w:r>
              <w:rPr>
                <w:rStyle w:val="58"/>
                <w:lang w:val="en-US" w:eastAsia="zh-CN" w:bidi="ar"/>
              </w:rPr>
              <w:t>·</w:t>
            </w:r>
            <w:r>
              <w:rPr>
                <w:rStyle w:val="59"/>
                <w:rFonts w:hAnsi="宋体"/>
                <w:lang w:val="en-US" w:eastAsia="zh-CN" w:bidi="ar"/>
              </w:rPr>
              <w:t>制度建设：基于优化后的权责体系，梳理、调整、优化、补充相关制度文件，完善集团管理制度体系。</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C1C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1.《南沙资产集团权责体系优化报告》</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2.《南沙资产集团权责表》</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3.《南沙资产集团管控体系制度汇编》</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80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9"/>
                <w:rFonts w:hAnsi="宋体"/>
                <w:lang w:val="en-US" w:eastAsia="zh-CN" w:bidi="ar"/>
              </w:rPr>
              <w:t>权责体系宣贯</w:t>
            </w:r>
          </w:p>
        </w:tc>
      </w:tr>
      <w:tr w14:paraId="0EE0F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4A0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DA1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组织架构与机构建设</w:t>
            </w:r>
          </w:p>
        </w:tc>
        <w:tc>
          <w:tcPr>
            <w:tcW w:w="5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09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8"/>
                <w:lang w:val="en-US" w:eastAsia="zh-CN" w:bidi="ar"/>
              </w:rPr>
              <w:t>·</w:t>
            </w:r>
            <w:r>
              <w:rPr>
                <w:rStyle w:val="59"/>
                <w:rFonts w:hAnsi="宋体"/>
                <w:lang w:val="en-US" w:eastAsia="zh-CN" w:bidi="ar"/>
              </w:rPr>
              <w:t>集团架构优化：根据集团战略规划，在明确集团与下属公司功能定位基础上，设计集团化架构，从股权整合和管理整合两方面，制定重组整合方案；</w:t>
            </w:r>
            <w:r>
              <w:rPr>
                <w:rStyle w:val="59"/>
                <w:rFonts w:hAnsi="宋体"/>
                <w:lang w:val="en-US" w:eastAsia="zh-CN" w:bidi="ar"/>
              </w:rPr>
              <w:br w:type="textWrapping"/>
            </w:r>
            <w:r>
              <w:rPr>
                <w:rStyle w:val="58"/>
                <w:lang w:val="en-US" w:eastAsia="zh-CN" w:bidi="ar"/>
              </w:rPr>
              <w:t>·</w:t>
            </w:r>
            <w:r>
              <w:rPr>
                <w:rStyle w:val="59"/>
                <w:rFonts w:hAnsi="宋体"/>
                <w:lang w:val="en-US" w:eastAsia="zh-CN" w:bidi="ar"/>
              </w:rPr>
              <w:t>完善治理结构：搭建完善三会一层及相关职能机构设置，为南沙资产集团建立中国特色现代企业治理体系；</w:t>
            </w:r>
            <w:r>
              <w:rPr>
                <w:rStyle w:val="59"/>
                <w:rFonts w:hAnsi="宋体"/>
                <w:lang w:val="en-US" w:eastAsia="zh-CN" w:bidi="ar"/>
              </w:rPr>
              <w:br w:type="textWrapping"/>
            </w:r>
            <w:r>
              <w:rPr>
                <w:rStyle w:val="58"/>
                <w:lang w:val="en-US" w:eastAsia="zh-CN" w:bidi="ar"/>
              </w:rPr>
              <w:t>·</w:t>
            </w:r>
            <w:r>
              <w:rPr>
                <w:rStyle w:val="59"/>
                <w:rFonts w:hAnsi="宋体"/>
                <w:lang w:val="en-US" w:eastAsia="zh-CN" w:bidi="ar"/>
              </w:rPr>
              <w:t>部门设置优化：按照集团总部功能定位，对总部部门及职能设置进行优化，更好发挥集团总部功能；</w:t>
            </w:r>
            <w:r>
              <w:rPr>
                <w:rStyle w:val="59"/>
                <w:rFonts w:hAnsi="宋体"/>
                <w:lang w:val="en-US" w:eastAsia="zh-CN" w:bidi="ar"/>
              </w:rPr>
              <w:br w:type="textWrapping"/>
            </w:r>
            <w:r>
              <w:rPr>
                <w:rStyle w:val="58"/>
                <w:lang w:val="en-US" w:eastAsia="zh-CN" w:bidi="ar"/>
              </w:rPr>
              <w:t>·</w:t>
            </w:r>
            <w:r>
              <w:rPr>
                <w:rStyle w:val="59"/>
                <w:rFonts w:hAnsi="宋体"/>
                <w:lang w:val="en-US" w:eastAsia="zh-CN" w:bidi="ar"/>
              </w:rPr>
              <w:t>岗位设计：梳理部门职责，合理设计各部门岗位，并进行工作分析，编写岗位说明书。</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F5B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1.《南沙资产集团组织体系优化报告》</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2.《南沙资产集团部门职能说明书》</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3.《南沙资产集团岗位设计方案》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4.《南沙资产集团岗位职责说明书》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9D7B">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Style w:val="59"/>
                <w:rFonts w:hAnsi="宋体"/>
                <w:lang w:val="en-US" w:eastAsia="zh-CN" w:bidi="ar"/>
              </w:rPr>
              <w:t>辅导实施，</w:t>
            </w:r>
            <w:r>
              <w:rPr>
                <w:rStyle w:val="59"/>
                <w:rFonts w:hint="eastAsia" w:hAnsi="宋体"/>
                <w:lang w:val="en-US" w:eastAsia="zh-CN" w:bidi="ar"/>
              </w:rPr>
              <w:t>且在辅导服务期内提供不少于3次现场指导。</w:t>
            </w:r>
          </w:p>
        </w:tc>
      </w:tr>
      <w:tr w14:paraId="439C7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6D4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53C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人力资源规划（集团总部及下属公司）</w:t>
            </w:r>
          </w:p>
        </w:tc>
        <w:tc>
          <w:tcPr>
            <w:tcW w:w="5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F5FC">
            <w:pPr>
              <w:pStyle w:val="2"/>
              <w:widowControl w:val="0"/>
              <w:spacing w:after="0"/>
              <w:textAlignment w:val="auto"/>
              <w:rPr>
                <w:rStyle w:val="59"/>
                <w:rFonts w:hAnsi="宋体"/>
                <w:lang w:val="en-US" w:eastAsia="zh-CN" w:bidi="ar"/>
              </w:rPr>
            </w:pPr>
            <w:r>
              <w:rPr>
                <w:rStyle w:val="58"/>
                <w:lang w:val="en-US" w:eastAsia="zh-CN" w:bidi="ar"/>
              </w:rPr>
              <w:t>·</w:t>
            </w:r>
            <w:r>
              <w:rPr>
                <w:rStyle w:val="59"/>
                <w:rFonts w:hint="eastAsia" w:hAnsi="宋体"/>
                <w:lang w:val="en-US" w:eastAsia="zh-CN" w:bidi="ar"/>
              </w:rPr>
              <w:t>人力资源现状分析：对公司内外部人力资源发展现状进行分析</w:t>
            </w:r>
            <w:r>
              <w:rPr>
                <w:rStyle w:val="59"/>
                <w:rFonts w:hAnsi="宋体"/>
                <w:lang w:val="en-US" w:eastAsia="zh-CN" w:bidi="ar"/>
              </w:rPr>
              <w:t>；</w:t>
            </w:r>
          </w:p>
          <w:p w14:paraId="05222304">
            <w:pPr>
              <w:pStyle w:val="2"/>
              <w:spacing w:after="0"/>
              <w:rPr>
                <w:rStyle w:val="59"/>
                <w:rFonts w:eastAsia="仿宋_GB2312"/>
                <w:lang w:eastAsia="zh-CN"/>
              </w:rPr>
            </w:pPr>
            <w:r>
              <w:rPr>
                <w:rStyle w:val="58"/>
                <w:lang w:val="en-US" w:eastAsia="zh-CN" w:bidi="ar"/>
              </w:rPr>
              <w:t>·</w:t>
            </w:r>
            <w:r>
              <w:rPr>
                <w:rStyle w:val="59"/>
              </w:rPr>
              <w:t>人力资源需求预测：根据公司发展战略，对未来人力资源需求总量、结构等进行分析预测</w:t>
            </w:r>
            <w:r>
              <w:rPr>
                <w:rStyle w:val="59"/>
                <w:rFonts w:eastAsia="仿宋_GB2312"/>
                <w:lang w:eastAsia="zh-CN"/>
              </w:rPr>
              <w:t>；</w:t>
            </w:r>
          </w:p>
          <w:p w14:paraId="4FEC1AB6">
            <w:pPr>
              <w:pStyle w:val="2"/>
              <w:spacing w:after="0"/>
              <w:rPr>
                <w:rStyle w:val="59"/>
                <w:rFonts w:hint="eastAsia" w:eastAsia="仿宋_GB2312"/>
                <w:lang w:val="en-US" w:eastAsia="zh-CN"/>
              </w:rPr>
            </w:pPr>
            <w:r>
              <w:rPr>
                <w:rStyle w:val="58"/>
                <w:lang w:val="en-US" w:eastAsia="zh-CN" w:bidi="ar"/>
              </w:rPr>
              <w:t>·</w:t>
            </w:r>
            <w:r>
              <w:rPr>
                <w:rStyle w:val="59"/>
              </w:rPr>
              <w:t>人力资源管理提升建议：基于现状和需求间的差距，从薪酬、绩效、招聘、培养等方面提出提升建议</w:t>
            </w:r>
            <w:r>
              <w:rPr>
                <w:rStyle w:val="59"/>
                <w:rFonts w:eastAsia="仿宋_GB2312"/>
                <w:lang w:eastAsia="zh-CN"/>
              </w:rPr>
              <w:t>。</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12CE">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《南沙资产集团人力资源规划》</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08DD">
            <w:pPr>
              <w:keepNext w:val="0"/>
              <w:keepLines w:val="0"/>
              <w:widowControl/>
              <w:suppressLineNumbers w:val="0"/>
              <w:jc w:val="left"/>
              <w:textAlignment w:val="center"/>
              <w:rPr>
                <w:rStyle w:val="59"/>
                <w:rFonts w:hAnsi="宋体"/>
                <w:lang w:val="en-US" w:eastAsia="zh-CN" w:bidi="ar"/>
              </w:rPr>
            </w:pPr>
            <w:r>
              <w:rPr>
                <w:rStyle w:val="59"/>
                <w:rFonts w:hint="eastAsia" w:hAnsi="宋体"/>
                <w:lang w:val="en-US" w:eastAsia="zh-CN" w:bidi="ar"/>
              </w:rPr>
              <w:t>辅导实施，且在辅导服务期内提供不少于3次现场指导。</w:t>
            </w:r>
          </w:p>
        </w:tc>
      </w:tr>
      <w:tr w14:paraId="2F92B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A62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89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薪酬绩效体系优化（集团总部）</w:t>
            </w:r>
          </w:p>
        </w:tc>
        <w:tc>
          <w:tcPr>
            <w:tcW w:w="5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E576">
            <w:pPr>
              <w:keepNext w:val="0"/>
              <w:keepLines w:val="0"/>
              <w:widowControl/>
              <w:suppressLineNumbers w:val="0"/>
              <w:jc w:val="left"/>
              <w:textAlignment w:val="center"/>
              <w:rPr>
                <w:rStyle w:val="59"/>
                <w:rFonts w:hint="eastAsia" w:hAnsi="宋体"/>
                <w:lang w:val="en-US" w:eastAsia="zh-CN" w:bidi="ar"/>
              </w:rPr>
            </w:pPr>
            <w:r>
              <w:rPr>
                <w:rStyle w:val="58"/>
                <w:lang w:val="en-US" w:eastAsia="zh-CN" w:bidi="ar"/>
              </w:rPr>
              <w:t>·</w:t>
            </w:r>
            <w:r>
              <w:rPr>
                <w:rStyle w:val="59"/>
                <w:rFonts w:hAnsi="宋体"/>
                <w:lang w:val="en-US" w:eastAsia="zh-CN" w:bidi="ar"/>
              </w:rPr>
              <w:t>薪酬</w:t>
            </w:r>
            <w:r>
              <w:rPr>
                <w:rStyle w:val="59"/>
                <w:rFonts w:hint="eastAsia" w:hAnsi="宋体"/>
                <w:lang w:val="en-US" w:eastAsia="zh-CN" w:bidi="ar"/>
              </w:rPr>
              <w:t>绩效</w:t>
            </w:r>
            <w:r>
              <w:rPr>
                <w:rStyle w:val="59"/>
                <w:rFonts w:hAnsi="宋体"/>
                <w:lang w:val="en-US" w:eastAsia="zh-CN" w:bidi="ar"/>
              </w:rPr>
              <w:t>现状调研：</w:t>
            </w:r>
            <w:r>
              <w:rPr>
                <w:rStyle w:val="59"/>
                <w:rFonts w:hint="eastAsia" w:hAnsi="宋体"/>
                <w:lang w:val="en-US" w:eastAsia="zh-CN" w:bidi="ar"/>
              </w:rPr>
              <w:t>对公司薪酬绩效管理现状进行调研，分析薪酬绩效管理体系当前存在的问题和需要改进的方向</w:t>
            </w:r>
            <w:r>
              <w:rPr>
                <w:rStyle w:val="59"/>
                <w:rFonts w:hAnsi="宋体"/>
                <w:lang w:val="en-US" w:eastAsia="zh-CN" w:bidi="ar"/>
              </w:rPr>
              <w:t>；</w:t>
            </w:r>
            <w:r>
              <w:rPr>
                <w:rStyle w:val="59"/>
                <w:rFonts w:hAnsi="宋体"/>
                <w:lang w:val="en-US" w:eastAsia="zh-CN" w:bidi="ar"/>
              </w:rPr>
              <w:br w:type="textWrapping"/>
            </w:r>
            <w:r>
              <w:rPr>
                <w:rStyle w:val="58"/>
                <w:lang w:val="en-US" w:eastAsia="zh-CN" w:bidi="ar"/>
              </w:rPr>
              <w:t>·</w:t>
            </w:r>
            <w:r>
              <w:rPr>
                <w:rStyle w:val="59"/>
                <w:rFonts w:hAnsi="宋体"/>
                <w:lang w:val="en-US" w:eastAsia="zh-CN" w:bidi="ar"/>
              </w:rPr>
              <w:t>薪酬</w:t>
            </w:r>
            <w:r>
              <w:rPr>
                <w:rStyle w:val="59"/>
                <w:rFonts w:hint="eastAsia" w:hAnsi="宋体"/>
                <w:lang w:val="en-US" w:eastAsia="zh-CN" w:bidi="ar"/>
              </w:rPr>
              <w:t>管理体系优化</w:t>
            </w:r>
            <w:r>
              <w:rPr>
                <w:rStyle w:val="59"/>
                <w:rFonts w:hAnsi="宋体"/>
                <w:lang w:val="en-US" w:eastAsia="zh-CN" w:bidi="ar"/>
              </w:rPr>
              <w:t>：</w:t>
            </w:r>
            <w:r>
              <w:rPr>
                <w:rStyle w:val="59"/>
                <w:rFonts w:hint="eastAsia" w:hAnsi="宋体"/>
                <w:lang w:val="en-US" w:eastAsia="zh-CN" w:bidi="ar"/>
              </w:rPr>
              <w:t>根据公司发展战略需要，从建设基于岗位价值、能力和业绩的个体薪酬管理规范和与团队绩效强关联的基于薪酬包管理的薪酬激励机制角度出发，优化现行薪酬体系；</w:t>
            </w:r>
          </w:p>
          <w:p w14:paraId="160C98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8"/>
                <w:lang w:val="en-US" w:eastAsia="zh-CN" w:bidi="ar"/>
              </w:rPr>
              <w:t>·</w:t>
            </w:r>
            <w:r>
              <w:rPr>
                <w:rStyle w:val="59"/>
              </w:rPr>
              <w:t>绩效管理体系优化：根据公司经营目标及组织特点，完善组织绩效考核方案、个人薪酬绩效考核方案等绩效管理体系</w:t>
            </w:r>
            <w:r>
              <w:rPr>
                <w:rStyle w:val="59"/>
                <w:rFonts w:hAnsi="宋体"/>
                <w:lang w:val="en-US" w:eastAsia="zh-CN" w:bidi="ar"/>
              </w:rPr>
              <w:t>。</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E2E6">
            <w:pPr>
              <w:keepNext w:val="0"/>
              <w:keepLines w:val="0"/>
              <w:widowControl/>
              <w:numPr>
                <w:ilvl w:val="0"/>
                <w:numId w:val="5"/>
              </w:numPr>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《南沙资产集团薪酬管理方案》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2.《南沙资产集团薪酬管理制度》</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3.《南沙资产集团薪级表》</w:t>
            </w:r>
          </w:p>
          <w:p w14:paraId="31DD66BB">
            <w:pPr>
              <w:pStyle w:val="2"/>
              <w:numPr>
                <w:ilvl w:val="-1"/>
                <w:numId w:val="0"/>
              </w:numPr>
              <w:rPr>
                <w:rFonts w:hint="eastAsia"/>
              </w:rPr>
            </w:pPr>
            <w:r>
              <w:rPr>
                <w:rFonts w:hint="eastAsia" w:ascii="仿宋_GB2312" w:hAnsi="宋体" w:eastAsia="仿宋_GB2312" w:cs="仿宋_GB2312"/>
                <w:i w:val="0"/>
                <w:iCs w:val="0"/>
                <w:color w:val="000000"/>
                <w:kern w:val="0"/>
                <w:sz w:val="24"/>
                <w:szCs w:val="24"/>
                <w:u w:val="none"/>
                <w:lang w:val="en-US" w:eastAsia="zh-CN" w:bidi="ar"/>
              </w:rPr>
              <w:t>4.《南沙资产集团绩效管理方案》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5.《南沙资产集团绩效管理制度》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D1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9"/>
                <w:rFonts w:hAnsi="宋体"/>
                <w:lang w:val="en-US" w:eastAsia="zh-CN" w:bidi="ar"/>
              </w:rPr>
              <w:t>辅导实施</w:t>
            </w:r>
            <w:r>
              <w:rPr>
                <w:rStyle w:val="59"/>
                <w:rFonts w:hint="eastAsia" w:hAnsi="宋体"/>
                <w:lang w:val="en-US" w:eastAsia="zh-CN" w:bidi="ar"/>
              </w:rPr>
              <w:t>，且在辅导服务期内提供不少于3次现场指导。</w:t>
            </w:r>
          </w:p>
        </w:tc>
      </w:tr>
      <w:tr w14:paraId="067B0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D8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3E5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职级管理体系（集团总部）</w:t>
            </w:r>
          </w:p>
        </w:tc>
        <w:tc>
          <w:tcPr>
            <w:tcW w:w="5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17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8"/>
                <w:lang w:val="en-US" w:eastAsia="zh-CN" w:bidi="ar"/>
              </w:rPr>
              <w:t>·</w:t>
            </w:r>
            <w:r>
              <w:rPr>
                <w:rStyle w:val="59"/>
                <w:rFonts w:hAnsi="宋体"/>
                <w:lang w:val="en-US" w:eastAsia="zh-CN" w:bidi="ar"/>
              </w:rPr>
              <w:t>职位序列划分：根据各岗位创造价值的特点进行职位序列划分，也即员工职业发展通道划分；</w:t>
            </w:r>
            <w:r>
              <w:rPr>
                <w:rStyle w:val="59"/>
                <w:rFonts w:hAnsi="宋体"/>
                <w:lang w:val="en-US" w:eastAsia="zh-CN" w:bidi="ar"/>
              </w:rPr>
              <w:br w:type="textWrapping"/>
            </w:r>
            <w:r>
              <w:rPr>
                <w:rStyle w:val="58"/>
                <w:lang w:val="en-US" w:eastAsia="zh-CN" w:bidi="ar"/>
              </w:rPr>
              <w:t>·</w:t>
            </w:r>
            <w:r>
              <w:rPr>
                <w:rStyle w:val="59"/>
                <w:rFonts w:hAnsi="宋体"/>
                <w:lang w:val="en-US" w:eastAsia="zh-CN" w:bidi="ar"/>
              </w:rPr>
              <w:t>职级表设计：根据集团发展对各职位序列岗位任职人员的能力级别需求，结合各岗位的岗位价值，设计职级表；</w:t>
            </w:r>
            <w:r>
              <w:rPr>
                <w:rStyle w:val="59"/>
                <w:rFonts w:hAnsi="宋体"/>
                <w:lang w:val="en-US" w:eastAsia="zh-CN" w:bidi="ar"/>
              </w:rPr>
              <w:br w:type="textWrapping"/>
            </w:r>
            <w:r>
              <w:rPr>
                <w:rStyle w:val="58"/>
                <w:lang w:val="en-US" w:eastAsia="zh-CN" w:bidi="ar"/>
              </w:rPr>
              <w:t>·</w:t>
            </w:r>
            <w:r>
              <w:rPr>
                <w:rStyle w:val="59"/>
                <w:rFonts w:hAnsi="宋体"/>
                <w:lang w:val="en-US" w:eastAsia="zh-CN" w:bidi="ar"/>
              </w:rPr>
              <w:t>职级管理机制：建立职级管理机制，与薪酬体系强关联，激励员工持续提高个人能力和业绩。</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AA0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1.《南沙资产集团职级管理制度》</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2.《南沙资产集团职级表》</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51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9"/>
                <w:rFonts w:hAnsi="宋体"/>
                <w:lang w:val="en-US" w:eastAsia="zh-CN" w:bidi="ar"/>
              </w:rPr>
              <w:t>辅导实施，</w:t>
            </w:r>
            <w:r>
              <w:rPr>
                <w:rStyle w:val="59"/>
                <w:rFonts w:hint="eastAsia" w:hAnsi="宋体"/>
                <w:lang w:val="en-US" w:eastAsia="zh-CN" w:bidi="ar"/>
              </w:rPr>
              <w:t>且在辅导服务期内提供不少于3次现场指导。</w:t>
            </w:r>
          </w:p>
        </w:tc>
      </w:tr>
      <w:tr w14:paraId="0972B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19B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7</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EAC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人才梯队培养方案</w:t>
            </w:r>
          </w:p>
        </w:tc>
        <w:tc>
          <w:tcPr>
            <w:tcW w:w="5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83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59"/>
                <w:rFonts w:hAnsi="宋体"/>
                <w:lang w:val="en-US" w:eastAsia="zh-CN" w:bidi="ar"/>
              </w:rPr>
              <w:t>能力素质调研：对</w:t>
            </w:r>
            <w:r>
              <w:rPr>
                <w:rStyle w:val="59"/>
                <w:rFonts w:hint="eastAsia" w:hAnsi="宋体"/>
                <w:lang w:val="en-US" w:eastAsia="zh-CN" w:bidi="ar"/>
              </w:rPr>
              <w:t>集团核心人才梯队</w:t>
            </w:r>
            <w:r>
              <w:rPr>
                <w:rStyle w:val="59"/>
                <w:rFonts w:hAnsi="宋体"/>
                <w:lang w:val="en-US" w:eastAsia="zh-CN" w:bidi="ar"/>
              </w:rPr>
              <w:t>情况进行调研和评估；</w:t>
            </w:r>
            <w:r>
              <w:rPr>
                <w:rStyle w:val="59"/>
                <w:rFonts w:hAnsi="宋体"/>
                <w:lang w:val="en-US" w:eastAsia="zh-CN" w:bidi="ar"/>
              </w:rPr>
              <w:br w:type="textWrapping"/>
            </w:r>
            <w:r>
              <w:rPr>
                <w:rStyle w:val="58"/>
                <w:lang w:val="en-US" w:eastAsia="zh-CN" w:bidi="ar"/>
              </w:rPr>
              <w:t>·</w:t>
            </w:r>
            <w:r>
              <w:rPr>
                <w:rStyle w:val="59"/>
                <w:rFonts w:hAnsi="宋体"/>
                <w:lang w:val="en-US" w:eastAsia="zh-CN" w:bidi="ar"/>
              </w:rPr>
              <w:t>设计培养方案：根据集团对</w:t>
            </w:r>
            <w:r>
              <w:rPr>
                <w:rStyle w:val="59"/>
                <w:rFonts w:hint="eastAsia" w:hAnsi="宋体"/>
                <w:lang w:val="en-US" w:eastAsia="zh-CN" w:bidi="ar"/>
              </w:rPr>
              <w:t>核心人才梯队</w:t>
            </w:r>
            <w:r>
              <w:rPr>
                <w:rStyle w:val="59"/>
                <w:rFonts w:hAnsi="宋体"/>
                <w:lang w:val="en-US" w:eastAsia="zh-CN" w:bidi="ar"/>
              </w:rPr>
              <w:t>的能力素质要求，设计培养方案。</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8A0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《南沙资产集团人才梯队培养方案》</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31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9"/>
                <w:rFonts w:hAnsi="宋体"/>
                <w:lang w:val="en-US" w:eastAsia="zh-CN" w:bidi="ar"/>
              </w:rPr>
              <w:t>辅导实施，</w:t>
            </w:r>
            <w:r>
              <w:rPr>
                <w:rStyle w:val="59"/>
                <w:rFonts w:hint="eastAsia" w:hAnsi="宋体"/>
                <w:lang w:val="en-US" w:eastAsia="zh-CN" w:bidi="ar"/>
              </w:rPr>
              <w:t>且在辅导服务期内提供不少于3次现场指导。</w:t>
            </w:r>
          </w:p>
        </w:tc>
      </w:tr>
    </w:tbl>
    <w:p w14:paraId="25009CAD">
      <w:pPr>
        <w:pStyle w:val="2"/>
        <w:rPr>
          <w:rFonts w:hint="eastAsia"/>
          <w:lang w:eastAsia="zh-CN"/>
        </w:rPr>
      </w:pPr>
    </w:p>
    <w:p w14:paraId="2DEAC5A7">
      <w:pPr>
        <w:widowControl/>
        <w:shd w:val="clear" w:color="auto" w:fill="FFFFFF"/>
        <w:spacing w:line="560" w:lineRule="exact"/>
        <w:ind w:firstLine="640" w:firstLineChars="200"/>
        <w:jc w:val="left"/>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（四）服务价格：</w:t>
      </w:r>
      <w:r>
        <w:rPr>
          <w:rFonts w:hint="eastAsia" w:ascii="仿宋_GB2312" w:hAnsi="仿宋_GB2312" w:eastAsia="仿宋_GB2312" w:cs="仿宋_GB2312"/>
          <w:kern w:val="0"/>
          <w:sz w:val="32"/>
          <w:szCs w:val="32"/>
          <w:highlight w:val="none"/>
          <w:u w:val="single"/>
          <w:shd w:val="clear" w:color="auto" w:fill="FFFFFF"/>
          <w:lang w:bidi="ar"/>
        </w:rPr>
        <w:t>不高于人民币</w:t>
      </w:r>
      <w:r>
        <w:rPr>
          <w:rFonts w:hint="eastAsia" w:ascii="仿宋_GB2312" w:hAnsi="仿宋_GB2312" w:eastAsia="仿宋_GB2312" w:cs="仿宋_GB2312"/>
          <w:kern w:val="0"/>
          <w:sz w:val="32"/>
          <w:szCs w:val="32"/>
          <w:highlight w:val="none"/>
          <w:u w:val="single"/>
          <w:shd w:val="clear" w:color="auto" w:fill="FFFFFF"/>
          <w:lang w:val="en-US" w:eastAsia="zh-CN" w:bidi="ar"/>
        </w:rPr>
        <w:t>190万元且不低于160万元</w:t>
      </w:r>
      <w:r>
        <w:rPr>
          <w:rFonts w:hint="eastAsia" w:ascii="仿宋_GB2312" w:hAnsi="仿宋_GB2312" w:eastAsia="仿宋_GB2312" w:cs="仿宋_GB2312"/>
          <w:kern w:val="0"/>
          <w:sz w:val="32"/>
          <w:szCs w:val="32"/>
          <w:highlight w:val="none"/>
          <w:shd w:val="clear" w:color="auto" w:fill="FFFFFF"/>
          <w:lang w:val="en-US" w:eastAsia="zh-CN" w:bidi="ar"/>
        </w:rPr>
        <w:t>。</w:t>
      </w:r>
    </w:p>
    <w:p w14:paraId="0CF94F78">
      <w:pPr>
        <w:widowControl/>
        <w:shd w:val="clear" w:color="auto" w:fill="FFFFFF"/>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三、投标人资格要求</w:t>
      </w:r>
    </w:p>
    <w:p w14:paraId="337E910C">
      <w:pPr>
        <w:widowControl/>
        <w:shd w:val="clear" w:color="auto" w:fill="FFFFFF"/>
        <w:ind w:firstLine="640" w:firstLineChars="200"/>
        <w:rPr>
          <w:rFonts w:ascii="仿宋_GB2312" w:hAnsi="仿宋_GB2312" w:eastAsia="仿宋_GB2312" w:cs="仿宋_GB2312"/>
          <w:kern w:val="0"/>
          <w:sz w:val="32"/>
          <w:szCs w:val="32"/>
          <w:highlight w:val="none"/>
          <w:shd w:val="clear" w:color="auto" w:fill="FFFFFF"/>
          <w:lang w:bidi="ar"/>
        </w:rPr>
      </w:pPr>
      <w:bookmarkStart w:id="1" w:name="投标人资格要求（招标文件）"/>
      <w:r>
        <w:rPr>
          <w:rFonts w:hint="eastAsia" w:ascii="仿宋_GB2312" w:hAnsi="仿宋_GB2312" w:eastAsia="仿宋_GB2312" w:cs="仿宋_GB2312"/>
          <w:kern w:val="0"/>
          <w:sz w:val="32"/>
          <w:szCs w:val="32"/>
          <w:highlight w:val="none"/>
          <w:shd w:val="clear" w:color="auto" w:fill="FFFFFF"/>
          <w:lang w:bidi="ar"/>
        </w:rPr>
        <w:t>投标人必须同时具备以下资格条件：</w:t>
      </w:r>
      <w:bookmarkEnd w:id="1"/>
    </w:p>
    <w:p w14:paraId="67116F35">
      <w:pPr>
        <w:widowControl/>
        <w:numPr>
          <w:ilvl w:val="0"/>
          <w:numId w:val="6"/>
        </w:numPr>
        <w:shd w:val="clear" w:color="auto" w:fill="FFFFFF"/>
        <w:spacing w:line="560" w:lineRule="exact"/>
        <w:ind w:firstLine="640" w:firstLineChars="200"/>
        <w:jc w:val="left"/>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在中华人民共和国境内注册，具有独立承担民事责任能力并具有法人资格；持有工商行政管理部门核发的法人营业执照，按国家法律正常经营；</w:t>
      </w:r>
    </w:p>
    <w:p w14:paraId="0C4E9367">
      <w:pPr>
        <w:widowControl/>
        <w:numPr>
          <w:ilvl w:val="0"/>
          <w:numId w:val="6"/>
        </w:numPr>
        <w:shd w:val="clear" w:color="auto" w:fill="FFFFFF"/>
        <w:spacing w:line="560" w:lineRule="exact"/>
        <w:ind w:firstLine="640" w:firstLineChars="200"/>
        <w:jc w:val="left"/>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投标人需具备企业管理咨询、经济咨询、技术咨询等与本咨询服务项目相关的经营范围</w:t>
      </w:r>
      <w:r>
        <w:rPr>
          <w:rFonts w:hint="eastAsia" w:ascii="仿宋_GB2312" w:hAnsi="仿宋_GB2312" w:eastAsia="仿宋_GB2312" w:cs="仿宋_GB2312"/>
          <w:kern w:val="0"/>
          <w:sz w:val="32"/>
          <w:szCs w:val="32"/>
          <w:highlight w:val="none"/>
          <w:shd w:val="clear" w:color="auto" w:fill="FFFFFF"/>
          <w:lang w:eastAsia="zh-CN" w:bidi="ar"/>
        </w:rPr>
        <w:t>；</w:t>
      </w:r>
    </w:p>
    <w:p w14:paraId="32C48DE0">
      <w:pPr>
        <w:widowControl/>
        <w:numPr>
          <w:ilvl w:val="0"/>
          <w:numId w:val="6"/>
        </w:numPr>
        <w:shd w:val="clear" w:color="auto" w:fill="FFFFFF"/>
        <w:spacing w:line="560" w:lineRule="exact"/>
        <w:ind w:firstLine="640" w:firstLineChars="200"/>
        <w:jc w:val="left"/>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投标人</w:t>
      </w:r>
      <w:r>
        <w:rPr>
          <w:rFonts w:hint="eastAsia" w:ascii="仿宋_GB2312" w:hAnsi="仿宋_GB2312" w:eastAsia="仿宋_GB2312" w:cs="仿宋_GB2312"/>
          <w:kern w:val="0"/>
          <w:sz w:val="32"/>
          <w:szCs w:val="32"/>
          <w:highlight w:val="none"/>
          <w:shd w:val="clear" w:color="auto" w:fill="FFFFFF"/>
          <w:lang w:val="en-US" w:eastAsia="zh-CN" w:bidi="ar"/>
        </w:rPr>
        <w:t>近三年具有良好的财务状况</w:t>
      </w:r>
      <w:r>
        <w:rPr>
          <w:rFonts w:hint="eastAsia" w:ascii="仿宋_GB2312" w:hAnsi="仿宋_GB2312" w:eastAsia="仿宋_GB2312" w:cs="仿宋_GB2312"/>
          <w:kern w:val="0"/>
          <w:sz w:val="32"/>
          <w:szCs w:val="32"/>
          <w:highlight w:val="none"/>
          <w:shd w:val="clear" w:color="auto" w:fill="FFFFFF"/>
          <w:lang w:bidi="ar"/>
        </w:rPr>
        <w:t>（提供承诺函）；</w:t>
      </w:r>
    </w:p>
    <w:p w14:paraId="2C8F873C">
      <w:pPr>
        <w:widowControl/>
        <w:numPr>
          <w:ilvl w:val="0"/>
          <w:numId w:val="6"/>
        </w:numPr>
        <w:shd w:val="clear" w:color="auto" w:fill="FFFFFF"/>
        <w:spacing w:line="560" w:lineRule="exact"/>
        <w:ind w:firstLine="640" w:firstLineChars="200"/>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投标人必须为未被列入信用中国网站(www.creditchina.gov.cn)的“失信被执行人”、“重大税收违法案件当事人名单”的供应商（提供开标时间前10天内的查询结果网页截图并加盖公章</w:t>
      </w:r>
      <w:r>
        <w:rPr>
          <w:rFonts w:hint="eastAsia" w:ascii="仿宋_GB2312" w:hAnsi="仿宋_GB2312" w:eastAsia="仿宋_GB2312" w:cs="仿宋_GB2312"/>
          <w:kern w:val="0"/>
          <w:sz w:val="32"/>
          <w:szCs w:val="32"/>
          <w:highlight w:val="none"/>
          <w:shd w:val="clear" w:color="auto" w:fill="FFFFFF"/>
          <w:lang w:eastAsia="zh-CN" w:bidi="ar"/>
        </w:rPr>
        <w:t>，</w:t>
      </w:r>
      <w:r>
        <w:rPr>
          <w:rFonts w:hint="eastAsia" w:ascii="仿宋_GB2312" w:hAnsi="仿宋_GB2312" w:eastAsia="仿宋_GB2312" w:cs="仿宋_GB2312"/>
          <w:kern w:val="0"/>
          <w:sz w:val="32"/>
          <w:szCs w:val="32"/>
          <w:highlight w:val="none"/>
          <w:shd w:val="clear" w:color="auto" w:fill="FFFFFF"/>
          <w:lang w:val="en-US" w:eastAsia="zh-CN" w:bidi="ar"/>
        </w:rPr>
        <w:t>截图须显示截图时间</w:t>
      </w:r>
      <w:r>
        <w:rPr>
          <w:rFonts w:hint="eastAsia" w:ascii="仿宋_GB2312" w:hAnsi="仿宋_GB2312" w:eastAsia="仿宋_GB2312" w:cs="仿宋_GB2312"/>
          <w:kern w:val="0"/>
          <w:sz w:val="32"/>
          <w:szCs w:val="32"/>
          <w:highlight w:val="none"/>
          <w:shd w:val="clear" w:color="auto" w:fill="FFFFFF"/>
          <w:lang w:bidi="ar"/>
        </w:rPr>
        <w:t>）；投标人近三年内（202</w:t>
      </w:r>
      <w:r>
        <w:rPr>
          <w:rFonts w:hint="eastAsia" w:ascii="仿宋_GB2312" w:hAnsi="仿宋_GB2312" w:eastAsia="仿宋_GB2312" w:cs="仿宋_GB2312"/>
          <w:kern w:val="0"/>
          <w:sz w:val="32"/>
          <w:szCs w:val="32"/>
          <w:highlight w:val="none"/>
          <w:shd w:val="clear" w:color="auto" w:fill="FFFFFF"/>
          <w:lang w:val="en-US" w:eastAsia="zh-CN" w:bidi="ar"/>
        </w:rPr>
        <w:t>2</w:t>
      </w:r>
      <w:r>
        <w:rPr>
          <w:rFonts w:hint="eastAsia" w:ascii="仿宋_GB2312" w:hAnsi="仿宋_GB2312" w:eastAsia="仿宋_GB2312" w:cs="仿宋_GB2312"/>
          <w:kern w:val="0"/>
          <w:sz w:val="32"/>
          <w:szCs w:val="32"/>
          <w:highlight w:val="none"/>
          <w:shd w:val="clear" w:color="auto" w:fill="FFFFFF"/>
          <w:lang w:bidi="ar"/>
        </w:rPr>
        <w:t>年</w:t>
      </w:r>
      <w:r>
        <w:rPr>
          <w:rFonts w:hint="eastAsia" w:ascii="仿宋_GB2312" w:hAnsi="仿宋_GB2312" w:eastAsia="仿宋_GB2312" w:cs="仿宋_GB2312"/>
          <w:kern w:val="0"/>
          <w:sz w:val="32"/>
          <w:szCs w:val="32"/>
          <w:highlight w:val="none"/>
          <w:shd w:val="clear" w:color="auto" w:fill="FFFFFF"/>
          <w:lang w:val="en-US" w:eastAsia="zh-CN" w:bidi="ar"/>
        </w:rPr>
        <w:t>8</w:t>
      </w:r>
      <w:r>
        <w:rPr>
          <w:rFonts w:hint="eastAsia" w:ascii="仿宋_GB2312" w:hAnsi="仿宋_GB2312" w:eastAsia="仿宋_GB2312" w:cs="仿宋_GB2312"/>
          <w:kern w:val="0"/>
          <w:sz w:val="32"/>
          <w:szCs w:val="32"/>
          <w:highlight w:val="none"/>
          <w:shd w:val="clear" w:color="auto" w:fill="FFFFFF"/>
          <w:lang w:bidi="ar"/>
        </w:rPr>
        <w:t>月</w:t>
      </w:r>
      <w:r>
        <w:rPr>
          <w:rFonts w:hint="eastAsia" w:ascii="仿宋_GB2312" w:hAnsi="仿宋_GB2312" w:eastAsia="仿宋_GB2312" w:cs="仿宋_GB2312"/>
          <w:kern w:val="0"/>
          <w:sz w:val="32"/>
          <w:szCs w:val="32"/>
          <w:highlight w:val="none"/>
          <w:shd w:val="clear" w:color="auto" w:fill="FFFFFF"/>
          <w:lang w:val="en-US" w:eastAsia="zh-CN" w:bidi="ar"/>
        </w:rPr>
        <w:t>1</w:t>
      </w:r>
      <w:r>
        <w:rPr>
          <w:rFonts w:hint="eastAsia" w:ascii="仿宋_GB2312" w:hAnsi="仿宋_GB2312" w:eastAsia="仿宋_GB2312" w:cs="仿宋_GB2312"/>
          <w:kern w:val="0"/>
          <w:sz w:val="32"/>
          <w:szCs w:val="32"/>
          <w:highlight w:val="none"/>
          <w:shd w:val="clear" w:color="auto" w:fill="FFFFFF"/>
          <w:lang w:bidi="ar"/>
        </w:rPr>
        <w:t>日至202</w:t>
      </w:r>
      <w:r>
        <w:rPr>
          <w:rFonts w:hint="eastAsia" w:ascii="仿宋_GB2312" w:hAnsi="仿宋_GB2312" w:eastAsia="仿宋_GB2312" w:cs="仿宋_GB2312"/>
          <w:kern w:val="0"/>
          <w:sz w:val="32"/>
          <w:szCs w:val="32"/>
          <w:highlight w:val="none"/>
          <w:shd w:val="clear" w:color="auto" w:fill="FFFFFF"/>
          <w:lang w:val="en-US" w:eastAsia="zh-CN" w:bidi="ar"/>
        </w:rPr>
        <w:t>5</w:t>
      </w:r>
      <w:r>
        <w:rPr>
          <w:rFonts w:hint="eastAsia" w:ascii="仿宋_GB2312" w:hAnsi="仿宋_GB2312" w:eastAsia="仿宋_GB2312" w:cs="仿宋_GB2312"/>
          <w:kern w:val="0"/>
          <w:sz w:val="32"/>
          <w:szCs w:val="32"/>
          <w:highlight w:val="none"/>
          <w:shd w:val="clear" w:color="auto" w:fill="FFFFFF"/>
          <w:lang w:bidi="ar"/>
        </w:rPr>
        <w:t>年</w:t>
      </w:r>
      <w:r>
        <w:rPr>
          <w:rFonts w:hint="eastAsia" w:ascii="仿宋_GB2312" w:hAnsi="仿宋_GB2312" w:eastAsia="仿宋_GB2312" w:cs="仿宋_GB2312"/>
          <w:kern w:val="0"/>
          <w:sz w:val="32"/>
          <w:szCs w:val="32"/>
          <w:highlight w:val="none"/>
          <w:shd w:val="clear" w:color="auto" w:fill="FFFFFF"/>
          <w:lang w:val="en-US" w:eastAsia="zh-CN" w:bidi="ar"/>
        </w:rPr>
        <w:t>7</w:t>
      </w:r>
      <w:r>
        <w:rPr>
          <w:rFonts w:hint="eastAsia" w:ascii="仿宋_GB2312" w:hAnsi="仿宋_GB2312" w:eastAsia="仿宋_GB2312" w:cs="仿宋_GB2312"/>
          <w:kern w:val="0"/>
          <w:sz w:val="32"/>
          <w:szCs w:val="32"/>
          <w:highlight w:val="none"/>
          <w:shd w:val="clear" w:color="auto" w:fill="FFFFFF"/>
          <w:lang w:bidi="ar"/>
        </w:rPr>
        <w:t>月</w:t>
      </w:r>
      <w:r>
        <w:rPr>
          <w:rFonts w:hint="eastAsia" w:ascii="仿宋_GB2312" w:hAnsi="仿宋_GB2312" w:eastAsia="仿宋_GB2312" w:cs="仿宋_GB2312"/>
          <w:kern w:val="0"/>
          <w:sz w:val="32"/>
          <w:szCs w:val="32"/>
          <w:highlight w:val="none"/>
          <w:shd w:val="clear" w:color="auto" w:fill="FFFFFF"/>
          <w:lang w:val="en-US" w:eastAsia="zh-CN" w:bidi="ar"/>
        </w:rPr>
        <w:t>31</w:t>
      </w:r>
      <w:r>
        <w:rPr>
          <w:rFonts w:hint="eastAsia" w:ascii="仿宋_GB2312" w:hAnsi="仿宋_GB2312" w:eastAsia="仿宋_GB2312" w:cs="仿宋_GB2312"/>
          <w:kern w:val="0"/>
          <w:sz w:val="32"/>
          <w:szCs w:val="32"/>
          <w:highlight w:val="none"/>
          <w:shd w:val="clear" w:color="auto" w:fill="FFFFFF"/>
          <w:lang w:bidi="ar"/>
        </w:rPr>
        <w:t>日）没有重大违法记录、</w:t>
      </w:r>
      <w:r>
        <w:rPr>
          <w:rFonts w:hint="eastAsia" w:ascii="仿宋_GB2312" w:hAnsi="仿宋_GB2312" w:eastAsia="仿宋_GB2312" w:cs="仿宋_GB2312"/>
          <w:kern w:val="0"/>
          <w:sz w:val="32"/>
          <w:szCs w:val="32"/>
          <w:highlight w:val="none"/>
          <w:shd w:val="clear" w:color="auto" w:fill="FFFFFF"/>
          <w:lang w:val="en-US" w:eastAsia="zh-CN" w:bidi="ar"/>
        </w:rPr>
        <w:t>不存在骗取中标、严重违约等情况、</w:t>
      </w:r>
      <w:r>
        <w:rPr>
          <w:rFonts w:hint="eastAsia" w:ascii="仿宋_GB2312" w:hAnsi="仿宋_GB2312" w:eastAsia="仿宋_GB2312" w:cs="仿宋_GB2312"/>
          <w:kern w:val="0"/>
          <w:sz w:val="32"/>
          <w:szCs w:val="32"/>
          <w:highlight w:val="none"/>
          <w:shd w:val="clear" w:color="auto" w:fill="FFFFFF"/>
          <w:lang w:bidi="ar"/>
        </w:rPr>
        <w:t>有依法缴纳税收和社会保障资金的良好记录、服务团队成员为投标人员工并未受过行业处罚或涉及行业相关的法律诉讼事项（提供承诺函）；</w:t>
      </w:r>
    </w:p>
    <w:p w14:paraId="2E8DB0C0">
      <w:pPr>
        <w:widowControl/>
        <w:numPr>
          <w:ilvl w:val="0"/>
          <w:numId w:val="6"/>
        </w:numPr>
        <w:shd w:val="clear" w:color="auto" w:fill="FFFFFF"/>
        <w:spacing w:line="560" w:lineRule="exact"/>
        <w:ind w:firstLine="640" w:firstLineChars="200"/>
        <w:rPr>
          <w:highlight w:val="none"/>
        </w:rPr>
      </w:pPr>
      <w:r>
        <w:rPr>
          <w:rFonts w:hint="eastAsia" w:ascii="仿宋_GB2312" w:hAnsi="仿宋_GB2312" w:eastAsia="仿宋_GB2312" w:cs="仿宋_GB2312"/>
          <w:kern w:val="0"/>
          <w:sz w:val="32"/>
          <w:szCs w:val="32"/>
          <w:highlight w:val="none"/>
          <w:shd w:val="clear" w:color="auto" w:fill="FFFFFF"/>
          <w:lang w:val="en-US" w:eastAsia="zh-CN" w:bidi="ar"/>
        </w:rPr>
        <w:t>投标人须确保项目服务团队成员（包括项目负责人）与投标文件保持一致，且项目负责人驻场时间须超过15个工作日（提供承诺函）；</w:t>
      </w:r>
    </w:p>
    <w:p w14:paraId="00F9C780">
      <w:pPr>
        <w:widowControl/>
        <w:numPr>
          <w:ilvl w:val="0"/>
          <w:numId w:val="6"/>
        </w:numPr>
        <w:shd w:val="clear" w:color="auto" w:fill="FFFFFF"/>
        <w:spacing w:line="560" w:lineRule="exact"/>
        <w:ind w:firstLine="640" w:firstLineChars="200"/>
        <w:rPr>
          <w:highlight w:val="none"/>
        </w:rPr>
      </w:pPr>
      <w:r>
        <w:rPr>
          <w:rFonts w:hint="eastAsia" w:ascii="仿宋_GB2312" w:hAnsi="仿宋_GB2312" w:eastAsia="仿宋_GB2312" w:cs="仿宋_GB2312"/>
          <w:kern w:val="0"/>
          <w:sz w:val="32"/>
          <w:szCs w:val="32"/>
          <w:highlight w:val="none"/>
          <w:shd w:val="clear" w:color="auto" w:fill="FFFFFF"/>
          <w:lang w:bidi="ar"/>
        </w:rPr>
        <w:t>本次招标</w:t>
      </w:r>
      <w:r>
        <w:rPr>
          <w:rFonts w:hint="eastAsia" w:ascii="仿宋_GB2312" w:hAnsi="仿宋_GB2312" w:eastAsia="仿宋_GB2312" w:cs="仿宋_GB2312"/>
          <w:kern w:val="0"/>
          <w:sz w:val="32"/>
          <w:szCs w:val="32"/>
          <w:highlight w:val="none"/>
          <w:shd w:val="clear" w:color="auto" w:fill="FFFFFF"/>
          <w:lang w:val="en-US" w:eastAsia="zh-CN" w:bidi="ar"/>
        </w:rPr>
        <w:t>不</w:t>
      </w:r>
      <w:r>
        <w:rPr>
          <w:rFonts w:hint="eastAsia" w:ascii="仿宋_GB2312" w:hAnsi="仿宋_GB2312" w:eastAsia="仿宋_GB2312" w:cs="仿宋_GB2312"/>
          <w:kern w:val="0"/>
          <w:sz w:val="32"/>
          <w:szCs w:val="32"/>
          <w:highlight w:val="none"/>
          <w:shd w:val="clear" w:color="auto" w:fill="FFFFFF"/>
          <w:lang w:bidi="ar"/>
        </w:rPr>
        <w:t>接受联合体投标。</w:t>
      </w:r>
    </w:p>
    <w:p w14:paraId="26CB374F">
      <w:pPr>
        <w:widowControl/>
        <w:shd w:val="clear" w:color="auto" w:fill="FFFFFF"/>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四、投标文件内容及要求</w:t>
      </w:r>
    </w:p>
    <w:p w14:paraId="4F4FFF88">
      <w:pPr>
        <w:widowControl/>
        <w:shd w:val="clear" w:color="auto" w:fill="FFFFFF"/>
        <w:ind w:firstLine="640" w:firstLineChars="200"/>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（一）投标文件必须包括以下内容：</w:t>
      </w:r>
    </w:p>
    <w:p w14:paraId="2CBDD0FB">
      <w:pPr>
        <w:widowControl/>
        <w:numPr>
          <w:ilvl w:val="0"/>
          <w:numId w:val="7"/>
        </w:numPr>
        <w:shd w:val="clear" w:color="auto" w:fill="FFFFFF"/>
        <w:ind w:left="0" w:firstLine="640" w:firstLineChars="200"/>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投标书</w:t>
      </w:r>
      <w:r>
        <w:rPr>
          <w:rFonts w:hint="eastAsia" w:ascii="仿宋_GB2312" w:hAnsi="仿宋_GB2312" w:eastAsia="仿宋_GB2312" w:cs="仿宋_GB2312"/>
          <w:kern w:val="0"/>
          <w:sz w:val="32"/>
          <w:szCs w:val="32"/>
          <w:highlight w:val="none"/>
          <w:shd w:val="clear" w:color="auto" w:fill="FFFFFF"/>
          <w:lang w:eastAsia="zh-CN" w:bidi="ar"/>
        </w:rPr>
        <w:t>；</w:t>
      </w:r>
    </w:p>
    <w:p w14:paraId="7A3ADBBC">
      <w:pPr>
        <w:widowControl/>
        <w:numPr>
          <w:ilvl w:val="0"/>
          <w:numId w:val="7"/>
        </w:numPr>
        <w:shd w:val="clear" w:color="auto" w:fill="FFFFFF"/>
        <w:ind w:left="0" w:firstLine="640" w:firstLineChars="200"/>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报价表</w:t>
      </w:r>
      <w:r>
        <w:rPr>
          <w:rFonts w:hint="eastAsia" w:ascii="仿宋_GB2312" w:hAnsi="仿宋_GB2312" w:eastAsia="仿宋_GB2312" w:cs="仿宋_GB2312"/>
          <w:kern w:val="0"/>
          <w:sz w:val="32"/>
          <w:szCs w:val="32"/>
          <w:highlight w:val="none"/>
          <w:shd w:val="clear" w:color="auto" w:fill="FFFFFF"/>
          <w:lang w:eastAsia="zh-CN" w:bidi="ar"/>
        </w:rPr>
        <w:t>：投标报价为固定价格（含税），包括本项目所有服务及各种税费等全部费用，以人民币为结算单位（附件1.2）</w:t>
      </w:r>
      <w:r>
        <w:rPr>
          <w:rFonts w:hint="eastAsia" w:ascii="仿宋_GB2312" w:hAnsi="仿宋_GB2312" w:eastAsia="仿宋_GB2312" w:cs="仿宋_GB2312"/>
          <w:kern w:val="0"/>
          <w:sz w:val="32"/>
          <w:szCs w:val="32"/>
          <w:highlight w:val="none"/>
          <w:shd w:val="clear" w:color="auto" w:fill="FFFFFF"/>
          <w:lang w:bidi="ar"/>
        </w:rPr>
        <w:t>；</w:t>
      </w:r>
    </w:p>
    <w:p w14:paraId="67B8A5BD">
      <w:pPr>
        <w:widowControl/>
        <w:numPr>
          <w:ilvl w:val="0"/>
          <w:numId w:val="7"/>
        </w:numPr>
        <w:shd w:val="clear" w:color="auto" w:fill="FFFFFF"/>
        <w:ind w:left="0" w:firstLine="640" w:firstLineChars="200"/>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开标时间前10天内投标人未被列入信用中国网站(www.creditchina.gov.cn)“失信被执行人”、“重大税收违法案件当事人名单”的查询结果网页截图（加盖公章</w:t>
      </w:r>
      <w:r>
        <w:rPr>
          <w:rFonts w:hint="eastAsia" w:ascii="仿宋_GB2312" w:hAnsi="仿宋_GB2312" w:eastAsia="仿宋_GB2312" w:cs="仿宋_GB2312"/>
          <w:kern w:val="0"/>
          <w:sz w:val="32"/>
          <w:szCs w:val="32"/>
          <w:highlight w:val="none"/>
          <w:shd w:val="clear" w:color="auto" w:fill="FFFFFF"/>
          <w:lang w:eastAsia="zh-CN" w:bidi="ar"/>
        </w:rPr>
        <w:t>，</w:t>
      </w:r>
      <w:r>
        <w:rPr>
          <w:rFonts w:hint="eastAsia" w:ascii="仿宋_GB2312" w:hAnsi="仿宋_GB2312" w:eastAsia="仿宋_GB2312" w:cs="仿宋_GB2312"/>
          <w:kern w:val="0"/>
          <w:sz w:val="32"/>
          <w:szCs w:val="32"/>
          <w:highlight w:val="none"/>
          <w:shd w:val="clear" w:color="auto" w:fill="FFFFFF"/>
          <w:lang w:val="en-US" w:eastAsia="zh-CN" w:bidi="ar"/>
        </w:rPr>
        <w:t>截图须显示截图时间</w:t>
      </w:r>
      <w:r>
        <w:rPr>
          <w:rFonts w:hint="eastAsia" w:ascii="仿宋_GB2312" w:hAnsi="仿宋_GB2312" w:eastAsia="仿宋_GB2312" w:cs="仿宋_GB2312"/>
          <w:kern w:val="0"/>
          <w:sz w:val="32"/>
          <w:szCs w:val="32"/>
          <w:highlight w:val="none"/>
          <w:shd w:val="clear" w:color="auto" w:fill="FFFFFF"/>
          <w:lang w:bidi="ar"/>
        </w:rPr>
        <w:t>）和相关要求承诺函（附件1.7）；</w:t>
      </w:r>
    </w:p>
    <w:p w14:paraId="29FCD790">
      <w:pPr>
        <w:widowControl/>
        <w:numPr>
          <w:ilvl w:val="0"/>
          <w:numId w:val="7"/>
        </w:numPr>
        <w:shd w:val="clear" w:color="auto" w:fill="FFFFFF"/>
        <w:ind w:left="0" w:firstLine="640" w:firstLineChars="200"/>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法定代表人证明书，如有受托人的，则同时提供法定代表人证明书和法人授权委托证明书、受托人身份证明（身份证复印件）；</w:t>
      </w:r>
    </w:p>
    <w:p w14:paraId="244ED5B7">
      <w:pPr>
        <w:widowControl/>
        <w:numPr>
          <w:ilvl w:val="0"/>
          <w:numId w:val="7"/>
        </w:numPr>
        <w:shd w:val="clear" w:color="auto" w:fill="FFFFFF"/>
        <w:ind w:left="0" w:firstLine="640" w:firstLineChars="200"/>
        <w:rPr>
          <w:highlight w:val="none"/>
        </w:rPr>
      </w:pPr>
      <w:r>
        <w:rPr>
          <w:rFonts w:hint="eastAsia" w:ascii="仿宋_GB2312" w:hAnsi="仿宋_GB2312" w:eastAsia="仿宋_GB2312" w:cs="仿宋_GB2312"/>
          <w:kern w:val="0"/>
          <w:sz w:val="32"/>
          <w:szCs w:val="32"/>
          <w:highlight w:val="none"/>
          <w:shd w:val="clear" w:color="auto" w:fill="FFFFFF"/>
          <w:lang w:bidi="ar"/>
        </w:rPr>
        <w:t>有效的营业执照副本、组织机构代码证副本、税务登记证副本复印件或</w:t>
      </w:r>
      <w:r>
        <w:rPr>
          <w:rFonts w:hint="default" w:ascii="仿宋_GB2312" w:hAnsi="仿宋_GB2312" w:eastAsia="仿宋_GB2312" w:cs="仿宋_GB2312"/>
          <w:kern w:val="0"/>
          <w:sz w:val="32"/>
          <w:szCs w:val="32"/>
          <w:highlight w:val="none"/>
          <w:shd w:val="clear" w:color="auto" w:fill="FFFFFF"/>
          <w:lang w:val="en-US" w:bidi="ar"/>
        </w:rPr>
        <w:t>三</w:t>
      </w:r>
      <w:r>
        <w:rPr>
          <w:rFonts w:hint="eastAsia" w:ascii="仿宋_GB2312" w:hAnsi="仿宋_GB2312" w:eastAsia="仿宋_GB2312" w:cs="仿宋_GB2312"/>
          <w:kern w:val="0"/>
          <w:sz w:val="32"/>
          <w:szCs w:val="32"/>
          <w:highlight w:val="none"/>
          <w:shd w:val="clear" w:color="auto" w:fill="FFFFFF"/>
          <w:lang w:bidi="ar"/>
        </w:rPr>
        <w:t>证合一新证副本复印件（加盖公章）</w:t>
      </w:r>
      <w:r>
        <w:rPr>
          <w:rFonts w:hint="eastAsia" w:ascii="仿宋_GB2312" w:hAnsi="仿宋_GB2312" w:eastAsia="仿宋_GB2312" w:cs="仿宋_GB2312"/>
          <w:kern w:val="0"/>
          <w:sz w:val="32"/>
          <w:szCs w:val="32"/>
          <w:highlight w:val="none"/>
          <w:shd w:val="clear" w:color="auto" w:fill="FFFFFF"/>
          <w:lang w:eastAsia="zh-CN" w:bidi="ar"/>
        </w:rPr>
        <w:t>、相关资质证明文件（证明文件需加盖公章）</w:t>
      </w:r>
      <w:r>
        <w:rPr>
          <w:rFonts w:hint="eastAsia" w:ascii="仿宋_GB2312" w:hAnsi="仿宋_GB2312" w:eastAsia="仿宋_GB2312" w:cs="仿宋_GB2312"/>
          <w:kern w:val="0"/>
          <w:sz w:val="32"/>
          <w:szCs w:val="32"/>
          <w:highlight w:val="none"/>
          <w:shd w:val="clear" w:color="auto" w:fill="FFFFFF"/>
          <w:lang w:bidi="ar"/>
        </w:rPr>
        <w:t>；</w:t>
      </w:r>
    </w:p>
    <w:p w14:paraId="27313266">
      <w:pPr>
        <w:widowControl/>
        <w:numPr>
          <w:ilvl w:val="0"/>
          <w:numId w:val="7"/>
        </w:numPr>
        <w:shd w:val="clear" w:color="auto" w:fill="FFFFFF"/>
        <w:ind w:left="0" w:firstLine="640"/>
        <w:rPr>
          <w:highlight w:val="none"/>
        </w:rPr>
      </w:pPr>
      <w:r>
        <w:rPr>
          <w:rFonts w:hint="eastAsia" w:ascii="仿宋_GB2312" w:hAnsi="仿宋_GB2312" w:eastAsia="仿宋_GB2312" w:cs="仿宋_GB2312"/>
          <w:kern w:val="0"/>
          <w:sz w:val="32"/>
          <w:szCs w:val="32"/>
          <w:highlight w:val="none"/>
          <w:shd w:val="clear" w:color="auto" w:fill="FFFFFF"/>
          <w:lang w:bidi="ar"/>
        </w:rPr>
        <w:t>投标人过往</w:t>
      </w:r>
      <w:r>
        <w:rPr>
          <w:rFonts w:hint="eastAsia" w:ascii="仿宋_GB2312" w:hAnsi="仿宋_GB2312" w:eastAsia="仿宋_GB2312" w:cs="仿宋_GB2312"/>
          <w:kern w:val="0"/>
          <w:sz w:val="32"/>
          <w:szCs w:val="32"/>
          <w:highlight w:val="none"/>
          <w:shd w:val="clear" w:color="auto" w:fill="FFFFFF"/>
          <w:lang w:val="en-US" w:eastAsia="zh-CN" w:bidi="ar"/>
        </w:rPr>
        <w:t>类似项目</w:t>
      </w:r>
      <w:r>
        <w:rPr>
          <w:rFonts w:hint="eastAsia" w:ascii="仿宋_GB2312" w:hAnsi="仿宋_GB2312" w:eastAsia="仿宋_GB2312" w:cs="仿宋_GB2312"/>
          <w:kern w:val="0"/>
          <w:sz w:val="32"/>
          <w:szCs w:val="32"/>
          <w:highlight w:val="none"/>
          <w:shd w:val="clear" w:color="auto" w:fill="FFFFFF"/>
          <w:lang w:bidi="ar"/>
        </w:rPr>
        <w:t>服务经验</w:t>
      </w:r>
      <w:r>
        <w:rPr>
          <w:rFonts w:hint="eastAsia" w:ascii="仿宋_GB2312" w:hAnsi="仿宋_GB2312" w:eastAsia="仿宋_GB2312" w:cs="仿宋_GB2312"/>
          <w:kern w:val="0"/>
          <w:sz w:val="32"/>
          <w:szCs w:val="32"/>
          <w:highlight w:val="none"/>
          <w:shd w:val="clear" w:color="auto" w:fill="FFFFFF"/>
          <w:lang w:val="en-US" w:eastAsia="zh-CN" w:bidi="ar"/>
        </w:rPr>
        <w:t>证明</w:t>
      </w:r>
      <w:r>
        <w:rPr>
          <w:rFonts w:hint="eastAsia" w:ascii="仿宋_GB2312" w:hAnsi="仿宋_GB2312" w:eastAsia="仿宋_GB2312" w:cs="仿宋_GB2312"/>
          <w:kern w:val="0"/>
          <w:sz w:val="32"/>
          <w:szCs w:val="32"/>
          <w:highlight w:val="none"/>
          <w:shd w:val="clear" w:color="auto" w:fill="FFFFFF"/>
          <w:lang w:bidi="ar"/>
        </w:rPr>
        <w:t>，包括承接过</w:t>
      </w:r>
      <w:r>
        <w:rPr>
          <w:rFonts w:hint="eastAsia" w:ascii="仿宋_GB2312" w:hAnsi="仿宋_GB2312" w:eastAsia="仿宋_GB2312" w:cs="仿宋_GB2312"/>
          <w:kern w:val="0"/>
          <w:sz w:val="32"/>
          <w:szCs w:val="32"/>
          <w:highlight w:val="none"/>
          <w:shd w:val="clear" w:color="auto" w:fill="FFFFFF"/>
          <w:lang w:val="en-US" w:eastAsia="zh-CN" w:bidi="ar"/>
        </w:rPr>
        <w:t>战略</w:t>
      </w:r>
      <w:r>
        <w:rPr>
          <w:rFonts w:hint="eastAsia" w:ascii="仿宋_GB2312" w:hAnsi="仿宋_GB2312" w:eastAsia="仿宋_GB2312" w:cs="仿宋_GB2312"/>
          <w:kern w:val="0"/>
          <w:sz w:val="32"/>
          <w:szCs w:val="32"/>
          <w:highlight w:val="none"/>
          <w:shd w:val="clear" w:color="auto" w:fill="FFFFFF"/>
          <w:lang w:bidi="ar"/>
        </w:rPr>
        <w:t>咨询服务</w:t>
      </w:r>
      <w:r>
        <w:rPr>
          <w:rFonts w:hint="eastAsia" w:ascii="仿宋_GB2312" w:hAnsi="仿宋_GB2312" w:eastAsia="仿宋_GB2312" w:cs="仿宋_GB2312"/>
          <w:kern w:val="0"/>
          <w:sz w:val="32"/>
          <w:szCs w:val="32"/>
          <w:highlight w:val="none"/>
          <w:shd w:val="clear" w:color="auto" w:fill="FFFFFF"/>
          <w:lang w:val="en-US" w:eastAsia="zh-CN" w:bidi="ar"/>
        </w:rPr>
        <w:t>或组织管控、人力资源等管理咨询</w:t>
      </w:r>
      <w:r>
        <w:rPr>
          <w:rFonts w:hint="eastAsia" w:ascii="仿宋_GB2312" w:hAnsi="仿宋_GB2312" w:eastAsia="仿宋_GB2312" w:cs="仿宋_GB2312"/>
          <w:kern w:val="0"/>
          <w:sz w:val="32"/>
          <w:szCs w:val="32"/>
          <w:highlight w:val="none"/>
          <w:shd w:val="clear" w:color="auto" w:fill="FFFFFF"/>
          <w:lang w:bidi="ar"/>
        </w:rPr>
        <w:t>项目的合同及相关文件（按综合能力评分标准编制，加盖公章）；</w:t>
      </w:r>
    </w:p>
    <w:p w14:paraId="0471FBD2">
      <w:pPr>
        <w:widowControl/>
        <w:numPr>
          <w:ilvl w:val="0"/>
          <w:numId w:val="7"/>
        </w:numPr>
        <w:shd w:val="clear" w:color="auto" w:fill="FFFFFF"/>
        <w:ind w:left="0" w:firstLine="640" w:firstLineChars="200"/>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服务团队成员（包括项目负责人）名单（按综合能力评分标准编制，需加盖公章）；</w:t>
      </w:r>
    </w:p>
    <w:p w14:paraId="7D304E06">
      <w:pPr>
        <w:numPr>
          <w:ilvl w:val="0"/>
          <w:numId w:val="7"/>
        </w:numPr>
        <w:ind w:left="0" w:firstLine="640" w:firstLineChars="200"/>
        <w:rPr>
          <w:rFonts w:ascii="仿宋_GB2312" w:eastAsia="仿宋_GB2312"/>
          <w:sz w:val="32"/>
          <w:szCs w:val="28"/>
          <w:highlight w:val="none"/>
          <w:lang w:bidi="ar"/>
        </w:rPr>
      </w:pPr>
      <w:r>
        <w:rPr>
          <w:rFonts w:hint="eastAsia" w:ascii="仿宋_GB2312" w:hAnsi="仿宋_GB2312" w:eastAsia="仿宋_GB2312" w:cs="仿宋_GB2312"/>
          <w:kern w:val="0"/>
          <w:sz w:val="32"/>
          <w:szCs w:val="32"/>
          <w:highlight w:val="none"/>
          <w:shd w:val="clear" w:color="auto" w:fill="FFFFFF"/>
          <w:lang w:val="en-US" w:eastAsia="zh-CN" w:bidi="ar"/>
        </w:rPr>
        <w:t>投标人确保项目服务团队成员（包括项目负责人）与投标文件保持一致，且项目负责人驻场时间超过15个工作日的承诺函（内容及格式自拟）；</w:t>
      </w:r>
    </w:p>
    <w:p w14:paraId="28B188B9">
      <w:pPr>
        <w:numPr>
          <w:ilvl w:val="0"/>
          <w:numId w:val="7"/>
        </w:numPr>
        <w:ind w:left="0" w:firstLine="640" w:firstLineChars="200"/>
        <w:rPr>
          <w:rFonts w:ascii="仿宋_GB2312" w:eastAsia="仿宋_GB2312"/>
          <w:sz w:val="32"/>
          <w:szCs w:val="28"/>
          <w:highlight w:val="none"/>
          <w:lang w:bidi="ar"/>
        </w:rPr>
      </w:pPr>
      <w:r>
        <w:rPr>
          <w:rFonts w:hint="eastAsia" w:ascii="仿宋_GB2312" w:eastAsia="仿宋_GB2312"/>
          <w:sz w:val="32"/>
          <w:szCs w:val="28"/>
          <w:highlight w:val="none"/>
          <w:lang w:val="en-US" w:eastAsia="zh-CN" w:bidi="ar"/>
        </w:rPr>
        <w:t>技术方案：</w:t>
      </w:r>
    </w:p>
    <w:p w14:paraId="285AAF64">
      <w:pPr>
        <w:numPr>
          <w:ilvl w:val="0"/>
          <w:numId w:val="8"/>
        </w:numPr>
        <w:ind w:left="0" w:leftChars="0" w:firstLine="640" w:firstLineChars="200"/>
        <w:rPr>
          <w:rFonts w:ascii="仿宋_GB2312" w:eastAsia="仿宋_GB2312"/>
          <w:sz w:val="32"/>
          <w:szCs w:val="28"/>
          <w:highlight w:val="none"/>
          <w:lang w:bidi="ar"/>
        </w:rPr>
      </w:pPr>
      <w:r>
        <w:rPr>
          <w:rFonts w:hint="eastAsia" w:ascii="仿宋_GB2312" w:eastAsia="仿宋_GB2312"/>
          <w:sz w:val="32"/>
          <w:szCs w:val="28"/>
          <w:highlight w:val="none"/>
          <w:lang w:val="en-US" w:eastAsia="zh-CN" w:bidi="ar"/>
        </w:rPr>
        <w:t>发展诊断分析：深入了解招标人的实际发展情况，包括但不限于从以下方面科学诊断并分析招标人“十四五”期间发展的成绩和存在的问题：发展目标实现情况、业务布局情况、重点项目情况、管理体系建设情况、人力资源建设情况（加盖公章）；</w:t>
      </w:r>
    </w:p>
    <w:p w14:paraId="76CF1141">
      <w:pPr>
        <w:numPr>
          <w:ilvl w:val="0"/>
          <w:numId w:val="8"/>
        </w:numPr>
        <w:ind w:left="0" w:leftChars="0" w:firstLine="640" w:firstLineChars="200"/>
        <w:rPr>
          <w:rFonts w:ascii="仿宋_GB2312" w:eastAsia="仿宋_GB2312"/>
          <w:sz w:val="32"/>
          <w:szCs w:val="28"/>
          <w:highlight w:val="none"/>
          <w:lang w:bidi="ar"/>
        </w:rPr>
      </w:pPr>
      <w:r>
        <w:rPr>
          <w:rFonts w:hint="eastAsia" w:ascii="仿宋_GB2312" w:eastAsia="仿宋_GB2312"/>
          <w:sz w:val="32"/>
          <w:szCs w:val="28"/>
          <w:highlight w:val="none"/>
          <w:lang w:val="en-US" w:eastAsia="zh-CN" w:bidi="ar"/>
        </w:rPr>
        <w:t>外部环境分析：深刻理解招标人编制“十五五”规划的发展背景，分析招标人发展面临的宏观环境、行业环境和区域环境变化带来的机遇和挑战。宏观环境包括经济范式变化、人口结构变化、消费升级、科技创新、政策导向、国企改革等；行业环境包括招标人涉及的文旅消费、数字经济等行业发展形势等；区域环境包括南沙区近年来发展形势等（加盖公章）。</w:t>
      </w:r>
    </w:p>
    <w:p w14:paraId="06EBE72C">
      <w:pPr>
        <w:numPr>
          <w:ilvl w:val="0"/>
          <w:numId w:val="8"/>
        </w:numPr>
        <w:ind w:left="0" w:leftChars="0" w:firstLine="640" w:firstLineChars="200"/>
        <w:rPr>
          <w:rFonts w:ascii="仿宋_GB2312" w:eastAsia="仿宋_GB2312"/>
          <w:sz w:val="32"/>
          <w:szCs w:val="28"/>
          <w:highlight w:val="none"/>
          <w:lang w:bidi="ar"/>
        </w:rPr>
      </w:pPr>
      <w:r>
        <w:rPr>
          <w:rFonts w:hint="eastAsia" w:ascii="仿宋_GB2312" w:eastAsia="仿宋_GB2312"/>
          <w:sz w:val="32"/>
          <w:szCs w:val="28"/>
          <w:highlight w:val="none"/>
          <w:lang w:bidi="ar"/>
        </w:rPr>
        <w:t>规划编制思路</w:t>
      </w:r>
      <w:r>
        <w:rPr>
          <w:rFonts w:hint="eastAsia" w:ascii="仿宋_GB2312" w:eastAsia="仿宋_GB2312"/>
          <w:sz w:val="32"/>
          <w:szCs w:val="28"/>
          <w:highlight w:val="none"/>
          <w:lang w:eastAsia="zh-CN" w:bidi="ar"/>
        </w:rPr>
        <w:t>：基于对</w:t>
      </w:r>
      <w:r>
        <w:rPr>
          <w:rFonts w:hint="eastAsia" w:ascii="仿宋_GB2312" w:eastAsia="仿宋_GB2312"/>
          <w:sz w:val="32"/>
          <w:szCs w:val="28"/>
          <w:highlight w:val="none"/>
          <w:lang w:val="en-US" w:eastAsia="zh-CN" w:bidi="ar"/>
        </w:rPr>
        <w:t>招标</w:t>
      </w:r>
      <w:r>
        <w:rPr>
          <w:rFonts w:hint="eastAsia" w:ascii="仿宋_GB2312" w:eastAsia="仿宋_GB2312"/>
          <w:sz w:val="32"/>
          <w:szCs w:val="28"/>
          <w:highlight w:val="none"/>
          <w:lang w:eastAsia="zh-CN" w:bidi="ar"/>
        </w:rPr>
        <w:t>人内外部发展环境的理解，针对</w:t>
      </w:r>
      <w:r>
        <w:rPr>
          <w:rFonts w:hint="eastAsia" w:ascii="仿宋_GB2312" w:eastAsia="仿宋_GB2312"/>
          <w:sz w:val="32"/>
          <w:szCs w:val="28"/>
          <w:highlight w:val="none"/>
          <w:lang w:val="en-US" w:eastAsia="zh-CN" w:bidi="ar"/>
        </w:rPr>
        <w:t>招标</w:t>
      </w:r>
      <w:r>
        <w:rPr>
          <w:rFonts w:hint="eastAsia" w:ascii="仿宋_GB2312" w:eastAsia="仿宋_GB2312"/>
          <w:sz w:val="32"/>
          <w:szCs w:val="28"/>
          <w:highlight w:val="none"/>
          <w:lang w:eastAsia="zh-CN" w:bidi="ar"/>
        </w:rPr>
        <w:t>人的规划编制需要，提出有针对性、有创新性的规划思路，主要包括顶层设计与总体战略蓝图、业务布局与业务发展思路、组织管控与集团管理、战略落地保障措施、人力资源体系系统提升</w:t>
      </w:r>
      <w:r>
        <w:rPr>
          <w:rFonts w:hint="eastAsia" w:ascii="仿宋_GB2312" w:eastAsia="仿宋_GB2312"/>
          <w:sz w:val="32"/>
          <w:szCs w:val="28"/>
          <w:highlight w:val="none"/>
          <w:lang w:val="en-US" w:eastAsia="zh-CN" w:bidi="ar"/>
        </w:rPr>
        <w:t>等（加盖公章）。</w:t>
      </w:r>
    </w:p>
    <w:p w14:paraId="56E05444">
      <w:pPr>
        <w:numPr>
          <w:ilvl w:val="0"/>
          <w:numId w:val="8"/>
        </w:numPr>
        <w:ind w:left="0" w:leftChars="0" w:firstLine="640" w:firstLineChars="200"/>
        <w:rPr>
          <w:rFonts w:ascii="仿宋_GB2312" w:eastAsia="仿宋_GB2312"/>
          <w:sz w:val="32"/>
          <w:szCs w:val="28"/>
          <w:highlight w:val="none"/>
          <w:lang w:bidi="ar"/>
        </w:rPr>
      </w:pPr>
      <w:r>
        <w:rPr>
          <w:rFonts w:hint="eastAsia" w:ascii="仿宋_GB2312" w:eastAsia="仿宋_GB2312"/>
          <w:sz w:val="32"/>
          <w:szCs w:val="28"/>
          <w:highlight w:val="none"/>
          <w:lang w:bidi="ar"/>
        </w:rPr>
        <w:t>服务方案</w:t>
      </w:r>
      <w:r>
        <w:rPr>
          <w:rFonts w:hint="eastAsia" w:ascii="仿宋_GB2312" w:eastAsia="仿宋_GB2312"/>
          <w:sz w:val="32"/>
          <w:szCs w:val="28"/>
          <w:highlight w:val="none"/>
          <w:lang w:eastAsia="zh-CN" w:bidi="ar"/>
        </w:rPr>
        <w:t>：基于</w:t>
      </w:r>
      <w:r>
        <w:rPr>
          <w:rFonts w:hint="eastAsia" w:ascii="仿宋_GB2312" w:eastAsia="仿宋_GB2312"/>
          <w:sz w:val="32"/>
          <w:szCs w:val="28"/>
          <w:highlight w:val="none"/>
          <w:lang w:val="en-US" w:eastAsia="zh-CN" w:bidi="ar"/>
        </w:rPr>
        <w:t>招标</w:t>
      </w:r>
      <w:r>
        <w:rPr>
          <w:rFonts w:hint="eastAsia" w:ascii="仿宋_GB2312" w:eastAsia="仿宋_GB2312"/>
          <w:sz w:val="32"/>
          <w:szCs w:val="28"/>
          <w:highlight w:val="none"/>
          <w:lang w:eastAsia="zh-CN" w:bidi="ar"/>
        </w:rPr>
        <w:t>人服务需求和投标人提出的规划编制思路，提出有针对性、有创新性、有可操作性的规划服务方案</w:t>
      </w:r>
      <w:r>
        <w:rPr>
          <w:rFonts w:hint="eastAsia" w:ascii="仿宋_GB2312" w:eastAsia="仿宋_GB2312"/>
          <w:sz w:val="32"/>
          <w:szCs w:val="28"/>
          <w:highlight w:val="none"/>
          <w:lang w:val="en-US" w:eastAsia="zh-CN" w:bidi="ar"/>
        </w:rPr>
        <w:t>（加盖公章）</w:t>
      </w:r>
      <w:r>
        <w:rPr>
          <w:rFonts w:hint="eastAsia" w:ascii="仿宋_GB2312" w:eastAsia="仿宋_GB2312"/>
          <w:sz w:val="32"/>
          <w:szCs w:val="28"/>
          <w:highlight w:val="none"/>
          <w:lang w:eastAsia="zh-CN" w:bidi="ar"/>
        </w:rPr>
        <w:t>。</w:t>
      </w:r>
    </w:p>
    <w:p w14:paraId="58F7E969">
      <w:pPr>
        <w:numPr>
          <w:ilvl w:val="0"/>
          <w:numId w:val="8"/>
        </w:numPr>
        <w:ind w:left="0" w:leftChars="0" w:firstLine="640" w:firstLineChars="200"/>
        <w:rPr>
          <w:rFonts w:ascii="仿宋_GB2312" w:eastAsia="仿宋_GB2312"/>
          <w:sz w:val="32"/>
          <w:szCs w:val="28"/>
          <w:highlight w:val="none"/>
          <w:lang w:bidi="ar"/>
        </w:rPr>
      </w:pPr>
      <w:r>
        <w:rPr>
          <w:rFonts w:hint="eastAsia" w:ascii="仿宋_GB2312" w:eastAsia="仿宋_GB2312"/>
          <w:sz w:val="32"/>
          <w:szCs w:val="28"/>
          <w:highlight w:val="none"/>
          <w:lang w:bidi="ar"/>
        </w:rPr>
        <w:t>服务质量控制</w:t>
      </w:r>
      <w:r>
        <w:rPr>
          <w:rFonts w:hint="eastAsia" w:ascii="仿宋_GB2312" w:eastAsia="仿宋_GB2312"/>
          <w:sz w:val="32"/>
          <w:szCs w:val="28"/>
          <w:highlight w:val="none"/>
          <w:lang w:val="en-US" w:eastAsia="zh-CN" w:bidi="ar"/>
        </w:rPr>
        <w:t>及进度保障措施</w:t>
      </w:r>
      <w:r>
        <w:rPr>
          <w:rFonts w:hint="eastAsia" w:ascii="仿宋_GB2312" w:eastAsia="仿宋_GB2312"/>
          <w:sz w:val="32"/>
          <w:szCs w:val="28"/>
          <w:highlight w:val="none"/>
          <w:lang w:eastAsia="zh-CN" w:bidi="ar"/>
        </w:rPr>
        <w:t>：</w:t>
      </w:r>
      <w:r>
        <w:rPr>
          <w:rFonts w:hint="eastAsia" w:ascii="仿宋_GB2312" w:eastAsia="仿宋_GB2312"/>
          <w:sz w:val="32"/>
          <w:szCs w:val="28"/>
          <w:highlight w:val="none"/>
          <w:lang w:val="en-US" w:eastAsia="zh-CN" w:bidi="ar"/>
        </w:rPr>
        <w:t>包括项目各环节质量要求、阶段性审核机制、工作任务安排、关键节点计划等内容（加盖公章）。</w:t>
      </w:r>
    </w:p>
    <w:p w14:paraId="5B2AFB54">
      <w:pPr>
        <w:widowControl/>
        <w:shd w:val="clear" w:color="auto" w:fill="FFFFFF"/>
        <w:ind w:firstLine="640" w:firstLineChars="200"/>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（二）投标文件应符合以下要求：</w:t>
      </w:r>
    </w:p>
    <w:p w14:paraId="1F86394E">
      <w:pPr>
        <w:widowControl/>
        <w:numPr>
          <w:ilvl w:val="0"/>
          <w:numId w:val="9"/>
        </w:numPr>
        <w:shd w:val="clear" w:color="auto" w:fill="FFFFFF"/>
        <w:ind w:left="0" w:firstLine="640" w:firstLineChars="200"/>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投标文件纸质文件一式叁份，其中一份为正本并标记，两份为副本；电子文件为投标文件（首页盖章）的扫描件一份（U盘）。当正本与副本有不一致时，以正本为准。正本与副本应分别装订成册，在封面上标记“正本”、“副本”，封套上包含以下图示内容，并且加贴封条和加盖公章。</w:t>
      </w:r>
    </w:p>
    <w:tbl>
      <w:tblPr>
        <w:tblStyle w:val="18"/>
        <w:tblpPr w:leftFromText="180" w:rightFromText="180" w:vertAnchor="text" w:horzAnchor="page" w:tblpX="2237" w:tblpY="316"/>
        <w:tblOverlap w:val="never"/>
        <w:tblW w:w="8258" w:type="dxa"/>
        <w:tblInd w:w="0" w:type="dxa"/>
        <w:shd w:val="clear" w:color="auto" w:fill="E6E6E6"/>
        <w:tblLayout w:type="fixed"/>
        <w:tblCellMar>
          <w:top w:w="0" w:type="dxa"/>
          <w:left w:w="108" w:type="dxa"/>
          <w:bottom w:w="0" w:type="dxa"/>
          <w:right w:w="108" w:type="dxa"/>
        </w:tblCellMar>
      </w:tblPr>
      <w:tblGrid>
        <w:gridCol w:w="8258"/>
      </w:tblGrid>
      <w:tr w14:paraId="05AC2379">
        <w:tblPrEx>
          <w:shd w:val="clear" w:color="auto" w:fill="E6E6E6"/>
          <w:tblCellMar>
            <w:top w:w="0" w:type="dxa"/>
            <w:left w:w="108" w:type="dxa"/>
            <w:bottom w:w="0" w:type="dxa"/>
            <w:right w:w="108" w:type="dxa"/>
          </w:tblCellMar>
        </w:tblPrEx>
        <w:trPr>
          <w:trHeight w:val="3328" w:hRule="atLeast"/>
        </w:trPr>
        <w:tc>
          <w:tcPr>
            <w:tcW w:w="8258" w:type="dxa"/>
            <w:shd w:val="clear" w:color="auto" w:fill="E6E6E6"/>
          </w:tcPr>
          <w:p w14:paraId="3B2A7A6D">
            <w:pPr>
              <w:spacing w:line="560" w:lineRule="exact"/>
              <w:ind w:firstLine="420" w:firstLineChars="200"/>
              <w:rPr>
                <w:color w:val="000000"/>
                <w:highlight w:val="none"/>
              </w:rPr>
            </w:pPr>
            <w:r>
              <w:rPr>
                <w:color w:val="000000"/>
                <w:highlight w:val="none"/>
              </w:rPr>
              <w:t>收件人：</w:t>
            </w:r>
            <w:r>
              <w:rPr>
                <w:rFonts w:hint="eastAsia"/>
                <w:color w:val="000000"/>
                <w:highlight w:val="none"/>
                <w:lang w:val="en-US" w:eastAsia="zh-CN"/>
              </w:rPr>
              <w:t>广州南沙资产经营集团有限公司</w:t>
            </w:r>
          </w:p>
          <w:p w14:paraId="0F8A2346">
            <w:pPr>
              <w:spacing w:line="560" w:lineRule="exact"/>
              <w:ind w:firstLine="420" w:firstLineChars="200"/>
              <w:rPr>
                <w:rFonts w:hint="eastAsia" w:eastAsia="宋体"/>
                <w:color w:val="000000"/>
                <w:highlight w:val="none"/>
                <w:lang w:eastAsia="zh-CN"/>
              </w:rPr>
            </w:pPr>
            <w:r>
              <w:rPr>
                <w:color w:val="000000"/>
                <w:highlight w:val="none"/>
              </w:rPr>
              <w:t>项目名称：</w:t>
            </w:r>
            <w:r>
              <w:rPr>
                <w:rFonts w:hint="eastAsia"/>
                <w:color w:val="000000"/>
                <w:highlight w:val="none"/>
              </w:rPr>
              <w:t>南沙资产经营集团战略规划及综合管理</w:t>
            </w:r>
            <w:r>
              <w:rPr>
                <w:rFonts w:hint="eastAsia"/>
                <w:color w:val="000000"/>
                <w:highlight w:val="none"/>
                <w:lang w:eastAsia="zh-CN"/>
              </w:rPr>
              <w:t>咨询服务项目（</w:t>
            </w:r>
            <w:r>
              <w:rPr>
                <w:rFonts w:hint="eastAsia"/>
                <w:color w:val="000000"/>
                <w:highlight w:val="none"/>
                <w:lang w:val="en-US" w:eastAsia="zh-CN"/>
              </w:rPr>
              <w:t>第二次</w:t>
            </w:r>
            <w:r>
              <w:rPr>
                <w:rFonts w:hint="eastAsia"/>
                <w:color w:val="000000"/>
                <w:highlight w:val="none"/>
                <w:lang w:eastAsia="zh-CN"/>
              </w:rPr>
              <w:t>）</w:t>
            </w:r>
          </w:p>
          <w:p w14:paraId="078F741E">
            <w:pPr>
              <w:spacing w:line="560" w:lineRule="exact"/>
              <w:ind w:firstLine="420" w:firstLineChars="200"/>
              <w:rPr>
                <w:color w:val="000000"/>
                <w:highlight w:val="none"/>
              </w:rPr>
            </w:pPr>
            <w:r>
              <w:rPr>
                <w:color w:val="000000"/>
                <w:highlight w:val="none"/>
              </w:rPr>
              <w:t>投标人名称：</w:t>
            </w:r>
          </w:p>
          <w:p w14:paraId="73919ED5">
            <w:pPr>
              <w:spacing w:line="560" w:lineRule="exact"/>
              <w:ind w:firstLine="420" w:firstLineChars="200"/>
              <w:rPr>
                <w:color w:val="000000"/>
                <w:highlight w:val="none"/>
              </w:rPr>
            </w:pPr>
            <w:r>
              <w:rPr>
                <w:color w:val="000000"/>
                <w:highlight w:val="none"/>
              </w:rPr>
              <w:t>投标人地址、联系人、电话</w:t>
            </w:r>
            <w:r>
              <w:rPr>
                <w:rFonts w:hint="eastAsia"/>
                <w:color w:val="000000"/>
                <w:highlight w:val="none"/>
              </w:rPr>
              <w:t>：</w:t>
            </w:r>
          </w:p>
          <w:p w14:paraId="23F6A9B3">
            <w:pPr>
              <w:pStyle w:val="3"/>
              <w:spacing w:line="560" w:lineRule="exact"/>
              <w:ind w:firstLine="602" w:firstLineChars="200"/>
              <w:rPr>
                <w:color w:val="000000"/>
                <w:highlight w:val="none"/>
              </w:rPr>
            </w:pPr>
            <w:r>
              <w:rPr>
                <w:rFonts w:hint="eastAsia" w:ascii="宋体" w:hAnsi="宋体" w:cs="宋体"/>
                <w:color w:val="000000"/>
                <w:sz w:val="30"/>
                <w:szCs w:val="30"/>
                <w:highlight w:val="none"/>
              </w:rPr>
              <w:t>在202</w:t>
            </w:r>
            <w:r>
              <w:rPr>
                <w:rFonts w:hint="eastAsia" w:ascii="宋体" w:hAnsi="宋体" w:cs="宋体"/>
                <w:color w:val="000000"/>
                <w:sz w:val="30"/>
                <w:szCs w:val="30"/>
                <w:highlight w:val="none"/>
                <w:lang w:val="en-US" w:eastAsia="zh-CN"/>
              </w:rPr>
              <w:t>5</w:t>
            </w:r>
            <w:r>
              <w:rPr>
                <w:rFonts w:hint="eastAsia" w:ascii="宋体" w:hAnsi="宋体" w:cs="宋体"/>
                <w:color w:val="000000"/>
                <w:sz w:val="30"/>
                <w:szCs w:val="30"/>
                <w:highlight w:val="none"/>
              </w:rPr>
              <w:t>年</w:t>
            </w:r>
            <w:r>
              <w:rPr>
                <w:rFonts w:hint="eastAsia" w:ascii="宋体" w:hAnsi="宋体" w:cs="宋体"/>
                <w:color w:val="000000"/>
                <w:sz w:val="30"/>
                <w:szCs w:val="30"/>
                <w:highlight w:val="none"/>
                <w:lang w:val="en-US" w:eastAsia="zh-CN"/>
              </w:rPr>
              <w:t>8</w:t>
            </w:r>
            <w:r>
              <w:rPr>
                <w:rFonts w:hint="eastAsia" w:ascii="宋体" w:hAnsi="宋体" w:cs="宋体"/>
                <w:color w:val="000000"/>
                <w:sz w:val="30"/>
                <w:szCs w:val="30"/>
                <w:highlight w:val="none"/>
              </w:rPr>
              <w:t>月</w:t>
            </w:r>
            <w:r>
              <w:rPr>
                <w:rFonts w:hint="eastAsia" w:ascii="宋体" w:hAnsi="宋体" w:cs="宋体"/>
                <w:color w:val="000000"/>
                <w:sz w:val="30"/>
                <w:szCs w:val="30"/>
                <w:highlight w:val="none"/>
                <w:lang w:val="en-US" w:eastAsia="zh-CN"/>
              </w:rPr>
              <w:t>7</w:t>
            </w:r>
            <w:r>
              <w:rPr>
                <w:rFonts w:hint="eastAsia" w:ascii="宋体" w:hAnsi="宋体" w:cs="宋体"/>
                <w:color w:val="000000"/>
                <w:sz w:val="30"/>
                <w:szCs w:val="30"/>
                <w:highlight w:val="none"/>
              </w:rPr>
              <w:t>日</w:t>
            </w:r>
            <w:r>
              <w:rPr>
                <w:rFonts w:hint="eastAsia" w:ascii="宋体" w:hAnsi="宋体" w:cs="宋体"/>
                <w:color w:val="000000"/>
                <w:sz w:val="30"/>
                <w:szCs w:val="30"/>
                <w:highlight w:val="none"/>
                <w:lang w:val="en-US" w:eastAsia="zh-CN"/>
              </w:rPr>
              <w:t>上午10</w:t>
            </w:r>
            <w:r>
              <w:rPr>
                <w:rFonts w:hint="eastAsia" w:ascii="宋体" w:hAnsi="宋体" w:cs="宋体"/>
                <w:color w:val="000000"/>
                <w:sz w:val="30"/>
                <w:szCs w:val="30"/>
                <w:highlight w:val="none"/>
              </w:rPr>
              <w:t>：</w:t>
            </w:r>
            <w:r>
              <w:rPr>
                <w:rFonts w:hint="eastAsia" w:ascii="宋体" w:hAnsi="宋体" w:cs="宋体"/>
                <w:color w:val="000000"/>
                <w:sz w:val="30"/>
                <w:szCs w:val="30"/>
                <w:highlight w:val="none"/>
                <w:lang w:val="en-US" w:eastAsia="zh-CN"/>
              </w:rPr>
              <w:t>00</w:t>
            </w:r>
            <w:r>
              <w:rPr>
                <w:rFonts w:hint="eastAsia" w:ascii="宋体" w:hAnsi="宋体" w:cs="宋体"/>
                <w:color w:val="000000"/>
                <w:sz w:val="30"/>
                <w:szCs w:val="30"/>
                <w:highlight w:val="none"/>
              </w:rPr>
              <w:t>分前不得启封</w:t>
            </w:r>
          </w:p>
        </w:tc>
      </w:tr>
    </w:tbl>
    <w:p w14:paraId="205507D5">
      <w:pPr>
        <w:widowControl/>
        <w:numPr>
          <w:ilvl w:val="0"/>
          <w:numId w:val="9"/>
        </w:numPr>
        <w:shd w:val="clear" w:color="auto" w:fill="FFFFFF"/>
        <w:ind w:firstLine="640" w:firstLineChars="200"/>
        <w:rPr>
          <w:highlight w:val="none"/>
        </w:rPr>
      </w:pPr>
      <w:r>
        <w:rPr>
          <w:rFonts w:hint="eastAsia" w:ascii="仿宋_GB2312" w:hAnsi="仿宋_GB2312" w:eastAsia="仿宋_GB2312" w:cs="仿宋_GB2312"/>
          <w:kern w:val="0"/>
          <w:sz w:val="32"/>
          <w:szCs w:val="32"/>
          <w:highlight w:val="none"/>
          <w:shd w:val="clear" w:color="auto" w:fill="FFFFFF"/>
          <w:lang w:bidi="ar"/>
        </w:rPr>
        <w:t>投标文件须加盖公章及骑缝公章，须有法定代表人或其授权人签字，并装订在投标文件内。</w:t>
      </w:r>
    </w:p>
    <w:p w14:paraId="5874F768">
      <w:pPr>
        <w:widowControl/>
        <w:numPr>
          <w:ilvl w:val="0"/>
          <w:numId w:val="9"/>
        </w:numPr>
        <w:shd w:val="clear" w:color="auto" w:fill="FFFFFF"/>
        <w:ind w:left="425" w:firstLine="640" w:firstLineChars="200"/>
        <w:rPr>
          <w:highlight w:val="none"/>
        </w:rPr>
      </w:pPr>
      <w:r>
        <w:rPr>
          <w:rFonts w:hint="eastAsia" w:ascii="仿宋_GB2312" w:hAnsi="仿宋_GB2312" w:eastAsia="仿宋_GB2312" w:cs="仿宋_GB2312"/>
          <w:kern w:val="0"/>
          <w:sz w:val="32"/>
          <w:szCs w:val="32"/>
          <w:highlight w:val="none"/>
          <w:shd w:val="clear" w:color="auto" w:fill="FFFFFF"/>
          <w:lang w:bidi="ar"/>
        </w:rPr>
        <w:t>文件正本应用不褪色的墨水书写或打印，字迹清晰可辨，</w:t>
      </w:r>
      <w:r>
        <w:rPr>
          <w:rFonts w:hint="eastAsia" w:ascii="仿宋_GB2312" w:hAnsi="仿宋_GB2312" w:eastAsia="仿宋_GB2312" w:cs="仿宋_GB2312"/>
          <w:kern w:val="0"/>
          <w:sz w:val="32"/>
          <w:szCs w:val="32"/>
          <w:highlight w:val="none"/>
          <w:shd w:val="clear" w:color="auto" w:fill="FFFFFF"/>
          <w:lang w:val="en-US" w:eastAsia="zh-CN" w:bidi="ar"/>
        </w:rPr>
        <w:t>内容</w:t>
      </w:r>
      <w:r>
        <w:rPr>
          <w:rFonts w:hint="eastAsia" w:ascii="仿宋_GB2312" w:hAnsi="仿宋_GB2312" w:eastAsia="仿宋_GB2312" w:cs="仿宋_GB2312"/>
          <w:kern w:val="0"/>
          <w:sz w:val="32"/>
          <w:szCs w:val="32"/>
          <w:highlight w:val="none"/>
          <w:shd w:val="clear" w:color="auto" w:fill="FFFFFF"/>
          <w:lang w:bidi="ar"/>
        </w:rPr>
        <w:t>都不应涂改，不应有行间插字或删除。如果出现上述情况，不论何种原因造成，均应由法定代表人或其授权人在改动处小签或盖法人章。</w:t>
      </w:r>
    </w:p>
    <w:p w14:paraId="255A2538">
      <w:pPr>
        <w:pStyle w:val="4"/>
        <w:snapToGrid w:val="0"/>
        <w:spacing w:before="0" w:after="0" w:line="240" w:lineRule="auto"/>
        <w:ind w:firstLine="960" w:firstLineChars="300"/>
        <w:rPr>
          <w:rFonts w:hint="eastAsia" w:ascii="仿宋_GB2312" w:hAnsi="仿宋_GB2312" w:eastAsia="仿宋_GB2312" w:cs="仿宋_GB2312"/>
          <w:b w:val="0"/>
          <w:bCs w:val="0"/>
          <w:kern w:val="0"/>
          <w:highlight w:val="none"/>
          <w:shd w:val="clear" w:color="auto" w:fill="FFFFFF"/>
          <w:lang w:bidi="ar"/>
        </w:rPr>
      </w:pPr>
      <w:r>
        <w:rPr>
          <w:rFonts w:hint="eastAsia" w:ascii="仿宋_GB2312" w:hAnsi="仿宋_GB2312" w:eastAsia="仿宋_GB2312" w:cs="仿宋_GB2312"/>
          <w:b w:val="0"/>
          <w:bCs w:val="0"/>
          <w:kern w:val="0"/>
          <w:highlight w:val="none"/>
          <w:shd w:val="clear" w:color="auto" w:fill="FFFFFF"/>
          <w:lang w:val="en-US" w:eastAsia="zh-CN" w:bidi="ar"/>
        </w:rPr>
        <w:t>投标文件不符合以上要求的，按投标文件无效处理</w:t>
      </w:r>
      <w:r>
        <w:rPr>
          <w:rFonts w:hint="eastAsia" w:ascii="仿宋_GB2312" w:hAnsi="仿宋_GB2312" w:eastAsia="仿宋_GB2312" w:cs="仿宋_GB2312"/>
          <w:b w:val="0"/>
          <w:bCs w:val="0"/>
          <w:kern w:val="0"/>
          <w:highlight w:val="none"/>
          <w:shd w:val="clear" w:color="auto" w:fill="FFFFFF"/>
          <w:lang w:bidi="ar"/>
        </w:rPr>
        <w:t>。</w:t>
      </w:r>
    </w:p>
    <w:p w14:paraId="10815CA8">
      <w:pPr>
        <w:widowControl/>
        <w:shd w:val="clear" w:color="auto" w:fill="FFFFFF"/>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五、投标人须知</w:t>
      </w:r>
    </w:p>
    <w:p w14:paraId="54FAE786">
      <w:pPr>
        <w:widowControl/>
        <w:numPr>
          <w:ilvl w:val="0"/>
          <w:numId w:val="10"/>
        </w:numPr>
        <w:shd w:val="clear" w:color="auto" w:fill="FFFFFF"/>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本次招标</w:t>
      </w:r>
      <w:r>
        <w:rPr>
          <w:rFonts w:hint="eastAsia" w:ascii="仿宋_GB2312" w:hAnsi="仿宋_GB2312" w:eastAsia="仿宋_GB2312" w:cs="仿宋_GB2312"/>
          <w:kern w:val="0"/>
          <w:sz w:val="32"/>
          <w:szCs w:val="32"/>
          <w:highlight w:val="none"/>
          <w:shd w:val="clear" w:color="auto" w:fill="FFFFFF"/>
          <w:lang w:val="en-US" w:eastAsia="zh-CN" w:bidi="ar"/>
        </w:rPr>
        <w:t>不</w:t>
      </w:r>
      <w:r>
        <w:rPr>
          <w:rFonts w:hint="eastAsia" w:ascii="仿宋_GB2312" w:hAnsi="仿宋_GB2312" w:eastAsia="仿宋_GB2312" w:cs="仿宋_GB2312"/>
          <w:kern w:val="0"/>
          <w:sz w:val="32"/>
          <w:szCs w:val="32"/>
          <w:highlight w:val="none"/>
          <w:shd w:val="clear" w:color="auto" w:fill="FFFFFF"/>
          <w:lang w:bidi="ar"/>
        </w:rPr>
        <w:t>接受联合体投标。</w:t>
      </w:r>
    </w:p>
    <w:p w14:paraId="3C19B716">
      <w:pPr>
        <w:widowControl/>
        <w:numPr>
          <w:ilvl w:val="0"/>
          <w:numId w:val="10"/>
        </w:numPr>
        <w:shd w:val="clear" w:color="auto" w:fill="FFFFFF"/>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招标人评标时除考虑投标人报价之外，还将对其综合能力进行比较。</w:t>
      </w:r>
    </w:p>
    <w:p w14:paraId="51EC7CD6">
      <w:pPr>
        <w:widowControl/>
        <w:numPr>
          <w:ilvl w:val="0"/>
          <w:numId w:val="10"/>
        </w:numPr>
        <w:shd w:val="clear" w:color="auto" w:fill="FFFFFF"/>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所报价格为总价包干价，包括服务费、税费、市内交通费、通讯费、住宿费、餐费以及投标人其它因本项目而产生的一切费用,包括合同实施过程中不可预见费用等。招标人郑重声明：价格是重要参考因素，但并非唯一条件。投标人一旦成交，双方将严格按照成交价格签订、执行合同。</w:t>
      </w:r>
    </w:p>
    <w:p w14:paraId="0758495F">
      <w:pPr>
        <w:widowControl/>
        <w:numPr>
          <w:ilvl w:val="0"/>
          <w:numId w:val="10"/>
        </w:numPr>
        <w:shd w:val="clear" w:color="auto" w:fill="FFFFFF"/>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投标人自行对</w:t>
      </w:r>
      <w:r>
        <w:rPr>
          <w:rFonts w:hint="eastAsia" w:ascii="仿宋_GB2312" w:hAnsi="仿宋_GB2312" w:eastAsia="仿宋_GB2312" w:cs="仿宋_GB2312"/>
          <w:kern w:val="0"/>
          <w:sz w:val="32"/>
          <w:szCs w:val="32"/>
          <w:highlight w:val="none"/>
          <w:shd w:val="clear" w:color="auto" w:fill="FFFFFF"/>
          <w:lang w:val="en-US" w:eastAsia="zh-CN" w:bidi="ar"/>
        </w:rPr>
        <w:t>项目</w:t>
      </w:r>
      <w:r>
        <w:rPr>
          <w:rFonts w:hint="eastAsia" w:ascii="仿宋_GB2312" w:hAnsi="仿宋_GB2312" w:eastAsia="仿宋_GB2312" w:cs="仿宋_GB2312"/>
          <w:kern w:val="0"/>
          <w:sz w:val="32"/>
          <w:szCs w:val="32"/>
          <w:highlight w:val="none"/>
          <w:shd w:val="clear" w:color="auto" w:fill="FFFFFF"/>
          <w:lang w:bidi="ar"/>
        </w:rPr>
        <w:t>现场及其周围环境进行考察，查明或核实有关编制投标文件和签订合同所必需的资料，现场考察期间的交通和食宿由投标人自行安排，费用自理。</w:t>
      </w:r>
    </w:p>
    <w:p w14:paraId="5EFDC837">
      <w:pPr>
        <w:widowControl/>
        <w:numPr>
          <w:ilvl w:val="0"/>
          <w:numId w:val="10"/>
        </w:numPr>
        <w:shd w:val="clear" w:color="auto" w:fill="FFFFFF"/>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各投标人应本着长期合作、专业服务的精神，以优惠的价格投标，但亦应严格保证业务质量，一旦发现成交单位及指派往招标人从事服务之工作人员的情况及专业水平与标书所述不符，或成交单位及指派往招标人从事服务之工作人员的实际从业能力无法达到招标人的要求，或因成交单位及指派往招标人从事服务之工作人员的过错给招标人带来损失的，或不能按本招标文件的要求提供服务的，招标人保留中途解聘并要求赔偿的权利，且招标人将不承担任何费用并有权追回已支付的所有费用。</w:t>
      </w:r>
    </w:p>
    <w:p w14:paraId="2F2B5789">
      <w:pPr>
        <w:widowControl/>
        <w:numPr>
          <w:ilvl w:val="0"/>
          <w:numId w:val="10"/>
        </w:numPr>
        <w:shd w:val="clear" w:color="auto" w:fill="FFFFFF"/>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投标人若未按本项目招标文件及招标公告规定投标，所投投标文件无效。无论成交与否，各投标人投标文件及相关资料恕不退回，由招标人存档备考，招标人将对投标人资料予以保密。</w:t>
      </w:r>
    </w:p>
    <w:p w14:paraId="4CEA0461">
      <w:pPr>
        <w:widowControl/>
        <w:numPr>
          <w:ilvl w:val="0"/>
          <w:numId w:val="10"/>
        </w:numPr>
        <w:shd w:val="clear" w:color="auto" w:fill="FFFFFF"/>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招标人有权在招投标期间内的合适时间发布招标文件的补充、澄清及参考文件。</w:t>
      </w:r>
    </w:p>
    <w:p w14:paraId="312A317F">
      <w:pPr>
        <w:widowControl/>
        <w:numPr>
          <w:ilvl w:val="0"/>
          <w:numId w:val="10"/>
        </w:numPr>
        <w:shd w:val="clear" w:color="auto" w:fill="FFFFFF"/>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招标人在规定的截止时间前，可以对招标文件进行修改，并将修改内容以公告的形式在招标公告公示网站上公示。</w:t>
      </w:r>
    </w:p>
    <w:p w14:paraId="2032AE40">
      <w:pPr>
        <w:widowControl/>
        <w:numPr>
          <w:ilvl w:val="0"/>
          <w:numId w:val="10"/>
        </w:numPr>
        <w:shd w:val="clear" w:color="auto" w:fill="FFFFFF"/>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投标文件的补充、修改与撤回</w:t>
      </w:r>
    </w:p>
    <w:p w14:paraId="6B089E0A">
      <w:pPr>
        <w:widowControl/>
        <w:numPr>
          <w:ilvl w:val="255"/>
          <w:numId w:val="0"/>
        </w:numPr>
        <w:shd w:val="clear" w:color="auto" w:fill="FFFFFF"/>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人在提交投标文件以后，在规定的投标截止时间之前，可以补充修改或撤回已提交的投标文件，并以书面形式按有关规定密封、标记和提交通知招标人，并在投标文件密封袋上清楚标明“补充、修改”或“撤回”字样。补充、修改的内容为投标文件的组成部分。</w:t>
      </w:r>
    </w:p>
    <w:p w14:paraId="6E42E2B7">
      <w:pPr>
        <w:widowControl/>
        <w:numPr>
          <w:ilvl w:val="0"/>
          <w:numId w:val="10"/>
        </w:numPr>
        <w:shd w:val="clear" w:color="auto" w:fill="FFFFFF"/>
        <w:rPr>
          <w:highlight w:val="none"/>
        </w:rPr>
      </w:pPr>
      <w:r>
        <w:rPr>
          <w:rFonts w:hint="eastAsia" w:ascii="仿宋_GB2312" w:hAnsi="仿宋_GB2312" w:eastAsia="仿宋_GB2312" w:cs="仿宋_GB2312"/>
          <w:sz w:val="32"/>
          <w:szCs w:val="32"/>
          <w:highlight w:val="none"/>
        </w:rPr>
        <w:t>在投标截止期与招标人在招标文件中规定的有效期终止日之间的这段时期内，投标人不能撤回投标文件。</w:t>
      </w:r>
    </w:p>
    <w:p w14:paraId="051C44EC">
      <w:pPr>
        <w:widowControl/>
        <w:numPr>
          <w:ilvl w:val="255"/>
          <w:numId w:val="0"/>
        </w:numPr>
        <w:shd w:val="clear" w:color="auto" w:fill="FFFFFF"/>
        <w:ind w:firstLine="640" w:firstLineChars="200"/>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任何要求澄清招标文件的投标人，均</w:t>
      </w:r>
      <w:r>
        <w:rPr>
          <w:rFonts w:hint="eastAsia" w:ascii="仿宋_GB2312" w:hAnsi="仿宋_GB2312" w:eastAsia="仿宋_GB2312" w:cs="仿宋_GB2312"/>
          <w:kern w:val="0"/>
          <w:sz w:val="32"/>
          <w:szCs w:val="32"/>
          <w:highlight w:val="none"/>
          <w:shd w:val="clear" w:color="auto" w:fill="FFFFFF"/>
          <w:lang w:val="en-US" w:eastAsia="zh-CN" w:bidi="ar"/>
        </w:rPr>
        <w:t>至少</w:t>
      </w:r>
      <w:r>
        <w:rPr>
          <w:rFonts w:hint="eastAsia" w:ascii="仿宋_GB2312" w:hAnsi="仿宋_GB2312" w:eastAsia="仿宋_GB2312" w:cs="仿宋_GB2312"/>
          <w:kern w:val="0"/>
          <w:sz w:val="32"/>
          <w:szCs w:val="32"/>
          <w:highlight w:val="none"/>
          <w:shd w:val="clear" w:color="auto" w:fill="FFFFFF"/>
          <w:lang w:bidi="ar"/>
        </w:rPr>
        <w:t>应在投标文件递交截止日前2天以书面形式通知招标人，招标人将以书面或官网公示通知的形式予以答复。</w:t>
      </w:r>
    </w:p>
    <w:p w14:paraId="565F00CB">
      <w:pPr>
        <w:widowControl/>
        <w:numPr>
          <w:ilvl w:val="0"/>
          <w:numId w:val="10"/>
        </w:numPr>
        <w:shd w:val="clear" w:color="auto" w:fill="FFFFFF"/>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招标人可以视招标具体情况，延长投标截止时间和开标时间，但至少应当在招标文件要求提交投标文件的截止时间1日前，并将变更时间在招标公告公示网站上公示。</w:t>
      </w:r>
    </w:p>
    <w:p w14:paraId="52D60B6A">
      <w:pPr>
        <w:widowControl/>
        <w:numPr>
          <w:ilvl w:val="0"/>
          <w:numId w:val="10"/>
        </w:numPr>
        <w:shd w:val="clear" w:color="auto" w:fill="FFFFFF"/>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若第一中标候选人存在放弃中标资格或未按照合同履约等情况，导致需要更换供应商的情况，招标人采用顺延的方式，将合格的第二中标候选人作为成交供应商开展采购活动；若招标人认定没有合格的中标候选人时，招标人重新开展招标活动。</w:t>
      </w:r>
    </w:p>
    <w:p w14:paraId="1E2B806E">
      <w:pPr>
        <w:widowControl/>
        <w:numPr>
          <w:ilvl w:val="0"/>
          <w:numId w:val="10"/>
        </w:numPr>
        <w:shd w:val="clear" w:color="auto" w:fill="FFFFFF"/>
        <w:rPr>
          <w:rFonts w:eastAsia="仿宋_GB2312"/>
          <w:highlight w:val="none"/>
        </w:rPr>
      </w:pPr>
      <w:r>
        <w:rPr>
          <w:rFonts w:hint="eastAsia" w:ascii="仿宋_GB2312" w:hAnsi="仿宋_GB2312" w:eastAsia="仿宋_GB2312" w:cs="仿宋_GB2312"/>
          <w:kern w:val="0"/>
          <w:sz w:val="32"/>
          <w:szCs w:val="32"/>
          <w:highlight w:val="none"/>
          <w:shd w:val="clear" w:color="auto" w:fill="FFFFFF"/>
          <w:lang w:bidi="ar"/>
        </w:rPr>
        <w:t>不论结果如何，投标人均需自行承担所有编写和递交投标文件及所有参与过程中的全部费用。</w:t>
      </w:r>
    </w:p>
    <w:p w14:paraId="29360268">
      <w:pPr>
        <w:widowControl/>
        <w:numPr>
          <w:ilvl w:val="0"/>
          <w:numId w:val="10"/>
        </w:numPr>
        <w:shd w:val="clear" w:color="auto" w:fill="FFFFFF"/>
        <w:rPr>
          <w:highlight w:val="none"/>
        </w:rPr>
      </w:pPr>
      <w:r>
        <w:rPr>
          <w:rFonts w:hint="eastAsia" w:ascii="仿宋_GB2312" w:hAnsi="仿宋_GB2312" w:eastAsia="仿宋_GB2312" w:cs="仿宋_GB2312"/>
          <w:kern w:val="0"/>
          <w:sz w:val="32"/>
          <w:szCs w:val="32"/>
          <w:highlight w:val="none"/>
          <w:shd w:val="clear" w:color="auto" w:fill="FFFFFF"/>
          <w:lang w:bidi="ar"/>
        </w:rPr>
        <w:t>本次招标由项目主体广州南沙资产经营集团有限公司统筹推进。</w:t>
      </w:r>
    </w:p>
    <w:p w14:paraId="30A78657">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六、投标有效期</w:t>
      </w:r>
    </w:p>
    <w:p w14:paraId="5F5A1721">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投标截止之日起90天内。</w:t>
      </w:r>
    </w:p>
    <w:p w14:paraId="6492C0FE">
      <w:pPr>
        <w:widowControl/>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七、投标评审</w:t>
      </w:r>
    </w:p>
    <w:p w14:paraId="2559CF4D">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（一）投标文件的提交</w:t>
      </w:r>
    </w:p>
    <w:p w14:paraId="5DA611F9">
      <w:pPr>
        <w:numPr>
          <w:ilvl w:val="255"/>
          <w:numId w:val="0"/>
        </w:num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投标人应于截止时间前将投标文件密封邮寄至规定的地点，投标截止时间后邮寄的投标文件，招标人将不再受理；</w:t>
      </w:r>
    </w:p>
    <w:p w14:paraId="1E2FFD75">
      <w:pPr>
        <w:numPr>
          <w:ilvl w:val="0"/>
          <w:numId w:val="11"/>
        </w:num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开标</w:t>
      </w:r>
    </w:p>
    <w:p w14:paraId="0DAE9FE5">
      <w:pPr>
        <w:numPr>
          <w:ilvl w:val="0"/>
          <w:numId w:val="12"/>
        </w:numPr>
        <w:ind w:left="0"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招标人按此文件所规定的时间和地点开标；</w:t>
      </w:r>
    </w:p>
    <w:p w14:paraId="4C263998">
      <w:pPr>
        <w:numPr>
          <w:ilvl w:val="0"/>
          <w:numId w:val="12"/>
        </w:numPr>
        <w:ind w:left="0"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开标时间：202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上午10</w:t>
      </w:r>
      <w:r>
        <w:rPr>
          <w:rFonts w:hint="eastAsia" w:ascii="仿宋_GB2312" w:hAnsi="仿宋_GB2312" w:eastAsia="仿宋_GB2312" w:cs="仿宋_GB2312"/>
          <w:sz w:val="32"/>
          <w:szCs w:val="32"/>
          <w:highlight w:val="none"/>
        </w:rPr>
        <w:t>时</w:t>
      </w:r>
      <w:r>
        <w:rPr>
          <w:rFonts w:hint="eastAsia" w:ascii="仿宋_GB2312" w:hAnsi="仿宋_GB2312" w:eastAsia="仿宋_GB2312" w:cs="仿宋_GB2312"/>
          <w:sz w:val="32"/>
          <w:szCs w:val="32"/>
          <w:highlight w:val="none"/>
          <w:lang w:val="en-US" w:eastAsia="zh-CN"/>
        </w:rPr>
        <w:t>00分</w:t>
      </w:r>
      <w:r>
        <w:rPr>
          <w:rFonts w:hint="eastAsia" w:ascii="仿宋_GB2312" w:hAnsi="仿宋_GB2312" w:eastAsia="仿宋_GB2312" w:cs="仿宋_GB2312"/>
          <w:sz w:val="32"/>
          <w:szCs w:val="32"/>
          <w:highlight w:val="none"/>
        </w:rPr>
        <w:t>；</w:t>
      </w:r>
    </w:p>
    <w:p w14:paraId="5F379F96">
      <w:pPr>
        <w:numPr>
          <w:ilvl w:val="0"/>
          <w:numId w:val="12"/>
        </w:numPr>
        <w:ind w:left="0"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开标地址：广东省广州市南沙区海滨路171号南沙金融大厦</w:t>
      </w:r>
      <w:r>
        <w:rPr>
          <w:rFonts w:hint="eastAsia" w:ascii="仿宋_GB2312" w:hAnsi="仿宋_GB2312" w:eastAsia="仿宋_GB2312" w:cs="仿宋_GB2312"/>
          <w:sz w:val="32"/>
          <w:szCs w:val="32"/>
          <w:highlight w:val="none"/>
          <w:lang w:val="en-US" w:eastAsia="zh-CN"/>
        </w:rPr>
        <w:t>1807</w:t>
      </w:r>
      <w:r>
        <w:rPr>
          <w:rFonts w:hint="eastAsia" w:ascii="仿宋_GB2312" w:hAnsi="仿宋_GB2312" w:eastAsia="仿宋_GB2312" w:cs="仿宋_GB2312"/>
          <w:sz w:val="32"/>
          <w:szCs w:val="32"/>
          <w:highlight w:val="none"/>
        </w:rPr>
        <w:t>室</w:t>
      </w:r>
      <w:r>
        <w:rPr>
          <w:rFonts w:hint="eastAsia" w:ascii="仿宋_GB2312" w:hAnsi="仿宋_GB2312" w:eastAsia="仿宋_GB2312" w:cs="仿宋_GB2312"/>
          <w:sz w:val="32"/>
          <w:szCs w:val="32"/>
          <w:highlight w:val="none"/>
          <w:lang w:eastAsia="zh-CN"/>
        </w:rPr>
        <w:t>；</w:t>
      </w:r>
    </w:p>
    <w:p w14:paraId="7DA3598C">
      <w:pPr>
        <w:numPr>
          <w:ilvl w:val="0"/>
          <w:numId w:val="12"/>
        </w:numPr>
        <w:ind w:left="0"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按规定提交合格的撤回通知的投标文件不予开封，并退回给投标人；</w:t>
      </w:r>
    </w:p>
    <w:p w14:paraId="299092A8">
      <w:pPr>
        <w:pStyle w:val="3"/>
        <w:numPr>
          <w:ilvl w:val="0"/>
          <w:numId w:val="12"/>
        </w:numPr>
        <w:spacing w:line="240" w:lineRule="auto"/>
        <w:ind w:left="0" w:firstLine="640" w:firstLineChars="200"/>
        <w:rPr>
          <w:rFonts w:ascii="仿宋_GB2312" w:hAnsi="仿宋_GB2312" w:eastAsia="仿宋_GB2312" w:cs="仿宋_GB2312"/>
          <w:b w:val="0"/>
          <w:bCs w:val="0"/>
          <w:kern w:val="2"/>
          <w:sz w:val="32"/>
          <w:szCs w:val="32"/>
          <w:highlight w:val="none"/>
        </w:rPr>
      </w:pPr>
      <w:r>
        <w:rPr>
          <w:rFonts w:hint="eastAsia" w:ascii="仿宋_GB2312" w:hAnsi="仿宋_GB2312" w:eastAsia="仿宋_GB2312" w:cs="仿宋_GB2312"/>
          <w:b w:val="0"/>
          <w:bCs w:val="0"/>
          <w:kern w:val="2"/>
          <w:sz w:val="32"/>
          <w:szCs w:val="32"/>
          <w:highlight w:val="none"/>
        </w:rPr>
        <w:t>招标人在招标文件要求提交投标文件的截止时间前收到的投标文件，开标时都当众予以拆封、宣读投标人名称及报价。</w:t>
      </w:r>
    </w:p>
    <w:p w14:paraId="00096BE7">
      <w:pPr>
        <w:pStyle w:val="3"/>
        <w:spacing w:line="240" w:lineRule="auto"/>
        <w:ind w:firstLine="640" w:firstLineChars="200"/>
        <w:rPr>
          <w:rFonts w:ascii="仿宋_GB2312" w:hAnsi="仿宋_GB2312" w:eastAsia="仿宋_GB2312" w:cs="仿宋_GB2312"/>
          <w:b w:val="0"/>
          <w:bCs w:val="0"/>
          <w:kern w:val="2"/>
          <w:sz w:val="32"/>
          <w:szCs w:val="32"/>
          <w:highlight w:val="none"/>
        </w:rPr>
      </w:pPr>
      <w:r>
        <w:rPr>
          <w:rFonts w:hint="eastAsia" w:ascii="仿宋_GB2312" w:hAnsi="仿宋_GB2312" w:eastAsia="仿宋_GB2312" w:cs="仿宋_GB2312"/>
          <w:b w:val="0"/>
          <w:bCs w:val="0"/>
          <w:kern w:val="2"/>
          <w:sz w:val="32"/>
          <w:szCs w:val="32"/>
          <w:highlight w:val="none"/>
        </w:rPr>
        <w:t>（三）投标文件资格符合性审查</w:t>
      </w:r>
    </w:p>
    <w:p w14:paraId="72A78EEA">
      <w:pPr>
        <w:ind w:firstLine="640" w:firstLineChars="200"/>
        <w:rPr>
          <w:rFonts w:ascii="仿宋_GB2312" w:hAnsi="仿宋_GB2312" w:cs="仿宋_GB2312"/>
          <w:sz w:val="32"/>
          <w:szCs w:val="32"/>
          <w:highlight w:val="none"/>
        </w:rPr>
      </w:pPr>
      <w:r>
        <w:rPr>
          <w:rFonts w:hint="eastAsia" w:ascii="仿宋_GB2312" w:hAnsi="仿宋_GB2312" w:eastAsia="仿宋_GB2312" w:cs="仿宋_GB2312"/>
          <w:sz w:val="32"/>
          <w:szCs w:val="32"/>
          <w:highlight w:val="none"/>
        </w:rPr>
        <w:t>评审小组对投标文件进行资格符合性审查（附件2），若符合要求，则进入下一阶段；若不符合要求，则不得进入下一阶段。当通过符合性审查的投标人不足三家时，则本次招标失败，招标人将依法重新组织招标。</w:t>
      </w:r>
    </w:p>
    <w:p w14:paraId="2018EA17">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（四）综合评审</w:t>
      </w:r>
    </w:p>
    <w:p w14:paraId="3004083A">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审小组根据投标人的投标文件，从投标人资质、服务能力、服务方案、服务报价等方面进行综合评分（附件3）。综合评分排名第一名的投标人为第一中标候选人，依次类推。综合评分最高分出现两个或两个以上相同分数时，通过摇珠方式确定第一中标候选人。</w:t>
      </w:r>
    </w:p>
    <w:p w14:paraId="29ADF5AF">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评分细则详见附件</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w:t>
      </w:r>
    </w:p>
    <w:p w14:paraId="2AF8A7D2">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（五）中标公示及中标通知书</w:t>
      </w:r>
    </w:p>
    <w:p w14:paraId="19E8F9F1">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投标结果公示期结束后，如无异议，综合评审中排名第一者确定为中标人。招标方将及时向中标人发出中标通知书，中标人接到通知书后，若放弃中标资格，应在规定时间以内予以书面告知招标人。</w:t>
      </w:r>
    </w:p>
    <w:p w14:paraId="45115506">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（六）合同谈判与签订</w:t>
      </w:r>
    </w:p>
    <w:p w14:paraId="090EA445">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中标人应该在中标通知书中载明的时间内与招标人商谈有关事宜并签订合同协议书，中标价即为合同金额。</w:t>
      </w:r>
    </w:p>
    <w:p w14:paraId="02A7A2BC">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八、合同付款方式</w:t>
      </w:r>
    </w:p>
    <w:p w14:paraId="5934959B">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项目咨询费包含《南沙资产集团“十五五”战略发展规划》</w:t>
      </w:r>
      <w:r>
        <w:rPr>
          <w:rFonts w:hint="eastAsia" w:ascii="仿宋_GB2312" w:hAnsi="仿宋_GB2312" w:eastAsia="仿宋_GB2312" w:cs="仿宋_GB2312"/>
          <w:sz w:val="32"/>
          <w:szCs w:val="32"/>
          <w:highlight w:val="none"/>
          <w:lang w:eastAsia="zh-CN"/>
        </w:rPr>
        <w:t>、《南沙资产集团“十五五”规划实施三年行动方案》、《南沙资产集团权责体系优化报告》、《南沙资产集团权责表》、《南沙资产集团管控体系制度汇编》、《南沙资产集团组织体系优化报告》、《南沙资产集团部门职能说明书》、《南沙资产集团岗位设计方案》、《南沙资产集团岗位职责说明书》、《南沙资产集团人力资源规划》、《南沙资产集团薪酬管理方案》、《南沙资产集团薪酬管理制度》、《南沙资产集团薪级表》、《南沙资产集团绩效管理方案》、《南沙资产集团绩效管理制度》、《南沙资产集团职级管理制度》、《南沙资产集团职级表》、《南沙资产集团</w:t>
      </w:r>
      <w:r>
        <w:rPr>
          <w:rFonts w:hint="eastAsia" w:ascii="仿宋_GB2312" w:hAnsi="仿宋_GB2312" w:eastAsia="仿宋_GB2312" w:cs="仿宋_GB2312"/>
          <w:sz w:val="32"/>
          <w:szCs w:val="32"/>
          <w:highlight w:val="none"/>
          <w:lang w:val="en-US" w:eastAsia="zh-CN"/>
        </w:rPr>
        <w:t>人才梯队</w:t>
      </w:r>
      <w:r>
        <w:rPr>
          <w:rFonts w:hint="eastAsia" w:ascii="仿宋_GB2312" w:hAnsi="仿宋_GB2312" w:eastAsia="仿宋_GB2312" w:cs="仿宋_GB2312"/>
          <w:sz w:val="32"/>
          <w:szCs w:val="32"/>
          <w:highlight w:val="none"/>
          <w:lang w:eastAsia="zh-CN"/>
        </w:rPr>
        <w:t>培养方案》</w:t>
      </w:r>
      <w:r>
        <w:rPr>
          <w:rFonts w:hint="eastAsia" w:ascii="仿宋_GB2312" w:hAnsi="仿宋_GB2312" w:eastAsia="仿宋_GB2312" w:cs="仿宋_GB2312"/>
          <w:sz w:val="32"/>
          <w:szCs w:val="32"/>
          <w:highlight w:val="none"/>
        </w:rPr>
        <w:t>的编制咨询服务费，所有报告编制咨询服务费统一按阶段结算。本次招标按照以下节点付款：</w:t>
      </w:r>
    </w:p>
    <w:p w14:paraId="375C15CB">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首期：中标后，双方签订合同，中标人开具相应金额的增值税专用发票给招标人后的</w:t>
      </w:r>
      <w:r>
        <w:rPr>
          <w:rFonts w:hint="eastAsia" w:ascii="仿宋_GB2312" w:hAnsi="仿宋_GB2312" w:eastAsia="仿宋_GB2312" w:cs="仿宋_GB2312"/>
          <w:sz w:val="32"/>
          <w:szCs w:val="32"/>
          <w:highlight w:val="none"/>
          <w:lang w:val="en-US" w:eastAsia="zh-CN"/>
        </w:rPr>
        <w:t>15个日历日内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招标人支付给中标人项目合同款的</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0%作为项目预付款。</w:t>
      </w:r>
    </w:p>
    <w:p w14:paraId="54142684">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第二期：中标人根据招标人对《南沙资产集团“十五五”战略发展规划》修改意见进行深化并提供</w:t>
      </w:r>
      <w:r>
        <w:rPr>
          <w:rFonts w:hint="eastAsia" w:ascii="仿宋_GB2312" w:hAnsi="仿宋_GB2312" w:eastAsia="仿宋_GB2312" w:cs="仿宋_GB2312"/>
          <w:sz w:val="32"/>
          <w:szCs w:val="32"/>
          <w:highlight w:val="none"/>
          <w:lang w:val="en-US" w:eastAsia="zh-CN"/>
        </w:rPr>
        <w:t>报审</w:t>
      </w:r>
      <w:r>
        <w:rPr>
          <w:rFonts w:hint="eastAsia" w:ascii="仿宋_GB2312" w:hAnsi="仿宋_GB2312" w:eastAsia="仿宋_GB2312" w:cs="仿宋_GB2312"/>
          <w:sz w:val="32"/>
          <w:szCs w:val="32"/>
          <w:highlight w:val="none"/>
        </w:rPr>
        <w:t>稿</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经招标人确认后，</w:t>
      </w:r>
      <w:r>
        <w:rPr>
          <w:rFonts w:hint="eastAsia" w:ascii="仿宋_GB2312" w:hAnsi="仿宋_GB2312" w:eastAsia="仿宋_GB2312" w:cs="仿宋_GB2312"/>
          <w:sz w:val="32"/>
          <w:szCs w:val="32"/>
          <w:highlight w:val="none"/>
          <w:lang w:val="en-US" w:eastAsia="zh-CN"/>
        </w:rPr>
        <w:t>开具相应金额的增值税专用发票给招标人后15个日历日内，招标人支付给中标人项目合同款的15%。</w:t>
      </w:r>
    </w:p>
    <w:p w14:paraId="0235D0BE">
      <w:pPr>
        <w:pStyle w:val="17"/>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第三期：中标人配合招标人按程序审定</w:t>
      </w:r>
      <w:r>
        <w:rPr>
          <w:rFonts w:hint="eastAsia" w:ascii="仿宋_GB2312" w:hAnsi="仿宋_GB2312" w:eastAsia="仿宋_GB2312" w:cs="仿宋_GB2312"/>
          <w:sz w:val="32"/>
          <w:szCs w:val="32"/>
          <w:highlight w:val="none"/>
        </w:rPr>
        <w:t>《南沙资产集团“十五五”战略发展规划》</w:t>
      </w:r>
      <w:r>
        <w:rPr>
          <w:rFonts w:hint="eastAsia" w:ascii="仿宋_GB2312" w:hAnsi="仿宋_GB2312" w:eastAsia="仿宋_GB2312" w:cs="仿宋_GB2312"/>
          <w:sz w:val="32"/>
          <w:szCs w:val="32"/>
          <w:highlight w:val="none"/>
          <w:lang w:val="en-US" w:eastAsia="zh-CN"/>
        </w:rPr>
        <w:t>报审稿后，开具相应金额的增值税专用发票给招标人后15个日历日内，招标人支付给中标人项目合同款的15%。</w:t>
      </w:r>
    </w:p>
    <w:p w14:paraId="3CFB4209">
      <w:pPr>
        <w:pStyle w:val="17"/>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第四期：</w:t>
      </w:r>
      <w:r>
        <w:rPr>
          <w:rFonts w:hint="eastAsia" w:ascii="仿宋_GB2312" w:hAnsi="仿宋_GB2312" w:eastAsia="仿宋_GB2312" w:cs="仿宋_GB2312"/>
          <w:sz w:val="32"/>
          <w:szCs w:val="32"/>
          <w:highlight w:val="none"/>
        </w:rPr>
        <w:t>中标人根据招标人对</w:t>
      </w:r>
      <w:r>
        <w:rPr>
          <w:rFonts w:hint="eastAsia" w:ascii="仿宋_GB2312" w:hAnsi="仿宋_GB2312" w:eastAsia="仿宋_GB2312" w:cs="仿宋_GB2312"/>
          <w:sz w:val="32"/>
          <w:szCs w:val="32"/>
          <w:highlight w:val="none"/>
          <w:lang w:eastAsia="zh-CN"/>
        </w:rPr>
        <w:t>《南沙资产集团“十五五”规划实施三年行动方案》、《南沙资产集团权责体系优化报告》、《南沙资产集团权责表》、《南沙资产集团管控体系制度汇编》、《南沙资产集团组织体系优化报告》、《南沙资产集团部门职能说明书》、《南沙资产集团岗位设计方案》、《南沙资产集团岗位职责说明书》</w:t>
      </w:r>
      <w:r>
        <w:rPr>
          <w:rFonts w:hint="eastAsia" w:ascii="仿宋_GB2312" w:hAnsi="仿宋_GB2312" w:eastAsia="仿宋_GB2312" w:cs="仿宋_GB2312"/>
          <w:sz w:val="32"/>
          <w:szCs w:val="32"/>
          <w:highlight w:val="none"/>
        </w:rPr>
        <w:t>修改意见进行深化并提供</w:t>
      </w:r>
      <w:r>
        <w:rPr>
          <w:rFonts w:hint="eastAsia" w:ascii="仿宋_GB2312" w:hAnsi="仿宋_GB2312" w:eastAsia="仿宋_GB2312" w:cs="仿宋_GB2312"/>
          <w:sz w:val="32"/>
          <w:szCs w:val="32"/>
          <w:highlight w:val="none"/>
          <w:lang w:val="en-US" w:eastAsia="zh-CN"/>
        </w:rPr>
        <w:t>报审</w:t>
      </w:r>
      <w:r>
        <w:rPr>
          <w:rFonts w:hint="eastAsia" w:ascii="仿宋_GB2312" w:hAnsi="仿宋_GB2312" w:eastAsia="仿宋_GB2312" w:cs="仿宋_GB2312"/>
          <w:sz w:val="32"/>
          <w:szCs w:val="32"/>
          <w:highlight w:val="none"/>
        </w:rPr>
        <w:t>稿</w:t>
      </w:r>
      <w:r>
        <w:rPr>
          <w:rFonts w:hint="eastAsia" w:ascii="仿宋_GB2312" w:hAnsi="仿宋_GB2312" w:eastAsia="仿宋_GB2312" w:cs="仿宋_GB2312"/>
          <w:sz w:val="32"/>
          <w:szCs w:val="32"/>
          <w:highlight w:val="none"/>
          <w:lang w:val="en-US" w:eastAsia="zh-CN"/>
        </w:rPr>
        <w:t>，且配合招标人按程序审定上述成果文件后</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开具相应金额的增值税专用发票给招标人后15个日历日内，招标人支付给中标人项目合同款的15%。</w:t>
      </w:r>
    </w:p>
    <w:p w14:paraId="66D499C1">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期：中标人根据招标人对</w:t>
      </w:r>
      <w:r>
        <w:rPr>
          <w:rFonts w:hint="eastAsia" w:ascii="仿宋_GB2312" w:hAnsi="仿宋_GB2312" w:eastAsia="仿宋_GB2312" w:cs="仿宋_GB2312"/>
          <w:sz w:val="32"/>
          <w:szCs w:val="32"/>
          <w:highlight w:val="none"/>
          <w:lang w:eastAsia="zh-CN"/>
        </w:rPr>
        <w:t>《南沙资产集团人力资源规划》、《南沙资产集团薪酬管理方案》、《南沙资产集团薪酬管理制度》、《南沙资产集团薪级表》、《南沙资产集团绩效管理方案》、《南沙资产集团绩效管理制度》、《南沙资产集团职级管理制度》、《南沙资产集团职级表》、《南沙资产集团</w:t>
      </w:r>
      <w:r>
        <w:rPr>
          <w:rFonts w:hint="eastAsia" w:ascii="仿宋_GB2312" w:hAnsi="仿宋_GB2312" w:eastAsia="仿宋_GB2312" w:cs="仿宋_GB2312"/>
          <w:sz w:val="32"/>
          <w:szCs w:val="32"/>
          <w:highlight w:val="none"/>
          <w:lang w:val="en-US" w:eastAsia="zh-CN"/>
        </w:rPr>
        <w:t>人才梯队</w:t>
      </w:r>
      <w:r>
        <w:rPr>
          <w:rFonts w:hint="eastAsia" w:ascii="仿宋_GB2312" w:hAnsi="仿宋_GB2312" w:eastAsia="仿宋_GB2312" w:cs="仿宋_GB2312"/>
          <w:sz w:val="32"/>
          <w:szCs w:val="32"/>
          <w:highlight w:val="none"/>
          <w:lang w:eastAsia="zh-CN"/>
        </w:rPr>
        <w:t>培养方案》</w:t>
      </w:r>
      <w:r>
        <w:rPr>
          <w:rFonts w:hint="eastAsia" w:ascii="仿宋_GB2312" w:hAnsi="仿宋_GB2312" w:eastAsia="仿宋_GB2312" w:cs="仿宋_GB2312"/>
          <w:sz w:val="32"/>
          <w:szCs w:val="32"/>
          <w:highlight w:val="none"/>
        </w:rPr>
        <w:t>修改意见进行深化并提供</w:t>
      </w:r>
      <w:r>
        <w:rPr>
          <w:rFonts w:hint="eastAsia" w:ascii="仿宋_GB2312" w:hAnsi="仿宋_GB2312" w:eastAsia="仿宋_GB2312" w:cs="仿宋_GB2312"/>
          <w:sz w:val="32"/>
          <w:szCs w:val="32"/>
          <w:highlight w:val="none"/>
          <w:lang w:val="en-US" w:eastAsia="zh-CN"/>
        </w:rPr>
        <w:t>报审</w:t>
      </w:r>
      <w:r>
        <w:rPr>
          <w:rFonts w:hint="eastAsia" w:ascii="仿宋_GB2312" w:hAnsi="仿宋_GB2312" w:eastAsia="仿宋_GB2312" w:cs="仿宋_GB2312"/>
          <w:sz w:val="32"/>
          <w:szCs w:val="32"/>
          <w:highlight w:val="none"/>
        </w:rPr>
        <w:t>稿</w:t>
      </w:r>
      <w:r>
        <w:rPr>
          <w:rFonts w:hint="eastAsia" w:ascii="仿宋_GB2312" w:hAnsi="仿宋_GB2312" w:eastAsia="仿宋_GB2312" w:cs="仿宋_GB2312"/>
          <w:sz w:val="32"/>
          <w:szCs w:val="32"/>
          <w:highlight w:val="none"/>
          <w:lang w:val="en-US" w:eastAsia="zh-CN"/>
        </w:rPr>
        <w:t>，且配合招标人按程序审定上述成果文件后</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开具相应金额的增值税专用发票给招标人后15个日历日内，招标人支付给中标人项目合同款的15%。</w:t>
      </w:r>
    </w:p>
    <w:p w14:paraId="130EDE27">
      <w:pPr>
        <w:pStyle w:val="17"/>
        <w:rPr>
          <w:rFonts w:hint="default"/>
          <w:lang w:val="en-US"/>
        </w:rPr>
      </w:pPr>
      <w:r>
        <w:rPr>
          <w:rFonts w:hint="eastAsia" w:ascii="仿宋_GB2312" w:hAnsi="仿宋_GB2312" w:eastAsia="仿宋_GB2312" w:cs="仿宋_GB2312"/>
          <w:sz w:val="32"/>
          <w:szCs w:val="32"/>
          <w:highlight w:val="none"/>
          <w:lang w:val="en-US" w:eastAsia="zh-CN"/>
        </w:rPr>
        <w:t>第六期：</w:t>
      </w:r>
      <w:r>
        <w:rPr>
          <w:rFonts w:hint="eastAsia" w:ascii="仿宋_GB2312" w:hAnsi="仿宋_GB2312" w:eastAsia="仿宋_GB2312" w:cs="仿宋_GB2312"/>
          <w:kern w:val="0"/>
          <w:sz w:val="32"/>
          <w:szCs w:val="32"/>
          <w:highlight w:val="none"/>
          <w:shd w:val="clear" w:color="auto" w:fill="FFFFFF"/>
          <w:lang w:val="en-US" w:eastAsia="zh-CN" w:bidi="ar"/>
        </w:rPr>
        <w:t>自全部成果文件经招标人按程序审定之日起，</w:t>
      </w:r>
      <w:r>
        <w:rPr>
          <w:rFonts w:hint="eastAsia" w:ascii="仿宋_GB2312" w:hAnsi="仿宋_GB2312" w:eastAsia="仿宋_GB2312" w:cs="仿宋_GB2312"/>
          <w:sz w:val="32"/>
          <w:szCs w:val="32"/>
          <w:highlight w:val="none"/>
        </w:rPr>
        <w:t>中标人</w:t>
      </w:r>
      <w:r>
        <w:rPr>
          <w:rFonts w:hint="eastAsia" w:ascii="仿宋_GB2312" w:hAnsi="仿宋_GB2312" w:eastAsia="仿宋_GB2312" w:cs="仿宋_GB2312"/>
          <w:sz w:val="32"/>
          <w:szCs w:val="32"/>
          <w:highlight w:val="none"/>
          <w:lang w:val="en-US" w:eastAsia="zh-CN"/>
        </w:rPr>
        <w:t>提供</w:t>
      </w:r>
      <w:r>
        <w:rPr>
          <w:rFonts w:hint="eastAsia" w:ascii="仿宋_GB2312" w:hAnsi="仿宋_GB2312" w:eastAsia="仿宋_GB2312" w:cs="仿宋_GB2312"/>
          <w:kern w:val="0"/>
          <w:sz w:val="32"/>
          <w:szCs w:val="32"/>
          <w:highlight w:val="none"/>
          <w:shd w:val="clear" w:color="auto" w:fill="FFFFFF"/>
          <w:lang w:val="en-US" w:eastAsia="zh-CN" w:bidi="ar"/>
        </w:rPr>
        <w:t>1年的落地实施辅导服务，中标人辅导服务期结束后，</w:t>
      </w:r>
      <w:r>
        <w:rPr>
          <w:rFonts w:hint="eastAsia" w:ascii="仿宋_GB2312" w:hAnsi="仿宋_GB2312" w:eastAsia="仿宋_GB2312" w:cs="仿宋_GB2312"/>
          <w:sz w:val="32"/>
          <w:szCs w:val="32"/>
          <w:highlight w:val="none"/>
          <w:lang w:val="en-US" w:eastAsia="zh-CN"/>
        </w:rPr>
        <w:t>开具相应金额的增值税专用发票给招标人后15个日历日内，招标人支付给中标人项目合同款的10%。</w:t>
      </w:r>
    </w:p>
    <w:p w14:paraId="67A14204">
      <w:pPr>
        <w:widowControl/>
        <w:ind w:firstLine="640" w:firstLineChars="200"/>
        <w:jc w:val="left"/>
        <w:rPr>
          <w:rFonts w:ascii="仿宋_GB2312" w:hAnsi="仿宋_GB2312" w:eastAsia="仿宋_GB2312" w:cs="仿宋_GB2312"/>
          <w:sz w:val="32"/>
          <w:szCs w:val="32"/>
          <w:highlight w:val="none"/>
          <w:lang w:bidi="ar"/>
        </w:rPr>
      </w:pPr>
      <w:r>
        <w:rPr>
          <w:rFonts w:hint="eastAsia" w:ascii="仿宋_GB2312" w:hAnsi="仿宋_GB2312" w:eastAsia="仿宋_GB2312" w:cs="仿宋_GB2312"/>
          <w:kern w:val="0"/>
          <w:sz w:val="32"/>
          <w:szCs w:val="32"/>
          <w:highlight w:val="none"/>
          <w:shd w:val="clear" w:color="auto" w:fill="FFFFFF"/>
          <w:lang w:bidi="ar"/>
        </w:rPr>
        <w:t>九、招标人对本次招标活动及相关的文件资料拥有最终的</w:t>
      </w:r>
      <w:r>
        <w:rPr>
          <w:rFonts w:hint="eastAsia" w:ascii="仿宋_GB2312" w:hAnsi="仿宋_GB2312" w:eastAsia="仿宋_GB2312" w:cs="仿宋_GB2312"/>
          <w:sz w:val="32"/>
          <w:szCs w:val="32"/>
          <w:highlight w:val="none"/>
          <w:lang w:bidi="ar"/>
        </w:rPr>
        <w:t>解释权。</w:t>
      </w:r>
    </w:p>
    <w:p w14:paraId="26B32EC8">
      <w:pPr>
        <w:ind w:firstLine="640" w:firstLineChars="200"/>
        <w:rPr>
          <w:rFonts w:ascii="仿宋_GB2312" w:hAnsi="仿宋_GB2312" w:eastAsia="仿宋_GB2312" w:cs="仿宋_GB2312"/>
          <w:sz w:val="32"/>
          <w:szCs w:val="32"/>
          <w:highlight w:val="none"/>
          <w:lang w:bidi="ar"/>
        </w:rPr>
      </w:pPr>
    </w:p>
    <w:p w14:paraId="0A62B118">
      <w:pPr>
        <w:pStyle w:val="2"/>
      </w:pPr>
    </w:p>
    <w:p w14:paraId="54E1AB32">
      <w:pPr>
        <w:jc w:val="right"/>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广州南沙资产经营集团有限公司</w:t>
      </w:r>
    </w:p>
    <w:p w14:paraId="4CE6C18E">
      <w:pPr>
        <w:jc w:val="right"/>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202</w:t>
      </w:r>
      <w:r>
        <w:rPr>
          <w:rFonts w:hint="eastAsia" w:ascii="仿宋_GB2312" w:hAnsi="仿宋_GB2312" w:eastAsia="仿宋_GB2312" w:cs="仿宋_GB2312"/>
          <w:kern w:val="0"/>
          <w:sz w:val="32"/>
          <w:szCs w:val="32"/>
          <w:highlight w:val="none"/>
          <w:shd w:val="clear" w:color="auto" w:fill="FFFFFF"/>
          <w:lang w:val="en-US" w:eastAsia="zh-CN" w:bidi="ar"/>
        </w:rPr>
        <w:t>5</w:t>
      </w:r>
      <w:r>
        <w:rPr>
          <w:rFonts w:hint="eastAsia" w:ascii="仿宋_GB2312" w:hAnsi="仿宋_GB2312" w:eastAsia="仿宋_GB2312" w:cs="仿宋_GB2312"/>
          <w:kern w:val="0"/>
          <w:sz w:val="32"/>
          <w:szCs w:val="32"/>
          <w:highlight w:val="none"/>
          <w:shd w:val="clear" w:color="auto" w:fill="FFFFFF"/>
          <w:lang w:bidi="ar"/>
        </w:rPr>
        <w:t>年</w:t>
      </w:r>
      <w:r>
        <w:rPr>
          <w:rFonts w:hint="eastAsia" w:ascii="仿宋_GB2312" w:hAnsi="仿宋_GB2312" w:eastAsia="仿宋_GB2312" w:cs="仿宋_GB2312"/>
          <w:kern w:val="0"/>
          <w:sz w:val="32"/>
          <w:szCs w:val="32"/>
          <w:highlight w:val="none"/>
          <w:shd w:val="clear" w:color="auto" w:fill="FFFFFF"/>
          <w:lang w:val="en-US" w:eastAsia="zh-CN" w:bidi="ar"/>
        </w:rPr>
        <w:t>8</w:t>
      </w:r>
      <w:r>
        <w:rPr>
          <w:rFonts w:hint="eastAsia" w:ascii="仿宋_GB2312" w:hAnsi="仿宋_GB2312" w:eastAsia="仿宋_GB2312" w:cs="仿宋_GB2312"/>
          <w:kern w:val="0"/>
          <w:sz w:val="32"/>
          <w:szCs w:val="32"/>
          <w:highlight w:val="none"/>
          <w:shd w:val="clear" w:color="auto" w:fill="FFFFFF"/>
          <w:lang w:bidi="ar"/>
        </w:rPr>
        <w:t>月</w:t>
      </w:r>
      <w:r>
        <w:rPr>
          <w:rFonts w:hint="eastAsia" w:ascii="仿宋_GB2312" w:hAnsi="仿宋_GB2312" w:eastAsia="仿宋_GB2312" w:cs="仿宋_GB2312"/>
          <w:kern w:val="0"/>
          <w:sz w:val="32"/>
          <w:szCs w:val="32"/>
          <w:highlight w:val="none"/>
          <w:shd w:val="clear" w:color="auto" w:fill="FFFFFF"/>
          <w:lang w:val="en-US" w:eastAsia="zh-CN" w:bidi="ar"/>
        </w:rPr>
        <w:t>4</w:t>
      </w:r>
      <w:r>
        <w:rPr>
          <w:rFonts w:hint="eastAsia" w:ascii="仿宋_GB2312" w:hAnsi="仿宋_GB2312" w:eastAsia="仿宋_GB2312" w:cs="仿宋_GB2312"/>
          <w:kern w:val="0"/>
          <w:sz w:val="32"/>
          <w:szCs w:val="32"/>
          <w:highlight w:val="none"/>
          <w:shd w:val="clear" w:color="auto" w:fill="FFFFFF"/>
          <w:lang w:bidi="ar"/>
        </w:rPr>
        <w:t>日</w:t>
      </w:r>
    </w:p>
    <w:p w14:paraId="6592E268">
      <w:pPr>
        <w:numPr>
          <w:ilvl w:val="255"/>
          <w:numId w:val="0"/>
        </w:numPr>
        <w:rPr>
          <w:rFonts w:hint="eastAsia" w:ascii="仿宋_GB2312" w:hAnsi="仿宋_GB2312" w:eastAsia="仿宋_GB2312" w:cs="仿宋_GB2312"/>
          <w:bCs/>
          <w:sz w:val="32"/>
          <w:szCs w:val="32"/>
          <w:highlight w:val="none"/>
        </w:rPr>
      </w:pPr>
    </w:p>
    <w:p w14:paraId="7D54D7C9">
      <w:pPr>
        <w:numPr>
          <w:ilvl w:val="255"/>
          <w:numId w:val="0"/>
        </w:numPr>
        <w:rPr>
          <w:rFonts w:hint="eastAsia" w:ascii="仿宋_GB2312" w:hAnsi="仿宋_GB2312" w:eastAsia="仿宋_GB2312" w:cs="仿宋_GB2312"/>
          <w:bCs/>
          <w:sz w:val="32"/>
          <w:szCs w:val="32"/>
          <w:highlight w:val="none"/>
        </w:rPr>
      </w:pPr>
    </w:p>
    <w:p w14:paraId="1F5AB9A8">
      <w:pPr>
        <w:numPr>
          <w:ilvl w:val="255"/>
          <w:numId w:val="0"/>
        </w:numPr>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rPr>
        <w:t>附件：1.投标文件格式</w:t>
      </w:r>
      <w:r>
        <w:rPr>
          <w:rFonts w:hint="eastAsia" w:ascii="仿宋_GB2312" w:hAnsi="仿宋_GB2312" w:eastAsia="仿宋_GB2312" w:cs="仿宋_GB2312"/>
          <w:bCs/>
          <w:sz w:val="32"/>
          <w:szCs w:val="32"/>
          <w:highlight w:val="none"/>
          <w:lang w:val="en-US" w:eastAsia="zh-CN"/>
        </w:rPr>
        <w:t>参考模板</w:t>
      </w:r>
    </w:p>
    <w:p w14:paraId="583ABF9F">
      <w:pPr>
        <w:numPr>
          <w:ilvl w:val="1"/>
          <w:numId w:val="13"/>
        </w:numPr>
        <w:ind w:left="420" w:leftChars="200"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封面（格式）</w:t>
      </w:r>
    </w:p>
    <w:p w14:paraId="6C30AAD1">
      <w:pPr>
        <w:numPr>
          <w:ilvl w:val="255"/>
          <w:numId w:val="0"/>
        </w:numPr>
        <w:ind w:left="420" w:leftChars="200"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1.2 投标书、报价表（格式）</w:t>
      </w:r>
    </w:p>
    <w:p w14:paraId="14A9F915">
      <w:pPr>
        <w:numPr>
          <w:ilvl w:val="255"/>
          <w:numId w:val="0"/>
        </w:numPr>
        <w:ind w:left="420" w:leftChars="200"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1.3 法定代表人（负责人）证明书（格式）</w:t>
      </w:r>
    </w:p>
    <w:p w14:paraId="04AB3651">
      <w:pPr>
        <w:numPr>
          <w:ilvl w:val="255"/>
          <w:numId w:val="0"/>
        </w:numPr>
        <w:ind w:left="420" w:leftChars="200" w:firstLine="640" w:firstLineChars="200"/>
        <w:rPr>
          <w:sz w:val="32"/>
          <w:szCs w:val="32"/>
          <w:highlight w:val="none"/>
        </w:rPr>
      </w:pPr>
      <w:r>
        <w:rPr>
          <w:rFonts w:hint="eastAsia" w:ascii="仿宋_GB2312" w:hAnsi="仿宋_GB2312" w:eastAsia="仿宋_GB2312" w:cs="仿宋_GB2312"/>
          <w:sz w:val="32"/>
          <w:szCs w:val="32"/>
          <w:highlight w:val="none"/>
        </w:rPr>
        <w:t>1.4 法定代表人授权委托书（格式）</w:t>
      </w:r>
    </w:p>
    <w:p w14:paraId="54A3AB71">
      <w:pPr>
        <w:ind w:left="1374" w:leftChars="504" w:hanging="316" w:hangingChars="99"/>
        <w:rPr>
          <w:highlight w:val="none"/>
        </w:rPr>
      </w:pPr>
      <w:r>
        <w:rPr>
          <w:rFonts w:hint="eastAsia" w:ascii="仿宋_GB2312" w:hAnsi="仿宋_GB2312" w:eastAsia="仿宋_GB2312" w:cs="仿宋_GB2312"/>
          <w:sz w:val="32"/>
          <w:szCs w:val="32"/>
          <w:highlight w:val="none"/>
        </w:rPr>
        <w:t>1.5 企业经验能力</w:t>
      </w:r>
      <w:r>
        <w:rPr>
          <w:rFonts w:hint="eastAsia" w:ascii="仿宋_GB2312" w:hAnsi="微软雅黑" w:eastAsia="仿宋_GB2312" w:cs="仿宋_GB2312"/>
          <w:sz w:val="32"/>
          <w:szCs w:val="32"/>
          <w:highlight w:val="none"/>
          <w:lang w:bidi="ar"/>
        </w:rPr>
        <w:t>（格式）</w:t>
      </w:r>
    </w:p>
    <w:p w14:paraId="3D90206E">
      <w:pPr>
        <w:numPr>
          <w:ilvl w:val="255"/>
          <w:numId w:val="0"/>
        </w:numPr>
        <w:ind w:left="420" w:leftChars="200" w:firstLine="640" w:firstLineChars="200"/>
        <w:rPr>
          <w:rFonts w:ascii="仿宋_GB2312" w:hAnsi="微软雅黑" w:eastAsia="仿宋_GB2312" w:cs="仿宋_GB2312"/>
          <w:sz w:val="32"/>
          <w:szCs w:val="32"/>
          <w:highlight w:val="none"/>
          <w:lang w:bidi="ar"/>
        </w:rPr>
      </w:pPr>
      <w:r>
        <w:rPr>
          <w:rFonts w:hint="eastAsia" w:ascii="仿宋_GB2312" w:hAnsi="微软雅黑" w:eastAsia="仿宋_GB2312" w:cs="仿宋_GB2312"/>
          <w:sz w:val="32"/>
          <w:szCs w:val="32"/>
          <w:highlight w:val="none"/>
          <w:lang w:bidi="ar"/>
        </w:rPr>
        <w:t>1.6 项目服务人员名单及综合能力经验文件（格式）</w:t>
      </w:r>
    </w:p>
    <w:p w14:paraId="768D43AB">
      <w:pPr>
        <w:ind w:left="1374" w:leftChars="504" w:hanging="316" w:hangingChars="99"/>
        <w:rPr>
          <w:rFonts w:eastAsia="仿宋_GB231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 xml:space="preserve"> 承诺函（格式）</w:t>
      </w:r>
    </w:p>
    <w:p w14:paraId="2166BBCF">
      <w:pPr>
        <w:numPr>
          <w:ilvl w:val="255"/>
          <w:numId w:val="0"/>
        </w:numPr>
        <w:ind w:left="420" w:leftChars="200" w:firstLine="419" w:firstLineChars="131"/>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2.符合性审查表</w:t>
      </w:r>
    </w:p>
    <w:p w14:paraId="4961B8E6">
      <w:pPr>
        <w:numPr>
          <w:ilvl w:val="255"/>
          <w:numId w:val="0"/>
        </w:numPr>
        <w:ind w:left="420" w:firstLine="420"/>
        <w:rPr>
          <w:rFonts w:ascii="仿宋_GB2312" w:hAnsi="仿宋_GB2312" w:eastAsia="仿宋_GB2312" w:cs="仿宋_GB2312"/>
          <w:sz w:val="28"/>
          <w:szCs w:val="28"/>
          <w:highlight w:val="none"/>
        </w:rPr>
      </w:pPr>
      <w:r>
        <w:rPr>
          <w:rFonts w:hint="eastAsia" w:ascii="仿宋_GB2312" w:hAnsi="仿宋_GB2312" w:eastAsia="仿宋_GB2312" w:cs="仿宋_GB2312"/>
          <w:sz w:val="32"/>
          <w:szCs w:val="32"/>
          <w:highlight w:val="none"/>
        </w:rPr>
        <w:t>3.综合评分表</w:t>
      </w:r>
    </w:p>
    <w:p w14:paraId="11557562">
      <w:pPr>
        <w:spacing w:line="360" w:lineRule="auto"/>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br w:type="page"/>
      </w:r>
      <w:r>
        <w:rPr>
          <w:rFonts w:hint="eastAsia" w:ascii="仿宋_GB2312" w:hAnsi="仿宋_GB2312" w:eastAsia="仿宋_GB2312" w:cs="仿宋_GB2312"/>
          <w:sz w:val="28"/>
          <w:szCs w:val="28"/>
          <w:highlight w:val="none"/>
        </w:rPr>
        <w:t>附件1.1 封面（格式）</w:t>
      </w:r>
    </w:p>
    <w:p w14:paraId="5E2A0737">
      <w:pPr>
        <w:pStyle w:val="2"/>
        <w:spacing w:after="0"/>
        <w:rPr>
          <w:rFonts w:hAnsi="宋体"/>
          <w:bCs/>
          <w:spacing w:val="6"/>
          <w:sz w:val="36"/>
          <w:szCs w:val="36"/>
          <w:highlight w:val="none"/>
        </w:rPr>
      </w:pPr>
    </w:p>
    <w:p w14:paraId="697594A1">
      <w:pPr>
        <w:jc w:val="center"/>
        <w:rPr>
          <w:rStyle w:val="53"/>
          <w:rFonts w:hint="eastAsia" w:ascii="方正小标宋简体" w:hAnsi="方正小标宋简体" w:eastAsia="方正小标宋简体"/>
          <w:sz w:val="44"/>
          <w:szCs w:val="44"/>
          <w:highlight w:val="none"/>
        </w:rPr>
      </w:pPr>
      <w:r>
        <w:rPr>
          <w:rStyle w:val="53"/>
          <w:rFonts w:hint="eastAsia" w:ascii="方正小标宋简体" w:hAnsi="方正小标宋简体" w:eastAsia="方正小标宋简体"/>
          <w:sz w:val="44"/>
          <w:szCs w:val="44"/>
          <w:highlight w:val="none"/>
          <w:lang w:val="en-US" w:eastAsia="zh-CN"/>
        </w:rPr>
        <w:t>南沙资产经营集团战略规划及综合管理</w:t>
      </w:r>
    </w:p>
    <w:p w14:paraId="49C643C9">
      <w:pPr>
        <w:jc w:val="center"/>
        <w:rPr>
          <w:rStyle w:val="53"/>
          <w:rFonts w:hint="eastAsia" w:ascii="方正小标宋简体" w:hAnsi="方正小标宋简体" w:eastAsia="方正小标宋简体"/>
          <w:sz w:val="44"/>
          <w:szCs w:val="44"/>
          <w:highlight w:val="none"/>
          <w:lang w:val="en-US" w:eastAsia="zh-CN"/>
        </w:rPr>
      </w:pPr>
      <w:r>
        <w:rPr>
          <w:rStyle w:val="53"/>
          <w:rFonts w:hint="eastAsia" w:ascii="方正小标宋简体" w:hAnsi="方正小标宋简体" w:eastAsia="方正小标宋简体"/>
          <w:sz w:val="44"/>
          <w:szCs w:val="44"/>
          <w:highlight w:val="none"/>
          <w:lang w:val="en-US" w:eastAsia="zh-CN"/>
        </w:rPr>
        <w:t>咨询</w:t>
      </w:r>
      <w:r>
        <w:rPr>
          <w:rStyle w:val="53"/>
          <w:rFonts w:hint="eastAsia" w:ascii="方正小标宋简体" w:hAnsi="方正小标宋简体" w:eastAsia="方正小标宋简体"/>
          <w:sz w:val="44"/>
          <w:szCs w:val="44"/>
          <w:highlight w:val="none"/>
        </w:rPr>
        <w:t>服务项目</w:t>
      </w:r>
      <w:r>
        <w:rPr>
          <w:rStyle w:val="53"/>
          <w:rFonts w:hint="eastAsia" w:ascii="方正小标宋简体" w:hAnsi="方正小标宋简体" w:eastAsia="方正小标宋简体"/>
          <w:sz w:val="44"/>
          <w:szCs w:val="44"/>
          <w:highlight w:val="none"/>
          <w:lang w:val="en-US" w:eastAsia="zh-CN"/>
        </w:rPr>
        <w:t>（第二次）</w:t>
      </w:r>
    </w:p>
    <w:p w14:paraId="29853212">
      <w:pPr>
        <w:jc w:val="center"/>
        <w:rPr>
          <w:rFonts w:ascii="方正小标宋简体" w:hAnsi="方正小标宋简体" w:eastAsia="方正小标宋简体" w:cs="方正小标宋简体"/>
          <w:b/>
          <w:sz w:val="96"/>
          <w:highlight w:val="none"/>
        </w:rPr>
      </w:pPr>
    </w:p>
    <w:p w14:paraId="32D3AA62">
      <w:pPr>
        <w:jc w:val="center"/>
        <w:outlineLvl w:val="0"/>
        <w:rPr>
          <w:rFonts w:ascii="方正小标宋简体" w:hAnsi="方正小标宋简体" w:eastAsia="方正小标宋简体" w:cs="方正小标宋简体"/>
          <w:bCs/>
          <w:spacing w:val="60"/>
          <w:sz w:val="72"/>
          <w:szCs w:val="72"/>
          <w:highlight w:val="none"/>
        </w:rPr>
      </w:pPr>
      <w:r>
        <w:rPr>
          <w:rFonts w:hint="eastAsia" w:ascii="方正小标宋简体" w:hAnsi="方正小标宋简体" w:eastAsia="方正小标宋简体" w:cs="方正小标宋简体"/>
          <w:bCs/>
          <w:spacing w:val="60"/>
          <w:sz w:val="72"/>
          <w:szCs w:val="72"/>
          <w:highlight w:val="none"/>
        </w:rPr>
        <w:t>投标文件</w:t>
      </w:r>
    </w:p>
    <w:p w14:paraId="06DCEC3F">
      <w:pPr>
        <w:jc w:val="center"/>
        <w:rPr>
          <w:rFonts w:ascii="方正小标宋简体" w:hAnsi="方正小标宋简体" w:eastAsia="方正小标宋简体" w:cs="方正小标宋简体"/>
          <w:bCs/>
          <w:sz w:val="48"/>
          <w:highlight w:val="none"/>
        </w:rPr>
      </w:pPr>
      <w:r>
        <w:rPr>
          <w:rFonts w:hint="eastAsia" w:ascii="方正小标宋简体" w:hAnsi="方正小标宋简体" w:eastAsia="方正小标宋简体" w:cs="方正小标宋简体"/>
          <w:bCs/>
          <w:sz w:val="32"/>
          <w:highlight w:val="none"/>
          <w:u w:val="single"/>
        </w:rPr>
        <w:t xml:space="preserve">    </w:t>
      </w:r>
      <w:r>
        <w:rPr>
          <w:rFonts w:hint="eastAsia" w:ascii="方正小标宋简体" w:hAnsi="方正小标宋简体" w:eastAsia="方正小标宋简体" w:cs="方正小标宋简体"/>
          <w:bCs/>
          <w:sz w:val="32"/>
          <w:highlight w:val="none"/>
        </w:rPr>
        <w:t xml:space="preserve">本（正本或副本） </w:t>
      </w:r>
    </w:p>
    <w:p w14:paraId="056186AE">
      <w:pPr>
        <w:jc w:val="center"/>
        <w:rPr>
          <w:rFonts w:ascii="宋体" w:hAnsi="宋体"/>
          <w:sz w:val="48"/>
          <w:highlight w:val="none"/>
        </w:rPr>
      </w:pPr>
    </w:p>
    <w:p w14:paraId="151D36D5">
      <w:pPr>
        <w:jc w:val="center"/>
        <w:rPr>
          <w:rFonts w:ascii="宋体" w:hAnsi="宋体"/>
          <w:sz w:val="48"/>
          <w:highlight w:val="none"/>
        </w:rPr>
      </w:pPr>
    </w:p>
    <w:p w14:paraId="4221A355">
      <w:pPr>
        <w:jc w:val="center"/>
        <w:rPr>
          <w:rFonts w:ascii="宋体" w:hAnsi="宋体"/>
          <w:sz w:val="48"/>
          <w:highlight w:val="none"/>
        </w:rPr>
      </w:pPr>
    </w:p>
    <w:p w14:paraId="19027EF7">
      <w:pPr>
        <w:jc w:val="center"/>
        <w:rPr>
          <w:rFonts w:ascii="宋体" w:hAnsi="宋体"/>
          <w:sz w:val="48"/>
          <w:highlight w:val="none"/>
        </w:rPr>
      </w:pPr>
    </w:p>
    <w:p w14:paraId="4BB0C398">
      <w:pPr>
        <w:jc w:val="center"/>
        <w:rPr>
          <w:rFonts w:ascii="宋体" w:hAnsi="宋体"/>
          <w:sz w:val="48"/>
          <w:highlight w:val="none"/>
        </w:rPr>
      </w:pPr>
    </w:p>
    <w:p w14:paraId="08898DB6">
      <w:pPr>
        <w:jc w:val="center"/>
        <w:rPr>
          <w:rFonts w:ascii="宋体" w:hAnsi="宋体"/>
          <w:sz w:val="48"/>
          <w:highlight w:val="none"/>
        </w:rPr>
      </w:pPr>
    </w:p>
    <w:p w14:paraId="25756880">
      <w:pPr>
        <w:ind w:left="1317" w:leftChars="627"/>
        <w:rPr>
          <w:rFonts w:ascii="方正小标宋简体" w:hAnsi="方正小标宋简体" w:eastAsia="方正小标宋简体" w:cs="方正小标宋简体"/>
          <w:sz w:val="28"/>
          <w:highlight w:val="none"/>
          <w:u w:val="single"/>
        </w:rPr>
      </w:pPr>
      <w:r>
        <w:rPr>
          <w:rFonts w:hint="eastAsia" w:ascii="方正小标宋简体" w:hAnsi="方正小标宋简体" w:eastAsia="方正小标宋简体" w:cs="方正小标宋简体"/>
          <w:sz w:val="28"/>
          <w:highlight w:val="none"/>
        </w:rPr>
        <w:t>投  标  人：</w:t>
      </w:r>
      <w:r>
        <w:rPr>
          <w:rFonts w:hint="eastAsia" w:ascii="方正小标宋简体" w:hAnsi="方正小标宋简体" w:eastAsia="方正小标宋简体" w:cs="方正小标宋简体"/>
          <w:sz w:val="28"/>
          <w:highlight w:val="none"/>
          <w:u w:val="single"/>
        </w:rPr>
        <w:t xml:space="preserve">               （公章）          </w:t>
      </w:r>
    </w:p>
    <w:p w14:paraId="239F86E1">
      <w:pPr>
        <w:ind w:left="1317" w:leftChars="627"/>
        <w:rPr>
          <w:rFonts w:ascii="方正小标宋简体" w:hAnsi="方正小标宋简体" w:eastAsia="方正小标宋简体" w:cs="方正小标宋简体"/>
          <w:sz w:val="28"/>
          <w:highlight w:val="none"/>
          <w:u w:val="single"/>
        </w:rPr>
      </w:pPr>
      <w:r>
        <w:rPr>
          <w:rFonts w:hint="eastAsia" w:ascii="方正小标宋简体" w:hAnsi="方正小标宋简体" w:eastAsia="方正小标宋简体" w:cs="方正小标宋简体"/>
          <w:sz w:val="28"/>
          <w:highlight w:val="none"/>
        </w:rPr>
        <w:t>法定代表人或授权委托人：</w:t>
      </w:r>
      <w:r>
        <w:rPr>
          <w:rFonts w:hint="eastAsia" w:ascii="方正小标宋简体" w:hAnsi="方正小标宋简体" w:eastAsia="方正小标宋简体" w:cs="方正小标宋简体"/>
          <w:sz w:val="28"/>
          <w:highlight w:val="none"/>
          <w:u w:val="single"/>
        </w:rPr>
        <w:t xml:space="preserve">    （签字）         </w:t>
      </w:r>
    </w:p>
    <w:p w14:paraId="37F589D0">
      <w:pPr>
        <w:ind w:left="1317" w:leftChars="627"/>
        <w:rPr>
          <w:rFonts w:ascii="方正小标宋简体" w:hAnsi="方正小标宋简体" w:eastAsia="方正小标宋简体" w:cs="方正小标宋简体"/>
          <w:sz w:val="28"/>
          <w:highlight w:val="none"/>
          <w:u w:val="single"/>
        </w:rPr>
      </w:pPr>
    </w:p>
    <w:p w14:paraId="1D4398D3">
      <w:pPr>
        <w:spacing w:line="600" w:lineRule="exact"/>
        <w:jc w:val="center"/>
        <w:rPr>
          <w:rFonts w:ascii="方正小标宋简体" w:hAnsi="方正小标宋简体" w:eastAsia="方正小标宋简体" w:cs="方正小标宋简体"/>
          <w:bCs/>
          <w:kern w:val="0"/>
          <w:sz w:val="32"/>
          <w:highlight w:val="none"/>
        </w:rPr>
      </w:pPr>
      <w:r>
        <w:rPr>
          <w:rFonts w:hint="eastAsia" w:ascii="方正小标宋简体" w:hAnsi="方正小标宋简体" w:eastAsia="方正小标宋简体" w:cs="方正小标宋简体"/>
          <w:bCs/>
          <w:kern w:val="0"/>
          <w:sz w:val="32"/>
          <w:highlight w:val="none"/>
        </w:rPr>
        <w:t>二〇二</w:t>
      </w:r>
      <w:r>
        <w:rPr>
          <w:rFonts w:hint="eastAsia" w:ascii="方正小标宋简体" w:hAnsi="方正小标宋简体" w:eastAsia="方正小标宋简体" w:cs="方正小标宋简体"/>
          <w:bCs/>
          <w:kern w:val="0"/>
          <w:sz w:val="32"/>
          <w:highlight w:val="none"/>
          <w:lang w:val="en-US" w:eastAsia="zh-CN"/>
        </w:rPr>
        <w:t>五</w:t>
      </w:r>
      <w:r>
        <w:rPr>
          <w:rFonts w:hint="eastAsia" w:ascii="方正小标宋简体" w:hAnsi="方正小标宋简体" w:eastAsia="方正小标宋简体" w:cs="方正小标宋简体"/>
          <w:bCs/>
          <w:kern w:val="0"/>
          <w:sz w:val="32"/>
          <w:highlight w:val="none"/>
        </w:rPr>
        <w:t>年</w:t>
      </w:r>
      <w:r>
        <w:rPr>
          <w:rFonts w:hint="eastAsia" w:ascii="方正小标宋简体" w:hAnsi="方正小标宋简体" w:eastAsia="方正小标宋简体" w:cs="方正小标宋简体"/>
          <w:bCs/>
          <w:kern w:val="0"/>
          <w:sz w:val="32"/>
          <w:highlight w:val="none"/>
          <w:lang w:val="en-US" w:eastAsia="zh-CN"/>
        </w:rPr>
        <w:t xml:space="preserve">  </w:t>
      </w:r>
      <w:r>
        <w:rPr>
          <w:rFonts w:hint="eastAsia" w:ascii="方正小标宋简体" w:hAnsi="方正小标宋简体" w:eastAsia="方正小标宋简体" w:cs="方正小标宋简体"/>
          <w:bCs/>
          <w:kern w:val="0"/>
          <w:sz w:val="32"/>
          <w:highlight w:val="none"/>
        </w:rPr>
        <w:t>月  日</w:t>
      </w:r>
    </w:p>
    <w:p w14:paraId="7ED94E3E">
      <w:pPr>
        <w:spacing w:line="360" w:lineRule="auto"/>
        <w:rPr>
          <w:rFonts w:ascii="仿宋_GB2312" w:hAnsi="仿宋_GB2312" w:eastAsia="仿宋_GB2312" w:cs="仿宋_GB2312"/>
          <w:sz w:val="28"/>
          <w:szCs w:val="21"/>
          <w:highlight w:val="none"/>
        </w:rPr>
      </w:pPr>
      <w:r>
        <w:rPr>
          <w:b/>
          <w:sz w:val="44"/>
          <w:szCs w:val="44"/>
          <w:highlight w:val="none"/>
        </w:rPr>
        <w:br w:type="page"/>
      </w:r>
      <w:r>
        <w:rPr>
          <w:rFonts w:hint="eastAsia" w:ascii="仿宋_GB2312" w:hAnsi="仿宋_GB2312" w:eastAsia="仿宋_GB2312" w:cs="仿宋_GB2312"/>
          <w:sz w:val="28"/>
          <w:szCs w:val="28"/>
          <w:highlight w:val="none"/>
        </w:rPr>
        <w:t xml:space="preserve">附件1.2 </w:t>
      </w:r>
      <w:r>
        <w:rPr>
          <w:rFonts w:hint="eastAsia" w:ascii="仿宋_GB2312" w:hAnsi="仿宋_GB2312" w:eastAsia="仿宋_GB2312" w:cs="仿宋_GB2312"/>
          <w:sz w:val="28"/>
          <w:szCs w:val="21"/>
          <w:highlight w:val="none"/>
        </w:rPr>
        <w:t>投标书（格式）</w:t>
      </w:r>
    </w:p>
    <w:p w14:paraId="3D5610ED">
      <w:pPr>
        <w:spacing w:line="360" w:lineRule="auto"/>
        <w:ind w:firstLine="480" w:firstLineChars="200"/>
        <w:rPr>
          <w:rFonts w:ascii="宋体" w:hAnsi="宋体"/>
          <w:sz w:val="24"/>
          <w:highlight w:val="none"/>
        </w:rPr>
      </w:pPr>
    </w:p>
    <w:p w14:paraId="3AE482DD">
      <w:pPr>
        <w:spacing w:line="500" w:lineRule="exact"/>
        <w:jc w:val="center"/>
        <w:outlineLvl w:val="0"/>
        <w:rPr>
          <w:rFonts w:ascii="方正小标宋简体" w:hAnsi="方正小标宋简体" w:eastAsia="方正小标宋简体" w:cs="方正小标宋简体"/>
          <w:b/>
          <w:bCs/>
          <w:sz w:val="36"/>
          <w:szCs w:val="36"/>
          <w:highlight w:val="none"/>
        </w:rPr>
      </w:pPr>
      <w:r>
        <w:rPr>
          <w:rFonts w:hint="eastAsia" w:ascii="方正小标宋简体" w:hAnsi="方正小标宋简体" w:eastAsia="方正小标宋简体" w:cs="方正小标宋简体"/>
          <w:b/>
          <w:bCs/>
          <w:sz w:val="36"/>
          <w:szCs w:val="36"/>
          <w:highlight w:val="none"/>
        </w:rPr>
        <w:t>投  标  书</w:t>
      </w:r>
    </w:p>
    <w:p w14:paraId="679E42C7">
      <w:pPr>
        <w:rPr>
          <w:rFonts w:ascii="宋体" w:hAnsi="宋体"/>
          <w:highlight w:val="none"/>
        </w:rPr>
      </w:pPr>
    </w:p>
    <w:p w14:paraId="2AE4BBDE">
      <w:pP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致：广州南沙资产经营集团有限公司</w:t>
      </w:r>
    </w:p>
    <w:p w14:paraId="6E460498">
      <w:pPr>
        <w:spacing w:line="360" w:lineRule="auto"/>
        <w:ind w:firstLine="480"/>
        <w:rPr>
          <w:rFonts w:ascii="仿宋_GB2312" w:hAnsi="仿宋_GB2312" w:eastAsia="仿宋_GB2312" w:cs="仿宋_GB2312"/>
          <w:sz w:val="24"/>
          <w:szCs w:val="24"/>
          <w:highlight w:val="none"/>
        </w:rPr>
      </w:pPr>
    </w:p>
    <w:p w14:paraId="2BF84A4D">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1.我们了解贵方南沙资产经营集团战略规划及综合管理</w:t>
      </w:r>
      <w:r>
        <w:rPr>
          <w:rFonts w:hint="eastAsia" w:ascii="仿宋_GB2312" w:hAnsi="仿宋_GB2312" w:eastAsia="仿宋_GB2312" w:cs="仿宋_GB2312"/>
          <w:sz w:val="24"/>
          <w:szCs w:val="24"/>
          <w:highlight w:val="none"/>
          <w:lang w:val="en-US" w:eastAsia="zh-CN"/>
        </w:rPr>
        <w:t>咨询</w:t>
      </w:r>
      <w:r>
        <w:rPr>
          <w:rFonts w:hint="eastAsia" w:ascii="仿宋_GB2312" w:hAnsi="仿宋_GB2312" w:eastAsia="仿宋_GB2312" w:cs="仿宋_GB2312"/>
          <w:sz w:val="24"/>
          <w:szCs w:val="24"/>
          <w:highlight w:val="none"/>
        </w:rPr>
        <w:t>服务项目</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第二次</w:t>
      </w:r>
      <w:bookmarkStart w:id="3" w:name="_GoBack"/>
      <w:bookmarkEnd w:id="3"/>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的招标文件后，经研究，愿以人民币（大写）</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元的总价，提供招标文件要求的</w:t>
      </w:r>
      <w:r>
        <w:rPr>
          <w:rFonts w:hint="eastAsia" w:ascii="仿宋_GB2312" w:hAnsi="仿宋_GB2312" w:eastAsia="仿宋_GB2312" w:cs="仿宋_GB2312"/>
          <w:sz w:val="24"/>
          <w:szCs w:val="24"/>
          <w:highlight w:val="none"/>
          <w:lang w:val="en-US" w:eastAsia="zh-CN"/>
        </w:rPr>
        <w:t>咨询</w:t>
      </w:r>
      <w:r>
        <w:rPr>
          <w:rFonts w:hint="eastAsia" w:ascii="仿宋_GB2312" w:hAnsi="仿宋_GB2312" w:eastAsia="仿宋_GB2312" w:cs="仿宋_GB2312"/>
          <w:sz w:val="24"/>
          <w:szCs w:val="24"/>
          <w:highlight w:val="none"/>
        </w:rPr>
        <w:t>服务工作，我方及为此项目提供服务的工作团队满足招标文件提出的各项规定和要求。</w:t>
      </w:r>
    </w:p>
    <w:p w14:paraId="27F3B9C5">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2、如果贵方接受我方投标，我方保证按招标文件的要求按时全部完成此项目</w:t>
      </w:r>
      <w:r>
        <w:rPr>
          <w:rFonts w:hint="eastAsia" w:ascii="仿宋_GB2312" w:hAnsi="仿宋_GB2312" w:eastAsia="仿宋_GB2312" w:cs="仿宋_GB2312"/>
          <w:sz w:val="24"/>
          <w:szCs w:val="24"/>
          <w:highlight w:val="none"/>
          <w:lang w:val="en-US" w:eastAsia="zh-CN"/>
        </w:rPr>
        <w:t>咨询</w:t>
      </w:r>
      <w:r>
        <w:rPr>
          <w:rFonts w:hint="eastAsia" w:ascii="仿宋_GB2312" w:hAnsi="仿宋_GB2312" w:eastAsia="仿宋_GB2312" w:cs="仿宋_GB2312"/>
          <w:sz w:val="24"/>
          <w:szCs w:val="24"/>
          <w:highlight w:val="none"/>
        </w:rPr>
        <w:t>服务工作。</w:t>
      </w:r>
    </w:p>
    <w:p w14:paraId="12990EEC">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3．如果我方在中标通知书写明的期限内未能或拒绝与你单位签订合同协议书，你单位有权另选中标单位。</w:t>
      </w:r>
    </w:p>
    <w:p w14:paraId="36281607">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4、一旦我方中标，我方将按照相关的法律法规和签订的合同来履行自己的责任和义务。除非另外达成协议并生效，贵方的招标文件和中标通知书以及本项目实施计划书将构成约束我们双方的合同。</w:t>
      </w:r>
    </w:p>
    <w:p w14:paraId="1ADC5DDC">
      <w:pPr>
        <w:spacing w:line="360" w:lineRule="auto"/>
        <w:ind w:firstLine="48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5、我方理解，贵方可选择任何部分或全部项目与投标人签约，也不一定接受最低标价的投标。同时也理解，你单位不负担我们的任何投标费用。</w:t>
      </w:r>
    </w:p>
    <w:p w14:paraId="0EEDF9E9">
      <w:pPr>
        <w:spacing w:line="360" w:lineRule="auto"/>
        <w:ind w:firstLine="480"/>
        <w:rPr>
          <w:rFonts w:ascii="仿宋_GB2312" w:hAnsi="仿宋_GB2312" w:eastAsia="仿宋_GB2312" w:cs="仿宋_GB2312"/>
          <w:sz w:val="24"/>
          <w:szCs w:val="24"/>
          <w:highlight w:val="none"/>
        </w:rPr>
      </w:pPr>
    </w:p>
    <w:p w14:paraId="67027D4A">
      <w:pPr>
        <w:spacing w:line="360" w:lineRule="auto"/>
        <w:ind w:firstLine="480"/>
        <w:rPr>
          <w:rFonts w:ascii="仿宋_GB2312" w:hAnsi="仿宋_GB2312" w:eastAsia="仿宋_GB2312" w:cs="仿宋_GB2312"/>
          <w:sz w:val="24"/>
          <w:szCs w:val="24"/>
          <w:highlight w:val="none"/>
        </w:rPr>
      </w:pPr>
    </w:p>
    <w:tbl>
      <w:tblPr>
        <w:tblStyle w:val="18"/>
        <w:tblW w:w="9287" w:type="dxa"/>
        <w:tblInd w:w="0" w:type="dxa"/>
        <w:tblLayout w:type="fixed"/>
        <w:tblCellMar>
          <w:top w:w="0" w:type="dxa"/>
          <w:left w:w="108" w:type="dxa"/>
          <w:bottom w:w="0" w:type="dxa"/>
          <w:right w:w="108" w:type="dxa"/>
        </w:tblCellMar>
      </w:tblPr>
      <w:tblGrid>
        <w:gridCol w:w="4643"/>
        <w:gridCol w:w="4644"/>
      </w:tblGrid>
      <w:tr w14:paraId="19F0807F">
        <w:tblPrEx>
          <w:tblCellMar>
            <w:top w:w="0" w:type="dxa"/>
            <w:left w:w="108" w:type="dxa"/>
            <w:bottom w:w="0" w:type="dxa"/>
            <w:right w:w="108" w:type="dxa"/>
          </w:tblCellMar>
        </w:tblPrEx>
        <w:tc>
          <w:tcPr>
            <w:tcW w:w="4643" w:type="dxa"/>
          </w:tcPr>
          <w:p w14:paraId="2891B342">
            <w:pP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投标人地址：</w:t>
            </w:r>
            <w:r>
              <w:rPr>
                <w:rFonts w:hint="eastAsia" w:ascii="仿宋_GB2312" w:hAnsi="仿宋_GB2312" w:eastAsia="仿宋_GB2312" w:cs="仿宋_GB2312"/>
                <w:sz w:val="24"/>
                <w:szCs w:val="24"/>
                <w:highlight w:val="none"/>
                <w:u w:val="single"/>
              </w:rPr>
              <w:t xml:space="preserve">                      </w:t>
            </w:r>
          </w:p>
          <w:p w14:paraId="3AC89288">
            <w:pP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电      话：</w:t>
            </w:r>
            <w:r>
              <w:rPr>
                <w:rFonts w:hint="eastAsia" w:ascii="仿宋_GB2312" w:hAnsi="仿宋_GB2312" w:eastAsia="仿宋_GB2312" w:cs="仿宋_GB2312"/>
                <w:sz w:val="24"/>
                <w:szCs w:val="24"/>
                <w:highlight w:val="none"/>
                <w:u w:val="single"/>
              </w:rPr>
              <w:t xml:space="preserve">                      </w:t>
            </w:r>
          </w:p>
          <w:p w14:paraId="567B5EE3">
            <w:pPr>
              <w:spacing w:line="360" w:lineRule="auto"/>
              <w:rPr>
                <w:rFonts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传      真：</w:t>
            </w:r>
            <w:r>
              <w:rPr>
                <w:rFonts w:hint="eastAsia" w:ascii="仿宋_GB2312" w:hAnsi="仿宋_GB2312" w:eastAsia="仿宋_GB2312" w:cs="仿宋_GB2312"/>
                <w:sz w:val="24"/>
                <w:szCs w:val="24"/>
                <w:highlight w:val="none"/>
                <w:u w:val="single"/>
              </w:rPr>
              <w:t xml:space="preserve">                     </w:t>
            </w:r>
          </w:p>
          <w:p w14:paraId="39FC3461">
            <w:pP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pacing w:val="40"/>
                <w:kern w:val="0"/>
                <w:sz w:val="24"/>
                <w:szCs w:val="24"/>
                <w:highlight w:val="none"/>
              </w:rPr>
              <w:t>邮政编</w:t>
            </w:r>
            <w:r>
              <w:rPr>
                <w:rFonts w:hint="eastAsia" w:ascii="仿宋_GB2312" w:hAnsi="仿宋_GB2312" w:eastAsia="仿宋_GB2312" w:cs="仿宋_GB2312"/>
                <w:kern w:val="0"/>
                <w:sz w:val="24"/>
                <w:szCs w:val="24"/>
                <w:highlight w:val="none"/>
              </w:rPr>
              <w:t>码</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u w:val="single"/>
              </w:rPr>
              <w:t xml:space="preserve">                      </w:t>
            </w:r>
          </w:p>
        </w:tc>
        <w:tc>
          <w:tcPr>
            <w:tcW w:w="4644" w:type="dxa"/>
          </w:tcPr>
          <w:p w14:paraId="62975456">
            <w:pP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投标人名称：</w:t>
            </w:r>
            <w:r>
              <w:rPr>
                <w:rFonts w:hint="eastAsia" w:ascii="仿宋_GB2312" w:hAnsi="仿宋_GB2312" w:eastAsia="仿宋_GB2312" w:cs="仿宋_GB2312"/>
                <w:sz w:val="24"/>
                <w:szCs w:val="24"/>
                <w:highlight w:val="none"/>
                <w:u w:val="single"/>
              </w:rPr>
              <w:t xml:space="preserve"> (盖章)               </w:t>
            </w:r>
          </w:p>
          <w:p w14:paraId="73676091">
            <w:pP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法人代表或授权代表</w:t>
            </w:r>
          </w:p>
          <w:p w14:paraId="4FE1AABB">
            <w:pPr>
              <w:spacing w:line="360" w:lineRule="auto"/>
              <w:rPr>
                <w:rFonts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u w:val="single"/>
              </w:rPr>
              <w:t xml:space="preserve">     职务、姓名       （签字）  </w:t>
            </w:r>
          </w:p>
          <w:p w14:paraId="1A29C895">
            <w:pP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日      期：</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日</w:t>
            </w:r>
          </w:p>
        </w:tc>
      </w:tr>
    </w:tbl>
    <w:p w14:paraId="7D22A0C0">
      <w:pPr>
        <w:spacing w:line="360" w:lineRule="auto"/>
        <w:rPr>
          <w:rFonts w:ascii="仿宋_GB2312" w:hAnsi="仿宋_GB2312" w:eastAsia="仿宋_GB2312" w:cs="仿宋_GB2312"/>
          <w:sz w:val="28"/>
          <w:szCs w:val="28"/>
          <w:highlight w:val="none"/>
        </w:rPr>
      </w:pPr>
      <w:r>
        <w:rPr>
          <w:rFonts w:ascii="仿宋_GB2312" w:hAnsi="仿宋_GB2312" w:eastAsia="仿宋_GB2312" w:cs="仿宋_GB2312"/>
          <w:sz w:val="24"/>
          <w:szCs w:val="24"/>
          <w:highlight w:val="none"/>
        </w:rPr>
        <w:br w:type="page"/>
      </w:r>
      <w:r>
        <w:rPr>
          <w:rFonts w:hint="eastAsia" w:ascii="仿宋_GB2312" w:hAnsi="仿宋_GB2312" w:eastAsia="仿宋_GB2312" w:cs="仿宋_GB2312"/>
          <w:sz w:val="28"/>
          <w:szCs w:val="28"/>
          <w:highlight w:val="none"/>
        </w:rPr>
        <w:t>报价表（格式）</w:t>
      </w:r>
    </w:p>
    <w:p w14:paraId="1B4A53CB">
      <w:pPr>
        <w:jc w:val="center"/>
        <w:rPr>
          <w:rFonts w:hint="eastAsia" w:ascii="方正小标宋简体" w:hAnsi="方正小标宋简体" w:eastAsia="方正小标宋简体" w:cs="方正小标宋简体"/>
          <w:bCs/>
          <w:spacing w:val="6"/>
          <w:sz w:val="36"/>
          <w:szCs w:val="36"/>
          <w:highlight w:val="none"/>
          <w:lang w:val="en-US" w:eastAsia="zh-CN"/>
        </w:rPr>
      </w:pPr>
      <w:r>
        <w:rPr>
          <w:rFonts w:hint="eastAsia" w:ascii="方正小标宋简体" w:hAnsi="方正小标宋简体" w:eastAsia="方正小标宋简体" w:cs="方正小标宋简体"/>
          <w:bCs/>
          <w:spacing w:val="6"/>
          <w:sz w:val="36"/>
          <w:szCs w:val="36"/>
          <w:highlight w:val="none"/>
          <w:lang w:val="en-US" w:eastAsia="zh-CN"/>
        </w:rPr>
        <w:t>南沙资产经营集团战略规划及综合管理咨询</w:t>
      </w:r>
    </w:p>
    <w:p w14:paraId="078F8C1B">
      <w:pPr>
        <w:jc w:val="center"/>
        <w:rPr>
          <w:rFonts w:ascii="方正小标宋简体" w:hAnsi="华文仿宋" w:eastAsia="方正小标宋简体"/>
          <w:bCs/>
          <w:sz w:val="36"/>
          <w:szCs w:val="36"/>
          <w:highlight w:val="none"/>
        </w:rPr>
      </w:pPr>
      <w:r>
        <w:rPr>
          <w:rFonts w:hint="eastAsia" w:ascii="方正小标宋简体" w:hAnsi="方正小标宋简体" w:eastAsia="方正小标宋简体" w:cs="方正小标宋简体"/>
          <w:bCs/>
          <w:spacing w:val="6"/>
          <w:sz w:val="36"/>
          <w:szCs w:val="36"/>
          <w:highlight w:val="none"/>
        </w:rPr>
        <w:t>服务项目</w:t>
      </w:r>
      <w:r>
        <w:rPr>
          <w:rFonts w:hint="eastAsia" w:eastAsia="方正小标宋简体"/>
          <w:sz w:val="36"/>
          <w:szCs w:val="36"/>
          <w:highlight w:val="none"/>
          <w:lang w:eastAsia="zh-CN"/>
        </w:rPr>
        <w:t>（</w:t>
      </w:r>
      <w:r>
        <w:rPr>
          <w:rFonts w:hint="eastAsia" w:eastAsia="方正小标宋简体"/>
          <w:sz w:val="36"/>
          <w:szCs w:val="36"/>
          <w:highlight w:val="none"/>
          <w:lang w:val="en-US" w:eastAsia="zh-CN"/>
        </w:rPr>
        <w:t>第二次</w:t>
      </w:r>
      <w:r>
        <w:rPr>
          <w:rFonts w:hint="eastAsia" w:eastAsia="方正小标宋简体"/>
          <w:sz w:val="36"/>
          <w:szCs w:val="36"/>
          <w:highlight w:val="none"/>
          <w:lang w:eastAsia="zh-CN"/>
        </w:rPr>
        <w:t>）</w:t>
      </w:r>
      <w:r>
        <w:rPr>
          <w:rFonts w:hint="eastAsia" w:ascii="方正小标宋简体" w:hAnsi="方正小标宋简体" w:eastAsia="方正小标宋简体" w:cs="方正小标宋简体"/>
          <w:bCs/>
          <w:spacing w:val="6"/>
          <w:sz w:val="36"/>
          <w:szCs w:val="36"/>
          <w:highlight w:val="none"/>
        </w:rPr>
        <w:t>报价表</w:t>
      </w:r>
    </w:p>
    <w:p w14:paraId="42559392">
      <w:pPr>
        <w:widowControl/>
        <w:spacing w:line="360" w:lineRule="auto"/>
        <w:jc w:val="center"/>
        <w:rPr>
          <w:rFonts w:ascii="仿宋_GB2312" w:hAnsi="仿宋_GB2312" w:eastAsia="仿宋_GB2312" w:cs="仿宋_GB2312"/>
          <w:kern w:val="0"/>
          <w:sz w:val="28"/>
          <w:szCs w:val="28"/>
          <w:highlight w:val="none"/>
        </w:rPr>
      </w:pPr>
    </w:p>
    <w:tbl>
      <w:tblPr>
        <w:tblStyle w:val="18"/>
        <w:tblW w:w="9180" w:type="dxa"/>
        <w:tblInd w:w="0" w:type="dxa"/>
        <w:tblLayout w:type="fixed"/>
        <w:tblCellMar>
          <w:top w:w="0" w:type="dxa"/>
          <w:left w:w="108" w:type="dxa"/>
          <w:bottom w:w="0" w:type="dxa"/>
          <w:right w:w="108" w:type="dxa"/>
        </w:tblCellMar>
      </w:tblPr>
      <w:tblGrid>
        <w:gridCol w:w="1342"/>
        <w:gridCol w:w="3680"/>
        <w:gridCol w:w="1410"/>
        <w:gridCol w:w="2748"/>
      </w:tblGrid>
      <w:tr w14:paraId="681F42B7">
        <w:tblPrEx>
          <w:tblCellMar>
            <w:top w:w="0" w:type="dxa"/>
            <w:left w:w="108" w:type="dxa"/>
            <w:bottom w:w="0" w:type="dxa"/>
            <w:right w:w="108" w:type="dxa"/>
          </w:tblCellMar>
        </w:tblPrEx>
        <w:trPr>
          <w:trHeight w:val="1406" w:hRule="atLeast"/>
        </w:trPr>
        <w:tc>
          <w:tcPr>
            <w:tcW w:w="1342" w:type="dxa"/>
            <w:tcBorders>
              <w:top w:val="single" w:color="000000" w:sz="4" w:space="0"/>
              <w:left w:val="single" w:color="000000" w:sz="4" w:space="0"/>
              <w:bottom w:val="single" w:color="000000" w:sz="4" w:space="0"/>
              <w:right w:val="single" w:color="000000" w:sz="4" w:space="0"/>
            </w:tcBorders>
            <w:vAlign w:val="center"/>
          </w:tcPr>
          <w:p w14:paraId="10D0F7A5">
            <w:pPr>
              <w:widowControl/>
              <w:spacing w:line="360" w:lineRule="auto"/>
              <w:jc w:val="cente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项目名称</w:t>
            </w:r>
          </w:p>
        </w:tc>
        <w:tc>
          <w:tcPr>
            <w:tcW w:w="3680" w:type="dxa"/>
            <w:tcBorders>
              <w:top w:val="single" w:color="000000" w:sz="4" w:space="0"/>
              <w:left w:val="nil"/>
              <w:bottom w:val="single" w:color="000000" w:sz="4" w:space="0"/>
              <w:right w:val="single" w:color="000000" w:sz="4" w:space="0"/>
            </w:tcBorders>
            <w:vAlign w:val="center"/>
          </w:tcPr>
          <w:p w14:paraId="316FFD7F">
            <w:pPr>
              <w:widowControl/>
              <w:spacing w:line="360" w:lineRule="auto"/>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南沙资产经营集团战略规划及综合管理</w:t>
            </w:r>
            <w:r>
              <w:rPr>
                <w:rFonts w:hint="eastAsia" w:ascii="仿宋_GB2312" w:hAnsi="仿宋_GB2312" w:eastAsia="仿宋_GB2312" w:cs="仿宋_GB2312"/>
                <w:kern w:val="0"/>
                <w:sz w:val="28"/>
                <w:szCs w:val="28"/>
                <w:highlight w:val="none"/>
                <w:lang w:val="en-US" w:eastAsia="zh-CN"/>
              </w:rPr>
              <w:t>咨询</w:t>
            </w:r>
            <w:r>
              <w:rPr>
                <w:rFonts w:hint="eastAsia" w:ascii="仿宋_GB2312" w:hAnsi="仿宋_GB2312" w:eastAsia="仿宋_GB2312" w:cs="仿宋_GB2312"/>
                <w:kern w:val="0"/>
                <w:sz w:val="28"/>
                <w:szCs w:val="28"/>
                <w:highlight w:val="none"/>
              </w:rPr>
              <w:t>服务项目</w:t>
            </w:r>
            <w:r>
              <w:rPr>
                <w:rFonts w:hint="eastAsia" w:ascii="仿宋_GB2312" w:hAnsi="仿宋_GB2312" w:eastAsia="仿宋_GB2312" w:cs="仿宋_GB2312"/>
                <w:kern w:val="0"/>
                <w:sz w:val="28"/>
                <w:szCs w:val="28"/>
                <w:highlight w:val="none"/>
                <w:lang w:eastAsia="zh-CN"/>
              </w:rPr>
              <w:t>（</w:t>
            </w:r>
            <w:r>
              <w:rPr>
                <w:rFonts w:hint="eastAsia" w:ascii="仿宋_GB2312" w:hAnsi="仿宋_GB2312" w:eastAsia="仿宋_GB2312" w:cs="仿宋_GB2312"/>
                <w:kern w:val="0"/>
                <w:sz w:val="28"/>
                <w:szCs w:val="28"/>
                <w:highlight w:val="none"/>
                <w:lang w:val="en-US" w:eastAsia="zh-CN"/>
              </w:rPr>
              <w:t>第二次</w:t>
            </w:r>
            <w:r>
              <w:rPr>
                <w:rFonts w:hint="eastAsia" w:ascii="仿宋_GB2312" w:hAnsi="仿宋_GB2312" w:eastAsia="仿宋_GB2312" w:cs="仿宋_GB2312"/>
                <w:kern w:val="0"/>
                <w:sz w:val="28"/>
                <w:szCs w:val="28"/>
                <w:highlight w:val="none"/>
                <w:lang w:eastAsia="zh-CN"/>
              </w:rPr>
              <w:t>）</w:t>
            </w:r>
          </w:p>
        </w:tc>
        <w:tc>
          <w:tcPr>
            <w:tcW w:w="1410" w:type="dxa"/>
            <w:tcBorders>
              <w:top w:val="single" w:color="000000" w:sz="4" w:space="0"/>
              <w:left w:val="nil"/>
              <w:bottom w:val="single" w:color="000000" w:sz="4" w:space="0"/>
              <w:right w:val="single" w:color="000000" w:sz="4" w:space="0"/>
            </w:tcBorders>
            <w:vAlign w:val="center"/>
          </w:tcPr>
          <w:p w14:paraId="52FECB88">
            <w:pPr>
              <w:widowControl/>
              <w:spacing w:line="360" w:lineRule="auto"/>
              <w:jc w:val="cente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项目报价</w:t>
            </w:r>
          </w:p>
        </w:tc>
        <w:tc>
          <w:tcPr>
            <w:tcW w:w="2748" w:type="dxa"/>
            <w:tcBorders>
              <w:top w:val="single" w:color="000000" w:sz="4" w:space="0"/>
              <w:left w:val="nil"/>
              <w:bottom w:val="single" w:color="000000" w:sz="4" w:space="0"/>
              <w:right w:val="single" w:color="000000" w:sz="4" w:space="0"/>
            </w:tcBorders>
            <w:vAlign w:val="center"/>
          </w:tcPr>
          <w:p w14:paraId="27CCD174">
            <w:pPr>
              <w:widowControl/>
              <w:spacing w:line="360"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w:t>
            </w:r>
            <w:r>
              <w:rPr>
                <w:rFonts w:hint="eastAsia" w:ascii="仿宋_GB2312" w:hAnsi="仿宋_GB2312" w:eastAsia="仿宋_GB2312" w:cs="仿宋_GB2312"/>
                <w:kern w:val="0"/>
                <w:sz w:val="28"/>
                <w:szCs w:val="28"/>
                <w:highlight w:val="none"/>
                <w:lang w:val="en-US" w:eastAsia="zh-CN"/>
              </w:rPr>
              <w:t>万</w:t>
            </w:r>
            <w:r>
              <w:rPr>
                <w:rFonts w:hint="eastAsia" w:ascii="仿宋_GB2312" w:hAnsi="仿宋_GB2312" w:eastAsia="仿宋_GB2312" w:cs="仿宋_GB2312"/>
                <w:kern w:val="0"/>
                <w:sz w:val="28"/>
                <w:szCs w:val="28"/>
                <w:highlight w:val="none"/>
              </w:rPr>
              <w:t>元</w:t>
            </w:r>
          </w:p>
          <w:p w14:paraId="74D60058">
            <w:pPr>
              <w:widowControl/>
              <w:spacing w:line="360" w:lineRule="auto"/>
              <w:jc w:val="center"/>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lang w:eastAsia="zh-CN"/>
              </w:rPr>
              <w:t>（不含税总价款</w:t>
            </w:r>
            <w:r>
              <w:rPr>
                <w:rFonts w:hint="eastAsia" w:ascii="仿宋_GB2312" w:hAnsi="仿宋_GB2312" w:eastAsia="仿宋_GB2312" w:cs="仿宋_GB2312"/>
                <w:kern w:val="0"/>
                <w:sz w:val="28"/>
                <w:szCs w:val="28"/>
                <w:highlight w:val="none"/>
                <w:lang w:val="en-US" w:eastAsia="zh-CN"/>
              </w:rPr>
              <w:t xml:space="preserve">为       万元，税率为   </w:t>
            </w:r>
            <w:r>
              <w:rPr>
                <w:rFonts w:hint="eastAsia" w:ascii="仿宋_GB2312" w:hAnsi="仿宋_GB2312" w:eastAsia="仿宋_GB2312" w:cs="仿宋_GB2312"/>
                <w:kern w:val="0"/>
                <w:sz w:val="28"/>
                <w:szCs w:val="28"/>
                <w:highlight w:val="none"/>
                <w:lang w:eastAsia="zh-CN"/>
              </w:rPr>
              <w:t>）</w:t>
            </w:r>
          </w:p>
        </w:tc>
      </w:tr>
      <w:tr w14:paraId="2C578821">
        <w:tblPrEx>
          <w:tblCellMar>
            <w:top w:w="0" w:type="dxa"/>
            <w:left w:w="108" w:type="dxa"/>
            <w:bottom w:w="0" w:type="dxa"/>
            <w:right w:w="108" w:type="dxa"/>
          </w:tblCellMar>
        </w:tblPrEx>
        <w:trPr>
          <w:trHeight w:val="1413" w:hRule="atLeast"/>
        </w:trPr>
        <w:tc>
          <w:tcPr>
            <w:tcW w:w="9180" w:type="dxa"/>
            <w:gridSpan w:val="4"/>
            <w:tcBorders>
              <w:top w:val="single" w:color="000000" w:sz="4" w:space="0"/>
              <w:left w:val="single" w:color="000000" w:sz="4" w:space="0"/>
              <w:bottom w:val="single" w:color="000000" w:sz="4" w:space="0"/>
              <w:right w:val="single" w:color="000000" w:sz="4" w:space="0"/>
            </w:tcBorders>
            <w:vAlign w:val="center"/>
          </w:tcPr>
          <w:p w14:paraId="21385BD6">
            <w:pPr>
              <w:widowControl/>
              <w:spacing w:line="360" w:lineRule="auto"/>
              <w:ind w:firstLine="0" w:firstLineChars="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大写人民币</w:t>
            </w:r>
            <w:r>
              <w:rPr>
                <w:rFonts w:hint="eastAsia" w:ascii="仿宋_GB2312" w:hAnsi="仿宋_GB2312" w:eastAsia="仿宋_GB2312" w:cs="仿宋_GB2312"/>
                <w:kern w:val="0"/>
                <w:sz w:val="28"/>
                <w:szCs w:val="28"/>
                <w:highlight w:val="none"/>
                <w:u w:val="single"/>
              </w:rPr>
              <w:t xml:space="preserve">                                   </w:t>
            </w:r>
            <w:r>
              <w:rPr>
                <w:rFonts w:hint="eastAsia" w:ascii="仿宋_GB2312" w:hAnsi="仿宋_GB2312" w:eastAsia="仿宋_GB2312" w:cs="仿宋_GB2312"/>
                <w:kern w:val="0"/>
                <w:sz w:val="28"/>
                <w:szCs w:val="28"/>
                <w:highlight w:val="none"/>
              </w:rPr>
              <w:t>元整</w:t>
            </w:r>
          </w:p>
          <w:p w14:paraId="53211A1B">
            <w:pPr>
              <w:widowControl/>
              <w:spacing w:line="360" w:lineRule="auto"/>
              <w:ind w:firstLine="0" w:firstLineChars="0"/>
              <w:jc w:val="center"/>
              <w:rPr>
                <w:rFonts w:hint="eastAsia" w:ascii="仿宋_GB2312" w:hAnsi="仿宋_GB2312" w:eastAsia="仿宋_GB2312" w:cs="仿宋_GB2312"/>
                <w:kern w:val="0"/>
                <w:sz w:val="28"/>
                <w:szCs w:val="28"/>
                <w:highlight w:val="none"/>
                <w:u w:val="single"/>
                <w:lang w:eastAsia="zh-CN"/>
              </w:rPr>
            </w:pPr>
            <w:r>
              <w:rPr>
                <w:rFonts w:hint="eastAsia" w:ascii="仿宋_GB2312" w:hAnsi="仿宋_GB2312" w:eastAsia="仿宋_GB2312" w:cs="仿宋_GB2312"/>
                <w:kern w:val="0"/>
                <w:sz w:val="28"/>
                <w:szCs w:val="28"/>
                <w:highlight w:val="none"/>
                <w:lang w:eastAsia="zh-CN"/>
              </w:rPr>
              <w:t>（不含税总价款</w:t>
            </w:r>
            <w:r>
              <w:rPr>
                <w:rFonts w:hint="eastAsia" w:ascii="仿宋_GB2312" w:hAnsi="仿宋_GB2312" w:eastAsia="仿宋_GB2312" w:cs="仿宋_GB2312"/>
                <w:kern w:val="0"/>
                <w:sz w:val="28"/>
                <w:szCs w:val="28"/>
                <w:highlight w:val="none"/>
                <w:lang w:val="en-US" w:eastAsia="zh-CN"/>
              </w:rPr>
              <w:t xml:space="preserve">为     万元，税率为   </w:t>
            </w:r>
            <w:r>
              <w:rPr>
                <w:rFonts w:hint="eastAsia" w:ascii="仿宋_GB2312" w:hAnsi="仿宋_GB2312" w:eastAsia="仿宋_GB2312" w:cs="仿宋_GB2312"/>
                <w:kern w:val="0"/>
                <w:sz w:val="28"/>
                <w:szCs w:val="28"/>
                <w:highlight w:val="none"/>
                <w:lang w:eastAsia="zh-CN"/>
              </w:rPr>
              <w:t>）</w:t>
            </w:r>
          </w:p>
        </w:tc>
      </w:tr>
    </w:tbl>
    <w:p w14:paraId="1C21C935">
      <w:pPr>
        <w:spacing w:line="440" w:lineRule="exact"/>
        <w:rPr>
          <w:rFonts w:ascii="宋体" w:hAnsi="宋体" w:cs="宋体"/>
          <w:szCs w:val="21"/>
          <w:highlight w:val="none"/>
        </w:rPr>
      </w:pPr>
      <w:r>
        <w:rPr>
          <w:rFonts w:hint="eastAsia" w:ascii="宋体" w:hAnsi="宋体" w:cs="宋体"/>
          <w:szCs w:val="21"/>
          <w:highlight w:val="none"/>
        </w:rPr>
        <w:t>注：（1）项目的报价，按照标书内容进行报价；投标人报价应具有合理性，禁止恶性杀价和不正当竞争；</w:t>
      </w:r>
    </w:p>
    <w:p w14:paraId="5286244F">
      <w:pPr>
        <w:numPr>
          <w:ilvl w:val="0"/>
          <w:numId w:val="14"/>
        </w:numPr>
        <w:spacing w:line="440" w:lineRule="exact"/>
        <w:ind w:firstLine="420" w:firstLineChars="200"/>
        <w:rPr>
          <w:rFonts w:ascii="宋体" w:hAnsi="宋体" w:cs="宋体"/>
          <w:szCs w:val="21"/>
          <w:highlight w:val="none"/>
        </w:rPr>
      </w:pPr>
      <w:r>
        <w:rPr>
          <w:rFonts w:hint="eastAsia" w:ascii="宋体" w:hAnsi="宋体" w:cs="宋体"/>
          <w:szCs w:val="21"/>
          <w:highlight w:val="none"/>
        </w:rPr>
        <w:t>投标报价货币：投标人提供的价格必须用人民币报价</w:t>
      </w:r>
      <w:r>
        <w:rPr>
          <w:rFonts w:hint="eastAsia" w:ascii="宋体" w:hAnsi="宋体" w:cs="宋体"/>
          <w:szCs w:val="21"/>
          <w:highlight w:val="none"/>
          <w:lang w:eastAsia="zh-CN"/>
        </w:rPr>
        <w:t>，</w:t>
      </w:r>
      <w:r>
        <w:rPr>
          <w:rFonts w:hint="eastAsia" w:ascii="宋体" w:hAnsi="宋体" w:cs="宋体"/>
          <w:szCs w:val="21"/>
          <w:highlight w:val="none"/>
          <w:lang w:val="en-US" w:eastAsia="zh-CN"/>
        </w:rPr>
        <w:t>不得提供多个报价</w:t>
      </w:r>
      <w:r>
        <w:rPr>
          <w:rFonts w:hint="eastAsia" w:ascii="宋体" w:hAnsi="宋体" w:cs="宋体"/>
          <w:szCs w:val="21"/>
          <w:highlight w:val="none"/>
        </w:rPr>
        <w:t>；</w:t>
      </w:r>
    </w:p>
    <w:p w14:paraId="2CD1D462">
      <w:pPr>
        <w:numPr>
          <w:ilvl w:val="0"/>
          <w:numId w:val="14"/>
        </w:numPr>
        <w:spacing w:line="440" w:lineRule="exact"/>
        <w:ind w:firstLine="420" w:firstLineChars="200"/>
        <w:rPr>
          <w:rFonts w:ascii="宋体" w:hAnsi="宋体" w:cs="宋体"/>
          <w:szCs w:val="21"/>
          <w:highlight w:val="none"/>
        </w:rPr>
      </w:pPr>
      <w:r>
        <w:rPr>
          <w:rFonts w:hint="eastAsia" w:ascii="宋体" w:hAnsi="宋体" w:cs="宋体"/>
          <w:szCs w:val="21"/>
          <w:highlight w:val="none"/>
        </w:rPr>
        <w:t>承接本合同项目需缴纳的一切费用包括但不限于服务费、税费、市内交通费、通讯费、住宿费、餐费以及投标人其它因本项目而产生的一切费用,包括合同实施过程中不可预见费用等。均由投标人承担，并包含在报价总额内；</w:t>
      </w:r>
    </w:p>
    <w:p w14:paraId="6CBD9681">
      <w:pPr>
        <w:numPr>
          <w:ilvl w:val="0"/>
          <w:numId w:val="14"/>
        </w:numPr>
        <w:spacing w:line="440" w:lineRule="exact"/>
        <w:ind w:firstLine="420" w:firstLineChars="200"/>
        <w:rPr>
          <w:highlight w:val="none"/>
        </w:rPr>
      </w:pPr>
      <w:r>
        <w:rPr>
          <w:rFonts w:hint="eastAsia" w:ascii="宋体" w:hAnsi="宋体" w:cs="宋体"/>
          <w:szCs w:val="21"/>
          <w:highlight w:val="none"/>
        </w:rPr>
        <w:t>最终报价应为综合总价，报价以人民币报价，最高报价不得超过</w:t>
      </w:r>
      <w:r>
        <w:rPr>
          <w:rFonts w:hint="eastAsia" w:ascii="宋体" w:hAnsi="宋体" w:cs="宋体"/>
          <w:szCs w:val="21"/>
          <w:highlight w:val="none"/>
          <w:lang w:val="en-US" w:eastAsia="zh-CN"/>
        </w:rPr>
        <w:t>190万元</w:t>
      </w:r>
      <w:r>
        <w:rPr>
          <w:rFonts w:hint="eastAsia" w:ascii="宋体" w:hAnsi="宋体" w:cs="宋体"/>
          <w:szCs w:val="21"/>
          <w:highlight w:val="none"/>
        </w:rPr>
        <w:t>（含税）</w:t>
      </w:r>
      <w:r>
        <w:rPr>
          <w:rFonts w:hint="eastAsia" w:ascii="宋体" w:hAnsi="宋体" w:cs="宋体"/>
          <w:szCs w:val="21"/>
          <w:highlight w:val="none"/>
          <w:lang w:val="en-US" w:eastAsia="zh-CN"/>
        </w:rPr>
        <w:t>且最低报价不得低于160万元</w:t>
      </w:r>
      <w:r>
        <w:rPr>
          <w:rFonts w:hint="eastAsia" w:ascii="宋体" w:hAnsi="宋体" w:cs="宋体"/>
          <w:szCs w:val="21"/>
          <w:highlight w:val="none"/>
        </w:rPr>
        <w:t>（含税）。</w:t>
      </w:r>
    </w:p>
    <w:p w14:paraId="7E41E29C">
      <w:pPr>
        <w:spacing w:line="360" w:lineRule="auto"/>
        <w:jc w:val="left"/>
        <w:rPr>
          <w:rFonts w:ascii="仿宋_GB2312" w:hAnsi="仿宋_GB2312" w:eastAsia="仿宋_GB2312" w:cs="仿宋_GB2312"/>
          <w:b/>
          <w:sz w:val="28"/>
          <w:szCs w:val="28"/>
          <w:highlight w:val="none"/>
        </w:rPr>
      </w:pPr>
    </w:p>
    <w:p w14:paraId="6E3AF12F">
      <w:pPr>
        <w:spacing w:line="360" w:lineRule="auto"/>
        <w:ind w:firstLine="3360" w:firstLineChars="1200"/>
        <w:jc w:val="left"/>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 xml:space="preserve">报价单位（公章）：                                        </w:t>
      </w:r>
    </w:p>
    <w:p w14:paraId="16B1601A">
      <w:pPr>
        <w:spacing w:line="360" w:lineRule="auto"/>
        <w:ind w:firstLine="3920" w:firstLineChars="1400"/>
        <w:jc w:val="left"/>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日期：</w:t>
      </w:r>
    </w:p>
    <w:p w14:paraId="57602D1E">
      <w:pPr>
        <w:spacing w:line="360" w:lineRule="auto"/>
        <w:jc w:val="left"/>
        <w:rPr>
          <w:rFonts w:ascii="仿宋_GB2312" w:hAnsi="仿宋_GB2312" w:eastAsia="仿宋_GB2312" w:cs="仿宋_GB2312"/>
          <w:sz w:val="28"/>
          <w:szCs w:val="28"/>
          <w:highlight w:val="none"/>
        </w:rPr>
      </w:pPr>
      <w:r>
        <w:rPr>
          <w:rFonts w:hint="eastAsia" w:ascii="仿宋_GB2312" w:hAnsi="仿宋_GB2312" w:eastAsia="仿宋_GB2312" w:cs="仿宋_GB2312"/>
          <w:bCs/>
          <w:sz w:val="28"/>
          <w:szCs w:val="28"/>
          <w:highlight w:val="none"/>
        </w:rPr>
        <w:br w:type="page"/>
      </w:r>
      <w:r>
        <w:rPr>
          <w:rFonts w:hint="eastAsia" w:ascii="仿宋_GB2312" w:hAnsi="仿宋_GB2312" w:eastAsia="仿宋_GB2312" w:cs="仿宋_GB2312"/>
          <w:sz w:val="28"/>
          <w:szCs w:val="28"/>
          <w:highlight w:val="none"/>
        </w:rPr>
        <w:t>附件1.3 法定代表人证明书</w:t>
      </w:r>
    </w:p>
    <w:p w14:paraId="6DABC740">
      <w:pPr>
        <w:spacing w:line="360" w:lineRule="auto"/>
        <w:jc w:val="center"/>
        <w:rPr>
          <w:rFonts w:ascii="宋体" w:hAnsi="宋体" w:cs="宋体"/>
          <w:b/>
          <w:sz w:val="32"/>
          <w:szCs w:val="32"/>
          <w:highlight w:val="none"/>
        </w:rPr>
      </w:pPr>
    </w:p>
    <w:p w14:paraId="77A40FBB">
      <w:pPr>
        <w:spacing w:line="360" w:lineRule="auto"/>
        <w:jc w:val="center"/>
        <w:rPr>
          <w:rFonts w:ascii="方正小标宋简体" w:hAnsi="方正小标宋简体" w:eastAsia="方正小标宋简体" w:cs="方正小标宋简体"/>
          <w:bCs/>
          <w:sz w:val="36"/>
          <w:szCs w:val="36"/>
          <w:highlight w:val="none"/>
        </w:rPr>
      </w:pPr>
      <w:r>
        <w:rPr>
          <w:rFonts w:hint="eastAsia" w:ascii="方正小标宋简体" w:hAnsi="方正小标宋简体" w:eastAsia="方正小标宋简体" w:cs="方正小标宋简体"/>
          <w:bCs/>
          <w:sz w:val="36"/>
          <w:szCs w:val="36"/>
          <w:highlight w:val="none"/>
        </w:rPr>
        <w:t>法定代表人证明书</w:t>
      </w:r>
    </w:p>
    <w:p w14:paraId="10F1B244">
      <w:pPr>
        <w:tabs>
          <w:tab w:val="left" w:pos="900"/>
        </w:tabs>
        <w:spacing w:line="360" w:lineRule="auto"/>
        <w:ind w:firstLine="990" w:firstLineChars="450"/>
        <w:rPr>
          <w:rFonts w:ascii="仿宋_GB2312" w:hAnsi="仿宋_GB2312" w:eastAsia="仿宋_GB2312" w:cs="仿宋_GB2312"/>
          <w:sz w:val="22"/>
          <w:szCs w:val="22"/>
          <w:highlight w:val="none"/>
        </w:rPr>
      </w:pPr>
      <w:r>
        <w:rPr>
          <w:rFonts w:hint="eastAsia" w:ascii="宋体" w:hAnsi="宋体" w:cs="宋体"/>
          <w:sz w:val="22"/>
          <w:szCs w:val="22"/>
          <w:highlight w:val="none"/>
        </w:rPr>
        <w:t>______________</w:t>
      </w:r>
      <w:r>
        <w:rPr>
          <w:rFonts w:hint="eastAsia" w:ascii="仿宋_GB2312" w:hAnsi="仿宋_GB2312" w:eastAsia="仿宋_GB2312" w:cs="仿宋_GB2312"/>
          <w:sz w:val="22"/>
          <w:szCs w:val="22"/>
          <w:highlight w:val="none"/>
        </w:rPr>
        <w:t>同志，现任我单位</w:t>
      </w:r>
      <w:r>
        <w:rPr>
          <w:rFonts w:hint="eastAsia" w:ascii="仿宋_GB2312" w:hAnsi="仿宋_GB2312" w:eastAsia="仿宋_GB2312" w:cs="仿宋_GB2312"/>
          <w:sz w:val="22"/>
          <w:szCs w:val="22"/>
          <w:highlight w:val="none"/>
          <w:u w:val="single"/>
        </w:rPr>
        <w:t xml:space="preserve">         </w:t>
      </w:r>
      <w:r>
        <w:rPr>
          <w:rFonts w:hint="eastAsia" w:ascii="仿宋_GB2312" w:hAnsi="仿宋_GB2312" w:eastAsia="仿宋_GB2312" w:cs="仿宋_GB2312"/>
          <w:sz w:val="22"/>
          <w:szCs w:val="22"/>
          <w:highlight w:val="none"/>
        </w:rPr>
        <w:t>职务，为法定代表人，特此证明。</w:t>
      </w:r>
    </w:p>
    <w:p w14:paraId="5BE92A29">
      <w:pPr>
        <w:spacing w:line="360" w:lineRule="auto"/>
        <w:ind w:firstLine="440" w:firstLineChars="200"/>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本证明书自签发之日起生效，有效期：</w:t>
      </w:r>
      <w:r>
        <w:rPr>
          <w:rFonts w:hint="eastAsia" w:ascii="仿宋_GB2312" w:hAnsi="仿宋_GB2312" w:eastAsia="仿宋_GB2312" w:cs="仿宋_GB2312"/>
          <w:sz w:val="22"/>
          <w:szCs w:val="22"/>
          <w:highlight w:val="none"/>
          <w:u w:val="single"/>
        </w:rPr>
        <w:t xml:space="preserve">                                    </w:t>
      </w:r>
      <w:r>
        <w:rPr>
          <w:rFonts w:hint="eastAsia" w:ascii="仿宋_GB2312" w:hAnsi="仿宋_GB2312" w:eastAsia="仿宋_GB2312" w:cs="仿宋_GB2312"/>
          <w:sz w:val="22"/>
          <w:szCs w:val="22"/>
          <w:highlight w:val="none"/>
        </w:rPr>
        <w:t>。</w:t>
      </w:r>
    </w:p>
    <w:p w14:paraId="2C099C8A">
      <w:pPr>
        <w:spacing w:line="360" w:lineRule="auto"/>
        <w:ind w:firstLine="440" w:firstLineChars="200"/>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 xml:space="preserve">       </w:t>
      </w:r>
    </w:p>
    <w:p w14:paraId="37BCC73E">
      <w:pPr>
        <w:spacing w:line="360" w:lineRule="auto"/>
        <w:ind w:firstLine="440" w:firstLineChars="200"/>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附：</w:t>
      </w:r>
    </w:p>
    <w:p w14:paraId="183F3405">
      <w:pPr>
        <w:spacing w:line="360" w:lineRule="auto"/>
        <w:ind w:firstLine="880" w:firstLineChars="400"/>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 xml:space="preserve">营业执照（注册号或统一社会信用代码）：  </w:t>
      </w:r>
      <w:r>
        <w:rPr>
          <w:rFonts w:hint="eastAsia" w:ascii="仿宋_GB2312" w:hAnsi="仿宋_GB2312" w:eastAsia="仿宋_GB2312" w:cs="仿宋_GB2312"/>
          <w:sz w:val="22"/>
          <w:szCs w:val="22"/>
          <w:highlight w:val="none"/>
          <w:u w:val="single"/>
        </w:rPr>
        <w:t xml:space="preserve">                </w:t>
      </w:r>
      <w:r>
        <w:rPr>
          <w:rFonts w:hint="eastAsia" w:ascii="仿宋_GB2312" w:hAnsi="仿宋_GB2312" w:eastAsia="仿宋_GB2312" w:cs="仿宋_GB2312"/>
          <w:sz w:val="22"/>
          <w:szCs w:val="22"/>
          <w:highlight w:val="none"/>
        </w:rPr>
        <w:t xml:space="preserve"> </w:t>
      </w:r>
    </w:p>
    <w:p w14:paraId="2B194A96">
      <w:pPr>
        <w:spacing w:line="360" w:lineRule="auto"/>
        <w:ind w:firstLine="880" w:firstLineChars="400"/>
        <w:rPr>
          <w:rFonts w:ascii="仿宋_GB2312" w:hAnsi="仿宋_GB2312" w:eastAsia="仿宋_GB2312" w:cs="仿宋_GB2312"/>
          <w:sz w:val="22"/>
          <w:szCs w:val="22"/>
          <w:highlight w:val="none"/>
          <w:u w:val="single"/>
        </w:rPr>
      </w:pPr>
      <w:r>
        <w:rPr>
          <w:rFonts w:hint="eastAsia" w:ascii="仿宋_GB2312" w:hAnsi="仿宋_GB2312" w:eastAsia="仿宋_GB2312" w:cs="仿宋_GB2312"/>
          <w:sz w:val="22"/>
          <w:szCs w:val="22"/>
          <w:highlight w:val="none"/>
        </w:rPr>
        <w:t>经济性质：</w:t>
      </w:r>
      <w:r>
        <w:rPr>
          <w:rFonts w:hint="eastAsia" w:ascii="仿宋_GB2312" w:hAnsi="仿宋_GB2312" w:eastAsia="仿宋_GB2312" w:cs="仿宋_GB2312"/>
          <w:sz w:val="22"/>
          <w:szCs w:val="22"/>
          <w:highlight w:val="none"/>
          <w:u w:val="single"/>
        </w:rPr>
        <w:t xml:space="preserve">                 </w:t>
      </w:r>
    </w:p>
    <w:p w14:paraId="7D772F8E">
      <w:pPr>
        <w:spacing w:line="360" w:lineRule="auto"/>
        <w:ind w:firstLine="880" w:firstLineChars="400"/>
        <w:rPr>
          <w:rFonts w:ascii="仿宋_GB2312" w:hAnsi="仿宋_GB2312" w:eastAsia="仿宋_GB2312" w:cs="仿宋_GB2312"/>
          <w:sz w:val="22"/>
          <w:szCs w:val="22"/>
          <w:highlight w:val="none"/>
          <w:u w:val="single"/>
        </w:rPr>
      </w:pPr>
      <w:r>
        <w:rPr>
          <w:rFonts w:hint="eastAsia" w:ascii="仿宋_GB2312" w:hAnsi="仿宋_GB2312" w:eastAsia="仿宋_GB2312" w:cs="仿宋_GB2312"/>
          <w:sz w:val="22"/>
          <w:szCs w:val="22"/>
          <w:highlight w:val="none"/>
        </w:rPr>
        <w:t xml:space="preserve">经营范围： </w:t>
      </w:r>
      <w:r>
        <w:rPr>
          <w:rFonts w:hint="eastAsia" w:ascii="仿宋_GB2312" w:hAnsi="仿宋_GB2312" w:eastAsia="仿宋_GB2312" w:cs="仿宋_GB2312"/>
          <w:sz w:val="22"/>
          <w:szCs w:val="22"/>
          <w:highlight w:val="none"/>
          <w:u w:val="single"/>
        </w:rPr>
        <w:t xml:space="preserve">                                                      </w:t>
      </w:r>
    </w:p>
    <w:p w14:paraId="728FC2B7">
      <w:pPr>
        <w:spacing w:line="360" w:lineRule="auto"/>
        <w:ind w:firstLine="840" w:firstLineChars="400"/>
        <w:rPr>
          <w:rFonts w:ascii="宋体" w:hAnsi="宋体" w:cs="宋体"/>
          <w:szCs w:val="21"/>
          <w:highlight w:val="none"/>
        </w:rPr>
      </w:pPr>
      <w:r>
        <w:rPr>
          <w:rFonts w:hint="eastAsia" w:ascii="宋体" w:hAnsi="宋体" w:cs="宋体"/>
          <w:szCs w:val="21"/>
          <w:highlight w:val="none"/>
        </w:rPr>
        <mc:AlternateContent>
          <mc:Choice Requires="wpg">
            <w:drawing>
              <wp:anchor distT="0" distB="0" distL="114300" distR="114300" simplePos="0" relativeHeight="251662336"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14:paraId="72F9E8EA">
                              <w:pPr>
                                <w:ind w:firstLine="960" w:firstLineChars="400"/>
                                <w:rPr>
                                  <w:rFonts w:ascii="仿宋_GB2312" w:hAnsi="仿宋_GB2312" w:eastAsia="仿宋_GB2312" w:cs="仿宋_GB2312"/>
                                  <w:sz w:val="24"/>
                                  <w:szCs w:val="24"/>
                                </w:rPr>
                              </w:pPr>
                            </w:p>
                            <w:p w14:paraId="5E71196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p w14:paraId="2131353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居民身份证复印件粘贴处</w:t>
                              </w:r>
                            </w:p>
                            <w:p w14:paraId="19FECD31">
                              <w:pPr>
                                <w:ind w:firstLine="1200" w:firstLineChars="500"/>
                                <w:jc w:val="center"/>
                                <w:rPr>
                                  <w:rFonts w:ascii="仿宋_GB2312" w:hAnsi="仿宋_GB2312" w:eastAsia="仿宋_GB2312" w:cs="仿宋_GB2312"/>
                                  <w:sz w:val="24"/>
                                  <w:szCs w:val="24"/>
                                </w:rPr>
                              </w:pPr>
                            </w:p>
                            <w:p w14:paraId="53C5969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（正面）</w:t>
                              </w:r>
                            </w:p>
                            <w:p w14:paraId="59D668D2">
                              <w:pPr>
                                <w:ind w:firstLine="1200" w:firstLineChars="500"/>
                                <w:rPr>
                                  <w:rFonts w:ascii="仿宋_GB2312" w:hAnsi="仿宋_GB2312" w:eastAsia="仿宋_GB2312" w:cs="仿宋_GB2312"/>
                                  <w:sz w:val="24"/>
                                  <w:szCs w:val="24"/>
                                </w:rPr>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14:paraId="66C6AC5C">
                              <w:pPr>
                                <w:ind w:firstLine="960" w:firstLineChars="400"/>
                                <w:jc w:val="left"/>
                                <w:rPr>
                                  <w:rFonts w:ascii="仿宋_GB2312" w:hAnsi="仿宋_GB2312" w:eastAsia="仿宋_GB2312" w:cs="仿宋_GB2312"/>
                                  <w:sz w:val="24"/>
                                  <w:szCs w:val="24"/>
                                </w:rPr>
                              </w:pPr>
                            </w:p>
                            <w:p w14:paraId="1027201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p w14:paraId="59D50BF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居民身份证复印件粘贴处</w:t>
                              </w:r>
                            </w:p>
                            <w:p w14:paraId="363BCDFE">
                              <w:pPr>
                                <w:ind w:firstLine="1200" w:firstLineChars="500"/>
                                <w:jc w:val="center"/>
                                <w:rPr>
                                  <w:rFonts w:ascii="仿宋_GB2312" w:hAnsi="仿宋_GB2312" w:eastAsia="仿宋_GB2312" w:cs="仿宋_GB2312"/>
                                  <w:sz w:val="24"/>
                                  <w:szCs w:val="24"/>
                                </w:rPr>
                              </w:pPr>
                            </w:p>
                            <w:p w14:paraId="04A9EB9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（反面）</w:t>
                              </w:r>
                            </w:p>
                            <w:p w14:paraId="205C17D7">
                              <w:pPr>
                                <w:ind w:firstLine="1050" w:firstLineChars="500"/>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2336;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4KsswNkAAAAJAQAADwAAAAAAAAABACAAAAAiAAAAZHJzL2Rvd25yZXYueG1sUEsB&#10;AhQAFAAAAAgAh07iQGdOIxzYAgAAeggAAA4AAAAAAAAAAQAgAAAAKAEAAGRycy9lMm9Eb2MueG1s&#10;UEsFBgAAAAAGAAYAWQEAAHIGA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72F9E8EA">
                        <w:pPr>
                          <w:ind w:firstLine="960" w:firstLineChars="400"/>
                          <w:rPr>
                            <w:rFonts w:ascii="仿宋_GB2312" w:hAnsi="仿宋_GB2312" w:eastAsia="仿宋_GB2312" w:cs="仿宋_GB2312"/>
                            <w:sz w:val="24"/>
                            <w:szCs w:val="24"/>
                          </w:rPr>
                        </w:pPr>
                      </w:p>
                      <w:p w14:paraId="5E71196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p w14:paraId="2131353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居民身份证复印件粘贴处</w:t>
                        </w:r>
                      </w:p>
                      <w:p w14:paraId="19FECD31">
                        <w:pPr>
                          <w:ind w:firstLine="1200" w:firstLineChars="500"/>
                          <w:jc w:val="center"/>
                          <w:rPr>
                            <w:rFonts w:ascii="仿宋_GB2312" w:hAnsi="仿宋_GB2312" w:eastAsia="仿宋_GB2312" w:cs="仿宋_GB2312"/>
                            <w:sz w:val="24"/>
                            <w:szCs w:val="24"/>
                          </w:rPr>
                        </w:pPr>
                      </w:p>
                      <w:p w14:paraId="53C5969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（正面）</w:t>
                        </w:r>
                      </w:p>
                      <w:p w14:paraId="59D668D2">
                        <w:pPr>
                          <w:ind w:firstLine="1200" w:firstLineChars="500"/>
                          <w:rPr>
                            <w:rFonts w:ascii="仿宋_GB2312" w:hAnsi="仿宋_GB2312" w:eastAsia="仿宋_GB2312" w:cs="仿宋_GB2312"/>
                            <w:sz w:val="24"/>
                            <w:szCs w:val="24"/>
                          </w:rPr>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66C6AC5C">
                        <w:pPr>
                          <w:ind w:firstLine="960" w:firstLineChars="400"/>
                          <w:jc w:val="left"/>
                          <w:rPr>
                            <w:rFonts w:ascii="仿宋_GB2312" w:hAnsi="仿宋_GB2312" w:eastAsia="仿宋_GB2312" w:cs="仿宋_GB2312"/>
                            <w:sz w:val="24"/>
                            <w:szCs w:val="24"/>
                          </w:rPr>
                        </w:pPr>
                      </w:p>
                      <w:p w14:paraId="1027201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p w14:paraId="59D50BF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居民身份证复印件粘贴处</w:t>
                        </w:r>
                      </w:p>
                      <w:p w14:paraId="363BCDFE">
                        <w:pPr>
                          <w:ind w:firstLine="1200" w:firstLineChars="500"/>
                          <w:jc w:val="center"/>
                          <w:rPr>
                            <w:rFonts w:ascii="仿宋_GB2312" w:hAnsi="仿宋_GB2312" w:eastAsia="仿宋_GB2312" w:cs="仿宋_GB2312"/>
                            <w:sz w:val="24"/>
                            <w:szCs w:val="24"/>
                          </w:rPr>
                        </w:pPr>
                      </w:p>
                      <w:p w14:paraId="04A9EB9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（反面）</w:t>
                        </w:r>
                      </w:p>
                      <w:p w14:paraId="205C17D7">
                        <w:pPr>
                          <w:ind w:firstLine="1050" w:firstLineChars="500"/>
                        </w:pPr>
                      </w:p>
                    </w:txbxContent>
                  </v:textbox>
                </v:rect>
              </v:group>
            </w:pict>
          </mc:Fallback>
        </mc:AlternateContent>
      </w:r>
    </w:p>
    <w:p w14:paraId="299B92EC">
      <w:pPr>
        <w:spacing w:line="360" w:lineRule="auto"/>
        <w:rPr>
          <w:rFonts w:ascii="宋体" w:hAnsi="宋体" w:cs="宋体"/>
          <w:b/>
          <w:bCs/>
          <w:szCs w:val="21"/>
          <w:highlight w:val="none"/>
        </w:rPr>
      </w:pPr>
    </w:p>
    <w:p w14:paraId="506BC481">
      <w:pPr>
        <w:spacing w:line="360" w:lineRule="auto"/>
        <w:rPr>
          <w:rFonts w:ascii="宋体" w:hAnsi="宋体" w:cs="宋体"/>
          <w:b/>
          <w:bCs/>
          <w:szCs w:val="21"/>
          <w:highlight w:val="none"/>
        </w:rPr>
      </w:pPr>
    </w:p>
    <w:p w14:paraId="2E1B0502">
      <w:pPr>
        <w:spacing w:line="360" w:lineRule="auto"/>
        <w:rPr>
          <w:rFonts w:ascii="宋体" w:hAnsi="宋体" w:cs="宋体"/>
          <w:b/>
          <w:bCs/>
          <w:szCs w:val="21"/>
          <w:highlight w:val="none"/>
        </w:rPr>
      </w:pPr>
    </w:p>
    <w:p w14:paraId="4952511A">
      <w:pPr>
        <w:spacing w:line="360" w:lineRule="auto"/>
        <w:rPr>
          <w:rFonts w:ascii="宋体" w:hAnsi="宋体" w:cs="宋体"/>
          <w:b/>
          <w:bCs/>
          <w:szCs w:val="21"/>
          <w:highlight w:val="none"/>
        </w:rPr>
      </w:pPr>
    </w:p>
    <w:p w14:paraId="27E467DC">
      <w:pPr>
        <w:spacing w:line="360" w:lineRule="auto"/>
        <w:rPr>
          <w:rFonts w:ascii="宋体" w:hAnsi="宋体" w:cs="宋体"/>
          <w:b/>
          <w:bCs/>
          <w:szCs w:val="21"/>
          <w:highlight w:val="none"/>
        </w:rPr>
      </w:pPr>
    </w:p>
    <w:p w14:paraId="1C1C3F70">
      <w:pPr>
        <w:spacing w:line="360" w:lineRule="auto"/>
        <w:rPr>
          <w:rFonts w:ascii="宋体" w:hAnsi="宋体" w:cs="宋体"/>
          <w:b/>
          <w:bCs/>
          <w:szCs w:val="21"/>
          <w:highlight w:val="none"/>
        </w:rPr>
      </w:pPr>
    </w:p>
    <w:p w14:paraId="11A505FE">
      <w:pPr>
        <w:spacing w:line="360" w:lineRule="auto"/>
        <w:rPr>
          <w:rFonts w:ascii="宋体" w:hAnsi="宋体" w:cs="宋体"/>
          <w:b/>
          <w:bCs/>
          <w:szCs w:val="21"/>
          <w:highlight w:val="none"/>
        </w:rPr>
      </w:pPr>
      <w:r>
        <w:rPr>
          <w:rFonts w:hint="eastAsia" w:ascii="宋体" w:hAnsi="宋体" w:cs="宋体"/>
          <w:b/>
          <w:bCs/>
          <w:szCs w:val="21"/>
          <w:highlight w:val="none"/>
        </w:rPr>
        <w:t xml:space="preserve">                         </w:t>
      </w:r>
    </w:p>
    <w:p w14:paraId="01D2655C">
      <w:pPr>
        <w:spacing w:line="360" w:lineRule="auto"/>
        <w:jc w:val="center"/>
        <w:rPr>
          <w:rFonts w:ascii="宋体" w:hAnsi="宋体" w:cs="宋体"/>
          <w:szCs w:val="21"/>
          <w:highlight w:val="none"/>
        </w:rPr>
      </w:pPr>
      <w:r>
        <w:rPr>
          <w:rFonts w:hint="eastAsia" w:ascii="宋体" w:hAnsi="宋体" w:cs="宋体"/>
          <w:szCs w:val="21"/>
          <w:highlight w:val="none"/>
        </w:rPr>
        <w:t xml:space="preserve">                   </w:t>
      </w:r>
    </w:p>
    <w:p w14:paraId="5B0AB00A">
      <w:pPr>
        <w:spacing w:line="360" w:lineRule="auto"/>
        <w:jc w:val="center"/>
        <w:rPr>
          <w:rFonts w:ascii="仿宋_GB2312" w:hAnsi="仿宋_GB2312" w:eastAsia="仿宋_GB2312" w:cs="仿宋_GB2312"/>
          <w:sz w:val="22"/>
          <w:szCs w:val="22"/>
          <w:highlight w:val="none"/>
        </w:rPr>
      </w:pPr>
      <w:r>
        <w:rPr>
          <w:rFonts w:hint="eastAsia" w:ascii="宋体" w:hAnsi="宋体" w:cs="宋体"/>
          <w:szCs w:val="21"/>
          <w:highlight w:val="none"/>
        </w:rPr>
        <w:t xml:space="preserve">                 </w:t>
      </w:r>
      <w:r>
        <w:rPr>
          <w:rFonts w:hint="eastAsia" w:ascii="仿宋_GB2312" w:hAnsi="仿宋_GB2312" w:eastAsia="仿宋_GB2312" w:cs="仿宋_GB2312"/>
          <w:sz w:val="22"/>
          <w:szCs w:val="22"/>
          <w:highlight w:val="none"/>
        </w:rPr>
        <w:t xml:space="preserve">    单位名称（盖公章）：</w:t>
      </w:r>
    </w:p>
    <w:p w14:paraId="516F4125">
      <w:pPr>
        <w:spacing w:line="360" w:lineRule="auto"/>
        <w:jc w:val="right"/>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 xml:space="preserve">                                          </w:t>
      </w:r>
    </w:p>
    <w:p w14:paraId="7E93CF2C">
      <w:pPr>
        <w:spacing w:line="360" w:lineRule="auto"/>
        <w:jc w:val="right"/>
        <w:rPr>
          <w:rFonts w:ascii="仿宋_GB2312" w:hAnsi="仿宋_GB2312" w:eastAsia="仿宋_GB2312" w:cs="仿宋_GB2312"/>
          <w:b/>
          <w:sz w:val="52"/>
          <w:szCs w:val="52"/>
          <w:highlight w:val="none"/>
        </w:rPr>
      </w:pPr>
      <w:r>
        <w:rPr>
          <w:rFonts w:hint="eastAsia" w:ascii="仿宋_GB2312" w:hAnsi="仿宋_GB2312" w:eastAsia="仿宋_GB2312" w:cs="仿宋_GB2312"/>
          <w:sz w:val="22"/>
          <w:szCs w:val="22"/>
          <w:highlight w:val="none"/>
        </w:rPr>
        <w:t xml:space="preserve">                                       日期：     年     月   日</w:t>
      </w:r>
    </w:p>
    <w:p w14:paraId="46308923">
      <w:pPr>
        <w:spacing w:line="360" w:lineRule="auto"/>
        <w:rPr>
          <w:rFonts w:ascii="楷体_GB2312" w:hAnsi="楷体_GB2312" w:eastAsia="楷体_GB2312" w:cs="楷体_GB2312"/>
          <w:sz w:val="28"/>
          <w:szCs w:val="28"/>
          <w:highlight w:val="none"/>
        </w:rPr>
      </w:pPr>
    </w:p>
    <w:p w14:paraId="299FF3A0">
      <w:pPr>
        <w:pStyle w:val="3"/>
        <w:rPr>
          <w:rFonts w:ascii="仿宋_GB2312" w:hAnsi="楷体_GB2312" w:eastAsia="仿宋_GB2312" w:cs="楷体_GB2312"/>
          <w:sz w:val="28"/>
          <w:szCs w:val="28"/>
          <w:highlight w:val="none"/>
        </w:rPr>
      </w:pPr>
      <w:r>
        <w:rPr>
          <w:highlight w:val="none"/>
        </w:rPr>
        <w:br w:type="page"/>
      </w:r>
      <w:r>
        <w:rPr>
          <w:rFonts w:hint="eastAsia" w:ascii="仿宋_GB2312" w:hAnsi="楷体_GB2312" w:eastAsia="仿宋_GB2312" w:cs="楷体_GB2312"/>
          <w:b w:val="0"/>
          <w:bCs w:val="0"/>
          <w:sz w:val="28"/>
          <w:szCs w:val="28"/>
          <w:highlight w:val="none"/>
        </w:rPr>
        <w:t>附件1.4 法定代表人授权委托书</w:t>
      </w:r>
    </w:p>
    <w:p w14:paraId="46632A07">
      <w:pPr>
        <w:spacing w:line="360" w:lineRule="auto"/>
        <w:jc w:val="center"/>
        <w:outlineLvl w:val="0"/>
        <w:rPr>
          <w:rFonts w:ascii="方正小标宋简体" w:hAnsi="方正小标宋简体" w:eastAsia="方正小标宋简体" w:cs="方正小标宋简体"/>
          <w:bCs/>
          <w:sz w:val="36"/>
          <w:szCs w:val="36"/>
          <w:highlight w:val="none"/>
        </w:rPr>
      </w:pPr>
      <w:r>
        <w:rPr>
          <w:rFonts w:hint="eastAsia" w:ascii="方正小标宋简体" w:hAnsi="方正小标宋简体" w:eastAsia="方正小标宋简体" w:cs="方正小标宋简体"/>
          <w:bCs/>
          <w:sz w:val="36"/>
          <w:szCs w:val="36"/>
          <w:highlight w:val="none"/>
        </w:rPr>
        <w:t>法定代表人授权委托书</w:t>
      </w:r>
    </w:p>
    <w:p w14:paraId="485A18CB">
      <w:pPr>
        <w:pStyle w:val="8"/>
        <w:rPr>
          <w:highlight w:val="none"/>
        </w:rPr>
      </w:pPr>
    </w:p>
    <w:p w14:paraId="1E370DBC">
      <w:pPr>
        <w:snapToGrid w:val="0"/>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本人        （姓名）是         （投标人名称）的法定代表人，现委托</w:t>
      </w:r>
    </w:p>
    <w:p w14:paraId="3C7F27F5">
      <w:pPr>
        <w:snapToGrid w:val="0"/>
        <w:spacing w:line="360" w:lineRule="auto"/>
        <w:ind w:firstLine="0" w:firstLineChars="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(姓名)为我方代理人。代理人根据授权，以我方名义签署、澄清、说明、补正、递交、撤回、修改 南沙资产经营集团战略规划及综合管理咨询服务项目</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第二次</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 xml:space="preserve"> 投标文件、签订合同和处理有关事宜，其法律后果由我方承担。</w:t>
      </w:r>
    </w:p>
    <w:p w14:paraId="5F726F02">
      <w:pPr>
        <w:spacing w:line="360" w:lineRule="auto"/>
        <w:ind w:firstLine="3684" w:firstLineChars="1535"/>
        <w:rPr>
          <w:rFonts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委托期限：</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w:t>
      </w:r>
    </w:p>
    <w:p w14:paraId="51DAC504">
      <w:pPr>
        <w:tabs>
          <w:tab w:val="left" w:pos="3780"/>
        </w:tabs>
        <w:spacing w:line="360" w:lineRule="auto"/>
        <w:ind w:firstLine="3684" w:firstLineChars="1535"/>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代理人无转委托权。</w:t>
      </w:r>
    </w:p>
    <w:p w14:paraId="32E2670F">
      <w:pPr>
        <w:tabs>
          <w:tab w:val="left" w:pos="3780"/>
        </w:tabs>
        <w:spacing w:line="360" w:lineRule="auto"/>
        <w:ind w:firstLine="3684" w:firstLineChars="1535"/>
        <w:rPr>
          <w:rFonts w:ascii="楷体_GB2312" w:hAnsi="楷体_GB2312" w:eastAsia="楷体_GB2312" w:cs="楷体_GB2312"/>
          <w:kern w:val="44"/>
          <w:sz w:val="24"/>
          <w:szCs w:val="24"/>
          <w:highlight w:val="none"/>
        </w:rPr>
      </w:pPr>
      <w:r>
        <w:rPr>
          <w:rFonts w:hint="eastAsia" w:ascii="楷体_GB2312" w:hAnsi="楷体_GB2312" w:eastAsia="楷体_GB2312" w:cs="楷体_GB2312"/>
          <w:kern w:val="44"/>
          <w:sz w:val="24"/>
          <w:szCs w:val="24"/>
          <w:highlight w:val="none"/>
        </w:rPr>
        <w:t>投标人：</w:t>
      </w:r>
      <w:r>
        <w:rPr>
          <w:rFonts w:hint="eastAsia" w:ascii="楷体_GB2312" w:hAnsi="楷体_GB2312" w:eastAsia="楷体_GB2312" w:cs="楷体_GB2312"/>
          <w:kern w:val="44"/>
          <w:sz w:val="24"/>
          <w:szCs w:val="24"/>
          <w:highlight w:val="none"/>
          <w:u w:val="single"/>
        </w:rPr>
        <w:t xml:space="preserve">                     </w:t>
      </w:r>
      <w:r>
        <w:rPr>
          <w:rFonts w:hint="eastAsia" w:ascii="楷体_GB2312" w:hAnsi="楷体_GB2312" w:eastAsia="楷体_GB2312" w:cs="楷体_GB2312"/>
          <w:kern w:val="44"/>
          <w:sz w:val="24"/>
          <w:szCs w:val="24"/>
          <w:highlight w:val="none"/>
        </w:rPr>
        <w:t xml:space="preserve"> （盖单位章）</w:t>
      </w:r>
    </w:p>
    <w:p w14:paraId="242C36D3">
      <w:pPr>
        <w:tabs>
          <w:tab w:val="left" w:pos="3780"/>
        </w:tabs>
        <w:spacing w:line="360" w:lineRule="auto"/>
        <w:jc w:val="left"/>
        <w:rPr>
          <w:rFonts w:ascii="楷体_GB2312" w:hAnsi="楷体_GB2312" w:eastAsia="楷体_GB2312" w:cs="楷体_GB2312"/>
          <w:kern w:val="44"/>
          <w:sz w:val="24"/>
          <w:szCs w:val="24"/>
          <w:highlight w:val="none"/>
        </w:rPr>
      </w:pPr>
      <w:r>
        <w:rPr>
          <w:rFonts w:hint="eastAsia" w:ascii="楷体_GB2312" w:hAnsi="楷体_GB2312" w:eastAsia="楷体_GB2312" w:cs="楷体_GB2312"/>
          <w:kern w:val="44"/>
          <w:sz w:val="24"/>
          <w:szCs w:val="24"/>
          <w:highlight w:val="none"/>
        </w:rPr>
        <w:t>法定代表人：                      （</w:t>
      </w:r>
      <w:r>
        <w:rPr>
          <w:rFonts w:hint="default" w:ascii="楷体_GB2312" w:hAnsi="楷体_GB2312" w:eastAsia="楷体_GB2312" w:cs="楷体_GB2312"/>
          <w:kern w:val="44"/>
          <w:sz w:val="24"/>
          <w:szCs w:val="24"/>
          <w:highlight w:val="none"/>
          <w:lang w:val="en-US"/>
        </w:rPr>
        <w:t>签字</w:t>
      </w:r>
      <w:r>
        <w:rPr>
          <w:rFonts w:hint="eastAsia" w:ascii="楷体_GB2312" w:hAnsi="楷体_GB2312" w:eastAsia="楷体_GB2312" w:cs="楷体_GB2312"/>
          <w:kern w:val="44"/>
          <w:sz w:val="24"/>
          <w:szCs w:val="24"/>
          <w:highlight w:val="none"/>
        </w:rPr>
        <w:t>）</w:t>
      </w:r>
    </w:p>
    <w:p w14:paraId="5808311F">
      <w:pPr>
        <w:tabs>
          <w:tab w:val="left" w:pos="3780"/>
        </w:tabs>
        <w:spacing w:line="360" w:lineRule="auto"/>
        <w:jc w:val="left"/>
        <w:rPr>
          <w:rFonts w:ascii="楷体_GB2312" w:hAnsi="楷体_GB2312" w:eastAsia="楷体_GB2312" w:cs="楷体_GB2312"/>
          <w:kern w:val="44"/>
          <w:sz w:val="24"/>
          <w:szCs w:val="24"/>
          <w:highlight w:val="none"/>
        </w:rPr>
      </w:pPr>
      <w:r>
        <w:rPr>
          <w:rFonts w:hint="eastAsia" w:ascii="楷体_GB2312" w:hAnsi="楷体_GB2312" w:eastAsia="楷体_GB2312" w:cs="楷体_GB2312"/>
          <w:kern w:val="44"/>
          <w:sz w:val="24"/>
          <w:szCs w:val="24"/>
          <w:highlight w:val="none"/>
        </w:rPr>
        <w:t xml:space="preserve">身份证号码：                      </w:t>
      </w:r>
    </w:p>
    <w:p w14:paraId="6BB3D32B">
      <w:pPr>
        <w:tabs>
          <w:tab w:val="left" w:pos="3780"/>
        </w:tabs>
        <w:spacing w:line="360" w:lineRule="auto"/>
        <w:jc w:val="left"/>
        <w:rPr>
          <w:rFonts w:ascii="楷体_GB2312" w:hAnsi="楷体_GB2312" w:eastAsia="楷体_GB2312" w:cs="楷体_GB2312"/>
          <w:kern w:val="44"/>
          <w:sz w:val="24"/>
          <w:szCs w:val="24"/>
          <w:highlight w:val="none"/>
        </w:rPr>
      </w:pPr>
      <w:r>
        <w:rPr>
          <w:rFonts w:hint="eastAsia" w:ascii="楷体_GB2312" w:hAnsi="楷体_GB2312" w:eastAsia="楷体_GB2312" w:cs="楷体_GB2312"/>
          <w:kern w:val="44"/>
          <w:sz w:val="24"/>
          <w:szCs w:val="24"/>
          <w:highlight w:val="none"/>
        </w:rPr>
        <w:t>委托代理人：                      （签字）</w:t>
      </w:r>
    </w:p>
    <w:p w14:paraId="6411421D">
      <w:pPr>
        <w:tabs>
          <w:tab w:val="left" w:pos="3780"/>
        </w:tabs>
        <w:spacing w:line="360" w:lineRule="auto"/>
        <w:jc w:val="left"/>
        <w:rPr>
          <w:rFonts w:ascii="楷体_GB2312" w:hAnsi="楷体_GB2312" w:eastAsia="楷体_GB2312" w:cs="楷体_GB2312"/>
          <w:kern w:val="44"/>
          <w:sz w:val="24"/>
          <w:szCs w:val="24"/>
          <w:highlight w:val="none"/>
        </w:rPr>
      </w:pPr>
      <w:r>
        <w:rPr>
          <w:rFonts w:hint="eastAsia" w:ascii="楷体_GB2312" w:hAnsi="楷体_GB2312" w:eastAsia="楷体_GB2312" w:cs="楷体_GB2312"/>
          <w:kern w:val="44"/>
          <w:sz w:val="24"/>
          <w:szCs w:val="24"/>
          <w:highlight w:val="none"/>
        </w:rPr>
        <w:t>身份证号码：                      附身份证复印件</w:t>
      </w:r>
    </w:p>
    <w:p w14:paraId="01270F99">
      <w:pPr>
        <w:spacing w:line="360" w:lineRule="auto"/>
        <w:rPr>
          <w:rFonts w:ascii="宋体" w:hAnsi="宋体" w:cs="宋体"/>
          <w:szCs w:val="21"/>
          <w:highlight w:val="none"/>
        </w:rPr>
      </w:pPr>
      <w:r>
        <w:rPr>
          <w:rFonts w:hint="eastAsia" w:ascii="宋体" w:hAnsi="宋体" w:cs="宋体"/>
          <w:szCs w:val="21"/>
          <w:highlight w:val="none"/>
        </w:rPr>
        <mc:AlternateContent>
          <mc:Choice Requires="wpg">
            <w:drawing>
              <wp:anchor distT="0" distB="0" distL="114300" distR="114300" simplePos="0" relativeHeight="251661312"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14:paraId="429FD944">
                              <w:pPr>
                                <w:ind w:left="-9" w:leftChars="-71" w:hanging="140" w:hangingChars="67"/>
                                <w:jc w:val="center"/>
                                <w:rPr>
                                  <w:rFonts w:ascii="仿宋_GB2312" w:hAnsi="仿宋_GB2312" w:eastAsia="仿宋_GB2312" w:cs="仿宋_GB2312"/>
                                  <w:szCs w:val="21"/>
                                </w:rPr>
                              </w:pPr>
                              <w:r>
                                <w:rPr>
                                  <w:rFonts w:hint="eastAsia" w:ascii="仿宋_GB2312" w:hAnsi="仿宋_GB2312" w:eastAsia="仿宋_GB2312" w:cs="仿宋_GB2312"/>
                                  <w:szCs w:val="21"/>
                                </w:rPr>
                                <w:t>委托代理人</w:t>
                              </w:r>
                            </w:p>
                            <w:p w14:paraId="3595BAE5">
                              <w:pPr>
                                <w:jc w:val="center"/>
                                <w:rPr>
                                  <w:rFonts w:ascii="仿宋_GB2312" w:hAnsi="仿宋_GB2312" w:eastAsia="仿宋_GB2312" w:cs="仿宋_GB2312"/>
                                </w:rPr>
                              </w:pPr>
                              <w:r>
                                <w:rPr>
                                  <w:rFonts w:hint="eastAsia" w:ascii="仿宋_GB2312" w:hAnsi="仿宋_GB2312" w:eastAsia="仿宋_GB2312" w:cs="仿宋_GB2312"/>
                                </w:rPr>
                                <w:t>居民身份证复印件粘贴处</w:t>
                              </w:r>
                            </w:p>
                            <w:p w14:paraId="0D0C4F42">
                              <w:pPr>
                                <w:ind w:firstLine="1050" w:firstLineChars="500"/>
                                <w:rPr>
                                  <w:rFonts w:ascii="仿宋_GB2312" w:hAnsi="仿宋_GB2312" w:eastAsia="仿宋_GB2312" w:cs="仿宋_GB2312"/>
                                </w:rPr>
                              </w:pPr>
                            </w:p>
                            <w:p w14:paraId="026E5F66">
                              <w:pPr>
                                <w:jc w:val="center"/>
                                <w:rPr>
                                  <w:rFonts w:ascii="仿宋_GB2312" w:hAnsi="仿宋_GB2312" w:eastAsia="仿宋_GB2312" w:cs="仿宋_GB2312"/>
                                </w:rPr>
                              </w:pPr>
                              <w:r>
                                <w:rPr>
                                  <w:rFonts w:hint="eastAsia" w:ascii="仿宋_GB2312" w:hAnsi="仿宋_GB2312" w:eastAsia="仿宋_GB2312" w:cs="仿宋_GB2312"/>
                                </w:rPr>
                                <w:t>（正面）</w:t>
                              </w:r>
                            </w:p>
                            <w:p w14:paraId="10B8CD08">
                              <w:pPr>
                                <w:ind w:firstLine="1050" w:firstLineChars="500"/>
                              </w:pPr>
                            </w:p>
                            <w:p w14:paraId="495D31D4"/>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14:paraId="10B5A968">
                              <w:pPr>
                                <w:jc w:val="center"/>
                                <w:rPr>
                                  <w:rFonts w:ascii="仿宋_GB2312" w:hAnsi="仿宋_GB2312" w:eastAsia="仿宋_GB2312" w:cs="仿宋_GB2312"/>
                                </w:rPr>
                              </w:pPr>
                              <w:r>
                                <w:rPr>
                                  <w:rFonts w:hint="eastAsia" w:ascii="仿宋_GB2312" w:hAnsi="仿宋_GB2312" w:eastAsia="仿宋_GB2312" w:cs="仿宋_GB2312"/>
                                  <w:szCs w:val="21"/>
                                </w:rPr>
                                <w:t>委托代理人</w:t>
                              </w:r>
                            </w:p>
                            <w:p w14:paraId="7C960065">
                              <w:pPr>
                                <w:jc w:val="center"/>
                                <w:rPr>
                                  <w:rFonts w:ascii="仿宋_GB2312" w:hAnsi="仿宋_GB2312" w:eastAsia="仿宋_GB2312" w:cs="仿宋_GB2312"/>
                                </w:rPr>
                              </w:pPr>
                              <w:r>
                                <w:rPr>
                                  <w:rFonts w:hint="eastAsia" w:ascii="仿宋_GB2312" w:hAnsi="仿宋_GB2312" w:eastAsia="仿宋_GB2312" w:cs="仿宋_GB2312"/>
                                </w:rPr>
                                <w:t>居民身份证复印件粘贴处</w:t>
                              </w:r>
                            </w:p>
                            <w:p w14:paraId="6EC4FF1C">
                              <w:pPr>
                                <w:ind w:firstLine="1050" w:firstLineChars="500"/>
                                <w:rPr>
                                  <w:rFonts w:ascii="仿宋_GB2312" w:hAnsi="仿宋_GB2312" w:eastAsia="仿宋_GB2312" w:cs="仿宋_GB2312"/>
                                </w:rPr>
                              </w:pPr>
                            </w:p>
                            <w:p w14:paraId="3A9E635D">
                              <w:pPr>
                                <w:jc w:val="center"/>
                                <w:rPr>
                                  <w:rFonts w:ascii="仿宋_GB2312" w:hAnsi="仿宋_GB2312" w:eastAsia="仿宋_GB2312" w:cs="仿宋_GB2312"/>
                                </w:rPr>
                              </w:pPr>
                              <w:r>
                                <w:rPr>
                                  <w:rFonts w:hint="eastAsia" w:ascii="仿宋_GB2312" w:hAnsi="仿宋_GB2312" w:eastAsia="仿宋_GB2312" w:cs="仿宋_GB2312"/>
                                </w:rPr>
                                <w:t>（反面）</w:t>
                              </w:r>
                            </w:p>
                            <w:p w14:paraId="6E80EFC3">
                              <w:pPr>
                                <w:ind w:firstLine="1050" w:firstLineChars="500"/>
                              </w:pPr>
                            </w:p>
                            <w:p w14:paraId="07191217"/>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1312;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uXxwPYAAAACQEAAA8AAAAAAAAAAQAgAAAAIgAAAGRycy9kb3ducmV2LnhtbFBLAQIU&#10;ABQAAAAIAIdO4kDo8LUA1wIAAHkIAAAOAAAAAAAAAAEAIAAAACcBAABkcnMvZTJvRG9jLnhtbFBL&#10;BQYAAAAABgAGAFkBAABwBg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429FD944">
                        <w:pPr>
                          <w:ind w:left="-9" w:leftChars="-71" w:hanging="140" w:hangingChars="67"/>
                          <w:jc w:val="center"/>
                          <w:rPr>
                            <w:rFonts w:ascii="仿宋_GB2312" w:hAnsi="仿宋_GB2312" w:eastAsia="仿宋_GB2312" w:cs="仿宋_GB2312"/>
                            <w:szCs w:val="21"/>
                          </w:rPr>
                        </w:pPr>
                        <w:r>
                          <w:rPr>
                            <w:rFonts w:hint="eastAsia" w:ascii="仿宋_GB2312" w:hAnsi="仿宋_GB2312" w:eastAsia="仿宋_GB2312" w:cs="仿宋_GB2312"/>
                            <w:szCs w:val="21"/>
                          </w:rPr>
                          <w:t>委托代理人</w:t>
                        </w:r>
                      </w:p>
                      <w:p w14:paraId="3595BAE5">
                        <w:pPr>
                          <w:jc w:val="center"/>
                          <w:rPr>
                            <w:rFonts w:ascii="仿宋_GB2312" w:hAnsi="仿宋_GB2312" w:eastAsia="仿宋_GB2312" w:cs="仿宋_GB2312"/>
                          </w:rPr>
                        </w:pPr>
                        <w:r>
                          <w:rPr>
                            <w:rFonts w:hint="eastAsia" w:ascii="仿宋_GB2312" w:hAnsi="仿宋_GB2312" w:eastAsia="仿宋_GB2312" w:cs="仿宋_GB2312"/>
                          </w:rPr>
                          <w:t>居民身份证复印件粘贴处</w:t>
                        </w:r>
                      </w:p>
                      <w:p w14:paraId="0D0C4F42">
                        <w:pPr>
                          <w:ind w:firstLine="1050" w:firstLineChars="500"/>
                          <w:rPr>
                            <w:rFonts w:ascii="仿宋_GB2312" w:hAnsi="仿宋_GB2312" w:eastAsia="仿宋_GB2312" w:cs="仿宋_GB2312"/>
                          </w:rPr>
                        </w:pPr>
                      </w:p>
                      <w:p w14:paraId="026E5F66">
                        <w:pPr>
                          <w:jc w:val="center"/>
                          <w:rPr>
                            <w:rFonts w:ascii="仿宋_GB2312" w:hAnsi="仿宋_GB2312" w:eastAsia="仿宋_GB2312" w:cs="仿宋_GB2312"/>
                          </w:rPr>
                        </w:pPr>
                        <w:r>
                          <w:rPr>
                            <w:rFonts w:hint="eastAsia" w:ascii="仿宋_GB2312" w:hAnsi="仿宋_GB2312" w:eastAsia="仿宋_GB2312" w:cs="仿宋_GB2312"/>
                          </w:rPr>
                          <w:t>（正面）</w:t>
                        </w:r>
                      </w:p>
                      <w:p w14:paraId="10B8CD08">
                        <w:pPr>
                          <w:ind w:firstLine="1050" w:firstLineChars="500"/>
                        </w:pPr>
                      </w:p>
                      <w:p w14:paraId="495D31D4"/>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10B5A968">
                        <w:pPr>
                          <w:jc w:val="center"/>
                          <w:rPr>
                            <w:rFonts w:ascii="仿宋_GB2312" w:hAnsi="仿宋_GB2312" w:eastAsia="仿宋_GB2312" w:cs="仿宋_GB2312"/>
                          </w:rPr>
                        </w:pPr>
                        <w:r>
                          <w:rPr>
                            <w:rFonts w:hint="eastAsia" w:ascii="仿宋_GB2312" w:hAnsi="仿宋_GB2312" w:eastAsia="仿宋_GB2312" w:cs="仿宋_GB2312"/>
                            <w:szCs w:val="21"/>
                          </w:rPr>
                          <w:t>委托代理人</w:t>
                        </w:r>
                      </w:p>
                      <w:p w14:paraId="7C960065">
                        <w:pPr>
                          <w:jc w:val="center"/>
                          <w:rPr>
                            <w:rFonts w:ascii="仿宋_GB2312" w:hAnsi="仿宋_GB2312" w:eastAsia="仿宋_GB2312" w:cs="仿宋_GB2312"/>
                          </w:rPr>
                        </w:pPr>
                        <w:r>
                          <w:rPr>
                            <w:rFonts w:hint="eastAsia" w:ascii="仿宋_GB2312" w:hAnsi="仿宋_GB2312" w:eastAsia="仿宋_GB2312" w:cs="仿宋_GB2312"/>
                          </w:rPr>
                          <w:t>居民身份证复印件粘贴处</w:t>
                        </w:r>
                      </w:p>
                      <w:p w14:paraId="6EC4FF1C">
                        <w:pPr>
                          <w:ind w:firstLine="1050" w:firstLineChars="500"/>
                          <w:rPr>
                            <w:rFonts w:ascii="仿宋_GB2312" w:hAnsi="仿宋_GB2312" w:eastAsia="仿宋_GB2312" w:cs="仿宋_GB2312"/>
                          </w:rPr>
                        </w:pPr>
                      </w:p>
                      <w:p w14:paraId="3A9E635D">
                        <w:pPr>
                          <w:jc w:val="center"/>
                          <w:rPr>
                            <w:rFonts w:ascii="仿宋_GB2312" w:hAnsi="仿宋_GB2312" w:eastAsia="仿宋_GB2312" w:cs="仿宋_GB2312"/>
                          </w:rPr>
                        </w:pPr>
                        <w:r>
                          <w:rPr>
                            <w:rFonts w:hint="eastAsia" w:ascii="仿宋_GB2312" w:hAnsi="仿宋_GB2312" w:eastAsia="仿宋_GB2312" w:cs="仿宋_GB2312"/>
                          </w:rPr>
                          <w:t>（反面）</w:t>
                        </w:r>
                      </w:p>
                      <w:p w14:paraId="6E80EFC3">
                        <w:pPr>
                          <w:ind w:firstLine="1050" w:firstLineChars="500"/>
                        </w:pPr>
                      </w:p>
                      <w:p w14:paraId="07191217"/>
                    </w:txbxContent>
                  </v:textbox>
                </v:rect>
              </v:group>
            </w:pict>
          </mc:Fallback>
        </mc:AlternateContent>
      </w:r>
    </w:p>
    <w:p w14:paraId="203245D3">
      <w:pPr>
        <w:spacing w:line="360" w:lineRule="auto"/>
        <w:rPr>
          <w:rFonts w:ascii="宋体" w:hAnsi="宋体" w:cs="宋体"/>
          <w:szCs w:val="21"/>
          <w:highlight w:val="none"/>
        </w:rPr>
      </w:pPr>
    </w:p>
    <w:p w14:paraId="7B9B1EC6">
      <w:pPr>
        <w:spacing w:line="360" w:lineRule="auto"/>
        <w:rPr>
          <w:rFonts w:ascii="宋体" w:hAnsi="宋体" w:cs="宋体"/>
          <w:szCs w:val="21"/>
          <w:highlight w:val="none"/>
        </w:rPr>
      </w:pPr>
    </w:p>
    <w:p w14:paraId="245939AF">
      <w:pPr>
        <w:spacing w:line="360" w:lineRule="auto"/>
        <w:rPr>
          <w:rFonts w:ascii="宋体" w:hAnsi="宋体" w:cs="宋体"/>
          <w:szCs w:val="21"/>
          <w:highlight w:val="none"/>
        </w:rPr>
      </w:pPr>
    </w:p>
    <w:p w14:paraId="4FD25DB1">
      <w:pPr>
        <w:spacing w:line="360" w:lineRule="auto"/>
        <w:rPr>
          <w:rFonts w:ascii="宋体" w:hAnsi="宋体" w:cs="宋体"/>
          <w:szCs w:val="21"/>
          <w:highlight w:val="none"/>
        </w:rPr>
      </w:pPr>
    </w:p>
    <w:p w14:paraId="74A75BDF">
      <w:pPr>
        <w:spacing w:line="360" w:lineRule="auto"/>
        <w:rPr>
          <w:rFonts w:ascii="宋体" w:hAnsi="宋体" w:cs="宋体"/>
          <w:szCs w:val="21"/>
          <w:highlight w:val="none"/>
        </w:rPr>
      </w:pPr>
    </w:p>
    <w:p w14:paraId="7D19F818">
      <w:pPr>
        <w:spacing w:line="360" w:lineRule="auto"/>
        <w:rPr>
          <w:rFonts w:ascii="宋体" w:hAnsi="宋体" w:cs="宋体"/>
          <w:szCs w:val="21"/>
          <w:highlight w:val="none"/>
        </w:rPr>
      </w:pPr>
    </w:p>
    <w:p w14:paraId="4487F894">
      <w:pPr>
        <w:spacing w:line="360" w:lineRule="auto"/>
        <w:jc w:val="center"/>
        <w:rPr>
          <w:rFonts w:ascii="宋体" w:hAnsi="宋体" w:cs="宋体"/>
          <w:szCs w:val="21"/>
          <w:highlight w:val="none"/>
          <w:u w:val="single"/>
        </w:rPr>
      </w:pPr>
    </w:p>
    <w:p w14:paraId="5DD08D84">
      <w:pPr>
        <w:spacing w:line="360" w:lineRule="auto"/>
        <w:jc w:val="right"/>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u w:val="single"/>
        </w:rPr>
        <w:t xml:space="preserve">        </w:t>
      </w:r>
      <w:r>
        <w:rPr>
          <w:rFonts w:hint="eastAsia" w:ascii="仿宋_GB2312" w:hAnsi="仿宋_GB2312" w:eastAsia="仿宋_GB2312" w:cs="仿宋_GB2312"/>
          <w:sz w:val="22"/>
          <w:szCs w:val="22"/>
          <w:highlight w:val="none"/>
        </w:rPr>
        <w:t>年</w:t>
      </w:r>
      <w:r>
        <w:rPr>
          <w:rFonts w:hint="eastAsia" w:ascii="仿宋_GB2312" w:hAnsi="仿宋_GB2312" w:eastAsia="仿宋_GB2312" w:cs="仿宋_GB2312"/>
          <w:sz w:val="22"/>
          <w:szCs w:val="22"/>
          <w:highlight w:val="none"/>
          <w:u w:val="single"/>
        </w:rPr>
        <w:t xml:space="preserve">    </w:t>
      </w:r>
      <w:r>
        <w:rPr>
          <w:rFonts w:hint="eastAsia" w:ascii="仿宋_GB2312" w:hAnsi="仿宋_GB2312" w:eastAsia="仿宋_GB2312" w:cs="仿宋_GB2312"/>
          <w:sz w:val="22"/>
          <w:szCs w:val="22"/>
          <w:highlight w:val="none"/>
        </w:rPr>
        <w:t>月</w:t>
      </w:r>
      <w:r>
        <w:rPr>
          <w:rFonts w:hint="eastAsia" w:ascii="仿宋_GB2312" w:hAnsi="仿宋_GB2312" w:eastAsia="仿宋_GB2312" w:cs="仿宋_GB2312"/>
          <w:sz w:val="22"/>
          <w:szCs w:val="22"/>
          <w:highlight w:val="none"/>
          <w:u w:val="single"/>
        </w:rPr>
        <w:t xml:space="preserve">    </w:t>
      </w:r>
      <w:r>
        <w:rPr>
          <w:rFonts w:hint="eastAsia" w:ascii="仿宋_GB2312" w:hAnsi="仿宋_GB2312" w:eastAsia="仿宋_GB2312" w:cs="仿宋_GB2312"/>
          <w:sz w:val="22"/>
          <w:szCs w:val="22"/>
          <w:highlight w:val="none"/>
        </w:rPr>
        <w:t>日</w:t>
      </w:r>
    </w:p>
    <w:p w14:paraId="6066506A">
      <w:pPr>
        <w:spacing w:line="360" w:lineRule="auto"/>
        <w:rPr>
          <w:rFonts w:ascii="仿宋_GB2312" w:hAnsi="仿宋_GB2312" w:eastAsia="仿宋_GB2312" w:cs="仿宋_GB2312"/>
          <w:sz w:val="22"/>
          <w:szCs w:val="22"/>
          <w:highlight w:val="none"/>
        </w:rPr>
        <w:sectPr>
          <w:headerReference r:id="rId7" w:type="first"/>
          <w:footerReference r:id="rId10" w:type="first"/>
          <w:headerReference r:id="rId6" w:type="default"/>
          <w:footerReference r:id="rId8" w:type="default"/>
          <w:footerReference r:id="rId9" w:type="even"/>
          <w:pgSz w:w="12242" w:h="15842"/>
          <w:pgMar w:top="1440" w:right="1800" w:bottom="1440" w:left="1800" w:header="851" w:footer="992" w:gutter="0"/>
          <w:pgNumType w:fmt="decimal" w:start="1"/>
          <w:cols w:space="720" w:num="1"/>
          <w:docGrid w:type="lines" w:linePitch="312" w:charSpace="0"/>
        </w:sectPr>
      </w:pPr>
    </w:p>
    <w:p w14:paraId="13B8C8D6">
      <w:pPr>
        <w:spacing w:line="360" w:lineRule="auto"/>
        <w:rPr>
          <w:rFonts w:ascii="仿宋_GB2312" w:eastAsia="仿宋_GB2312" w:cs="仿宋_GB2312"/>
          <w:sz w:val="28"/>
          <w:szCs w:val="28"/>
          <w:highlight w:val="none"/>
        </w:rPr>
      </w:pPr>
      <w:r>
        <w:rPr>
          <w:rFonts w:hint="eastAsia" w:ascii="仿宋_GB2312" w:hAnsi="仿宋_GB2312" w:eastAsia="仿宋_GB2312" w:cs="仿宋_GB2312"/>
          <w:sz w:val="28"/>
          <w:szCs w:val="28"/>
          <w:highlight w:val="none"/>
        </w:rPr>
        <w:t>附件1.5 企业经验能力</w:t>
      </w:r>
    </w:p>
    <w:p w14:paraId="707CBE09">
      <w:pPr>
        <w:snapToGrid w:val="0"/>
        <w:jc w:val="center"/>
        <w:rPr>
          <w:rFonts w:ascii="仿宋_GB2312" w:hAnsi="微软雅黑" w:eastAsia="仿宋_GB2312" w:cs="仿宋_GB2312"/>
          <w:sz w:val="28"/>
          <w:szCs w:val="28"/>
          <w:highlight w:val="none"/>
          <w:lang w:bidi="ar"/>
        </w:rPr>
      </w:pPr>
      <w:r>
        <w:rPr>
          <w:rFonts w:hint="eastAsia" w:ascii="仿宋_GB2312" w:hAnsi="仿宋_GB2312" w:eastAsia="仿宋_GB2312" w:cs="仿宋_GB2312"/>
          <w:kern w:val="0"/>
          <w:sz w:val="32"/>
          <w:szCs w:val="32"/>
          <w:highlight w:val="none"/>
          <w:shd w:val="clear" w:color="auto" w:fill="FFFFFF"/>
          <w:lang w:bidi="ar"/>
        </w:rPr>
        <w:t>XXXX</w:t>
      </w:r>
      <w:r>
        <w:rPr>
          <w:rFonts w:hint="eastAsia" w:ascii="仿宋_GB2312" w:hAnsi="微软雅黑" w:eastAsia="仿宋_GB2312" w:cs="仿宋_GB2312"/>
          <w:sz w:val="28"/>
          <w:szCs w:val="28"/>
          <w:highlight w:val="none"/>
          <w:lang w:bidi="ar"/>
        </w:rPr>
        <w:t>服务业绩表（参考格式）</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785"/>
        <w:gridCol w:w="1575"/>
        <w:gridCol w:w="1799"/>
        <w:gridCol w:w="1421"/>
        <w:gridCol w:w="1420"/>
      </w:tblGrid>
      <w:tr w14:paraId="08C74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14:paraId="019DA19D">
            <w:pPr>
              <w:pStyle w:val="13"/>
              <w:adjustRightInd w:val="0"/>
              <w:snapToGrid w:val="0"/>
              <w:spacing w:line="300" w:lineRule="auto"/>
              <w:jc w:val="center"/>
              <w:rPr>
                <w:rFonts w:hint="default" w:ascii="仿宋_GB2312" w:eastAsia="仿宋_GB2312" w:cs="仿宋_GB2312"/>
                <w:kern w:val="2"/>
                <w:szCs w:val="24"/>
                <w:highlight w:val="none"/>
              </w:rPr>
            </w:pPr>
            <w:r>
              <w:rPr>
                <w:rFonts w:ascii="仿宋_GB2312" w:eastAsia="仿宋_GB2312" w:cs="仿宋_GB2312"/>
                <w:kern w:val="2"/>
                <w:szCs w:val="24"/>
                <w:highlight w:val="none"/>
              </w:rPr>
              <w:t>序号</w:t>
            </w:r>
          </w:p>
        </w:tc>
        <w:tc>
          <w:tcPr>
            <w:tcW w:w="1785" w:type="dxa"/>
            <w:tcBorders>
              <w:top w:val="single" w:color="auto" w:sz="4" w:space="0"/>
              <w:left w:val="nil"/>
              <w:bottom w:val="single" w:color="auto" w:sz="4" w:space="0"/>
              <w:right w:val="single" w:color="auto" w:sz="4" w:space="0"/>
            </w:tcBorders>
            <w:vAlign w:val="center"/>
          </w:tcPr>
          <w:p w14:paraId="61A33745">
            <w:pPr>
              <w:pStyle w:val="13"/>
              <w:adjustRightInd w:val="0"/>
              <w:snapToGrid w:val="0"/>
              <w:spacing w:line="300" w:lineRule="auto"/>
              <w:jc w:val="center"/>
              <w:rPr>
                <w:rFonts w:hint="default" w:ascii="仿宋_GB2312" w:eastAsia="仿宋_GB2312" w:cs="仿宋_GB2312"/>
                <w:kern w:val="2"/>
                <w:szCs w:val="24"/>
                <w:highlight w:val="none"/>
              </w:rPr>
            </w:pPr>
            <w:r>
              <w:rPr>
                <w:rFonts w:ascii="仿宋_GB2312" w:eastAsia="仿宋_GB2312" w:cs="仿宋_GB2312"/>
                <w:kern w:val="2"/>
                <w:szCs w:val="24"/>
                <w:highlight w:val="none"/>
              </w:rPr>
              <w:t>项目名称</w:t>
            </w:r>
          </w:p>
        </w:tc>
        <w:tc>
          <w:tcPr>
            <w:tcW w:w="1575" w:type="dxa"/>
            <w:tcBorders>
              <w:top w:val="single" w:color="auto" w:sz="4" w:space="0"/>
              <w:left w:val="nil"/>
              <w:bottom w:val="single" w:color="auto" w:sz="4" w:space="0"/>
              <w:right w:val="single" w:color="auto" w:sz="4" w:space="0"/>
            </w:tcBorders>
            <w:vAlign w:val="center"/>
          </w:tcPr>
          <w:p w14:paraId="544675ED">
            <w:pPr>
              <w:pStyle w:val="13"/>
              <w:adjustRightInd w:val="0"/>
              <w:snapToGrid w:val="0"/>
              <w:spacing w:line="300" w:lineRule="auto"/>
              <w:jc w:val="center"/>
              <w:rPr>
                <w:rFonts w:hint="default" w:ascii="仿宋_GB2312" w:eastAsia="仿宋_GB2312" w:cs="仿宋_GB2312"/>
                <w:kern w:val="2"/>
                <w:szCs w:val="24"/>
                <w:highlight w:val="none"/>
              </w:rPr>
            </w:pPr>
            <w:r>
              <w:rPr>
                <w:rFonts w:ascii="仿宋_GB2312" w:eastAsia="仿宋_GB2312" w:cs="仿宋_GB2312"/>
                <w:kern w:val="2"/>
                <w:szCs w:val="24"/>
                <w:highlight w:val="none"/>
              </w:rPr>
              <w:t>项目介绍</w:t>
            </w:r>
          </w:p>
        </w:tc>
        <w:tc>
          <w:tcPr>
            <w:tcW w:w="1799" w:type="dxa"/>
            <w:tcBorders>
              <w:top w:val="single" w:color="auto" w:sz="4" w:space="0"/>
              <w:left w:val="nil"/>
              <w:bottom w:val="single" w:color="auto" w:sz="4" w:space="0"/>
              <w:right w:val="single" w:color="auto" w:sz="4" w:space="0"/>
            </w:tcBorders>
            <w:vAlign w:val="center"/>
          </w:tcPr>
          <w:p w14:paraId="7CD59F0E">
            <w:pPr>
              <w:pStyle w:val="13"/>
              <w:adjustRightInd w:val="0"/>
              <w:snapToGrid w:val="0"/>
              <w:spacing w:line="300" w:lineRule="auto"/>
              <w:jc w:val="center"/>
              <w:rPr>
                <w:rFonts w:hint="default" w:ascii="仿宋_GB2312" w:eastAsia="仿宋_GB2312" w:cs="仿宋_GB2312"/>
                <w:kern w:val="2"/>
                <w:szCs w:val="24"/>
                <w:highlight w:val="none"/>
              </w:rPr>
            </w:pPr>
            <w:r>
              <w:rPr>
                <w:rFonts w:ascii="仿宋_GB2312" w:eastAsia="仿宋_GB2312" w:cs="仿宋_GB2312"/>
                <w:kern w:val="2"/>
                <w:szCs w:val="24"/>
                <w:highlight w:val="none"/>
              </w:rPr>
              <w:t>合同签订时间</w:t>
            </w:r>
          </w:p>
        </w:tc>
        <w:tc>
          <w:tcPr>
            <w:tcW w:w="1421" w:type="dxa"/>
            <w:tcBorders>
              <w:top w:val="single" w:color="auto" w:sz="4" w:space="0"/>
              <w:left w:val="nil"/>
              <w:bottom w:val="single" w:color="auto" w:sz="4" w:space="0"/>
              <w:right w:val="single" w:color="auto" w:sz="4" w:space="0"/>
            </w:tcBorders>
            <w:vAlign w:val="center"/>
          </w:tcPr>
          <w:p w14:paraId="3E42B3E3">
            <w:pPr>
              <w:pStyle w:val="13"/>
              <w:adjustRightInd w:val="0"/>
              <w:snapToGrid w:val="0"/>
              <w:spacing w:line="300" w:lineRule="auto"/>
              <w:jc w:val="center"/>
              <w:rPr>
                <w:rFonts w:hint="default" w:ascii="仿宋_GB2312" w:eastAsia="仿宋_GB2312" w:cs="仿宋_GB2312"/>
                <w:kern w:val="2"/>
                <w:szCs w:val="24"/>
                <w:highlight w:val="none"/>
              </w:rPr>
            </w:pPr>
            <w:r>
              <w:rPr>
                <w:rFonts w:ascii="仿宋_GB2312" w:eastAsia="仿宋_GB2312" w:cs="仿宋_GB2312"/>
                <w:kern w:val="2"/>
                <w:szCs w:val="24"/>
                <w:highlight w:val="none"/>
              </w:rPr>
              <w:t>委托单位</w:t>
            </w:r>
          </w:p>
        </w:tc>
        <w:tc>
          <w:tcPr>
            <w:tcW w:w="1420" w:type="dxa"/>
            <w:tcBorders>
              <w:top w:val="single" w:color="auto" w:sz="4" w:space="0"/>
              <w:left w:val="nil"/>
              <w:bottom w:val="single" w:color="auto" w:sz="4" w:space="0"/>
              <w:right w:val="single" w:color="auto" w:sz="4" w:space="0"/>
            </w:tcBorders>
            <w:vAlign w:val="center"/>
          </w:tcPr>
          <w:p w14:paraId="51E6386F">
            <w:pPr>
              <w:pStyle w:val="13"/>
              <w:adjustRightInd w:val="0"/>
              <w:snapToGrid w:val="0"/>
              <w:spacing w:line="300" w:lineRule="auto"/>
              <w:jc w:val="center"/>
              <w:rPr>
                <w:rFonts w:hint="default" w:ascii="仿宋_GB2312" w:eastAsia="仿宋_GB2312" w:cs="仿宋_GB2312"/>
                <w:kern w:val="2"/>
                <w:szCs w:val="24"/>
                <w:highlight w:val="none"/>
              </w:rPr>
            </w:pPr>
            <w:r>
              <w:rPr>
                <w:rFonts w:ascii="仿宋_GB2312" w:eastAsia="仿宋_GB2312" w:cs="仿宋_GB2312"/>
                <w:kern w:val="2"/>
                <w:szCs w:val="24"/>
                <w:highlight w:val="none"/>
              </w:rPr>
              <w:t>用户联系</w:t>
            </w:r>
          </w:p>
          <w:p w14:paraId="211A3C69">
            <w:pPr>
              <w:pStyle w:val="13"/>
              <w:adjustRightInd w:val="0"/>
              <w:snapToGrid w:val="0"/>
              <w:spacing w:line="300" w:lineRule="auto"/>
              <w:jc w:val="center"/>
              <w:rPr>
                <w:rFonts w:hint="default" w:ascii="仿宋_GB2312" w:eastAsia="仿宋_GB2312" w:cs="仿宋_GB2312"/>
                <w:kern w:val="2"/>
                <w:szCs w:val="24"/>
                <w:highlight w:val="none"/>
              </w:rPr>
            </w:pPr>
            <w:r>
              <w:rPr>
                <w:rFonts w:ascii="仿宋_GB2312" w:eastAsia="仿宋_GB2312" w:cs="仿宋_GB2312"/>
                <w:kern w:val="2"/>
                <w:szCs w:val="24"/>
                <w:highlight w:val="none"/>
              </w:rPr>
              <w:t>人及电话</w:t>
            </w:r>
          </w:p>
        </w:tc>
      </w:tr>
      <w:tr w14:paraId="1E813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14:paraId="1E36BE97">
            <w:pPr>
              <w:pStyle w:val="13"/>
              <w:adjustRightInd w:val="0"/>
              <w:snapToGrid w:val="0"/>
              <w:spacing w:line="300" w:lineRule="auto"/>
              <w:jc w:val="center"/>
              <w:rPr>
                <w:rFonts w:hint="default" w:ascii="宋体" w:hAnsi="宋体" w:eastAsia="宋体" w:cs="宋体"/>
                <w:b/>
                <w:bCs/>
                <w:kern w:val="2"/>
                <w:sz w:val="21"/>
                <w:szCs w:val="21"/>
                <w:highlight w:val="none"/>
              </w:rPr>
            </w:pPr>
          </w:p>
        </w:tc>
        <w:tc>
          <w:tcPr>
            <w:tcW w:w="1785" w:type="dxa"/>
            <w:tcBorders>
              <w:top w:val="single" w:color="auto" w:sz="4" w:space="0"/>
              <w:left w:val="nil"/>
              <w:bottom w:val="single" w:color="auto" w:sz="4" w:space="0"/>
              <w:right w:val="single" w:color="auto" w:sz="4" w:space="0"/>
            </w:tcBorders>
          </w:tcPr>
          <w:p w14:paraId="217D9800">
            <w:pPr>
              <w:pStyle w:val="13"/>
              <w:widowControl/>
              <w:kinsoku w:val="0"/>
              <w:overflowPunct w:val="0"/>
              <w:spacing w:before="100" w:beforeAutospacing="1" w:after="100" w:afterAutospacing="1"/>
              <w:jc w:val="both"/>
              <w:textAlignment w:val="baseline"/>
              <w:rPr>
                <w:rFonts w:hint="default" w:ascii="Arial" w:hAnsi="Arial" w:cs="Arial"/>
                <w:sz w:val="21"/>
                <w:szCs w:val="21"/>
                <w:highlight w:val="none"/>
              </w:rPr>
            </w:pPr>
          </w:p>
        </w:tc>
        <w:tc>
          <w:tcPr>
            <w:tcW w:w="1575" w:type="dxa"/>
            <w:tcBorders>
              <w:top w:val="single" w:color="auto" w:sz="4" w:space="0"/>
              <w:left w:val="nil"/>
              <w:bottom w:val="single" w:color="auto" w:sz="4" w:space="0"/>
              <w:right w:val="single" w:color="auto" w:sz="4" w:space="0"/>
            </w:tcBorders>
          </w:tcPr>
          <w:p w14:paraId="548C3707">
            <w:pPr>
              <w:pStyle w:val="13"/>
              <w:widowControl/>
              <w:kinsoku w:val="0"/>
              <w:overflowPunct w:val="0"/>
              <w:spacing w:before="100" w:beforeAutospacing="1" w:after="100" w:afterAutospacing="1"/>
              <w:jc w:val="both"/>
              <w:textAlignment w:val="baseline"/>
              <w:rPr>
                <w:rFonts w:hint="default" w:ascii="Arial" w:hAnsi="Arial" w:cs="Arial"/>
                <w:sz w:val="21"/>
                <w:szCs w:val="21"/>
                <w:highlight w:val="none"/>
              </w:rPr>
            </w:pPr>
          </w:p>
        </w:tc>
        <w:tc>
          <w:tcPr>
            <w:tcW w:w="1799" w:type="dxa"/>
            <w:tcBorders>
              <w:top w:val="single" w:color="auto" w:sz="4" w:space="0"/>
              <w:left w:val="nil"/>
              <w:bottom w:val="single" w:color="auto" w:sz="4" w:space="0"/>
              <w:right w:val="single" w:color="auto" w:sz="4" w:space="0"/>
            </w:tcBorders>
            <w:vAlign w:val="center"/>
          </w:tcPr>
          <w:p w14:paraId="27C9AB55">
            <w:pPr>
              <w:pStyle w:val="13"/>
              <w:adjustRightInd w:val="0"/>
              <w:snapToGrid w:val="0"/>
              <w:spacing w:line="300" w:lineRule="auto"/>
              <w:jc w:val="center"/>
              <w:rPr>
                <w:rFonts w:hint="default" w:ascii="宋体" w:hAnsi="宋体" w:eastAsia="宋体" w:cs="宋体"/>
                <w:kern w:val="2"/>
                <w:sz w:val="21"/>
                <w:szCs w:val="21"/>
                <w:highlight w:val="none"/>
              </w:rPr>
            </w:pPr>
          </w:p>
        </w:tc>
        <w:tc>
          <w:tcPr>
            <w:tcW w:w="1421" w:type="dxa"/>
            <w:tcBorders>
              <w:top w:val="single" w:color="auto" w:sz="4" w:space="0"/>
              <w:left w:val="nil"/>
              <w:bottom w:val="single" w:color="auto" w:sz="4" w:space="0"/>
              <w:right w:val="single" w:color="auto" w:sz="4" w:space="0"/>
            </w:tcBorders>
            <w:vAlign w:val="center"/>
          </w:tcPr>
          <w:p w14:paraId="208F9D2C">
            <w:pPr>
              <w:pStyle w:val="13"/>
              <w:adjustRightInd w:val="0"/>
              <w:snapToGrid w:val="0"/>
              <w:spacing w:line="300" w:lineRule="auto"/>
              <w:jc w:val="center"/>
              <w:rPr>
                <w:rFonts w:hint="default" w:ascii="宋体" w:hAnsi="宋体" w:eastAsia="宋体" w:cs="宋体"/>
                <w:b/>
                <w:bCs/>
                <w:kern w:val="2"/>
                <w:sz w:val="21"/>
                <w:szCs w:val="21"/>
                <w:highlight w:val="none"/>
              </w:rPr>
            </w:pPr>
          </w:p>
        </w:tc>
        <w:tc>
          <w:tcPr>
            <w:tcW w:w="1420" w:type="dxa"/>
            <w:tcBorders>
              <w:top w:val="single" w:color="auto" w:sz="4" w:space="0"/>
              <w:left w:val="nil"/>
              <w:bottom w:val="single" w:color="auto" w:sz="4" w:space="0"/>
              <w:right w:val="single" w:color="auto" w:sz="4" w:space="0"/>
            </w:tcBorders>
            <w:vAlign w:val="center"/>
          </w:tcPr>
          <w:p w14:paraId="235617B7">
            <w:pPr>
              <w:pStyle w:val="13"/>
              <w:adjustRightInd w:val="0"/>
              <w:snapToGrid w:val="0"/>
              <w:spacing w:line="300" w:lineRule="auto"/>
              <w:jc w:val="center"/>
              <w:rPr>
                <w:rFonts w:hint="default" w:ascii="宋体" w:hAnsi="宋体" w:eastAsia="宋体" w:cs="宋体"/>
                <w:b/>
                <w:bCs/>
                <w:kern w:val="2"/>
                <w:sz w:val="21"/>
                <w:szCs w:val="21"/>
                <w:highlight w:val="none"/>
              </w:rPr>
            </w:pPr>
          </w:p>
        </w:tc>
      </w:tr>
      <w:tr w14:paraId="7CEC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14:paraId="0ABA3E9A">
            <w:pPr>
              <w:pStyle w:val="13"/>
              <w:adjustRightInd w:val="0"/>
              <w:snapToGrid w:val="0"/>
              <w:spacing w:line="300" w:lineRule="auto"/>
              <w:jc w:val="center"/>
              <w:rPr>
                <w:rFonts w:hint="default" w:ascii="宋体" w:hAnsi="宋体" w:eastAsia="宋体" w:cs="宋体"/>
                <w:kern w:val="2"/>
                <w:sz w:val="21"/>
                <w:szCs w:val="21"/>
                <w:highlight w:val="none"/>
              </w:rPr>
            </w:pPr>
          </w:p>
        </w:tc>
        <w:tc>
          <w:tcPr>
            <w:tcW w:w="1785" w:type="dxa"/>
            <w:tcBorders>
              <w:top w:val="single" w:color="auto" w:sz="4" w:space="0"/>
              <w:left w:val="nil"/>
              <w:bottom w:val="single" w:color="auto" w:sz="4" w:space="0"/>
              <w:right w:val="single" w:color="auto" w:sz="4" w:space="0"/>
            </w:tcBorders>
          </w:tcPr>
          <w:p w14:paraId="171FD726">
            <w:pPr>
              <w:pStyle w:val="13"/>
              <w:widowControl/>
              <w:kinsoku w:val="0"/>
              <w:overflowPunct w:val="0"/>
              <w:spacing w:before="100" w:beforeAutospacing="1" w:after="100" w:afterAutospacing="1"/>
              <w:jc w:val="both"/>
              <w:textAlignment w:val="baseline"/>
              <w:rPr>
                <w:rFonts w:hint="default" w:ascii="Arial" w:hAnsi="Arial" w:cs="Arial"/>
                <w:sz w:val="21"/>
                <w:szCs w:val="21"/>
                <w:highlight w:val="none"/>
              </w:rPr>
            </w:pPr>
          </w:p>
        </w:tc>
        <w:tc>
          <w:tcPr>
            <w:tcW w:w="1575" w:type="dxa"/>
            <w:tcBorders>
              <w:top w:val="single" w:color="auto" w:sz="4" w:space="0"/>
              <w:left w:val="nil"/>
              <w:bottom w:val="single" w:color="auto" w:sz="4" w:space="0"/>
              <w:right w:val="single" w:color="auto" w:sz="4" w:space="0"/>
            </w:tcBorders>
          </w:tcPr>
          <w:p w14:paraId="45326B58">
            <w:pPr>
              <w:pStyle w:val="13"/>
              <w:widowControl/>
              <w:kinsoku w:val="0"/>
              <w:overflowPunct w:val="0"/>
              <w:spacing w:before="100" w:beforeAutospacing="1" w:after="100" w:afterAutospacing="1"/>
              <w:jc w:val="both"/>
              <w:textAlignment w:val="baseline"/>
              <w:rPr>
                <w:rFonts w:hint="default" w:ascii="Arial" w:hAnsi="Arial" w:cs="Arial"/>
                <w:sz w:val="21"/>
                <w:szCs w:val="21"/>
                <w:highlight w:val="none"/>
              </w:rPr>
            </w:pPr>
          </w:p>
        </w:tc>
        <w:tc>
          <w:tcPr>
            <w:tcW w:w="1799" w:type="dxa"/>
            <w:tcBorders>
              <w:top w:val="single" w:color="auto" w:sz="4" w:space="0"/>
              <w:left w:val="nil"/>
              <w:bottom w:val="single" w:color="auto" w:sz="4" w:space="0"/>
              <w:right w:val="single" w:color="auto" w:sz="4" w:space="0"/>
            </w:tcBorders>
            <w:vAlign w:val="center"/>
          </w:tcPr>
          <w:p w14:paraId="7F3662F7">
            <w:pPr>
              <w:pStyle w:val="13"/>
              <w:adjustRightInd w:val="0"/>
              <w:snapToGrid w:val="0"/>
              <w:spacing w:line="300" w:lineRule="auto"/>
              <w:jc w:val="center"/>
              <w:rPr>
                <w:rFonts w:hint="default" w:ascii="宋体" w:hAnsi="宋体" w:eastAsia="宋体" w:cs="宋体"/>
                <w:kern w:val="2"/>
                <w:sz w:val="21"/>
                <w:szCs w:val="21"/>
                <w:highlight w:val="none"/>
              </w:rPr>
            </w:pPr>
          </w:p>
        </w:tc>
        <w:tc>
          <w:tcPr>
            <w:tcW w:w="1421" w:type="dxa"/>
            <w:tcBorders>
              <w:top w:val="single" w:color="auto" w:sz="4" w:space="0"/>
              <w:left w:val="nil"/>
              <w:bottom w:val="single" w:color="auto" w:sz="4" w:space="0"/>
              <w:right w:val="single" w:color="auto" w:sz="4" w:space="0"/>
            </w:tcBorders>
            <w:vAlign w:val="center"/>
          </w:tcPr>
          <w:p w14:paraId="43E5AD24">
            <w:pPr>
              <w:pStyle w:val="13"/>
              <w:adjustRightInd w:val="0"/>
              <w:snapToGrid w:val="0"/>
              <w:spacing w:line="300" w:lineRule="auto"/>
              <w:jc w:val="center"/>
              <w:rPr>
                <w:rFonts w:hint="default" w:ascii="宋体" w:hAnsi="宋体" w:eastAsia="宋体" w:cs="宋体"/>
                <w:kern w:val="2"/>
                <w:sz w:val="21"/>
                <w:szCs w:val="21"/>
                <w:highlight w:val="none"/>
              </w:rPr>
            </w:pPr>
          </w:p>
        </w:tc>
        <w:tc>
          <w:tcPr>
            <w:tcW w:w="1420" w:type="dxa"/>
            <w:tcBorders>
              <w:top w:val="single" w:color="auto" w:sz="4" w:space="0"/>
              <w:left w:val="nil"/>
              <w:bottom w:val="single" w:color="auto" w:sz="4" w:space="0"/>
              <w:right w:val="single" w:color="auto" w:sz="4" w:space="0"/>
            </w:tcBorders>
            <w:vAlign w:val="center"/>
          </w:tcPr>
          <w:p w14:paraId="0739CE03">
            <w:pPr>
              <w:pStyle w:val="13"/>
              <w:adjustRightInd w:val="0"/>
              <w:snapToGrid w:val="0"/>
              <w:spacing w:line="300" w:lineRule="auto"/>
              <w:jc w:val="center"/>
              <w:rPr>
                <w:rFonts w:hint="default" w:ascii="宋体" w:hAnsi="宋体" w:eastAsia="宋体" w:cs="宋体"/>
                <w:kern w:val="2"/>
                <w:sz w:val="21"/>
                <w:szCs w:val="21"/>
                <w:highlight w:val="none"/>
              </w:rPr>
            </w:pPr>
          </w:p>
        </w:tc>
      </w:tr>
      <w:tr w14:paraId="0707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14:paraId="7572D521">
            <w:pPr>
              <w:pStyle w:val="13"/>
              <w:adjustRightInd w:val="0"/>
              <w:snapToGrid w:val="0"/>
              <w:spacing w:line="300" w:lineRule="auto"/>
              <w:jc w:val="center"/>
              <w:rPr>
                <w:rFonts w:hint="default" w:ascii="宋体" w:hAnsi="宋体" w:eastAsia="宋体" w:cs="宋体"/>
                <w:kern w:val="2"/>
                <w:sz w:val="21"/>
                <w:szCs w:val="21"/>
                <w:highlight w:val="none"/>
              </w:rPr>
            </w:pPr>
          </w:p>
        </w:tc>
        <w:tc>
          <w:tcPr>
            <w:tcW w:w="1785" w:type="dxa"/>
            <w:tcBorders>
              <w:top w:val="single" w:color="auto" w:sz="4" w:space="0"/>
              <w:left w:val="nil"/>
              <w:bottom w:val="single" w:color="auto" w:sz="4" w:space="0"/>
              <w:right w:val="single" w:color="auto" w:sz="4" w:space="0"/>
            </w:tcBorders>
          </w:tcPr>
          <w:p w14:paraId="1FAB82D2">
            <w:pPr>
              <w:pStyle w:val="13"/>
              <w:widowControl/>
              <w:kinsoku w:val="0"/>
              <w:overflowPunct w:val="0"/>
              <w:spacing w:before="100" w:beforeAutospacing="1" w:after="100" w:afterAutospacing="1"/>
              <w:jc w:val="both"/>
              <w:textAlignment w:val="baseline"/>
              <w:rPr>
                <w:rFonts w:hint="default" w:ascii="Arial" w:hAnsi="Arial" w:cs="Arial"/>
                <w:sz w:val="21"/>
                <w:szCs w:val="21"/>
                <w:highlight w:val="none"/>
              </w:rPr>
            </w:pPr>
          </w:p>
        </w:tc>
        <w:tc>
          <w:tcPr>
            <w:tcW w:w="1575" w:type="dxa"/>
            <w:tcBorders>
              <w:top w:val="single" w:color="auto" w:sz="4" w:space="0"/>
              <w:left w:val="nil"/>
              <w:bottom w:val="single" w:color="auto" w:sz="4" w:space="0"/>
              <w:right w:val="single" w:color="auto" w:sz="4" w:space="0"/>
            </w:tcBorders>
          </w:tcPr>
          <w:p w14:paraId="74F7C203">
            <w:pPr>
              <w:pStyle w:val="13"/>
              <w:widowControl/>
              <w:kinsoku w:val="0"/>
              <w:overflowPunct w:val="0"/>
              <w:spacing w:before="100" w:beforeAutospacing="1" w:after="100" w:afterAutospacing="1"/>
              <w:jc w:val="both"/>
              <w:textAlignment w:val="baseline"/>
              <w:rPr>
                <w:rFonts w:hint="default" w:ascii="Arial" w:hAnsi="Arial" w:cs="Arial"/>
                <w:sz w:val="21"/>
                <w:szCs w:val="21"/>
                <w:highlight w:val="none"/>
              </w:rPr>
            </w:pPr>
          </w:p>
        </w:tc>
        <w:tc>
          <w:tcPr>
            <w:tcW w:w="1799" w:type="dxa"/>
            <w:tcBorders>
              <w:top w:val="single" w:color="auto" w:sz="4" w:space="0"/>
              <w:left w:val="nil"/>
              <w:bottom w:val="single" w:color="auto" w:sz="4" w:space="0"/>
              <w:right w:val="single" w:color="auto" w:sz="4" w:space="0"/>
            </w:tcBorders>
            <w:vAlign w:val="center"/>
          </w:tcPr>
          <w:p w14:paraId="1224CB88">
            <w:pPr>
              <w:pStyle w:val="13"/>
              <w:adjustRightInd w:val="0"/>
              <w:snapToGrid w:val="0"/>
              <w:spacing w:line="300" w:lineRule="auto"/>
              <w:jc w:val="center"/>
              <w:rPr>
                <w:rFonts w:hint="default" w:ascii="宋体" w:hAnsi="宋体" w:eastAsia="宋体" w:cs="宋体"/>
                <w:kern w:val="2"/>
                <w:sz w:val="21"/>
                <w:szCs w:val="21"/>
                <w:highlight w:val="none"/>
              </w:rPr>
            </w:pPr>
          </w:p>
        </w:tc>
        <w:tc>
          <w:tcPr>
            <w:tcW w:w="1421" w:type="dxa"/>
            <w:tcBorders>
              <w:top w:val="single" w:color="auto" w:sz="4" w:space="0"/>
              <w:left w:val="nil"/>
              <w:bottom w:val="single" w:color="auto" w:sz="4" w:space="0"/>
              <w:right w:val="single" w:color="auto" w:sz="4" w:space="0"/>
            </w:tcBorders>
            <w:vAlign w:val="center"/>
          </w:tcPr>
          <w:p w14:paraId="4FC88505">
            <w:pPr>
              <w:pStyle w:val="13"/>
              <w:adjustRightInd w:val="0"/>
              <w:snapToGrid w:val="0"/>
              <w:spacing w:line="300" w:lineRule="auto"/>
              <w:jc w:val="center"/>
              <w:rPr>
                <w:rFonts w:hint="default" w:ascii="宋体" w:hAnsi="宋体" w:eastAsia="宋体" w:cs="宋体"/>
                <w:kern w:val="2"/>
                <w:sz w:val="21"/>
                <w:szCs w:val="21"/>
                <w:highlight w:val="none"/>
              </w:rPr>
            </w:pPr>
          </w:p>
        </w:tc>
        <w:tc>
          <w:tcPr>
            <w:tcW w:w="1420" w:type="dxa"/>
            <w:tcBorders>
              <w:top w:val="single" w:color="auto" w:sz="4" w:space="0"/>
              <w:left w:val="nil"/>
              <w:bottom w:val="single" w:color="auto" w:sz="4" w:space="0"/>
              <w:right w:val="single" w:color="auto" w:sz="4" w:space="0"/>
            </w:tcBorders>
            <w:vAlign w:val="center"/>
          </w:tcPr>
          <w:p w14:paraId="5D91C99A">
            <w:pPr>
              <w:pStyle w:val="13"/>
              <w:adjustRightInd w:val="0"/>
              <w:snapToGrid w:val="0"/>
              <w:spacing w:line="300" w:lineRule="auto"/>
              <w:jc w:val="center"/>
              <w:rPr>
                <w:rFonts w:hint="default" w:ascii="宋体" w:hAnsi="宋体" w:eastAsia="宋体" w:cs="宋体"/>
                <w:kern w:val="2"/>
                <w:sz w:val="21"/>
                <w:szCs w:val="21"/>
                <w:highlight w:val="none"/>
              </w:rPr>
            </w:pPr>
          </w:p>
        </w:tc>
      </w:tr>
      <w:tr w14:paraId="2DF5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14:paraId="026854B5">
            <w:pPr>
              <w:pStyle w:val="13"/>
              <w:adjustRightInd w:val="0"/>
              <w:snapToGrid w:val="0"/>
              <w:spacing w:line="300" w:lineRule="auto"/>
              <w:jc w:val="center"/>
              <w:rPr>
                <w:rFonts w:hint="default" w:ascii="宋体" w:hAnsi="宋体" w:eastAsia="宋体" w:cs="宋体"/>
                <w:kern w:val="2"/>
                <w:sz w:val="21"/>
                <w:szCs w:val="21"/>
                <w:highlight w:val="none"/>
              </w:rPr>
            </w:pPr>
          </w:p>
        </w:tc>
        <w:tc>
          <w:tcPr>
            <w:tcW w:w="1785" w:type="dxa"/>
            <w:tcBorders>
              <w:top w:val="single" w:color="auto" w:sz="4" w:space="0"/>
              <w:left w:val="nil"/>
              <w:bottom w:val="single" w:color="auto" w:sz="4" w:space="0"/>
              <w:right w:val="single" w:color="auto" w:sz="4" w:space="0"/>
            </w:tcBorders>
          </w:tcPr>
          <w:p w14:paraId="0C1780A0">
            <w:pPr>
              <w:pStyle w:val="13"/>
              <w:widowControl/>
              <w:kinsoku w:val="0"/>
              <w:overflowPunct w:val="0"/>
              <w:spacing w:before="100" w:beforeAutospacing="1" w:after="100" w:afterAutospacing="1"/>
              <w:jc w:val="both"/>
              <w:textAlignment w:val="baseline"/>
              <w:rPr>
                <w:rFonts w:hint="default" w:ascii="Arial" w:hAnsi="Arial" w:cs="Arial"/>
                <w:sz w:val="21"/>
                <w:szCs w:val="21"/>
                <w:highlight w:val="none"/>
              </w:rPr>
            </w:pPr>
          </w:p>
        </w:tc>
        <w:tc>
          <w:tcPr>
            <w:tcW w:w="1575" w:type="dxa"/>
            <w:tcBorders>
              <w:top w:val="single" w:color="auto" w:sz="4" w:space="0"/>
              <w:left w:val="nil"/>
              <w:bottom w:val="single" w:color="auto" w:sz="4" w:space="0"/>
              <w:right w:val="single" w:color="auto" w:sz="4" w:space="0"/>
            </w:tcBorders>
          </w:tcPr>
          <w:p w14:paraId="30A872CE">
            <w:pPr>
              <w:pStyle w:val="13"/>
              <w:widowControl/>
              <w:kinsoku w:val="0"/>
              <w:overflowPunct w:val="0"/>
              <w:spacing w:before="100" w:beforeAutospacing="1" w:after="100" w:afterAutospacing="1"/>
              <w:jc w:val="both"/>
              <w:textAlignment w:val="baseline"/>
              <w:rPr>
                <w:rFonts w:hint="default" w:ascii="Arial" w:hAnsi="Arial" w:cs="Arial"/>
                <w:sz w:val="21"/>
                <w:szCs w:val="21"/>
                <w:highlight w:val="none"/>
              </w:rPr>
            </w:pPr>
          </w:p>
        </w:tc>
        <w:tc>
          <w:tcPr>
            <w:tcW w:w="1799" w:type="dxa"/>
            <w:tcBorders>
              <w:top w:val="single" w:color="auto" w:sz="4" w:space="0"/>
              <w:left w:val="nil"/>
              <w:bottom w:val="single" w:color="auto" w:sz="4" w:space="0"/>
              <w:right w:val="single" w:color="auto" w:sz="4" w:space="0"/>
            </w:tcBorders>
            <w:vAlign w:val="center"/>
          </w:tcPr>
          <w:p w14:paraId="23121AB1">
            <w:pPr>
              <w:pStyle w:val="13"/>
              <w:adjustRightInd w:val="0"/>
              <w:snapToGrid w:val="0"/>
              <w:spacing w:line="300" w:lineRule="auto"/>
              <w:jc w:val="center"/>
              <w:rPr>
                <w:rFonts w:hint="default" w:ascii="宋体" w:hAnsi="宋体" w:eastAsia="宋体" w:cs="宋体"/>
                <w:kern w:val="2"/>
                <w:sz w:val="21"/>
                <w:szCs w:val="21"/>
                <w:highlight w:val="none"/>
              </w:rPr>
            </w:pPr>
          </w:p>
        </w:tc>
        <w:tc>
          <w:tcPr>
            <w:tcW w:w="1421" w:type="dxa"/>
            <w:tcBorders>
              <w:top w:val="single" w:color="auto" w:sz="4" w:space="0"/>
              <w:left w:val="nil"/>
              <w:bottom w:val="single" w:color="auto" w:sz="4" w:space="0"/>
              <w:right w:val="single" w:color="auto" w:sz="4" w:space="0"/>
            </w:tcBorders>
            <w:vAlign w:val="center"/>
          </w:tcPr>
          <w:p w14:paraId="1F4807EF">
            <w:pPr>
              <w:pStyle w:val="13"/>
              <w:adjustRightInd w:val="0"/>
              <w:snapToGrid w:val="0"/>
              <w:spacing w:line="300" w:lineRule="auto"/>
              <w:jc w:val="center"/>
              <w:rPr>
                <w:rFonts w:hint="default" w:ascii="宋体" w:hAnsi="宋体" w:eastAsia="宋体" w:cs="宋体"/>
                <w:kern w:val="2"/>
                <w:sz w:val="21"/>
                <w:szCs w:val="21"/>
                <w:highlight w:val="none"/>
              </w:rPr>
            </w:pPr>
          </w:p>
        </w:tc>
        <w:tc>
          <w:tcPr>
            <w:tcW w:w="1420" w:type="dxa"/>
            <w:tcBorders>
              <w:top w:val="single" w:color="auto" w:sz="4" w:space="0"/>
              <w:left w:val="nil"/>
              <w:bottom w:val="single" w:color="auto" w:sz="4" w:space="0"/>
              <w:right w:val="single" w:color="auto" w:sz="4" w:space="0"/>
            </w:tcBorders>
            <w:vAlign w:val="center"/>
          </w:tcPr>
          <w:p w14:paraId="56408D2E">
            <w:pPr>
              <w:pStyle w:val="13"/>
              <w:adjustRightInd w:val="0"/>
              <w:snapToGrid w:val="0"/>
              <w:spacing w:line="300" w:lineRule="auto"/>
              <w:jc w:val="center"/>
              <w:rPr>
                <w:rFonts w:hint="default" w:ascii="宋体" w:hAnsi="宋体" w:eastAsia="宋体" w:cs="宋体"/>
                <w:kern w:val="2"/>
                <w:sz w:val="21"/>
                <w:szCs w:val="21"/>
                <w:highlight w:val="none"/>
              </w:rPr>
            </w:pPr>
          </w:p>
        </w:tc>
      </w:tr>
      <w:tr w14:paraId="0BCC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14:paraId="1AE4E3E1">
            <w:pPr>
              <w:pStyle w:val="13"/>
              <w:adjustRightInd w:val="0"/>
              <w:snapToGrid w:val="0"/>
              <w:spacing w:line="300" w:lineRule="auto"/>
              <w:jc w:val="center"/>
              <w:rPr>
                <w:rFonts w:hint="default" w:ascii="宋体" w:hAnsi="宋体" w:eastAsia="宋体" w:cs="宋体"/>
                <w:kern w:val="2"/>
                <w:sz w:val="21"/>
                <w:szCs w:val="21"/>
                <w:highlight w:val="none"/>
              </w:rPr>
            </w:pPr>
          </w:p>
        </w:tc>
        <w:tc>
          <w:tcPr>
            <w:tcW w:w="1785" w:type="dxa"/>
            <w:tcBorders>
              <w:top w:val="single" w:color="auto" w:sz="4" w:space="0"/>
              <w:left w:val="nil"/>
              <w:bottom w:val="single" w:color="auto" w:sz="4" w:space="0"/>
              <w:right w:val="single" w:color="auto" w:sz="4" w:space="0"/>
            </w:tcBorders>
          </w:tcPr>
          <w:p w14:paraId="7FC97758">
            <w:pPr>
              <w:pStyle w:val="13"/>
              <w:widowControl/>
              <w:kinsoku w:val="0"/>
              <w:overflowPunct w:val="0"/>
              <w:spacing w:before="100" w:beforeAutospacing="1" w:after="100" w:afterAutospacing="1"/>
              <w:jc w:val="both"/>
              <w:textAlignment w:val="baseline"/>
              <w:rPr>
                <w:rFonts w:hint="default" w:ascii="Arial" w:hAnsi="Arial" w:cs="Arial"/>
                <w:sz w:val="21"/>
                <w:szCs w:val="21"/>
                <w:highlight w:val="none"/>
              </w:rPr>
            </w:pPr>
          </w:p>
        </w:tc>
        <w:tc>
          <w:tcPr>
            <w:tcW w:w="1575" w:type="dxa"/>
            <w:tcBorders>
              <w:top w:val="single" w:color="auto" w:sz="4" w:space="0"/>
              <w:left w:val="nil"/>
              <w:bottom w:val="single" w:color="auto" w:sz="4" w:space="0"/>
              <w:right w:val="single" w:color="auto" w:sz="4" w:space="0"/>
            </w:tcBorders>
          </w:tcPr>
          <w:p w14:paraId="7801A73D">
            <w:pPr>
              <w:pStyle w:val="13"/>
              <w:widowControl/>
              <w:kinsoku w:val="0"/>
              <w:overflowPunct w:val="0"/>
              <w:spacing w:before="100" w:beforeAutospacing="1" w:after="100" w:afterAutospacing="1"/>
              <w:jc w:val="both"/>
              <w:textAlignment w:val="baseline"/>
              <w:rPr>
                <w:rFonts w:hint="default" w:ascii="Arial" w:hAnsi="Arial" w:cs="Arial"/>
                <w:sz w:val="21"/>
                <w:szCs w:val="21"/>
                <w:highlight w:val="none"/>
              </w:rPr>
            </w:pPr>
          </w:p>
        </w:tc>
        <w:tc>
          <w:tcPr>
            <w:tcW w:w="1799" w:type="dxa"/>
            <w:tcBorders>
              <w:top w:val="single" w:color="auto" w:sz="4" w:space="0"/>
              <w:left w:val="nil"/>
              <w:bottom w:val="single" w:color="auto" w:sz="4" w:space="0"/>
              <w:right w:val="single" w:color="auto" w:sz="4" w:space="0"/>
            </w:tcBorders>
            <w:vAlign w:val="center"/>
          </w:tcPr>
          <w:p w14:paraId="21B70D75">
            <w:pPr>
              <w:pStyle w:val="13"/>
              <w:adjustRightInd w:val="0"/>
              <w:snapToGrid w:val="0"/>
              <w:spacing w:line="300" w:lineRule="auto"/>
              <w:jc w:val="center"/>
              <w:rPr>
                <w:rFonts w:hint="default" w:ascii="宋体" w:hAnsi="宋体" w:eastAsia="宋体" w:cs="宋体"/>
                <w:kern w:val="2"/>
                <w:sz w:val="21"/>
                <w:szCs w:val="21"/>
                <w:highlight w:val="none"/>
              </w:rPr>
            </w:pPr>
          </w:p>
        </w:tc>
        <w:tc>
          <w:tcPr>
            <w:tcW w:w="1421" w:type="dxa"/>
            <w:tcBorders>
              <w:top w:val="single" w:color="auto" w:sz="4" w:space="0"/>
              <w:left w:val="nil"/>
              <w:bottom w:val="single" w:color="auto" w:sz="4" w:space="0"/>
              <w:right w:val="single" w:color="auto" w:sz="4" w:space="0"/>
            </w:tcBorders>
            <w:vAlign w:val="center"/>
          </w:tcPr>
          <w:p w14:paraId="72593DC9">
            <w:pPr>
              <w:pStyle w:val="13"/>
              <w:adjustRightInd w:val="0"/>
              <w:snapToGrid w:val="0"/>
              <w:spacing w:line="300" w:lineRule="auto"/>
              <w:jc w:val="center"/>
              <w:rPr>
                <w:rFonts w:hint="default" w:ascii="宋体" w:hAnsi="宋体" w:eastAsia="宋体" w:cs="宋体"/>
                <w:kern w:val="2"/>
                <w:sz w:val="21"/>
                <w:szCs w:val="21"/>
                <w:highlight w:val="none"/>
              </w:rPr>
            </w:pPr>
          </w:p>
        </w:tc>
        <w:tc>
          <w:tcPr>
            <w:tcW w:w="1420" w:type="dxa"/>
            <w:tcBorders>
              <w:top w:val="single" w:color="auto" w:sz="4" w:space="0"/>
              <w:left w:val="nil"/>
              <w:bottom w:val="single" w:color="auto" w:sz="4" w:space="0"/>
              <w:right w:val="single" w:color="auto" w:sz="4" w:space="0"/>
            </w:tcBorders>
            <w:vAlign w:val="center"/>
          </w:tcPr>
          <w:p w14:paraId="2E13F089">
            <w:pPr>
              <w:pStyle w:val="13"/>
              <w:adjustRightInd w:val="0"/>
              <w:snapToGrid w:val="0"/>
              <w:spacing w:line="300" w:lineRule="auto"/>
              <w:jc w:val="center"/>
              <w:rPr>
                <w:rFonts w:hint="default" w:ascii="宋体" w:hAnsi="宋体" w:eastAsia="宋体" w:cs="宋体"/>
                <w:kern w:val="2"/>
                <w:sz w:val="21"/>
                <w:szCs w:val="21"/>
                <w:highlight w:val="none"/>
              </w:rPr>
            </w:pPr>
          </w:p>
        </w:tc>
      </w:tr>
    </w:tbl>
    <w:p w14:paraId="00AC4DCF">
      <w:pPr>
        <w:spacing w:line="360" w:lineRule="auto"/>
        <w:ind w:firstLine="359" w:firstLineChars="171"/>
        <w:rPr>
          <w:rFonts w:ascii="仿宋" w:hAnsi="仿宋" w:eastAsia="仿宋" w:cs="仿宋"/>
          <w:szCs w:val="21"/>
          <w:highlight w:val="none"/>
          <w:lang w:bidi="ar"/>
        </w:rPr>
      </w:pPr>
      <w:r>
        <w:rPr>
          <w:rFonts w:hint="eastAsia" w:ascii="仿宋" w:hAnsi="仿宋" w:eastAsia="仿宋" w:cs="仿宋"/>
          <w:szCs w:val="21"/>
          <w:highlight w:val="none"/>
          <w:lang w:bidi="ar"/>
        </w:rPr>
        <w:t>注：投标人提供的类似业绩证明资料（如委托函、中标通知书、合同、获奖证书等）附于该表后面。业绩证明资料须提供：合同或相关证明资料必须能反映出评标所需内容，否则相应子项不予计分；时间以合同文件签订时间为准。</w:t>
      </w:r>
    </w:p>
    <w:p w14:paraId="61F90719">
      <w:pPr>
        <w:pStyle w:val="17"/>
        <w:ind w:firstLine="480"/>
        <w:rPr>
          <w:rFonts w:ascii="仿宋" w:hAnsi="仿宋" w:eastAsia="仿宋" w:cs="仿宋"/>
          <w:szCs w:val="21"/>
          <w:highlight w:val="none"/>
          <w:lang w:bidi="ar"/>
        </w:rPr>
      </w:pPr>
    </w:p>
    <w:p w14:paraId="564C2B39">
      <w:pPr>
        <w:rPr>
          <w:rFonts w:ascii="仿宋" w:hAnsi="仿宋" w:eastAsia="仿宋" w:cs="仿宋"/>
          <w:szCs w:val="21"/>
          <w:highlight w:val="none"/>
          <w:lang w:bidi="ar"/>
        </w:rPr>
      </w:pPr>
      <w:r>
        <w:rPr>
          <w:rFonts w:hint="eastAsia" w:ascii="仿宋" w:hAnsi="仿宋" w:eastAsia="仿宋" w:cs="仿宋"/>
          <w:szCs w:val="21"/>
          <w:highlight w:val="none"/>
          <w:lang w:bidi="ar"/>
        </w:rPr>
        <w:br w:type="page"/>
      </w:r>
    </w:p>
    <w:p w14:paraId="74AAB8FF">
      <w:pP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附件1.6 项目服务人员名单及综合能力经验文件</w:t>
      </w:r>
    </w:p>
    <w:tbl>
      <w:tblPr>
        <w:tblStyle w:val="18"/>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1250"/>
        <w:gridCol w:w="775"/>
        <w:gridCol w:w="1190"/>
        <w:gridCol w:w="980"/>
        <w:gridCol w:w="2720"/>
        <w:gridCol w:w="2275"/>
      </w:tblGrid>
      <w:tr w14:paraId="3F29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490" w:type="dxa"/>
            <w:vAlign w:val="center"/>
          </w:tcPr>
          <w:p w14:paraId="27A31565">
            <w:pPr>
              <w:rPr>
                <w:rFonts w:ascii="仿宋_GB2312" w:hAnsi="微软雅黑" w:eastAsia="仿宋_GB2312" w:cs="仿宋_GB2312"/>
                <w:sz w:val="24"/>
                <w:szCs w:val="24"/>
                <w:highlight w:val="none"/>
                <w:lang w:bidi="ar"/>
              </w:rPr>
            </w:pPr>
            <w:r>
              <w:rPr>
                <w:rFonts w:hint="eastAsia" w:ascii="仿宋_GB2312" w:hAnsi="微软雅黑" w:eastAsia="仿宋_GB2312" w:cs="仿宋_GB2312"/>
                <w:sz w:val="24"/>
                <w:szCs w:val="24"/>
                <w:highlight w:val="none"/>
                <w:lang w:bidi="ar"/>
              </w:rPr>
              <w:t>序号</w:t>
            </w:r>
          </w:p>
        </w:tc>
        <w:tc>
          <w:tcPr>
            <w:tcW w:w="1250" w:type="dxa"/>
            <w:vAlign w:val="center"/>
          </w:tcPr>
          <w:p w14:paraId="34AD1CF3">
            <w:pPr>
              <w:rPr>
                <w:rFonts w:ascii="仿宋_GB2312" w:hAnsi="微软雅黑" w:eastAsia="仿宋_GB2312" w:cs="仿宋_GB2312"/>
                <w:sz w:val="24"/>
                <w:szCs w:val="24"/>
                <w:highlight w:val="none"/>
                <w:lang w:bidi="ar"/>
              </w:rPr>
            </w:pPr>
            <w:r>
              <w:rPr>
                <w:rFonts w:hint="eastAsia" w:ascii="仿宋_GB2312" w:hAnsi="微软雅黑" w:eastAsia="仿宋_GB2312" w:cs="仿宋_GB2312"/>
                <w:sz w:val="24"/>
                <w:szCs w:val="24"/>
                <w:highlight w:val="none"/>
                <w:lang w:bidi="ar"/>
              </w:rPr>
              <w:t>姓名</w:t>
            </w:r>
          </w:p>
        </w:tc>
        <w:tc>
          <w:tcPr>
            <w:tcW w:w="775" w:type="dxa"/>
            <w:vAlign w:val="center"/>
          </w:tcPr>
          <w:p w14:paraId="0FE12528">
            <w:pPr>
              <w:rPr>
                <w:rFonts w:ascii="仿宋_GB2312" w:hAnsi="微软雅黑" w:eastAsia="仿宋_GB2312" w:cs="仿宋_GB2312"/>
                <w:sz w:val="24"/>
                <w:szCs w:val="24"/>
                <w:highlight w:val="none"/>
                <w:lang w:bidi="ar"/>
              </w:rPr>
            </w:pPr>
            <w:r>
              <w:rPr>
                <w:rFonts w:hint="eastAsia" w:ascii="仿宋_GB2312" w:hAnsi="微软雅黑" w:eastAsia="仿宋_GB2312" w:cs="仿宋_GB2312"/>
                <w:sz w:val="24"/>
                <w:szCs w:val="24"/>
                <w:highlight w:val="none"/>
                <w:lang w:bidi="ar"/>
              </w:rPr>
              <w:t>性别</w:t>
            </w:r>
          </w:p>
        </w:tc>
        <w:tc>
          <w:tcPr>
            <w:tcW w:w="1190" w:type="dxa"/>
            <w:vAlign w:val="center"/>
          </w:tcPr>
          <w:p w14:paraId="3A26AADD">
            <w:pPr>
              <w:rPr>
                <w:rFonts w:ascii="仿宋_GB2312" w:hAnsi="微软雅黑" w:eastAsia="仿宋_GB2312" w:cs="仿宋_GB2312"/>
                <w:sz w:val="24"/>
                <w:szCs w:val="24"/>
                <w:highlight w:val="none"/>
                <w:lang w:bidi="ar"/>
              </w:rPr>
            </w:pPr>
            <w:r>
              <w:rPr>
                <w:rFonts w:hint="eastAsia" w:ascii="仿宋_GB2312" w:hAnsi="微软雅黑" w:eastAsia="仿宋_GB2312" w:cs="仿宋_GB2312"/>
                <w:sz w:val="24"/>
                <w:szCs w:val="24"/>
                <w:highlight w:val="none"/>
                <w:lang w:val="en-US" w:eastAsia="zh-CN" w:bidi="ar"/>
              </w:rPr>
              <w:t>本行业</w:t>
            </w:r>
            <w:r>
              <w:rPr>
                <w:rFonts w:hint="eastAsia" w:ascii="仿宋_GB2312" w:hAnsi="微软雅黑" w:eastAsia="仿宋_GB2312" w:cs="仿宋_GB2312"/>
                <w:sz w:val="24"/>
                <w:szCs w:val="24"/>
                <w:highlight w:val="none"/>
                <w:lang w:bidi="ar"/>
              </w:rPr>
              <w:t>工作年限</w:t>
            </w:r>
          </w:p>
        </w:tc>
        <w:tc>
          <w:tcPr>
            <w:tcW w:w="980" w:type="dxa"/>
            <w:vAlign w:val="center"/>
          </w:tcPr>
          <w:p w14:paraId="4B9D2C45">
            <w:pPr>
              <w:rPr>
                <w:rFonts w:ascii="仿宋_GB2312" w:hAnsi="微软雅黑" w:eastAsia="仿宋_GB2312" w:cs="仿宋_GB2312"/>
                <w:sz w:val="24"/>
                <w:szCs w:val="24"/>
                <w:highlight w:val="none"/>
                <w:lang w:bidi="ar"/>
              </w:rPr>
            </w:pPr>
            <w:r>
              <w:rPr>
                <w:rFonts w:hint="eastAsia" w:ascii="仿宋_GB2312" w:hAnsi="微软雅黑" w:eastAsia="仿宋_GB2312" w:cs="仿宋_GB2312"/>
                <w:sz w:val="24"/>
                <w:szCs w:val="24"/>
                <w:highlight w:val="none"/>
                <w:lang w:bidi="ar"/>
              </w:rPr>
              <w:t>在本项目拟任工作</w:t>
            </w:r>
          </w:p>
        </w:tc>
        <w:tc>
          <w:tcPr>
            <w:tcW w:w="2720" w:type="dxa"/>
            <w:vAlign w:val="center"/>
          </w:tcPr>
          <w:p w14:paraId="0B5BB50E">
            <w:pPr>
              <w:rPr>
                <w:rFonts w:hint="eastAsia" w:ascii="仿宋_GB2312" w:hAnsi="微软雅黑" w:eastAsia="仿宋_GB2312" w:cs="仿宋_GB2312"/>
                <w:color w:val="auto"/>
                <w:sz w:val="24"/>
                <w:szCs w:val="24"/>
                <w:highlight w:val="none"/>
                <w:lang w:val="en-US" w:eastAsia="zh-CN" w:bidi="ar"/>
              </w:rPr>
            </w:pPr>
            <w:r>
              <w:rPr>
                <w:rFonts w:hint="eastAsia" w:ascii="仿宋_GB2312" w:hAnsi="微软雅黑" w:eastAsia="仿宋_GB2312" w:cs="仿宋_GB2312"/>
                <w:color w:val="auto"/>
                <w:sz w:val="24"/>
                <w:szCs w:val="24"/>
                <w:highlight w:val="none"/>
                <w:lang w:bidi="ar"/>
              </w:rPr>
              <w:t>曾参与项目名称</w:t>
            </w:r>
            <w:r>
              <w:rPr>
                <w:rFonts w:hint="eastAsia" w:ascii="仿宋_GB2312" w:hAnsi="微软雅黑" w:eastAsia="仿宋_GB2312" w:cs="仿宋_GB2312"/>
                <w:color w:val="auto"/>
                <w:sz w:val="24"/>
                <w:szCs w:val="24"/>
                <w:highlight w:val="none"/>
                <w:lang w:val="en-US" w:eastAsia="zh-CN" w:bidi="ar"/>
              </w:rPr>
              <w:t>及项目经验</w:t>
            </w:r>
          </w:p>
        </w:tc>
        <w:tc>
          <w:tcPr>
            <w:tcW w:w="2275" w:type="dxa"/>
            <w:vAlign w:val="center"/>
          </w:tcPr>
          <w:p w14:paraId="0D4CBBCF">
            <w:pPr>
              <w:rPr>
                <w:rFonts w:hint="default" w:ascii="仿宋_GB2312" w:hAnsi="微软雅黑" w:eastAsia="仿宋_GB2312" w:cs="仿宋_GB2312"/>
                <w:color w:val="auto"/>
                <w:sz w:val="24"/>
                <w:szCs w:val="24"/>
                <w:highlight w:val="none"/>
                <w:lang w:val="en-US" w:eastAsia="zh-CN" w:bidi="ar"/>
              </w:rPr>
            </w:pPr>
            <w:r>
              <w:rPr>
                <w:rFonts w:hint="eastAsia" w:ascii="仿宋_GB2312" w:hAnsi="微软雅黑" w:eastAsia="仿宋_GB2312" w:cs="仿宋_GB2312"/>
                <w:color w:val="auto"/>
                <w:sz w:val="24"/>
                <w:szCs w:val="24"/>
                <w:highlight w:val="none"/>
                <w:lang w:val="en-US" w:eastAsia="zh-CN" w:bidi="ar"/>
              </w:rPr>
              <w:t>毕业院校及专业</w:t>
            </w:r>
          </w:p>
        </w:tc>
      </w:tr>
      <w:tr w14:paraId="077F9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tcPr>
          <w:p w14:paraId="0D7512CC">
            <w:pPr>
              <w:rPr>
                <w:rFonts w:ascii="仿宋_GB2312" w:hAnsi="仿宋_GB2312" w:eastAsia="仿宋_GB2312" w:cs="仿宋_GB2312"/>
                <w:sz w:val="28"/>
                <w:szCs w:val="28"/>
                <w:highlight w:val="none"/>
              </w:rPr>
            </w:pPr>
          </w:p>
        </w:tc>
        <w:tc>
          <w:tcPr>
            <w:tcW w:w="1250" w:type="dxa"/>
          </w:tcPr>
          <w:p w14:paraId="7D54F799">
            <w:pPr>
              <w:rPr>
                <w:rFonts w:ascii="仿宋_GB2312" w:hAnsi="仿宋_GB2312" w:eastAsia="仿宋_GB2312" w:cs="仿宋_GB2312"/>
                <w:sz w:val="28"/>
                <w:szCs w:val="28"/>
                <w:highlight w:val="none"/>
              </w:rPr>
            </w:pPr>
          </w:p>
        </w:tc>
        <w:tc>
          <w:tcPr>
            <w:tcW w:w="775" w:type="dxa"/>
          </w:tcPr>
          <w:p w14:paraId="00598305">
            <w:pPr>
              <w:rPr>
                <w:rFonts w:ascii="仿宋_GB2312" w:hAnsi="仿宋_GB2312" w:eastAsia="仿宋_GB2312" w:cs="仿宋_GB2312"/>
                <w:sz w:val="28"/>
                <w:szCs w:val="28"/>
                <w:highlight w:val="none"/>
              </w:rPr>
            </w:pPr>
          </w:p>
        </w:tc>
        <w:tc>
          <w:tcPr>
            <w:tcW w:w="1190" w:type="dxa"/>
          </w:tcPr>
          <w:p w14:paraId="2A1ADB7C">
            <w:pPr>
              <w:rPr>
                <w:rFonts w:ascii="仿宋_GB2312" w:hAnsi="仿宋_GB2312" w:eastAsia="仿宋_GB2312" w:cs="仿宋_GB2312"/>
                <w:sz w:val="28"/>
                <w:szCs w:val="28"/>
                <w:highlight w:val="none"/>
              </w:rPr>
            </w:pPr>
          </w:p>
        </w:tc>
        <w:tc>
          <w:tcPr>
            <w:tcW w:w="980" w:type="dxa"/>
          </w:tcPr>
          <w:p w14:paraId="6F189BB9">
            <w:pPr>
              <w:rPr>
                <w:rFonts w:ascii="仿宋_GB2312" w:hAnsi="仿宋_GB2312" w:eastAsia="仿宋_GB2312" w:cs="仿宋_GB2312"/>
                <w:sz w:val="28"/>
                <w:szCs w:val="28"/>
                <w:highlight w:val="none"/>
              </w:rPr>
            </w:pPr>
          </w:p>
        </w:tc>
        <w:tc>
          <w:tcPr>
            <w:tcW w:w="2720" w:type="dxa"/>
          </w:tcPr>
          <w:p w14:paraId="4C814490">
            <w:pPr>
              <w:rPr>
                <w:rFonts w:ascii="仿宋_GB2312" w:hAnsi="仿宋_GB2312" w:eastAsia="仿宋_GB2312" w:cs="仿宋_GB2312"/>
                <w:sz w:val="28"/>
                <w:szCs w:val="28"/>
                <w:highlight w:val="none"/>
              </w:rPr>
            </w:pPr>
          </w:p>
        </w:tc>
        <w:tc>
          <w:tcPr>
            <w:tcW w:w="2275" w:type="dxa"/>
          </w:tcPr>
          <w:p w14:paraId="5DF7876D">
            <w:pPr>
              <w:rPr>
                <w:rFonts w:ascii="仿宋_GB2312" w:hAnsi="仿宋_GB2312" w:eastAsia="仿宋_GB2312" w:cs="仿宋_GB2312"/>
                <w:sz w:val="28"/>
                <w:szCs w:val="28"/>
                <w:highlight w:val="none"/>
              </w:rPr>
            </w:pPr>
          </w:p>
        </w:tc>
      </w:tr>
      <w:tr w14:paraId="460EA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tcPr>
          <w:p w14:paraId="75435BBF">
            <w:pPr>
              <w:rPr>
                <w:rFonts w:ascii="仿宋_GB2312" w:hAnsi="仿宋_GB2312" w:eastAsia="仿宋_GB2312" w:cs="仿宋_GB2312"/>
                <w:sz w:val="28"/>
                <w:szCs w:val="28"/>
                <w:highlight w:val="none"/>
              </w:rPr>
            </w:pPr>
          </w:p>
        </w:tc>
        <w:tc>
          <w:tcPr>
            <w:tcW w:w="1250" w:type="dxa"/>
          </w:tcPr>
          <w:p w14:paraId="1CDAB1AE">
            <w:pPr>
              <w:rPr>
                <w:rFonts w:ascii="仿宋_GB2312" w:hAnsi="仿宋_GB2312" w:eastAsia="仿宋_GB2312" w:cs="仿宋_GB2312"/>
                <w:sz w:val="28"/>
                <w:szCs w:val="28"/>
                <w:highlight w:val="none"/>
              </w:rPr>
            </w:pPr>
          </w:p>
        </w:tc>
        <w:tc>
          <w:tcPr>
            <w:tcW w:w="775" w:type="dxa"/>
          </w:tcPr>
          <w:p w14:paraId="2C329C16">
            <w:pPr>
              <w:rPr>
                <w:rFonts w:ascii="仿宋_GB2312" w:hAnsi="仿宋_GB2312" w:eastAsia="仿宋_GB2312" w:cs="仿宋_GB2312"/>
                <w:sz w:val="28"/>
                <w:szCs w:val="28"/>
                <w:highlight w:val="none"/>
              </w:rPr>
            </w:pPr>
          </w:p>
        </w:tc>
        <w:tc>
          <w:tcPr>
            <w:tcW w:w="1190" w:type="dxa"/>
          </w:tcPr>
          <w:p w14:paraId="2080DA93">
            <w:pPr>
              <w:rPr>
                <w:rFonts w:ascii="仿宋_GB2312" w:hAnsi="仿宋_GB2312" w:eastAsia="仿宋_GB2312" w:cs="仿宋_GB2312"/>
                <w:sz w:val="28"/>
                <w:szCs w:val="28"/>
                <w:highlight w:val="none"/>
              </w:rPr>
            </w:pPr>
          </w:p>
        </w:tc>
        <w:tc>
          <w:tcPr>
            <w:tcW w:w="980" w:type="dxa"/>
          </w:tcPr>
          <w:p w14:paraId="1D3A261F">
            <w:pPr>
              <w:rPr>
                <w:rFonts w:ascii="仿宋_GB2312" w:hAnsi="仿宋_GB2312" w:eastAsia="仿宋_GB2312" w:cs="仿宋_GB2312"/>
                <w:sz w:val="28"/>
                <w:szCs w:val="28"/>
                <w:highlight w:val="none"/>
              </w:rPr>
            </w:pPr>
          </w:p>
        </w:tc>
        <w:tc>
          <w:tcPr>
            <w:tcW w:w="2720" w:type="dxa"/>
          </w:tcPr>
          <w:p w14:paraId="5191D187">
            <w:pPr>
              <w:rPr>
                <w:rFonts w:ascii="仿宋_GB2312" w:hAnsi="仿宋_GB2312" w:eastAsia="仿宋_GB2312" w:cs="仿宋_GB2312"/>
                <w:sz w:val="28"/>
                <w:szCs w:val="28"/>
                <w:highlight w:val="none"/>
              </w:rPr>
            </w:pPr>
          </w:p>
        </w:tc>
        <w:tc>
          <w:tcPr>
            <w:tcW w:w="2275" w:type="dxa"/>
          </w:tcPr>
          <w:p w14:paraId="42DAE6D1">
            <w:pPr>
              <w:rPr>
                <w:rFonts w:ascii="仿宋_GB2312" w:hAnsi="仿宋_GB2312" w:eastAsia="仿宋_GB2312" w:cs="仿宋_GB2312"/>
                <w:sz w:val="28"/>
                <w:szCs w:val="28"/>
                <w:highlight w:val="none"/>
              </w:rPr>
            </w:pPr>
          </w:p>
        </w:tc>
      </w:tr>
      <w:tr w14:paraId="2476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tcPr>
          <w:p w14:paraId="5A4BB857">
            <w:pPr>
              <w:rPr>
                <w:rFonts w:ascii="仿宋_GB2312" w:hAnsi="仿宋_GB2312" w:eastAsia="仿宋_GB2312" w:cs="仿宋_GB2312"/>
                <w:sz w:val="28"/>
                <w:szCs w:val="28"/>
                <w:highlight w:val="none"/>
              </w:rPr>
            </w:pPr>
          </w:p>
        </w:tc>
        <w:tc>
          <w:tcPr>
            <w:tcW w:w="1250" w:type="dxa"/>
          </w:tcPr>
          <w:p w14:paraId="7382EE33">
            <w:pPr>
              <w:rPr>
                <w:rFonts w:ascii="仿宋_GB2312" w:hAnsi="仿宋_GB2312" w:eastAsia="仿宋_GB2312" w:cs="仿宋_GB2312"/>
                <w:sz w:val="28"/>
                <w:szCs w:val="28"/>
                <w:highlight w:val="none"/>
              </w:rPr>
            </w:pPr>
          </w:p>
        </w:tc>
        <w:tc>
          <w:tcPr>
            <w:tcW w:w="775" w:type="dxa"/>
          </w:tcPr>
          <w:p w14:paraId="0A1DAFDA">
            <w:pPr>
              <w:rPr>
                <w:rFonts w:ascii="仿宋_GB2312" w:hAnsi="仿宋_GB2312" w:eastAsia="仿宋_GB2312" w:cs="仿宋_GB2312"/>
                <w:sz w:val="28"/>
                <w:szCs w:val="28"/>
                <w:highlight w:val="none"/>
              </w:rPr>
            </w:pPr>
          </w:p>
        </w:tc>
        <w:tc>
          <w:tcPr>
            <w:tcW w:w="1190" w:type="dxa"/>
          </w:tcPr>
          <w:p w14:paraId="71E1363E">
            <w:pPr>
              <w:rPr>
                <w:rFonts w:ascii="仿宋_GB2312" w:hAnsi="仿宋_GB2312" w:eastAsia="仿宋_GB2312" w:cs="仿宋_GB2312"/>
                <w:sz w:val="28"/>
                <w:szCs w:val="28"/>
                <w:highlight w:val="none"/>
              </w:rPr>
            </w:pPr>
          </w:p>
        </w:tc>
        <w:tc>
          <w:tcPr>
            <w:tcW w:w="980" w:type="dxa"/>
          </w:tcPr>
          <w:p w14:paraId="7C4D55D9">
            <w:pPr>
              <w:rPr>
                <w:rFonts w:ascii="仿宋_GB2312" w:hAnsi="仿宋_GB2312" w:eastAsia="仿宋_GB2312" w:cs="仿宋_GB2312"/>
                <w:sz w:val="28"/>
                <w:szCs w:val="28"/>
                <w:highlight w:val="none"/>
              </w:rPr>
            </w:pPr>
          </w:p>
        </w:tc>
        <w:tc>
          <w:tcPr>
            <w:tcW w:w="2720" w:type="dxa"/>
          </w:tcPr>
          <w:p w14:paraId="3F46EB28">
            <w:pPr>
              <w:rPr>
                <w:rFonts w:ascii="仿宋_GB2312" w:hAnsi="仿宋_GB2312" w:eastAsia="仿宋_GB2312" w:cs="仿宋_GB2312"/>
                <w:sz w:val="28"/>
                <w:szCs w:val="28"/>
                <w:highlight w:val="none"/>
              </w:rPr>
            </w:pPr>
          </w:p>
        </w:tc>
        <w:tc>
          <w:tcPr>
            <w:tcW w:w="2275" w:type="dxa"/>
          </w:tcPr>
          <w:p w14:paraId="7E8E8D5B">
            <w:pPr>
              <w:rPr>
                <w:rFonts w:ascii="仿宋_GB2312" w:hAnsi="仿宋_GB2312" w:eastAsia="仿宋_GB2312" w:cs="仿宋_GB2312"/>
                <w:sz w:val="28"/>
                <w:szCs w:val="28"/>
                <w:highlight w:val="none"/>
              </w:rPr>
            </w:pPr>
          </w:p>
        </w:tc>
      </w:tr>
      <w:tr w14:paraId="498A7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tcPr>
          <w:p w14:paraId="45BA9186">
            <w:pPr>
              <w:rPr>
                <w:rFonts w:ascii="仿宋_GB2312" w:hAnsi="仿宋_GB2312" w:eastAsia="仿宋_GB2312" w:cs="仿宋_GB2312"/>
                <w:sz w:val="28"/>
                <w:szCs w:val="28"/>
                <w:highlight w:val="none"/>
              </w:rPr>
            </w:pPr>
          </w:p>
        </w:tc>
        <w:tc>
          <w:tcPr>
            <w:tcW w:w="1250" w:type="dxa"/>
          </w:tcPr>
          <w:p w14:paraId="7A2068F7">
            <w:pPr>
              <w:rPr>
                <w:rFonts w:ascii="仿宋_GB2312" w:hAnsi="仿宋_GB2312" w:eastAsia="仿宋_GB2312" w:cs="仿宋_GB2312"/>
                <w:sz w:val="28"/>
                <w:szCs w:val="28"/>
                <w:highlight w:val="none"/>
              </w:rPr>
            </w:pPr>
          </w:p>
        </w:tc>
        <w:tc>
          <w:tcPr>
            <w:tcW w:w="775" w:type="dxa"/>
          </w:tcPr>
          <w:p w14:paraId="7D55950B">
            <w:pPr>
              <w:rPr>
                <w:rFonts w:ascii="仿宋_GB2312" w:hAnsi="仿宋_GB2312" w:eastAsia="仿宋_GB2312" w:cs="仿宋_GB2312"/>
                <w:sz w:val="28"/>
                <w:szCs w:val="28"/>
                <w:highlight w:val="none"/>
              </w:rPr>
            </w:pPr>
          </w:p>
        </w:tc>
        <w:tc>
          <w:tcPr>
            <w:tcW w:w="1190" w:type="dxa"/>
          </w:tcPr>
          <w:p w14:paraId="41436E08">
            <w:pPr>
              <w:rPr>
                <w:rFonts w:ascii="仿宋_GB2312" w:hAnsi="仿宋_GB2312" w:eastAsia="仿宋_GB2312" w:cs="仿宋_GB2312"/>
                <w:sz w:val="28"/>
                <w:szCs w:val="28"/>
                <w:highlight w:val="none"/>
              </w:rPr>
            </w:pPr>
          </w:p>
        </w:tc>
        <w:tc>
          <w:tcPr>
            <w:tcW w:w="980" w:type="dxa"/>
          </w:tcPr>
          <w:p w14:paraId="261D47BB">
            <w:pPr>
              <w:rPr>
                <w:rFonts w:ascii="仿宋_GB2312" w:hAnsi="仿宋_GB2312" w:eastAsia="仿宋_GB2312" w:cs="仿宋_GB2312"/>
                <w:sz w:val="28"/>
                <w:szCs w:val="28"/>
                <w:highlight w:val="none"/>
              </w:rPr>
            </w:pPr>
          </w:p>
        </w:tc>
        <w:tc>
          <w:tcPr>
            <w:tcW w:w="2720" w:type="dxa"/>
          </w:tcPr>
          <w:p w14:paraId="33059948">
            <w:pPr>
              <w:rPr>
                <w:rFonts w:ascii="仿宋_GB2312" w:hAnsi="仿宋_GB2312" w:eastAsia="仿宋_GB2312" w:cs="仿宋_GB2312"/>
                <w:sz w:val="28"/>
                <w:szCs w:val="28"/>
                <w:highlight w:val="none"/>
              </w:rPr>
            </w:pPr>
          </w:p>
        </w:tc>
        <w:tc>
          <w:tcPr>
            <w:tcW w:w="2275" w:type="dxa"/>
          </w:tcPr>
          <w:p w14:paraId="4F7B91CC">
            <w:pPr>
              <w:rPr>
                <w:rFonts w:ascii="仿宋_GB2312" w:hAnsi="仿宋_GB2312" w:eastAsia="仿宋_GB2312" w:cs="仿宋_GB2312"/>
                <w:sz w:val="28"/>
                <w:szCs w:val="28"/>
                <w:highlight w:val="none"/>
              </w:rPr>
            </w:pPr>
          </w:p>
        </w:tc>
      </w:tr>
      <w:tr w14:paraId="66E88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tcPr>
          <w:p w14:paraId="4AC63CDD">
            <w:pPr>
              <w:rPr>
                <w:rFonts w:ascii="仿宋_GB2312" w:hAnsi="仿宋_GB2312" w:eastAsia="仿宋_GB2312" w:cs="仿宋_GB2312"/>
                <w:sz w:val="28"/>
                <w:szCs w:val="28"/>
                <w:highlight w:val="none"/>
              </w:rPr>
            </w:pPr>
          </w:p>
        </w:tc>
        <w:tc>
          <w:tcPr>
            <w:tcW w:w="1250" w:type="dxa"/>
          </w:tcPr>
          <w:p w14:paraId="31A4E3F4">
            <w:pPr>
              <w:rPr>
                <w:rFonts w:ascii="仿宋_GB2312" w:hAnsi="仿宋_GB2312" w:eastAsia="仿宋_GB2312" w:cs="仿宋_GB2312"/>
                <w:sz w:val="28"/>
                <w:szCs w:val="28"/>
                <w:highlight w:val="none"/>
              </w:rPr>
            </w:pPr>
          </w:p>
        </w:tc>
        <w:tc>
          <w:tcPr>
            <w:tcW w:w="775" w:type="dxa"/>
          </w:tcPr>
          <w:p w14:paraId="2B797358">
            <w:pPr>
              <w:rPr>
                <w:rFonts w:ascii="仿宋_GB2312" w:hAnsi="仿宋_GB2312" w:eastAsia="仿宋_GB2312" w:cs="仿宋_GB2312"/>
                <w:sz w:val="28"/>
                <w:szCs w:val="28"/>
                <w:highlight w:val="none"/>
              </w:rPr>
            </w:pPr>
          </w:p>
        </w:tc>
        <w:tc>
          <w:tcPr>
            <w:tcW w:w="1190" w:type="dxa"/>
          </w:tcPr>
          <w:p w14:paraId="4DA22027">
            <w:pPr>
              <w:rPr>
                <w:rFonts w:ascii="仿宋_GB2312" w:hAnsi="仿宋_GB2312" w:eastAsia="仿宋_GB2312" w:cs="仿宋_GB2312"/>
                <w:sz w:val="28"/>
                <w:szCs w:val="28"/>
                <w:highlight w:val="none"/>
              </w:rPr>
            </w:pPr>
          </w:p>
        </w:tc>
        <w:tc>
          <w:tcPr>
            <w:tcW w:w="980" w:type="dxa"/>
          </w:tcPr>
          <w:p w14:paraId="03328766">
            <w:pPr>
              <w:rPr>
                <w:rFonts w:ascii="仿宋_GB2312" w:hAnsi="仿宋_GB2312" w:eastAsia="仿宋_GB2312" w:cs="仿宋_GB2312"/>
                <w:sz w:val="28"/>
                <w:szCs w:val="28"/>
                <w:highlight w:val="none"/>
              </w:rPr>
            </w:pPr>
          </w:p>
        </w:tc>
        <w:tc>
          <w:tcPr>
            <w:tcW w:w="2720" w:type="dxa"/>
          </w:tcPr>
          <w:p w14:paraId="2D2CC4F3">
            <w:pPr>
              <w:rPr>
                <w:rFonts w:ascii="仿宋_GB2312" w:hAnsi="仿宋_GB2312" w:eastAsia="仿宋_GB2312" w:cs="仿宋_GB2312"/>
                <w:sz w:val="28"/>
                <w:szCs w:val="28"/>
                <w:highlight w:val="none"/>
              </w:rPr>
            </w:pPr>
          </w:p>
        </w:tc>
        <w:tc>
          <w:tcPr>
            <w:tcW w:w="2275" w:type="dxa"/>
          </w:tcPr>
          <w:p w14:paraId="76B3EB87">
            <w:pPr>
              <w:rPr>
                <w:rFonts w:ascii="仿宋_GB2312" w:hAnsi="仿宋_GB2312" w:eastAsia="仿宋_GB2312" w:cs="仿宋_GB2312"/>
                <w:sz w:val="28"/>
                <w:szCs w:val="28"/>
                <w:highlight w:val="none"/>
              </w:rPr>
            </w:pPr>
          </w:p>
        </w:tc>
      </w:tr>
      <w:tr w14:paraId="67B5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tcPr>
          <w:p w14:paraId="1DA327A9">
            <w:pPr>
              <w:rPr>
                <w:rFonts w:ascii="仿宋_GB2312" w:hAnsi="仿宋_GB2312" w:eastAsia="仿宋_GB2312" w:cs="仿宋_GB2312"/>
                <w:sz w:val="28"/>
                <w:szCs w:val="28"/>
                <w:highlight w:val="none"/>
              </w:rPr>
            </w:pPr>
          </w:p>
        </w:tc>
        <w:tc>
          <w:tcPr>
            <w:tcW w:w="1250" w:type="dxa"/>
          </w:tcPr>
          <w:p w14:paraId="02451228">
            <w:pPr>
              <w:rPr>
                <w:rFonts w:ascii="仿宋_GB2312" w:hAnsi="仿宋_GB2312" w:eastAsia="仿宋_GB2312" w:cs="仿宋_GB2312"/>
                <w:sz w:val="28"/>
                <w:szCs w:val="28"/>
                <w:highlight w:val="none"/>
              </w:rPr>
            </w:pPr>
          </w:p>
        </w:tc>
        <w:tc>
          <w:tcPr>
            <w:tcW w:w="775" w:type="dxa"/>
          </w:tcPr>
          <w:p w14:paraId="48B15226">
            <w:pPr>
              <w:rPr>
                <w:rFonts w:ascii="仿宋_GB2312" w:hAnsi="仿宋_GB2312" w:eastAsia="仿宋_GB2312" w:cs="仿宋_GB2312"/>
                <w:sz w:val="28"/>
                <w:szCs w:val="28"/>
                <w:highlight w:val="none"/>
              </w:rPr>
            </w:pPr>
          </w:p>
        </w:tc>
        <w:tc>
          <w:tcPr>
            <w:tcW w:w="1190" w:type="dxa"/>
          </w:tcPr>
          <w:p w14:paraId="1515DC3E">
            <w:pPr>
              <w:rPr>
                <w:rFonts w:ascii="仿宋_GB2312" w:hAnsi="仿宋_GB2312" w:eastAsia="仿宋_GB2312" w:cs="仿宋_GB2312"/>
                <w:sz w:val="28"/>
                <w:szCs w:val="28"/>
                <w:highlight w:val="none"/>
              </w:rPr>
            </w:pPr>
          </w:p>
        </w:tc>
        <w:tc>
          <w:tcPr>
            <w:tcW w:w="980" w:type="dxa"/>
          </w:tcPr>
          <w:p w14:paraId="30A4C062">
            <w:pPr>
              <w:rPr>
                <w:rFonts w:ascii="仿宋_GB2312" w:hAnsi="仿宋_GB2312" w:eastAsia="仿宋_GB2312" w:cs="仿宋_GB2312"/>
                <w:sz w:val="28"/>
                <w:szCs w:val="28"/>
                <w:highlight w:val="none"/>
              </w:rPr>
            </w:pPr>
          </w:p>
        </w:tc>
        <w:tc>
          <w:tcPr>
            <w:tcW w:w="2720" w:type="dxa"/>
          </w:tcPr>
          <w:p w14:paraId="3CEFF55A">
            <w:pPr>
              <w:rPr>
                <w:rFonts w:ascii="仿宋_GB2312" w:hAnsi="仿宋_GB2312" w:eastAsia="仿宋_GB2312" w:cs="仿宋_GB2312"/>
                <w:sz w:val="28"/>
                <w:szCs w:val="28"/>
                <w:highlight w:val="none"/>
              </w:rPr>
            </w:pPr>
          </w:p>
        </w:tc>
        <w:tc>
          <w:tcPr>
            <w:tcW w:w="2275" w:type="dxa"/>
          </w:tcPr>
          <w:p w14:paraId="4D41AEB3">
            <w:pPr>
              <w:rPr>
                <w:rFonts w:ascii="仿宋_GB2312" w:hAnsi="仿宋_GB2312" w:eastAsia="仿宋_GB2312" w:cs="仿宋_GB2312"/>
                <w:sz w:val="28"/>
                <w:szCs w:val="28"/>
                <w:highlight w:val="none"/>
              </w:rPr>
            </w:pPr>
          </w:p>
        </w:tc>
      </w:tr>
      <w:tr w14:paraId="349F4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tcPr>
          <w:p w14:paraId="4D88B912">
            <w:pPr>
              <w:rPr>
                <w:rFonts w:ascii="仿宋_GB2312" w:hAnsi="仿宋_GB2312" w:eastAsia="仿宋_GB2312" w:cs="仿宋_GB2312"/>
                <w:sz w:val="28"/>
                <w:szCs w:val="28"/>
                <w:highlight w:val="none"/>
              </w:rPr>
            </w:pPr>
          </w:p>
        </w:tc>
        <w:tc>
          <w:tcPr>
            <w:tcW w:w="1250" w:type="dxa"/>
          </w:tcPr>
          <w:p w14:paraId="098961E7">
            <w:pPr>
              <w:rPr>
                <w:rFonts w:ascii="仿宋_GB2312" w:hAnsi="仿宋_GB2312" w:eastAsia="仿宋_GB2312" w:cs="仿宋_GB2312"/>
                <w:sz w:val="28"/>
                <w:szCs w:val="28"/>
                <w:highlight w:val="none"/>
              </w:rPr>
            </w:pPr>
          </w:p>
        </w:tc>
        <w:tc>
          <w:tcPr>
            <w:tcW w:w="775" w:type="dxa"/>
          </w:tcPr>
          <w:p w14:paraId="6B0B18E1">
            <w:pPr>
              <w:rPr>
                <w:rFonts w:ascii="仿宋_GB2312" w:hAnsi="仿宋_GB2312" w:eastAsia="仿宋_GB2312" w:cs="仿宋_GB2312"/>
                <w:sz w:val="28"/>
                <w:szCs w:val="28"/>
                <w:highlight w:val="none"/>
              </w:rPr>
            </w:pPr>
          </w:p>
        </w:tc>
        <w:tc>
          <w:tcPr>
            <w:tcW w:w="1190" w:type="dxa"/>
          </w:tcPr>
          <w:p w14:paraId="5A2F5750">
            <w:pPr>
              <w:rPr>
                <w:rFonts w:ascii="仿宋_GB2312" w:hAnsi="仿宋_GB2312" w:eastAsia="仿宋_GB2312" w:cs="仿宋_GB2312"/>
                <w:sz w:val="28"/>
                <w:szCs w:val="28"/>
                <w:highlight w:val="none"/>
              </w:rPr>
            </w:pPr>
          </w:p>
        </w:tc>
        <w:tc>
          <w:tcPr>
            <w:tcW w:w="980" w:type="dxa"/>
          </w:tcPr>
          <w:p w14:paraId="0BFB845F">
            <w:pPr>
              <w:rPr>
                <w:rFonts w:ascii="仿宋_GB2312" w:hAnsi="仿宋_GB2312" w:eastAsia="仿宋_GB2312" w:cs="仿宋_GB2312"/>
                <w:sz w:val="28"/>
                <w:szCs w:val="28"/>
                <w:highlight w:val="none"/>
              </w:rPr>
            </w:pPr>
          </w:p>
        </w:tc>
        <w:tc>
          <w:tcPr>
            <w:tcW w:w="2720" w:type="dxa"/>
          </w:tcPr>
          <w:p w14:paraId="2CC39A87">
            <w:pPr>
              <w:rPr>
                <w:rFonts w:ascii="仿宋_GB2312" w:hAnsi="仿宋_GB2312" w:eastAsia="仿宋_GB2312" w:cs="仿宋_GB2312"/>
                <w:sz w:val="28"/>
                <w:szCs w:val="28"/>
                <w:highlight w:val="none"/>
              </w:rPr>
            </w:pPr>
          </w:p>
        </w:tc>
        <w:tc>
          <w:tcPr>
            <w:tcW w:w="2275" w:type="dxa"/>
          </w:tcPr>
          <w:p w14:paraId="7EC251E3">
            <w:pPr>
              <w:rPr>
                <w:rFonts w:ascii="仿宋_GB2312" w:hAnsi="仿宋_GB2312" w:eastAsia="仿宋_GB2312" w:cs="仿宋_GB2312"/>
                <w:sz w:val="28"/>
                <w:szCs w:val="28"/>
                <w:highlight w:val="none"/>
              </w:rPr>
            </w:pPr>
          </w:p>
        </w:tc>
      </w:tr>
      <w:tr w14:paraId="2B1FB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tcPr>
          <w:p w14:paraId="71031E0D">
            <w:pPr>
              <w:rPr>
                <w:rFonts w:ascii="仿宋_GB2312" w:hAnsi="仿宋_GB2312" w:eastAsia="仿宋_GB2312" w:cs="仿宋_GB2312"/>
                <w:sz w:val="28"/>
                <w:szCs w:val="28"/>
                <w:highlight w:val="none"/>
              </w:rPr>
            </w:pPr>
          </w:p>
        </w:tc>
        <w:tc>
          <w:tcPr>
            <w:tcW w:w="1250" w:type="dxa"/>
          </w:tcPr>
          <w:p w14:paraId="63F16A6B">
            <w:pPr>
              <w:rPr>
                <w:rFonts w:ascii="仿宋_GB2312" w:hAnsi="仿宋_GB2312" w:eastAsia="仿宋_GB2312" w:cs="仿宋_GB2312"/>
                <w:sz w:val="28"/>
                <w:szCs w:val="28"/>
                <w:highlight w:val="none"/>
              </w:rPr>
            </w:pPr>
          </w:p>
        </w:tc>
        <w:tc>
          <w:tcPr>
            <w:tcW w:w="775" w:type="dxa"/>
          </w:tcPr>
          <w:p w14:paraId="5B5B0C93">
            <w:pPr>
              <w:rPr>
                <w:rFonts w:ascii="仿宋_GB2312" w:hAnsi="仿宋_GB2312" w:eastAsia="仿宋_GB2312" w:cs="仿宋_GB2312"/>
                <w:sz w:val="28"/>
                <w:szCs w:val="28"/>
                <w:highlight w:val="none"/>
              </w:rPr>
            </w:pPr>
          </w:p>
        </w:tc>
        <w:tc>
          <w:tcPr>
            <w:tcW w:w="1190" w:type="dxa"/>
          </w:tcPr>
          <w:p w14:paraId="243C8B1B">
            <w:pPr>
              <w:rPr>
                <w:rFonts w:ascii="仿宋_GB2312" w:hAnsi="仿宋_GB2312" w:eastAsia="仿宋_GB2312" w:cs="仿宋_GB2312"/>
                <w:sz w:val="28"/>
                <w:szCs w:val="28"/>
                <w:highlight w:val="none"/>
              </w:rPr>
            </w:pPr>
          </w:p>
        </w:tc>
        <w:tc>
          <w:tcPr>
            <w:tcW w:w="980" w:type="dxa"/>
          </w:tcPr>
          <w:p w14:paraId="642CE4F8">
            <w:pPr>
              <w:rPr>
                <w:rFonts w:ascii="仿宋_GB2312" w:hAnsi="仿宋_GB2312" w:eastAsia="仿宋_GB2312" w:cs="仿宋_GB2312"/>
                <w:sz w:val="28"/>
                <w:szCs w:val="28"/>
                <w:highlight w:val="none"/>
              </w:rPr>
            </w:pPr>
          </w:p>
        </w:tc>
        <w:tc>
          <w:tcPr>
            <w:tcW w:w="2720" w:type="dxa"/>
          </w:tcPr>
          <w:p w14:paraId="23F70B27">
            <w:pPr>
              <w:rPr>
                <w:rFonts w:ascii="仿宋_GB2312" w:hAnsi="仿宋_GB2312" w:eastAsia="仿宋_GB2312" w:cs="仿宋_GB2312"/>
                <w:sz w:val="28"/>
                <w:szCs w:val="28"/>
                <w:highlight w:val="none"/>
              </w:rPr>
            </w:pPr>
          </w:p>
        </w:tc>
        <w:tc>
          <w:tcPr>
            <w:tcW w:w="2275" w:type="dxa"/>
          </w:tcPr>
          <w:p w14:paraId="27CA9B01">
            <w:pPr>
              <w:rPr>
                <w:rFonts w:ascii="仿宋_GB2312" w:hAnsi="仿宋_GB2312" w:eastAsia="仿宋_GB2312" w:cs="仿宋_GB2312"/>
                <w:sz w:val="28"/>
                <w:szCs w:val="28"/>
                <w:highlight w:val="none"/>
              </w:rPr>
            </w:pPr>
          </w:p>
        </w:tc>
      </w:tr>
      <w:tr w14:paraId="4C732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tcPr>
          <w:p w14:paraId="4D53B9B5">
            <w:pPr>
              <w:rPr>
                <w:rFonts w:ascii="仿宋_GB2312" w:hAnsi="仿宋_GB2312" w:eastAsia="仿宋_GB2312" w:cs="仿宋_GB2312"/>
                <w:sz w:val="28"/>
                <w:szCs w:val="28"/>
                <w:highlight w:val="none"/>
              </w:rPr>
            </w:pPr>
          </w:p>
        </w:tc>
        <w:tc>
          <w:tcPr>
            <w:tcW w:w="1250" w:type="dxa"/>
          </w:tcPr>
          <w:p w14:paraId="4F254200">
            <w:pPr>
              <w:rPr>
                <w:rFonts w:ascii="仿宋_GB2312" w:hAnsi="仿宋_GB2312" w:eastAsia="仿宋_GB2312" w:cs="仿宋_GB2312"/>
                <w:sz w:val="28"/>
                <w:szCs w:val="28"/>
                <w:highlight w:val="none"/>
              </w:rPr>
            </w:pPr>
          </w:p>
        </w:tc>
        <w:tc>
          <w:tcPr>
            <w:tcW w:w="775" w:type="dxa"/>
          </w:tcPr>
          <w:p w14:paraId="744D3925">
            <w:pPr>
              <w:rPr>
                <w:rFonts w:ascii="仿宋_GB2312" w:hAnsi="仿宋_GB2312" w:eastAsia="仿宋_GB2312" w:cs="仿宋_GB2312"/>
                <w:sz w:val="28"/>
                <w:szCs w:val="28"/>
                <w:highlight w:val="none"/>
              </w:rPr>
            </w:pPr>
          </w:p>
        </w:tc>
        <w:tc>
          <w:tcPr>
            <w:tcW w:w="1190" w:type="dxa"/>
          </w:tcPr>
          <w:p w14:paraId="735A2B2C">
            <w:pPr>
              <w:rPr>
                <w:rFonts w:ascii="仿宋_GB2312" w:hAnsi="仿宋_GB2312" w:eastAsia="仿宋_GB2312" w:cs="仿宋_GB2312"/>
                <w:sz w:val="28"/>
                <w:szCs w:val="28"/>
                <w:highlight w:val="none"/>
              </w:rPr>
            </w:pPr>
          </w:p>
        </w:tc>
        <w:tc>
          <w:tcPr>
            <w:tcW w:w="980" w:type="dxa"/>
          </w:tcPr>
          <w:p w14:paraId="6590A0C0">
            <w:pPr>
              <w:rPr>
                <w:rFonts w:ascii="仿宋_GB2312" w:hAnsi="仿宋_GB2312" w:eastAsia="仿宋_GB2312" w:cs="仿宋_GB2312"/>
                <w:sz w:val="28"/>
                <w:szCs w:val="28"/>
                <w:highlight w:val="none"/>
              </w:rPr>
            </w:pPr>
          </w:p>
        </w:tc>
        <w:tc>
          <w:tcPr>
            <w:tcW w:w="2720" w:type="dxa"/>
          </w:tcPr>
          <w:p w14:paraId="68FDCD08">
            <w:pPr>
              <w:rPr>
                <w:rFonts w:ascii="仿宋_GB2312" w:hAnsi="仿宋_GB2312" w:eastAsia="仿宋_GB2312" w:cs="仿宋_GB2312"/>
                <w:sz w:val="28"/>
                <w:szCs w:val="28"/>
                <w:highlight w:val="none"/>
              </w:rPr>
            </w:pPr>
          </w:p>
        </w:tc>
        <w:tc>
          <w:tcPr>
            <w:tcW w:w="2275" w:type="dxa"/>
          </w:tcPr>
          <w:p w14:paraId="341A7C7D">
            <w:pPr>
              <w:rPr>
                <w:rFonts w:ascii="仿宋_GB2312" w:hAnsi="仿宋_GB2312" w:eastAsia="仿宋_GB2312" w:cs="仿宋_GB2312"/>
                <w:sz w:val="28"/>
                <w:szCs w:val="28"/>
                <w:highlight w:val="none"/>
              </w:rPr>
            </w:pPr>
          </w:p>
        </w:tc>
      </w:tr>
      <w:tr w14:paraId="1B00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tcPr>
          <w:p w14:paraId="7793411C">
            <w:pPr>
              <w:rPr>
                <w:rFonts w:ascii="仿宋_GB2312" w:hAnsi="仿宋_GB2312" w:eastAsia="仿宋_GB2312" w:cs="仿宋_GB2312"/>
                <w:sz w:val="28"/>
                <w:szCs w:val="28"/>
                <w:highlight w:val="none"/>
              </w:rPr>
            </w:pPr>
          </w:p>
        </w:tc>
        <w:tc>
          <w:tcPr>
            <w:tcW w:w="1250" w:type="dxa"/>
          </w:tcPr>
          <w:p w14:paraId="38B673C7">
            <w:pPr>
              <w:rPr>
                <w:rFonts w:ascii="仿宋_GB2312" w:hAnsi="仿宋_GB2312" w:eastAsia="仿宋_GB2312" w:cs="仿宋_GB2312"/>
                <w:sz w:val="28"/>
                <w:szCs w:val="28"/>
                <w:highlight w:val="none"/>
              </w:rPr>
            </w:pPr>
          </w:p>
        </w:tc>
        <w:tc>
          <w:tcPr>
            <w:tcW w:w="775" w:type="dxa"/>
          </w:tcPr>
          <w:p w14:paraId="4CEE055E">
            <w:pPr>
              <w:rPr>
                <w:rFonts w:ascii="仿宋_GB2312" w:hAnsi="仿宋_GB2312" w:eastAsia="仿宋_GB2312" w:cs="仿宋_GB2312"/>
                <w:sz w:val="28"/>
                <w:szCs w:val="28"/>
                <w:highlight w:val="none"/>
              </w:rPr>
            </w:pPr>
          </w:p>
        </w:tc>
        <w:tc>
          <w:tcPr>
            <w:tcW w:w="1190" w:type="dxa"/>
          </w:tcPr>
          <w:p w14:paraId="33329D6B">
            <w:pPr>
              <w:rPr>
                <w:rFonts w:ascii="仿宋_GB2312" w:hAnsi="仿宋_GB2312" w:eastAsia="仿宋_GB2312" w:cs="仿宋_GB2312"/>
                <w:sz w:val="28"/>
                <w:szCs w:val="28"/>
                <w:highlight w:val="none"/>
              </w:rPr>
            </w:pPr>
          </w:p>
        </w:tc>
        <w:tc>
          <w:tcPr>
            <w:tcW w:w="980" w:type="dxa"/>
          </w:tcPr>
          <w:p w14:paraId="4AD12200">
            <w:pPr>
              <w:rPr>
                <w:rFonts w:ascii="仿宋_GB2312" w:hAnsi="仿宋_GB2312" w:eastAsia="仿宋_GB2312" w:cs="仿宋_GB2312"/>
                <w:sz w:val="28"/>
                <w:szCs w:val="28"/>
                <w:highlight w:val="none"/>
              </w:rPr>
            </w:pPr>
          </w:p>
        </w:tc>
        <w:tc>
          <w:tcPr>
            <w:tcW w:w="2720" w:type="dxa"/>
          </w:tcPr>
          <w:p w14:paraId="3C4967DD">
            <w:pPr>
              <w:rPr>
                <w:rFonts w:ascii="仿宋_GB2312" w:hAnsi="仿宋_GB2312" w:eastAsia="仿宋_GB2312" w:cs="仿宋_GB2312"/>
                <w:sz w:val="28"/>
                <w:szCs w:val="28"/>
                <w:highlight w:val="none"/>
              </w:rPr>
            </w:pPr>
          </w:p>
        </w:tc>
        <w:tc>
          <w:tcPr>
            <w:tcW w:w="2275" w:type="dxa"/>
          </w:tcPr>
          <w:p w14:paraId="6B2D36E7">
            <w:pPr>
              <w:rPr>
                <w:rFonts w:ascii="仿宋_GB2312" w:hAnsi="仿宋_GB2312" w:eastAsia="仿宋_GB2312" w:cs="仿宋_GB2312"/>
                <w:sz w:val="28"/>
                <w:szCs w:val="28"/>
                <w:highlight w:val="none"/>
              </w:rPr>
            </w:pPr>
          </w:p>
        </w:tc>
      </w:tr>
      <w:tr w14:paraId="7A48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tcPr>
          <w:p w14:paraId="0B4DF605">
            <w:pPr>
              <w:rPr>
                <w:rFonts w:ascii="仿宋_GB2312" w:hAnsi="仿宋_GB2312" w:eastAsia="仿宋_GB2312" w:cs="仿宋_GB2312"/>
                <w:sz w:val="28"/>
                <w:szCs w:val="28"/>
                <w:highlight w:val="none"/>
              </w:rPr>
            </w:pPr>
          </w:p>
        </w:tc>
        <w:tc>
          <w:tcPr>
            <w:tcW w:w="1250" w:type="dxa"/>
          </w:tcPr>
          <w:p w14:paraId="47AA5C1E">
            <w:pPr>
              <w:rPr>
                <w:rFonts w:ascii="仿宋_GB2312" w:hAnsi="仿宋_GB2312" w:eastAsia="仿宋_GB2312" w:cs="仿宋_GB2312"/>
                <w:sz w:val="28"/>
                <w:szCs w:val="28"/>
                <w:highlight w:val="none"/>
              </w:rPr>
            </w:pPr>
          </w:p>
        </w:tc>
        <w:tc>
          <w:tcPr>
            <w:tcW w:w="775" w:type="dxa"/>
          </w:tcPr>
          <w:p w14:paraId="74105CB6">
            <w:pPr>
              <w:rPr>
                <w:rFonts w:ascii="仿宋_GB2312" w:hAnsi="仿宋_GB2312" w:eastAsia="仿宋_GB2312" w:cs="仿宋_GB2312"/>
                <w:sz w:val="28"/>
                <w:szCs w:val="28"/>
                <w:highlight w:val="none"/>
              </w:rPr>
            </w:pPr>
          </w:p>
        </w:tc>
        <w:tc>
          <w:tcPr>
            <w:tcW w:w="1190" w:type="dxa"/>
          </w:tcPr>
          <w:p w14:paraId="5CACF14F">
            <w:pPr>
              <w:rPr>
                <w:rFonts w:ascii="仿宋_GB2312" w:hAnsi="仿宋_GB2312" w:eastAsia="仿宋_GB2312" w:cs="仿宋_GB2312"/>
                <w:sz w:val="28"/>
                <w:szCs w:val="28"/>
                <w:highlight w:val="none"/>
              </w:rPr>
            </w:pPr>
          </w:p>
        </w:tc>
        <w:tc>
          <w:tcPr>
            <w:tcW w:w="980" w:type="dxa"/>
          </w:tcPr>
          <w:p w14:paraId="6DE30093">
            <w:pPr>
              <w:rPr>
                <w:rFonts w:ascii="仿宋_GB2312" w:hAnsi="仿宋_GB2312" w:eastAsia="仿宋_GB2312" w:cs="仿宋_GB2312"/>
                <w:sz w:val="28"/>
                <w:szCs w:val="28"/>
                <w:highlight w:val="none"/>
              </w:rPr>
            </w:pPr>
          </w:p>
        </w:tc>
        <w:tc>
          <w:tcPr>
            <w:tcW w:w="2720" w:type="dxa"/>
          </w:tcPr>
          <w:p w14:paraId="5A9CE8EE">
            <w:pPr>
              <w:rPr>
                <w:rFonts w:ascii="仿宋_GB2312" w:hAnsi="仿宋_GB2312" w:eastAsia="仿宋_GB2312" w:cs="仿宋_GB2312"/>
                <w:sz w:val="28"/>
                <w:szCs w:val="28"/>
                <w:highlight w:val="none"/>
              </w:rPr>
            </w:pPr>
          </w:p>
        </w:tc>
        <w:tc>
          <w:tcPr>
            <w:tcW w:w="2275" w:type="dxa"/>
          </w:tcPr>
          <w:p w14:paraId="51E4FB9D">
            <w:pPr>
              <w:rPr>
                <w:rFonts w:ascii="仿宋_GB2312" w:hAnsi="仿宋_GB2312" w:eastAsia="仿宋_GB2312" w:cs="仿宋_GB2312"/>
                <w:sz w:val="28"/>
                <w:szCs w:val="28"/>
                <w:highlight w:val="none"/>
              </w:rPr>
            </w:pPr>
          </w:p>
        </w:tc>
      </w:tr>
      <w:tr w14:paraId="7493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tcPr>
          <w:p w14:paraId="4D31A86A">
            <w:pPr>
              <w:rPr>
                <w:rFonts w:ascii="仿宋_GB2312" w:hAnsi="仿宋_GB2312" w:eastAsia="仿宋_GB2312" w:cs="仿宋_GB2312"/>
                <w:sz w:val="28"/>
                <w:szCs w:val="28"/>
                <w:highlight w:val="none"/>
              </w:rPr>
            </w:pPr>
          </w:p>
        </w:tc>
        <w:tc>
          <w:tcPr>
            <w:tcW w:w="1250" w:type="dxa"/>
          </w:tcPr>
          <w:p w14:paraId="763F528F">
            <w:pPr>
              <w:rPr>
                <w:rFonts w:ascii="仿宋_GB2312" w:hAnsi="仿宋_GB2312" w:eastAsia="仿宋_GB2312" w:cs="仿宋_GB2312"/>
                <w:sz w:val="28"/>
                <w:szCs w:val="28"/>
                <w:highlight w:val="none"/>
              </w:rPr>
            </w:pPr>
          </w:p>
        </w:tc>
        <w:tc>
          <w:tcPr>
            <w:tcW w:w="775" w:type="dxa"/>
          </w:tcPr>
          <w:p w14:paraId="3B0A8AFA">
            <w:pPr>
              <w:rPr>
                <w:rFonts w:ascii="仿宋_GB2312" w:hAnsi="仿宋_GB2312" w:eastAsia="仿宋_GB2312" w:cs="仿宋_GB2312"/>
                <w:sz w:val="28"/>
                <w:szCs w:val="28"/>
                <w:highlight w:val="none"/>
              </w:rPr>
            </w:pPr>
          </w:p>
        </w:tc>
        <w:tc>
          <w:tcPr>
            <w:tcW w:w="1190" w:type="dxa"/>
          </w:tcPr>
          <w:p w14:paraId="4BC08D2C">
            <w:pPr>
              <w:rPr>
                <w:rFonts w:ascii="仿宋_GB2312" w:hAnsi="仿宋_GB2312" w:eastAsia="仿宋_GB2312" w:cs="仿宋_GB2312"/>
                <w:sz w:val="28"/>
                <w:szCs w:val="28"/>
                <w:highlight w:val="none"/>
              </w:rPr>
            </w:pPr>
          </w:p>
        </w:tc>
        <w:tc>
          <w:tcPr>
            <w:tcW w:w="980" w:type="dxa"/>
          </w:tcPr>
          <w:p w14:paraId="30D5C1B4">
            <w:pPr>
              <w:rPr>
                <w:rFonts w:ascii="仿宋_GB2312" w:hAnsi="仿宋_GB2312" w:eastAsia="仿宋_GB2312" w:cs="仿宋_GB2312"/>
                <w:sz w:val="28"/>
                <w:szCs w:val="28"/>
                <w:highlight w:val="none"/>
              </w:rPr>
            </w:pPr>
          </w:p>
        </w:tc>
        <w:tc>
          <w:tcPr>
            <w:tcW w:w="2720" w:type="dxa"/>
          </w:tcPr>
          <w:p w14:paraId="35CAD680">
            <w:pPr>
              <w:rPr>
                <w:rFonts w:ascii="仿宋_GB2312" w:hAnsi="仿宋_GB2312" w:eastAsia="仿宋_GB2312" w:cs="仿宋_GB2312"/>
                <w:sz w:val="28"/>
                <w:szCs w:val="28"/>
                <w:highlight w:val="none"/>
              </w:rPr>
            </w:pPr>
          </w:p>
        </w:tc>
        <w:tc>
          <w:tcPr>
            <w:tcW w:w="2275" w:type="dxa"/>
          </w:tcPr>
          <w:p w14:paraId="6A120CC9">
            <w:pPr>
              <w:rPr>
                <w:rFonts w:ascii="仿宋_GB2312" w:hAnsi="仿宋_GB2312" w:eastAsia="仿宋_GB2312" w:cs="仿宋_GB2312"/>
                <w:sz w:val="28"/>
                <w:szCs w:val="28"/>
                <w:highlight w:val="none"/>
              </w:rPr>
            </w:pPr>
          </w:p>
        </w:tc>
      </w:tr>
      <w:tr w14:paraId="7B64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tcPr>
          <w:p w14:paraId="713EDA2E">
            <w:pPr>
              <w:rPr>
                <w:rFonts w:ascii="仿宋_GB2312" w:hAnsi="仿宋_GB2312" w:eastAsia="仿宋_GB2312" w:cs="仿宋_GB2312"/>
                <w:sz w:val="28"/>
                <w:szCs w:val="28"/>
                <w:highlight w:val="none"/>
              </w:rPr>
            </w:pPr>
          </w:p>
        </w:tc>
        <w:tc>
          <w:tcPr>
            <w:tcW w:w="1250" w:type="dxa"/>
          </w:tcPr>
          <w:p w14:paraId="004C9C08">
            <w:pPr>
              <w:rPr>
                <w:rFonts w:ascii="仿宋_GB2312" w:hAnsi="仿宋_GB2312" w:eastAsia="仿宋_GB2312" w:cs="仿宋_GB2312"/>
                <w:sz w:val="28"/>
                <w:szCs w:val="28"/>
                <w:highlight w:val="none"/>
              </w:rPr>
            </w:pPr>
          </w:p>
        </w:tc>
        <w:tc>
          <w:tcPr>
            <w:tcW w:w="775" w:type="dxa"/>
          </w:tcPr>
          <w:p w14:paraId="6727E7F0">
            <w:pPr>
              <w:rPr>
                <w:rFonts w:ascii="仿宋_GB2312" w:hAnsi="仿宋_GB2312" w:eastAsia="仿宋_GB2312" w:cs="仿宋_GB2312"/>
                <w:sz w:val="28"/>
                <w:szCs w:val="28"/>
                <w:highlight w:val="none"/>
              </w:rPr>
            </w:pPr>
          </w:p>
        </w:tc>
        <w:tc>
          <w:tcPr>
            <w:tcW w:w="1190" w:type="dxa"/>
          </w:tcPr>
          <w:p w14:paraId="73065361">
            <w:pPr>
              <w:rPr>
                <w:rFonts w:ascii="仿宋_GB2312" w:hAnsi="仿宋_GB2312" w:eastAsia="仿宋_GB2312" w:cs="仿宋_GB2312"/>
                <w:sz w:val="28"/>
                <w:szCs w:val="28"/>
                <w:highlight w:val="none"/>
              </w:rPr>
            </w:pPr>
          </w:p>
        </w:tc>
        <w:tc>
          <w:tcPr>
            <w:tcW w:w="980" w:type="dxa"/>
          </w:tcPr>
          <w:p w14:paraId="6FFDD703">
            <w:pPr>
              <w:rPr>
                <w:rFonts w:ascii="仿宋_GB2312" w:hAnsi="仿宋_GB2312" w:eastAsia="仿宋_GB2312" w:cs="仿宋_GB2312"/>
                <w:sz w:val="28"/>
                <w:szCs w:val="28"/>
                <w:highlight w:val="none"/>
              </w:rPr>
            </w:pPr>
          </w:p>
        </w:tc>
        <w:tc>
          <w:tcPr>
            <w:tcW w:w="2720" w:type="dxa"/>
          </w:tcPr>
          <w:p w14:paraId="0B6577E9">
            <w:pPr>
              <w:rPr>
                <w:rFonts w:ascii="仿宋_GB2312" w:hAnsi="仿宋_GB2312" w:eastAsia="仿宋_GB2312" w:cs="仿宋_GB2312"/>
                <w:sz w:val="28"/>
                <w:szCs w:val="28"/>
                <w:highlight w:val="none"/>
              </w:rPr>
            </w:pPr>
          </w:p>
        </w:tc>
        <w:tc>
          <w:tcPr>
            <w:tcW w:w="2275" w:type="dxa"/>
          </w:tcPr>
          <w:p w14:paraId="744A3C46">
            <w:pPr>
              <w:rPr>
                <w:rFonts w:ascii="仿宋_GB2312" w:hAnsi="仿宋_GB2312" w:eastAsia="仿宋_GB2312" w:cs="仿宋_GB2312"/>
                <w:sz w:val="28"/>
                <w:szCs w:val="28"/>
                <w:highlight w:val="none"/>
              </w:rPr>
            </w:pPr>
          </w:p>
        </w:tc>
      </w:tr>
    </w:tbl>
    <w:p w14:paraId="4D75174D">
      <w:pPr>
        <w:spacing w:line="360" w:lineRule="auto"/>
        <w:ind w:firstLine="359" w:firstLineChars="171"/>
        <w:rPr>
          <w:rFonts w:ascii="仿宋" w:hAnsi="仿宋" w:eastAsia="仿宋" w:cs="仿宋"/>
          <w:szCs w:val="21"/>
          <w:highlight w:val="none"/>
          <w:lang w:bidi="ar"/>
        </w:rPr>
      </w:pPr>
      <w:r>
        <w:rPr>
          <w:rFonts w:hint="eastAsia" w:ascii="仿宋" w:hAnsi="仿宋" w:eastAsia="仿宋" w:cs="仿宋"/>
          <w:szCs w:val="21"/>
          <w:highlight w:val="none"/>
          <w:lang w:bidi="ar"/>
        </w:rPr>
        <w:t>公司声明：表中所提供的资料是真实、准确的。</w:t>
      </w:r>
    </w:p>
    <w:p w14:paraId="62BF1BC8">
      <w:pPr>
        <w:jc w:val="right"/>
        <w:rPr>
          <w:highlight w:val="none"/>
        </w:rPr>
      </w:pPr>
      <w:r>
        <w:rPr>
          <w:rFonts w:hint="eastAsia"/>
          <w:highlight w:val="none"/>
        </w:rPr>
        <w:t xml:space="preserve">   </w:t>
      </w:r>
    </w:p>
    <w:p w14:paraId="75717924">
      <w:pPr>
        <w:rPr>
          <w:highlight w:val="none"/>
        </w:rPr>
        <w:sectPr>
          <w:pgSz w:w="12242" w:h="15842"/>
          <w:pgMar w:top="1440" w:right="1800" w:bottom="1440" w:left="1800" w:header="851" w:footer="992" w:gutter="0"/>
          <w:pgNumType w:fmt="decimal"/>
          <w:cols w:space="720" w:num="1"/>
          <w:docGrid w:type="lines" w:linePitch="312" w:charSpace="0"/>
        </w:sectPr>
      </w:pPr>
    </w:p>
    <w:p w14:paraId="28D03509">
      <w:pPr>
        <w:jc w:val="left"/>
        <w:rPr>
          <w:rFonts w:ascii="方正小标宋简体" w:hAnsi="方正小标宋简体" w:eastAsia="方正小标宋简体" w:cs="方正小标宋简体"/>
          <w:sz w:val="36"/>
          <w:szCs w:val="36"/>
          <w:highlight w:val="none"/>
        </w:rPr>
      </w:pPr>
      <w:r>
        <w:rPr>
          <w:rFonts w:hint="eastAsia" w:ascii="仿宋_GB2312" w:hAnsi="仿宋_GB2312" w:eastAsia="仿宋_GB2312" w:cs="仿宋_GB2312"/>
          <w:sz w:val="28"/>
          <w:szCs w:val="28"/>
          <w:highlight w:val="none"/>
        </w:rPr>
        <w:t>附件1.</w:t>
      </w: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 xml:space="preserve"> 承诺函（格式）</w:t>
      </w:r>
    </w:p>
    <w:p w14:paraId="4AF10C4F">
      <w:pPr>
        <w:jc w:val="center"/>
        <w:rPr>
          <w:rFonts w:ascii="方正小标宋简体" w:hAnsi="方正小标宋简体" w:eastAsia="方正小标宋简体" w:cs="方正小标宋简体"/>
          <w:sz w:val="44"/>
          <w:szCs w:val="44"/>
          <w:highlight w:val="none"/>
        </w:rPr>
      </w:pPr>
      <w:bookmarkStart w:id="2" w:name="承诺函"/>
      <w:r>
        <w:rPr>
          <w:rFonts w:hint="eastAsia" w:ascii="方正小标宋简体" w:hAnsi="方正小标宋简体" w:eastAsia="方正小标宋简体" w:cs="方正小标宋简体"/>
          <w:sz w:val="44"/>
          <w:szCs w:val="44"/>
          <w:highlight w:val="none"/>
        </w:rPr>
        <w:t>承诺函</w:t>
      </w:r>
    </w:p>
    <w:bookmarkEnd w:id="2"/>
    <w:p w14:paraId="0D389254">
      <w:pPr>
        <w:spacing w:line="360" w:lineRule="auto"/>
        <w:ind w:firstLine="480" w:firstLineChars="200"/>
        <w:rPr>
          <w:rFonts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致：</w:t>
      </w:r>
      <w:r>
        <w:rPr>
          <w:rFonts w:hint="eastAsia" w:ascii="仿宋_GB2312" w:hAnsi="仿宋_GB2312" w:eastAsia="仿宋_GB2312" w:cs="仿宋_GB2312"/>
          <w:sz w:val="24"/>
          <w:szCs w:val="24"/>
          <w:highlight w:val="none"/>
          <w:u w:val="single"/>
        </w:rPr>
        <w:t xml:space="preserve">                  </w:t>
      </w:r>
    </w:p>
    <w:p w14:paraId="2321B207">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我司近三年内（202</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val="en-US" w:eastAsia="zh-CN"/>
        </w:rPr>
        <w:t>8</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日至202</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val="en-US" w:eastAsia="zh-CN"/>
        </w:rPr>
        <w:t>7</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31</w:t>
      </w:r>
      <w:r>
        <w:rPr>
          <w:rFonts w:hint="eastAsia" w:ascii="仿宋_GB2312" w:hAnsi="仿宋_GB2312" w:eastAsia="仿宋_GB2312" w:cs="仿宋_GB2312"/>
          <w:sz w:val="24"/>
          <w:szCs w:val="24"/>
          <w:highlight w:val="none"/>
        </w:rPr>
        <w:t>日）</w:t>
      </w:r>
      <w:r>
        <w:rPr>
          <w:rFonts w:hint="eastAsia" w:ascii="仿宋_GB2312" w:hAnsi="仿宋_GB2312" w:eastAsia="仿宋_GB2312" w:cs="仿宋_GB2312"/>
          <w:sz w:val="24"/>
          <w:szCs w:val="24"/>
          <w:highlight w:val="none"/>
          <w:lang w:val="en-US" w:eastAsia="zh-CN"/>
        </w:rPr>
        <w:t>财务状况良好，</w:t>
      </w:r>
      <w:r>
        <w:rPr>
          <w:rFonts w:hint="eastAsia" w:ascii="仿宋_GB2312" w:hAnsi="仿宋_GB2312" w:eastAsia="仿宋_GB2312" w:cs="仿宋_GB2312"/>
          <w:sz w:val="24"/>
          <w:szCs w:val="24"/>
          <w:highlight w:val="none"/>
        </w:rPr>
        <w:t>没有重大违法记录，</w:t>
      </w:r>
      <w:r>
        <w:rPr>
          <w:rFonts w:hint="eastAsia" w:ascii="仿宋_GB2312" w:hAnsi="仿宋_GB2312" w:eastAsia="仿宋_GB2312" w:cs="仿宋_GB2312"/>
          <w:sz w:val="24"/>
          <w:szCs w:val="24"/>
          <w:highlight w:val="none"/>
          <w:lang w:val="en-US" w:eastAsia="zh-CN"/>
        </w:rPr>
        <w:t>不存在骗取中标、严重违约等情况，</w:t>
      </w:r>
      <w:r>
        <w:rPr>
          <w:rFonts w:hint="eastAsia" w:ascii="仿宋_GB2312" w:hAnsi="仿宋_GB2312" w:eastAsia="仿宋_GB2312" w:cs="仿宋_GB2312"/>
          <w:sz w:val="24"/>
          <w:szCs w:val="24"/>
          <w:highlight w:val="none"/>
        </w:rPr>
        <w:t>有依法缴纳税收和社会保障资金的良好记录，</w:t>
      </w:r>
      <w:r>
        <w:rPr>
          <w:rFonts w:hint="eastAsia" w:ascii="仿宋_GB2312" w:hAnsi="仿宋_GB2312" w:eastAsia="仿宋_GB2312" w:cs="仿宋_GB2312"/>
          <w:sz w:val="24"/>
          <w:szCs w:val="24"/>
          <w:highlight w:val="none"/>
          <w:lang w:val="en-US" w:eastAsia="zh-CN"/>
        </w:rPr>
        <w:t>不采取不正当手段谋取成交，决不与其他供应商恶意串通，决不向贵方工作人员进行商业贿赂，决不拒绝有关部门监督检查、决不提供虚假文件及材料，不以他人名义进行投标，不与其他投标人存在影响招标公平性、公正性的关联关系，不损害贵方合法利益和社会公共利益，且</w:t>
      </w:r>
      <w:r>
        <w:rPr>
          <w:rFonts w:hint="eastAsia" w:ascii="仿宋_GB2312" w:hAnsi="仿宋_GB2312" w:eastAsia="仿宋_GB2312" w:cs="仿宋_GB2312"/>
          <w:sz w:val="24"/>
          <w:szCs w:val="24"/>
          <w:highlight w:val="none"/>
        </w:rPr>
        <w:t>服务团队成员为投标人员工并未受过行业处罚或涉及行业相关的法律诉讼事项。</w:t>
      </w:r>
      <w:r>
        <w:rPr>
          <w:rFonts w:hint="eastAsia" w:ascii="仿宋_GB2312" w:hAnsi="仿宋_GB2312" w:eastAsia="仿宋_GB2312" w:cs="仿宋_GB2312"/>
          <w:sz w:val="24"/>
          <w:szCs w:val="24"/>
          <w:highlight w:val="none"/>
          <w:lang w:val="en-US" w:eastAsia="zh-CN"/>
        </w:rPr>
        <w:t>如有违反，无条件接受贵方的责任追究及相关管理部门的处罚。</w:t>
      </w:r>
      <w:r>
        <w:rPr>
          <w:rFonts w:hint="eastAsia" w:ascii="仿宋_GB2312" w:hAnsi="仿宋_GB2312" w:eastAsia="仿宋_GB2312" w:cs="仿宋_GB2312"/>
          <w:sz w:val="24"/>
          <w:szCs w:val="24"/>
          <w:highlight w:val="none"/>
        </w:rPr>
        <w:t>特此承诺。</w:t>
      </w:r>
    </w:p>
    <w:p w14:paraId="61B7AD8B">
      <w:pPr>
        <w:spacing w:line="360" w:lineRule="auto"/>
        <w:ind w:firstLine="480" w:firstLineChars="200"/>
        <w:jc w:val="center"/>
        <w:rPr>
          <w:rFonts w:ascii="仿宋_GB2312" w:hAnsi="仿宋_GB2312" w:eastAsia="仿宋_GB2312" w:cs="仿宋_GB2312"/>
          <w:sz w:val="24"/>
          <w:szCs w:val="24"/>
          <w:highlight w:val="none"/>
        </w:rPr>
      </w:pPr>
    </w:p>
    <w:p w14:paraId="6F4267CF">
      <w:pPr>
        <w:spacing w:line="360" w:lineRule="auto"/>
        <w:ind w:firstLine="480" w:firstLineChars="200"/>
        <w:jc w:val="center"/>
        <w:rPr>
          <w:rFonts w:ascii="仿宋_GB2312" w:hAnsi="仿宋_GB2312" w:eastAsia="仿宋_GB2312" w:cs="仿宋_GB2312"/>
          <w:sz w:val="24"/>
          <w:szCs w:val="24"/>
          <w:highlight w:val="none"/>
        </w:rPr>
      </w:pPr>
    </w:p>
    <w:p w14:paraId="37247AEF">
      <w:pPr>
        <w:spacing w:line="360" w:lineRule="auto"/>
        <w:ind w:firstLine="480" w:firstLineChars="200"/>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承诺单位：</w:t>
      </w:r>
    </w:p>
    <w:p w14:paraId="5DB83101">
      <w:pPr>
        <w:spacing w:line="360" w:lineRule="auto"/>
        <w:ind w:firstLine="4080" w:firstLineChars="17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4"/>
          <w:szCs w:val="24"/>
          <w:highlight w:val="none"/>
        </w:rPr>
        <w:t>日期：</w:t>
      </w:r>
      <w:r>
        <w:rPr>
          <w:rFonts w:hint="eastAsia"/>
          <w:highlight w:val="none"/>
        </w:rPr>
        <w:br w:type="page"/>
      </w:r>
      <w:r>
        <w:rPr>
          <w:rFonts w:hint="eastAsia" w:ascii="仿宋_GB2312" w:hAnsi="仿宋_GB2312" w:eastAsia="仿宋_GB2312" w:cs="仿宋_GB2312"/>
          <w:sz w:val="28"/>
          <w:szCs w:val="28"/>
          <w:highlight w:val="none"/>
        </w:rPr>
        <w:t>附件2.资格符合性审查表</w:t>
      </w:r>
    </w:p>
    <w:p w14:paraId="5B0B4C10">
      <w:pPr>
        <w:pStyle w:val="16"/>
        <w:spacing w:after="0" w:line="360" w:lineRule="auto"/>
        <w:ind w:firstLine="360"/>
        <w:jc w:val="center"/>
        <w:rPr>
          <w:rFonts w:ascii="黑体" w:eastAsia="黑体"/>
          <w:sz w:val="36"/>
          <w:szCs w:val="36"/>
          <w:highlight w:val="none"/>
        </w:rPr>
      </w:pPr>
      <w:r>
        <w:rPr>
          <w:rFonts w:hint="eastAsia" w:ascii="方正小标宋简体" w:hAnsi="方正小标宋简体" w:eastAsia="方正小标宋简体" w:cs="方正小标宋简体"/>
          <w:sz w:val="36"/>
          <w:szCs w:val="36"/>
          <w:highlight w:val="none"/>
        </w:rPr>
        <w:t>《资格符合性审查表》</w:t>
      </w:r>
    </w:p>
    <w:p w14:paraId="66794B63">
      <w:pPr>
        <w:rPr>
          <w:rFonts w:ascii="仿宋_GB2312" w:hAnsi="仿宋_GB2312" w:eastAsia="仿宋_GB2312" w:cs="仿宋_GB2312"/>
          <w:b/>
          <w:bCs/>
          <w:sz w:val="22"/>
          <w:szCs w:val="22"/>
          <w:highlight w:val="none"/>
        </w:rPr>
      </w:pPr>
    </w:p>
    <w:p w14:paraId="71180F69">
      <w:pPr>
        <w:rPr>
          <w:rFonts w:hint="eastAsia" w:ascii="仿宋_GB2312" w:hAnsi="仿宋_GB2312" w:eastAsia="仿宋_GB2312" w:cs="仿宋_GB2312"/>
          <w:b/>
          <w:bCs/>
          <w:sz w:val="22"/>
          <w:szCs w:val="22"/>
          <w:highlight w:val="none"/>
          <w:lang w:eastAsia="zh-CN"/>
        </w:rPr>
      </w:pPr>
      <w:r>
        <w:rPr>
          <w:rFonts w:hint="eastAsia" w:ascii="仿宋_GB2312" w:hAnsi="仿宋_GB2312" w:eastAsia="仿宋_GB2312" w:cs="仿宋_GB2312"/>
          <w:b/>
          <w:bCs/>
          <w:sz w:val="22"/>
          <w:szCs w:val="22"/>
          <w:highlight w:val="none"/>
        </w:rPr>
        <w:t>项目名称：南沙资产经营集团战略规划及综合管理咨询服务项目</w:t>
      </w:r>
      <w:r>
        <w:rPr>
          <w:rFonts w:hint="eastAsia" w:ascii="仿宋_GB2312" w:hAnsi="仿宋_GB2312" w:eastAsia="仿宋_GB2312" w:cs="仿宋_GB2312"/>
          <w:b/>
          <w:bCs/>
          <w:sz w:val="22"/>
          <w:szCs w:val="22"/>
          <w:highlight w:val="none"/>
          <w:lang w:eastAsia="zh-CN"/>
        </w:rPr>
        <w:t>（</w:t>
      </w:r>
      <w:r>
        <w:rPr>
          <w:rFonts w:hint="eastAsia" w:ascii="仿宋_GB2312" w:hAnsi="仿宋_GB2312" w:eastAsia="仿宋_GB2312" w:cs="仿宋_GB2312"/>
          <w:b/>
          <w:bCs/>
          <w:sz w:val="22"/>
          <w:szCs w:val="22"/>
          <w:highlight w:val="none"/>
          <w:lang w:val="en-US" w:eastAsia="zh-CN"/>
        </w:rPr>
        <w:t>第二次</w:t>
      </w:r>
      <w:r>
        <w:rPr>
          <w:rFonts w:hint="eastAsia" w:ascii="仿宋_GB2312" w:hAnsi="仿宋_GB2312" w:eastAsia="仿宋_GB2312" w:cs="仿宋_GB2312"/>
          <w:b/>
          <w:bCs/>
          <w:sz w:val="22"/>
          <w:szCs w:val="22"/>
          <w:highlight w:val="none"/>
          <w:lang w:eastAsia="zh-CN"/>
        </w:rPr>
        <w:t>）</w:t>
      </w:r>
    </w:p>
    <w:tbl>
      <w:tblPr>
        <w:tblStyle w:val="18"/>
        <w:tblpPr w:leftFromText="180" w:rightFromText="180" w:vertAnchor="text" w:horzAnchor="page" w:tblpX="1870" w:tblpY="75"/>
        <w:tblOverlap w:val="never"/>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561"/>
        <w:gridCol w:w="727"/>
        <w:gridCol w:w="728"/>
        <w:gridCol w:w="728"/>
        <w:gridCol w:w="728"/>
        <w:gridCol w:w="727"/>
        <w:gridCol w:w="728"/>
        <w:gridCol w:w="728"/>
        <w:gridCol w:w="728"/>
      </w:tblGrid>
      <w:tr w14:paraId="1F021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27" w:type="dxa"/>
            <w:vAlign w:val="center"/>
          </w:tcPr>
          <w:p w14:paraId="670AABA5">
            <w:pPr>
              <w:tabs>
                <w:tab w:val="left" w:pos="720"/>
              </w:tabs>
              <w:snapToGrid w:val="0"/>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编号</w:t>
            </w:r>
          </w:p>
        </w:tc>
        <w:tc>
          <w:tcPr>
            <w:tcW w:w="2561" w:type="dxa"/>
            <w:tcBorders>
              <w:tl2br w:val="single" w:color="auto" w:sz="4" w:space="0"/>
            </w:tcBorders>
            <w:vAlign w:val="center"/>
          </w:tcPr>
          <w:p w14:paraId="4EB6D44B">
            <w:pPr>
              <w:tabs>
                <w:tab w:val="left" w:pos="720"/>
              </w:tabs>
              <w:snapToGrid w:val="0"/>
              <w:ind w:firstLine="840" w:firstLineChars="4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投标人名称</w:t>
            </w:r>
          </w:p>
          <w:p w14:paraId="3D27FFB9">
            <w:pPr>
              <w:tabs>
                <w:tab w:val="left" w:pos="720"/>
              </w:tabs>
              <w:snapToGrid w:val="0"/>
              <w:rPr>
                <w:rFonts w:ascii="仿宋_GB2312" w:hAnsi="仿宋_GB2312" w:eastAsia="仿宋_GB2312" w:cs="仿宋_GB2312"/>
                <w:szCs w:val="21"/>
                <w:highlight w:val="none"/>
              </w:rPr>
            </w:pPr>
          </w:p>
          <w:p w14:paraId="31124565">
            <w:pPr>
              <w:tabs>
                <w:tab w:val="left" w:pos="720"/>
              </w:tabs>
              <w:snapToGrid w:val="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审查项目</w:t>
            </w:r>
          </w:p>
        </w:tc>
        <w:tc>
          <w:tcPr>
            <w:tcW w:w="727" w:type="dxa"/>
            <w:vAlign w:val="center"/>
          </w:tcPr>
          <w:p w14:paraId="7C229100">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4B56FB0B">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0C397EC4">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17447284">
            <w:pPr>
              <w:tabs>
                <w:tab w:val="left" w:pos="720"/>
              </w:tabs>
              <w:snapToGrid w:val="0"/>
              <w:jc w:val="center"/>
              <w:rPr>
                <w:rFonts w:ascii="仿宋_GB2312" w:hAnsi="仿宋_GB2312" w:eastAsia="仿宋_GB2312" w:cs="仿宋_GB2312"/>
                <w:szCs w:val="21"/>
                <w:highlight w:val="none"/>
              </w:rPr>
            </w:pPr>
          </w:p>
        </w:tc>
        <w:tc>
          <w:tcPr>
            <w:tcW w:w="727" w:type="dxa"/>
            <w:vAlign w:val="center"/>
          </w:tcPr>
          <w:p w14:paraId="4CA0D727">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3A204CCF">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5E4C4F94">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654CF4AF">
            <w:pPr>
              <w:tabs>
                <w:tab w:val="left" w:pos="720"/>
              </w:tabs>
              <w:snapToGrid w:val="0"/>
              <w:jc w:val="center"/>
              <w:rPr>
                <w:rFonts w:ascii="仿宋_GB2312" w:hAnsi="仿宋_GB2312" w:eastAsia="仿宋_GB2312" w:cs="仿宋_GB2312"/>
                <w:szCs w:val="21"/>
                <w:highlight w:val="none"/>
              </w:rPr>
            </w:pPr>
          </w:p>
        </w:tc>
      </w:tr>
      <w:tr w14:paraId="6B40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427" w:type="dxa"/>
            <w:vAlign w:val="center"/>
          </w:tcPr>
          <w:p w14:paraId="6889C5C5">
            <w:pPr>
              <w:tabs>
                <w:tab w:val="left" w:pos="720"/>
              </w:tabs>
              <w:snapToGrid w:val="0"/>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c>
          <w:tcPr>
            <w:tcW w:w="2561" w:type="dxa"/>
            <w:vAlign w:val="center"/>
          </w:tcPr>
          <w:p w14:paraId="3A4C4506">
            <w:pPr>
              <w:tabs>
                <w:tab w:val="left" w:pos="720"/>
              </w:tabs>
              <w:snapToGrid w:val="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投标文件中有有效的营业执照复印件、法定代表人证明书原件，</w:t>
            </w:r>
            <w:r>
              <w:rPr>
                <w:rFonts w:hint="eastAsia" w:ascii="仿宋_GB2312" w:hAnsi="仿宋_GB2312" w:eastAsia="仿宋_GB2312" w:cs="仿宋_GB2312"/>
                <w:szCs w:val="21"/>
                <w:highlight w:val="none"/>
                <w:lang w:val="en-US" w:eastAsia="zh-CN"/>
              </w:rPr>
              <w:t>如有授权委托人，应有</w:t>
            </w:r>
            <w:r>
              <w:rPr>
                <w:rFonts w:hint="eastAsia" w:ascii="仿宋_GB2312" w:hAnsi="仿宋_GB2312" w:eastAsia="仿宋_GB2312" w:cs="仿宋_GB2312"/>
                <w:szCs w:val="21"/>
                <w:highlight w:val="none"/>
              </w:rPr>
              <w:t>及法定代表人授权书</w:t>
            </w:r>
            <w:r>
              <w:rPr>
                <w:rFonts w:hint="eastAsia" w:ascii="仿宋_GB2312" w:hAnsi="仿宋_GB2312" w:eastAsia="仿宋_GB2312" w:cs="仿宋_GB2312"/>
                <w:highlight w:val="none"/>
              </w:rPr>
              <w:t>原件</w:t>
            </w:r>
            <w:r>
              <w:rPr>
                <w:rFonts w:hint="eastAsia" w:ascii="仿宋_GB2312" w:hAnsi="仿宋_GB2312" w:eastAsia="仿宋_GB2312" w:cs="仿宋_GB2312"/>
                <w:szCs w:val="21"/>
                <w:highlight w:val="none"/>
              </w:rPr>
              <w:t>；</w:t>
            </w:r>
          </w:p>
        </w:tc>
        <w:tc>
          <w:tcPr>
            <w:tcW w:w="727" w:type="dxa"/>
            <w:vAlign w:val="center"/>
          </w:tcPr>
          <w:p w14:paraId="59CF3F97">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03139B1E">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498739B5">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62B849D1">
            <w:pPr>
              <w:tabs>
                <w:tab w:val="left" w:pos="720"/>
              </w:tabs>
              <w:snapToGrid w:val="0"/>
              <w:jc w:val="center"/>
              <w:rPr>
                <w:rFonts w:ascii="仿宋_GB2312" w:hAnsi="仿宋_GB2312" w:eastAsia="仿宋_GB2312" w:cs="仿宋_GB2312"/>
                <w:szCs w:val="21"/>
                <w:highlight w:val="none"/>
              </w:rPr>
            </w:pPr>
          </w:p>
        </w:tc>
        <w:tc>
          <w:tcPr>
            <w:tcW w:w="727" w:type="dxa"/>
            <w:vAlign w:val="center"/>
          </w:tcPr>
          <w:p w14:paraId="6E1DEBE3">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77BD4BC4">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4E99ACFF">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2288E4A4">
            <w:pPr>
              <w:tabs>
                <w:tab w:val="left" w:pos="720"/>
              </w:tabs>
              <w:snapToGrid w:val="0"/>
              <w:jc w:val="center"/>
              <w:rPr>
                <w:rFonts w:ascii="仿宋_GB2312" w:hAnsi="仿宋_GB2312" w:eastAsia="仿宋_GB2312" w:cs="仿宋_GB2312"/>
                <w:szCs w:val="21"/>
                <w:highlight w:val="none"/>
              </w:rPr>
            </w:pPr>
          </w:p>
        </w:tc>
      </w:tr>
      <w:tr w14:paraId="7915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427" w:type="dxa"/>
            <w:vAlign w:val="center"/>
          </w:tcPr>
          <w:p w14:paraId="551897F6">
            <w:pPr>
              <w:tabs>
                <w:tab w:val="left" w:pos="720"/>
              </w:tabs>
              <w:snapToGrid w:val="0"/>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c>
          <w:tcPr>
            <w:tcW w:w="2561" w:type="dxa"/>
            <w:vAlign w:val="center"/>
          </w:tcPr>
          <w:p w14:paraId="66F53D23">
            <w:pPr>
              <w:tabs>
                <w:tab w:val="left" w:pos="720"/>
              </w:tabs>
              <w:snapToGrid w:val="0"/>
              <w:rPr>
                <w:rFonts w:ascii="仿宋_GB2312" w:hAnsi="仿宋_GB2312" w:eastAsia="仿宋_GB2312" w:cs="仿宋_GB2312"/>
                <w:highlight w:val="none"/>
              </w:rPr>
            </w:pPr>
            <w:r>
              <w:rPr>
                <w:rFonts w:hint="eastAsia" w:ascii="仿宋_GB2312" w:hAnsi="仿宋_GB2312" w:eastAsia="仿宋_GB2312" w:cs="仿宋_GB2312"/>
                <w:highlight w:val="none"/>
              </w:rPr>
              <w:t>投标文件的封面加盖投标人的法定印章；</w:t>
            </w:r>
          </w:p>
        </w:tc>
        <w:tc>
          <w:tcPr>
            <w:tcW w:w="727" w:type="dxa"/>
            <w:vAlign w:val="center"/>
          </w:tcPr>
          <w:p w14:paraId="2CE409DF">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5F4744CD">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7C1F1984">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1A3679CA">
            <w:pPr>
              <w:tabs>
                <w:tab w:val="left" w:pos="720"/>
              </w:tabs>
              <w:snapToGrid w:val="0"/>
              <w:jc w:val="center"/>
              <w:rPr>
                <w:rFonts w:ascii="仿宋_GB2312" w:hAnsi="仿宋_GB2312" w:eastAsia="仿宋_GB2312" w:cs="仿宋_GB2312"/>
                <w:szCs w:val="21"/>
                <w:highlight w:val="none"/>
              </w:rPr>
            </w:pPr>
          </w:p>
        </w:tc>
        <w:tc>
          <w:tcPr>
            <w:tcW w:w="727" w:type="dxa"/>
            <w:vAlign w:val="center"/>
          </w:tcPr>
          <w:p w14:paraId="21C49A3D">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516AE232">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2D47AEE6">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737CB2E6">
            <w:pPr>
              <w:tabs>
                <w:tab w:val="left" w:pos="720"/>
              </w:tabs>
              <w:snapToGrid w:val="0"/>
              <w:jc w:val="center"/>
              <w:rPr>
                <w:rFonts w:ascii="仿宋_GB2312" w:hAnsi="仿宋_GB2312" w:eastAsia="仿宋_GB2312" w:cs="仿宋_GB2312"/>
                <w:szCs w:val="21"/>
                <w:highlight w:val="none"/>
              </w:rPr>
            </w:pPr>
          </w:p>
        </w:tc>
      </w:tr>
      <w:tr w14:paraId="7F72B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427" w:type="dxa"/>
            <w:vAlign w:val="center"/>
          </w:tcPr>
          <w:p w14:paraId="7AD4D84D">
            <w:pPr>
              <w:tabs>
                <w:tab w:val="left" w:pos="720"/>
              </w:tabs>
              <w:snapToGrid w:val="0"/>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w:t>
            </w:r>
          </w:p>
        </w:tc>
        <w:tc>
          <w:tcPr>
            <w:tcW w:w="2561" w:type="dxa"/>
            <w:vAlign w:val="center"/>
          </w:tcPr>
          <w:p w14:paraId="6A67C1C7">
            <w:pPr>
              <w:tabs>
                <w:tab w:val="left" w:pos="720"/>
              </w:tabs>
              <w:snapToGrid w:val="0"/>
              <w:rPr>
                <w:rFonts w:ascii="仿宋_GB2312" w:hAnsi="仿宋_GB2312" w:eastAsia="仿宋_GB2312" w:cs="仿宋_GB2312"/>
                <w:highlight w:val="none"/>
              </w:rPr>
            </w:pPr>
            <w:r>
              <w:rPr>
                <w:rFonts w:hint="eastAsia" w:ascii="仿宋_GB2312" w:hAnsi="仿宋_GB2312" w:eastAsia="仿宋_GB2312" w:cs="仿宋_GB2312"/>
                <w:highlight w:val="none"/>
              </w:rPr>
              <w:t>投标文件按规定的格式填写，内容齐全或关键字清晰可辩；</w:t>
            </w:r>
          </w:p>
        </w:tc>
        <w:tc>
          <w:tcPr>
            <w:tcW w:w="727" w:type="dxa"/>
            <w:vAlign w:val="center"/>
          </w:tcPr>
          <w:p w14:paraId="4A5B59C6">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0072A550">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6E4FEE1B">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4FE6BEAC">
            <w:pPr>
              <w:tabs>
                <w:tab w:val="left" w:pos="720"/>
              </w:tabs>
              <w:snapToGrid w:val="0"/>
              <w:jc w:val="center"/>
              <w:rPr>
                <w:rFonts w:ascii="仿宋_GB2312" w:hAnsi="仿宋_GB2312" w:eastAsia="仿宋_GB2312" w:cs="仿宋_GB2312"/>
                <w:szCs w:val="21"/>
                <w:highlight w:val="none"/>
              </w:rPr>
            </w:pPr>
          </w:p>
        </w:tc>
        <w:tc>
          <w:tcPr>
            <w:tcW w:w="727" w:type="dxa"/>
            <w:vAlign w:val="center"/>
          </w:tcPr>
          <w:p w14:paraId="0D455656">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7649CF17">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6DD7D6B0">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1A1100CC">
            <w:pPr>
              <w:tabs>
                <w:tab w:val="left" w:pos="720"/>
              </w:tabs>
              <w:snapToGrid w:val="0"/>
              <w:jc w:val="center"/>
              <w:rPr>
                <w:rFonts w:ascii="仿宋_GB2312" w:hAnsi="仿宋_GB2312" w:eastAsia="仿宋_GB2312" w:cs="仿宋_GB2312"/>
                <w:szCs w:val="21"/>
                <w:highlight w:val="none"/>
              </w:rPr>
            </w:pPr>
          </w:p>
        </w:tc>
      </w:tr>
      <w:tr w14:paraId="2325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27" w:type="dxa"/>
            <w:vAlign w:val="center"/>
          </w:tcPr>
          <w:p w14:paraId="4FE1584B">
            <w:pPr>
              <w:tabs>
                <w:tab w:val="left" w:pos="720"/>
              </w:tabs>
              <w:snapToGrid w:val="0"/>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4</w:t>
            </w:r>
          </w:p>
        </w:tc>
        <w:tc>
          <w:tcPr>
            <w:tcW w:w="2561" w:type="dxa"/>
            <w:vAlign w:val="center"/>
          </w:tcPr>
          <w:p w14:paraId="45961328">
            <w:pPr>
              <w:tabs>
                <w:tab w:val="left" w:pos="720"/>
              </w:tabs>
              <w:snapToGrid w:val="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lang w:val="zh-CN"/>
              </w:rPr>
              <w:t>符合本</w:t>
            </w:r>
            <w:r>
              <w:rPr>
                <w:rFonts w:hint="eastAsia" w:ascii="仿宋_GB2312" w:hAnsi="仿宋_GB2312" w:eastAsia="仿宋_GB2312" w:cs="仿宋_GB2312"/>
                <w:szCs w:val="21"/>
                <w:highlight w:val="none"/>
              </w:rPr>
              <w:t>招标</w:t>
            </w:r>
            <w:r>
              <w:rPr>
                <w:rFonts w:hint="eastAsia" w:ascii="仿宋_GB2312" w:hAnsi="仿宋_GB2312" w:eastAsia="仿宋_GB2312" w:cs="仿宋_GB2312"/>
                <w:szCs w:val="21"/>
                <w:highlight w:val="none"/>
                <w:lang w:val="zh-CN"/>
              </w:rPr>
              <w:t>文件第三条“投标人资格要求”</w:t>
            </w:r>
            <w:r>
              <w:rPr>
                <w:rFonts w:hint="eastAsia" w:ascii="仿宋_GB2312" w:hAnsi="仿宋_GB2312" w:eastAsia="仿宋_GB2312" w:cs="仿宋_GB2312"/>
                <w:szCs w:val="21"/>
                <w:highlight w:val="none"/>
              </w:rPr>
              <w:t>；</w:t>
            </w:r>
          </w:p>
        </w:tc>
        <w:tc>
          <w:tcPr>
            <w:tcW w:w="727" w:type="dxa"/>
            <w:vAlign w:val="center"/>
          </w:tcPr>
          <w:p w14:paraId="5E15EDA0">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1E16D3B6">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1FEA4DA4">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6ED69353">
            <w:pPr>
              <w:tabs>
                <w:tab w:val="left" w:pos="720"/>
              </w:tabs>
              <w:snapToGrid w:val="0"/>
              <w:jc w:val="center"/>
              <w:rPr>
                <w:rFonts w:ascii="仿宋_GB2312" w:hAnsi="仿宋_GB2312" w:eastAsia="仿宋_GB2312" w:cs="仿宋_GB2312"/>
                <w:szCs w:val="21"/>
                <w:highlight w:val="none"/>
              </w:rPr>
            </w:pPr>
          </w:p>
        </w:tc>
        <w:tc>
          <w:tcPr>
            <w:tcW w:w="727" w:type="dxa"/>
            <w:vAlign w:val="center"/>
          </w:tcPr>
          <w:p w14:paraId="489F47CF">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6B38D0B3">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19B927D2">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51A2AA7A">
            <w:pPr>
              <w:tabs>
                <w:tab w:val="left" w:pos="720"/>
              </w:tabs>
              <w:snapToGrid w:val="0"/>
              <w:jc w:val="center"/>
              <w:rPr>
                <w:rFonts w:ascii="仿宋_GB2312" w:hAnsi="仿宋_GB2312" w:eastAsia="仿宋_GB2312" w:cs="仿宋_GB2312"/>
                <w:szCs w:val="21"/>
                <w:highlight w:val="none"/>
              </w:rPr>
            </w:pPr>
          </w:p>
        </w:tc>
      </w:tr>
      <w:tr w14:paraId="1F614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427" w:type="dxa"/>
            <w:vAlign w:val="center"/>
          </w:tcPr>
          <w:p w14:paraId="27057211">
            <w:pPr>
              <w:tabs>
                <w:tab w:val="left" w:pos="720"/>
              </w:tabs>
              <w:snapToGrid w:val="0"/>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5</w:t>
            </w:r>
          </w:p>
        </w:tc>
        <w:tc>
          <w:tcPr>
            <w:tcW w:w="2561" w:type="dxa"/>
            <w:vAlign w:val="center"/>
          </w:tcPr>
          <w:p w14:paraId="71CCE764">
            <w:pPr>
              <w:tabs>
                <w:tab w:val="left" w:pos="720"/>
              </w:tabs>
              <w:snapToGrid w:val="0"/>
              <w:rPr>
                <w:rFonts w:ascii="仿宋_GB2312" w:hAnsi="仿宋_GB2312" w:eastAsia="仿宋_GB2312" w:cs="仿宋_GB2312"/>
                <w:highlight w:val="none"/>
              </w:rPr>
            </w:pPr>
            <w:r>
              <w:rPr>
                <w:rFonts w:hint="eastAsia" w:ascii="仿宋_GB2312" w:hAnsi="仿宋_GB2312" w:eastAsia="仿宋_GB2312" w:cs="仿宋_GB2312"/>
                <w:highlight w:val="none"/>
              </w:rPr>
              <w:t>投标报价不高于最高限价。</w:t>
            </w:r>
          </w:p>
        </w:tc>
        <w:tc>
          <w:tcPr>
            <w:tcW w:w="727" w:type="dxa"/>
            <w:vAlign w:val="center"/>
          </w:tcPr>
          <w:p w14:paraId="5060D978">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3FCE73C6">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3AB124AE">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42DBCB2D">
            <w:pPr>
              <w:tabs>
                <w:tab w:val="left" w:pos="720"/>
              </w:tabs>
              <w:snapToGrid w:val="0"/>
              <w:jc w:val="center"/>
              <w:rPr>
                <w:rFonts w:ascii="仿宋_GB2312" w:hAnsi="仿宋_GB2312" w:eastAsia="仿宋_GB2312" w:cs="仿宋_GB2312"/>
                <w:szCs w:val="21"/>
                <w:highlight w:val="none"/>
              </w:rPr>
            </w:pPr>
          </w:p>
        </w:tc>
        <w:tc>
          <w:tcPr>
            <w:tcW w:w="727" w:type="dxa"/>
            <w:vAlign w:val="center"/>
          </w:tcPr>
          <w:p w14:paraId="5D641535">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6F1F9B0C">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3173A161">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4A7DAE55">
            <w:pPr>
              <w:tabs>
                <w:tab w:val="left" w:pos="720"/>
              </w:tabs>
              <w:snapToGrid w:val="0"/>
              <w:jc w:val="center"/>
              <w:rPr>
                <w:rFonts w:ascii="仿宋_GB2312" w:hAnsi="仿宋_GB2312" w:eastAsia="仿宋_GB2312" w:cs="仿宋_GB2312"/>
                <w:szCs w:val="21"/>
                <w:highlight w:val="none"/>
              </w:rPr>
            </w:pPr>
          </w:p>
        </w:tc>
      </w:tr>
      <w:tr w14:paraId="5A85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27" w:type="dxa"/>
            <w:vAlign w:val="center"/>
          </w:tcPr>
          <w:p w14:paraId="4B8979BC">
            <w:pPr>
              <w:tabs>
                <w:tab w:val="left" w:pos="720"/>
              </w:tabs>
              <w:snapToGrid w:val="0"/>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结论</w:t>
            </w:r>
          </w:p>
        </w:tc>
        <w:tc>
          <w:tcPr>
            <w:tcW w:w="2561" w:type="dxa"/>
            <w:vAlign w:val="center"/>
          </w:tcPr>
          <w:p w14:paraId="5DE69F31">
            <w:pPr>
              <w:tabs>
                <w:tab w:val="left" w:pos="720"/>
              </w:tabs>
              <w:snapToGrid w:val="0"/>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rPr>
              <w:t>是否通过并进入下一阶段评审</w:t>
            </w:r>
          </w:p>
        </w:tc>
        <w:tc>
          <w:tcPr>
            <w:tcW w:w="727" w:type="dxa"/>
            <w:vAlign w:val="center"/>
          </w:tcPr>
          <w:p w14:paraId="1F19AADB">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128983EE">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5FC9A487">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09311AD9">
            <w:pPr>
              <w:tabs>
                <w:tab w:val="left" w:pos="720"/>
              </w:tabs>
              <w:snapToGrid w:val="0"/>
              <w:jc w:val="center"/>
              <w:rPr>
                <w:rFonts w:ascii="仿宋_GB2312" w:hAnsi="仿宋_GB2312" w:eastAsia="仿宋_GB2312" w:cs="仿宋_GB2312"/>
                <w:szCs w:val="21"/>
                <w:highlight w:val="none"/>
              </w:rPr>
            </w:pPr>
          </w:p>
        </w:tc>
        <w:tc>
          <w:tcPr>
            <w:tcW w:w="727" w:type="dxa"/>
            <w:vAlign w:val="center"/>
          </w:tcPr>
          <w:p w14:paraId="0D5938DE">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33A2FA72">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5D81B0DC">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01ADE5B3">
            <w:pPr>
              <w:tabs>
                <w:tab w:val="left" w:pos="720"/>
              </w:tabs>
              <w:snapToGrid w:val="0"/>
              <w:jc w:val="center"/>
              <w:rPr>
                <w:rFonts w:ascii="仿宋_GB2312" w:hAnsi="仿宋_GB2312" w:eastAsia="仿宋_GB2312" w:cs="仿宋_GB2312"/>
                <w:szCs w:val="21"/>
                <w:highlight w:val="none"/>
              </w:rPr>
            </w:pPr>
          </w:p>
        </w:tc>
      </w:tr>
    </w:tbl>
    <w:p w14:paraId="0F0BB405">
      <w:pPr>
        <w:tabs>
          <w:tab w:val="left" w:pos="720"/>
        </w:tabs>
        <w:snapToGrid w:val="0"/>
        <w:spacing w:before="156" w:beforeLines="50"/>
        <w:rPr>
          <w:rFonts w:ascii="楷体_GB2312" w:hAnsi="楷体_GB2312" w:eastAsia="楷体_GB2312" w:cs="楷体_GB2312"/>
          <w:szCs w:val="21"/>
          <w:highlight w:val="none"/>
        </w:rPr>
      </w:pPr>
      <w:r>
        <w:rPr>
          <w:rFonts w:hint="eastAsia" w:ascii="楷体_GB2312" w:hAnsi="楷体_GB2312" w:eastAsia="楷体_GB2312" w:cs="楷体_GB2312"/>
          <w:szCs w:val="21"/>
          <w:highlight w:val="none"/>
        </w:rPr>
        <w:t>备注：1、“是否通过并进入下一阶段评审”一栏应写“通过”“不通过”。</w:t>
      </w:r>
    </w:p>
    <w:p w14:paraId="5C3452CB">
      <w:pPr>
        <w:tabs>
          <w:tab w:val="left" w:pos="720"/>
        </w:tabs>
        <w:snapToGrid w:val="0"/>
        <w:spacing w:before="156" w:beforeLines="50"/>
        <w:ind w:firstLine="630" w:firstLineChars="300"/>
        <w:rPr>
          <w:rFonts w:ascii="楷体_GB2312" w:hAnsi="楷体_GB2312" w:eastAsia="楷体_GB2312" w:cs="楷体_GB2312"/>
          <w:szCs w:val="21"/>
          <w:highlight w:val="none"/>
        </w:rPr>
      </w:pPr>
      <w:r>
        <w:rPr>
          <w:rFonts w:hint="eastAsia" w:ascii="楷体_GB2312" w:hAnsi="楷体_GB2312" w:eastAsia="楷体_GB2312" w:cs="楷体_GB2312"/>
          <w:szCs w:val="21"/>
          <w:highlight w:val="none"/>
        </w:rPr>
        <w:t>2、符合上述情况的打“○”，不符合的打“×”。</w:t>
      </w:r>
    </w:p>
    <w:p w14:paraId="3A240F67">
      <w:pPr>
        <w:tabs>
          <w:tab w:val="left" w:pos="720"/>
        </w:tabs>
        <w:snapToGrid w:val="0"/>
        <w:spacing w:before="156" w:beforeLines="50"/>
        <w:ind w:firstLine="630" w:firstLineChars="300"/>
        <w:rPr>
          <w:rFonts w:ascii="楷体_GB2312" w:hAnsi="楷体_GB2312" w:eastAsia="楷体_GB2312" w:cs="楷体_GB2312"/>
          <w:szCs w:val="21"/>
          <w:highlight w:val="none"/>
        </w:rPr>
      </w:pPr>
      <w:r>
        <w:rPr>
          <w:rFonts w:hint="eastAsia" w:ascii="楷体_GB2312" w:hAnsi="楷体_GB2312" w:eastAsia="楷体_GB2312" w:cs="楷体_GB2312"/>
          <w:szCs w:val="21"/>
          <w:highlight w:val="none"/>
        </w:rPr>
        <w:t>3、出现一个“×”的结论为“不通过”全部为“○”的结论为“通过”。</w:t>
      </w:r>
    </w:p>
    <w:p w14:paraId="3A14E5E5">
      <w:pPr>
        <w:tabs>
          <w:tab w:val="left" w:pos="720"/>
        </w:tabs>
        <w:snapToGrid w:val="0"/>
        <w:spacing w:before="156" w:beforeLines="50"/>
        <w:rPr>
          <w:rFonts w:ascii="楷体_GB2312" w:hAnsi="楷体_GB2312" w:eastAsia="楷体_GB2312" w:cs="楷体_GB2312"/>
          <w:szCs w:val="21"/>
          <w:highlight w:val="none"/>
        </w:rPr>
      </w:pPr>
      <w:r>
        <w:rPr>
          <w:rFonts w:hint="eastAsia" w:ascii="楷体_GB2312" w:hAnsi="楷体_GB2312" w:eastAsia="楷体_GB2312" w:cs="楷体_GB2312"/>
          <w:szCs w:val="21"/>
          <w:highlight w:val="none"/>
        </w:rPr>
        <w:t xml:space="preserve">     </w:t>
      </w:r>
    </w:p>
    <w:p w14:paraId="5E10AC77">
      <w:pPr>
        <w:tabs>
          <w:tab w:val="left" w:pos="720"/>
        </w:tabs>
        <w:snapToGrid w:val="0"/>
        <w:rPr>
          <w:rFonts w:ascii="楷体_GB2312" w:hAnsi="楷体_GB2312" w:eastAsia="楷体_GB2312" w:cs="楷体_GB2312"/>
          <w:sz w:val="18"/>
          <w:szCs w:val="18"/>
          <w:highlight w:val="none"/>
        </w:rPr>
      </w:pPr>
    </w:p>
    <w:p w14:paraId="4552AE10">
      <w:pPr>
        <w:tabs>
          <w:tab w:val="left" w:pos="720"/>
        </w:tabs>
        <w:snapToGrid w:val="0"/>
        <w:ind w:firstLine="3780" w:firstLineChars="1800"/>
        <w:rPr>
          <w:rFonts w:ascii="楷体_GB2312" w:hAnsi="楷体_GB2312" w:eastAsia="楷体_GB2312" w:cs="楷体_GB2312"/>
          <w:szCs w:val="21"/>
          <w:highlight w:val="none"/>
        </w:rPr>
      </w:pPr>
      <w:r>
        <w:rPr>
          <w:rFonts w:hint="eastAsia" w:ascii="楷体_GB2312" w:hAnsi="楷体_GB2312" w:eastAsia="楷体_GB2312" w:cs="楷体_GB2312"/>
          <w:szCs w:val="21"/>
          <w:highlight w:val="none"/>
        </w:rPr>
        <w:t>评审专家签名：                     日期：</w:t>
      </w:r>
    </w:p>
    <w:p w14:paraId="7710B767">
      <w:pPr>
        <w:rPr>
          <w:rFonts w:ascii="楷体_GB2312" w:hAnsi="楷体_GB2312" w:eastAsia="楷体_GB2312" w:cs="楷体_GB2312"/>
          <w:szCs w:val="21"/>
          <w:highlight w:val="none"/>
        </w:rPr>
      </w:pPr>
    </w:p>
    <w:p w14:paraId="1C86CE5C">
      <w:pPr>
        <w:spacing w:line="360" w:lineRule="auto"/>
        <w:rPr>
          <w:rFonts w:ascii="楷体_GB2312" w:hAnsi="楷体_GB2312" w:eastAsia="楷体_GB2312" w:cs="楷体_GB2312"/>
          <w:sz w:val="28"/>
          <w:szCs w:val="28"/>
          <w:highlight w:val="none"/>
        </w:rPr>
        <w:sectPr>
          <w:pgSz w:w="12242" w:h="15842"/>
          <w:pgMar w:top="1440" w:right="1800" w:bottom="1440" w:left="1800" w:header="851" w:footer="992" w:gutter="0"/>
          <w:pgNumType w:fmt="decimal"/>
          <w:cols w:space="720" w:num="1"/>
          <w:docGrid w:type="lines" w:linePitch="312" w:charSpace="0"/>
        </w:sectPr>
      </w:pPr>
    </w:p>
    <w:p w14:paraId="5DD64B16">
      <w:pPr>
        <w:snapToGrid w:val="0"/>
        <w:rPr>
          <w:rFonts w:ascii="楷体_GB2312" w:hAnsi="楷体_GB2312" w:eastAsia="楷体_GB2312" w:cs="楷体_GB2312"/>
          <w:sz w:val="28"/>
          <w:szCs w:val="28"/>
          <w:highlight w:val="none"/>
        </w:rPr>
      </w:pPr>
      <w:r>
        <w:rPr>
          <w:rFonts w:hint="eastAsia" w:ascii="仿宋_GB2312" w:hAnsi="仿宋_GB2312" w:eastAsia="仿宋_GB2312" w:cs="仿宋_GB2312"/>
          <w:sz w:val="28"/>
          <w:szCs w:val="28"/>
          <w:highlight w:val="none"/>
        </w:rPr>
        <w:t xml:space="preserve">附件3.综合评分表 </w:t>
      </w:r>
      <w:r>
        <w:rPr>
          <w:rFonts w:hint="eastAsia" w:ascii="楷体_GB2312" w:hAnsi="楷体_GB2312" w:eastAsia="楷体_GB2312" w:cs="楷体_GB2312"/>
          <w:sz w:val="28"/>
          <w:szCs w:val="28"/>
          <w:highlight w:val="none"/>
        </w:rPr>
        <w:t xml:space="preserve">                    </w:t>
      </w:r>
    </w:p>
    <w:p w14:paraId="28EA8CF5">
      <w:pPr>
        <w:spacing w:line="360" w:lineRule="auto"/>
        <w:jc w:val="center"/>
        <w:rPr>
          <w:rFonts w:ascii="方正小标宋简体" w:hAnsi="宋体" w:eastAsia="方正小标宋简体" w:cs="宋体"/>
          <w:sz w:val="36"/>
          <w:szCs w:val="36"/>
          <w:highlight w:val="none"/>
        </w:rPr>
      </w:pPr>
      <w:r>
        <w:rPr>
          <w:rFonts w:hint="eastAsia" w:ascii="方正小标宋简体" w:hAnsi="方正小标宋简体" w:eastAsia="方正小标宋简体" w:cs="方正小标宋简体"/>
          <w:sz w:val="36"/>
          <w:szCs w:val="36"/>
          <w:highlight w:val="none"/>
          <w:lang w:bidi="ar"/>
        </w:rPr>
        <w:t>综合评分表</w:t>
      </w:r>
    </w:p>
    <w:p w14:paraId="66C6162D">
      <w:pPr>
        <w:rPr>
          <w:rFonts w:hint="eastAsia" w:ascii="仿宋_GB2312" w:hAnsi="仿宋_GB2312" w:eastAsia="仿宋_GB2312" w:cs="仿宋_GB2312"/>
          <w:b/>
          <w:bCs/>
          <w:sz w:val="22"/>
          <w:szCs w:val="22"/>
          <w:highlight w:val="none"/>
          <w:lang w:eastAsia="zh-CN"/>
        </w:rPr>
      </w:pPr>
      <w:r>
        <w:rPr>
          <w:rFonts w:hint="eastAsia" w:ascii="仿宋_GB2312" w:hAnsi="仿宋_GB2312" w:eastAsia="仿宋_GB2312" w:cs="仿宋_GB2312"/>
          <w:b/>
          <w:bCs/>
          <w:sz w:val="22"/>
          <w:szCs w:val="22"/>
          <w:highlight w:val="none"/>
        </w:rPr>
        <w:t>项目名称：南沙资产经营集团战略规划及综合管理咨询服务项目</w:t>
      </w:r>
      <w:r>
        <w:rPr>
          <w:rFonts w:hint="eastAsia" w:ascii="仿宋_GB2312" w:hAnsi="仿宋_GB2312" w:eastAsia="仿宋_GB2312" w:cs="仿宋_GB2312"/>
          <w:b/>
          <w:bCs/>
          <w:sz w:val="22"/>
          <w:szCs w:val="22"/>
          <w:highlight w:val="none"/>
          <w:lang w:eastAsia="zh-CN"/>
        </w:rPr>
        <w:t>（</w:t>
      </w:r>
      <w:r>
        <w:rPr>
          <w:rFonts w:hint="eastAsia" w:ascii="仿宋_GB2312" w:hAnsi="仿宋_GB2312" w:eastAsia="仿宋_GB2312" w:cs="仿宋_GB2312"/>
          <w:b/>
          <w:bCs/>
          <w:sz w:val="22"/>
          <w:szCs w:val="22"/>
          <w:highlight w:val="none"/>
          <w:lang w:val="en-US" w:eastAsia="zh-CN"/>
        </w:rPr>
        <w:t>第二次</w:t>
      </w:r>
      <w:r>
        <w:rPr>
          <w:rFonts w:hint="eastAsia" w:ascii="仿宋_GB2312" w:hAnsi="仿宋_GB2312" w:eastAsia="仿宋_GB2312" w:cs="仿宋_GB2312"/>
          <w:b/>
          <w:bCs/>
          <w:sz w:val="22"/>
          <w:szCs w:val="22"/>
          <w:highlight w:val="none"/>
          <w:lang w:eastAsia="zh-CN"/>
        </w:rPr>
        <w:t>）</w:t>
      </w:r>
    </w:p>
    <w:tbl>
      <w:tblPr>
        <w:tblStyle w:val="18"/>
        <w:tblpPr w:leftFromText="180" w:rightFromText="180" w:vertAnchor="text" w:horzAnchor="page" w:tblpXSpec="center" w:tblpY="45"/>
        <w:tblOverlap w:val="never"/>
        <w:tblW w:w="15559" w:type="dxa"/>
        <w:jc w:val="center"/>
        <w:tblLayout w:type="fixed"/>
        <w:tblCellMar>
          <w:top w:w="0" w:type="dxa"/>
          <w:left w:w="108" w:type="dxa"/>
          <w:bottom w:w="0" w:type="dxa"/>
          <w:right w:w="108" w:type="dxa"/>
        </w:tblCellMar>
      </w:tblPr>
      <w:tblGrid>
        <w:gridCol w:w="424"/>
        <w:gridCol w:w="960"/>
        <w:gridCol w:w="1239"/>
        <w:gridCol w:w="4998"/>
        <w:gridCol w:w="2977"/>
        <w:gridCol w:w="709"/>
        <w:gridCol w:w="4252"/>
      </w:tblGrid>
      <w:tr w14:paraId="166866FD">
        <w:tblPrEx>
          <w:tblCellMar>
            <w:top w:w="0" w:type="dxa"/>
            <w:left w:w="108" w:type="dxa"/>
            <w:bottom w:w="0" w:type="dxa"/>
            <w:right w:w="108" w:type="dxa"/>
          </w:tblCellMar>
        </w:tblPrEx>
        <w:trPr>
          <w:trHeight w:val="90" w:hRule="atLeast"/>
          <w:jc w:val="center"/>
        </w:trPr>
        <w:tc>
          <w:tcPr>
            <w:tcW w:w="424" w:type="dxa"/>
            <w:tcBorders>
              <w:top w:val="single" w:color="auto" w:sz="4" w:space="0"/>
              <w:left w:val="single" w:color="auto" w:sz="4" w:space="0"/>
              <w:bottom w:val="single" w:color="auto" w:sz="4" w:space="0"/>
              <w:right w:val="single" w:color="auto" w:sz="4" w:space="0"/>
            </w:tcBorders>
            <w:vAlign w:val="center"/>
          </w:tcPr>
          <w:p w14:paraId="3BBC6A46">
            <w:pPr>
              <w:widowControl/>
              <w:ind w:firstLine="0" w:firstLineChars="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960" w:type="dxa"/>
            <w:tcBorders>
              <w:top w:val="single" w:color="auto" w:sz="4" w:space="0"/>
              <w:left w:val="nil"/>
              <w:bottom w:val="single" w:color="auto" w:sz="4" w:space="0"/>
              <w:right w:val="single" w:color="auto" w:sz="4" w:space="0"/>
            </w:tcBorders>
            <w:vAlign w:val="center"/>
          </w:tcPr>
          <w:p w14:paraId="4645E628">
            <w:pPr>
              <w:widowControl/>
              <w:ind w:firstLine="0" w:firstLineChars="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类别</w:t>
            </w:r>
          </w:p>
        </w:tc>
        <w:tc>
          <w:tcPr>
            <w:tcW w:w="1239" w:type="dxa"/>
            <w:tcBorders>
              <w:top w:val="single" w:color="auto" w:sz="4" w:space="0"/>
              <w:left w:val="nil"/>
              <w:bottom w:val="single" w:color="auto" w:sz="4" w:space="0"/>
              <w:right w:val="single" w:color="auto" w:sz="4" w:space="0"/>
            </w:tcBorders>
            <w:vAlign w:val="center"/>
          </w:tcPr>
          <w:p w14:paraId="029B6780">
            <w:pPr>
              <w:widowControl/>
              <w:ind w:firstLine="0" w:firstLineChars="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评分类别</w:t>
            </w:r>
          </w:p>
        </w:tc>
        <w:tc>
          <w:tcPr>
            <w:tcW w:w="4998" w:type="dxa"/>
            <w:tcBorders>
              <w:top w:val="single" w:color="auto" w:sz="4" w:space="0"/>
              <w:left w:val="nil"/>
              <w:bottom w:val="nil"/>
              <w:right w:val="single" w:color="auto" w:sz="4" w:space="0"/>
            </w:tcBorders>
            <w:vAlign w:val="center"/>
          </w:tcPr>
          <w:p w14:paraId="1EDE3A3F">
            <w:pPr>
              <w:widowControl/>
              <w:ind w:firstLine="0" w:firstLineChars="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评分内容</w:t>
            </w:r>
          </w:p>
        </w:tc>
        <w:tc>
          <w:tcPr>
            <w:tcW w:w="2977" w:type="dxa"/>
            <w:tcBorders>
              <w:top w:val="single" w:color="auto" w:sz="4" w:space="0"/>
              <w:left w:val="nil"/>
              <w:bottom w:val="nil"/>
              <w:right w:val="single" w:color="auto" w:sz="4" w:space="0"/>
            </w:tcBorders>
            <w:vAlign w:val="center"/>
          </w:tcPr>
          <w:p w14:paraId="4E6D44D3">
            <w:pPr>
              <w:widowControl/>
              <w:ind w:firstLine="0" w:firstLineChars="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评分标准</w:t>
            </w:r>
          </w:p>
        </w:tc>
        <w:tc>
          <w:tcPr>
            <w:tcW w:w="709" w:type="dxa"/>
            <w:tcBorders>
              <w:top w:val="single" w:color="auto" w:sz="4" w:space="0"/>
              <w:left w:val="nil"/>
              <w:bottom w:val="single" w:color="auto" w:sz="4" w:space="0"/>
              <w:right w:val="single" w:color="auto" w:sz="4" w:space="0"/>
            </w:tcBorders>
            <w:vAlign w:val="center"/>
          </w:tcPr>
          <w:p w14:paraId="50F63D80">
            <w:pPr>
              <w:spacing w:line="240" w:lineRule="auto"/>
              <w:ind w:firstLine="0" w:firstLineChars="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满分分值</w:t>
            </w:r>
          </w:p>
        </w:tc>
        <w:tc>
          <w:tcPr>
            <w:tcW w:w="4252" w:type="dxa"/>
            <w:tcBorders>
              <w:top w:val="single" w:color="auto" w:sz="4" w:space="0"/>
              <w:left w:val="single" w:color="auto" w:sz="4" w:space="0"/>
              <w:bottom w:val="single" w:color="auto" w:sz="4" w:space="0"/>
              <w:right w:val="single" w:color="auto" w:sz="4" w:space="0"/>
            </w:tcBorders>
            <w:vAlign w:val="center"/>
          </w:tcPr>
          <w:p w14:paraId="11A23217">
            <w:pPr>
              <w:widowControl/>
              <w:ind w:firstLine="0" w:firstLineChars="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备注</w:t>
            </w:r>
          </w:p>
        </w:tc>
      </w:tr>
      <w:tr w14:paraId="6E356A5D">
        <w:tblPrEx>
          <w:tblCellMar>
            <w:top w:w="0" w:type="dxa"/>
            <w:left w:w="108" w:type="dxa"/>
            <w:bottom w:w="0" w:type="dxa"/>
            <w:right w:w="108" w:type="dxa"/>
          </w:tblCellMar>
        </w:tblPrEx>
        <w:trPr>
          <w:trHeight w:val="649" w:hRule="exact"/>
          <w:jc w:val="center"/>
        </w:trPr>
        <w:tc>
          <w:tcPr>
            <w:tcW w:w="424" w:type="dxa"/>
            <w:tcBorders>
              <w:top w:val="nil"/>
              <w:left w:val="single" w:color="auto" w:sz="4" w:space="0"/>
              <w:bottom w:val="single" w:color="auto" w:sz="4" w:space="0"/>
              <w:right w:val="single" w:color="auto" w:sz="4" w:space="0"/>
            </w:tcBorders>
            <w:vAlign w:val="center"/>
          </w:tcPr>
          <w:p w14:paraId="3E43A817">
            <w:pPr>
              <w:widowControl/>
              <w:ind w:firstLine="0"/>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960" w:type="dxa"/>
            <w:vMerge w:val="restart"/>
            <w:tcBorders>
              <w:left w:val="single" w:color="auto" w:sz="4" w:space="0"/>
              <w:right w:val="nil"/>
            </w:tcBorders>
            <w:vAlign w:val="center"/>
          </w:tcPr>
          <w:p w14:paraId="5E2FA738">
            <w:pPr>
              <w:widowControl/>
              <w:spacing w:line="240" w:lineRule="auto"/>
              <w:ind w:firstLine="0" w:firstLineChars="0"/>
              <w:rPr>
                <w:rFonts w:hint="eastAsia"/>
                <w:b/>
                <w:bCs/>
                <w:sz w:val="18"/>
                <w:szCs w:val="18"/>
                <w:lang w:val="en-US" w:eastAsia="zh-CN"/>
              </w:rPr>
            </w:pPr>
            <w:r>
              <w:rPr>
                <w:rFonts w:hint="eastAsia"/>
                <w:b/>
                <w:bCs/>
                <w:sz w:val="18"/>
                <w:szCs w:val="18"/>
                <w:lang w:val="en-US" w:eastAsia="zh-CN"/>
              </w:rPr>
              <w:t>综合能力得分</w:t>
            </w:r>
          </w:p>
          <w:p w14:paraId="44944C54">
            <w:pPr>
              <w:widowControl/>
              <w:spacing w:line="240" w:lineRule="auto"/>
              <w:ind w:firstLine="0" w:firstLineChars="0"/>
              <w:rPr>
                <w:rFonts w:hint="eastAsia" w:ascii="宋体" w:hAnsi="宋体" w:cs="宋体"/>
                <w:kern w:val="0"/>
                <w:sz w:val="18"/>
                <w:szCs w:val="18"/>
              </w:rPr>
            </w:pPr>
            <w:r>
              <w:rPr>
                <w:rFonts w:hint="eastAsia" w:ascii="宋体" w:hAnsi="宋体" w:cs="宋体"/>
                <w:kern w:val="0"/>
                <w:sz w:val="18"/>
                <w:szCs w:val="18"/>
              </w:rPr>
              <w:t>（满分</w:t>
            </w:r>
            <w:r>
              <w:rPr>
                <w:rFonts w:hint="eastAsia" w:ascii="宋体" w:hAnsi="宋体" w:cs="宋体"/>
                <w:kern w:val="0"/>
                <w:sz w:val="18"/>
                <w:szCs w:val="18"/>
                <w:lang w:val="en-US" w:eastAsia="zh-CN"/>
              </w:rPr>
              <w:t>30</w:t>
            </w:r>
            <w:r>
              <w:rPr>
                <w:rFonts w:hint="eastAsia" w:ascii="宋体" w:hAnsi="宋体" w:cs="宋体"/>
                <w:kern w:val="0"/>
                <w:sz w:val="18"/>
                <w:szCs w:val="18"/>
              </w:rPr>
              <w:t>分)</w:t>
            </w:r>
          </w:p>
        </w:tc>
        <w:tc>
          <w:tcPr>
            <w:tcW w:w="1239" w:type="dxa"/>
            <w:tcBorders>
              <w:left w:val="single" w:color="auto" w:sz="4" w:space="0"/>
              <w:right w:val="single" w:color="auto" w:sz="4" w:space="0"/>
            </w:tcBorders>
            <w:vAlign w:val="center"/>
          </w:tcPr>
          <w:p w14:paraId="40E0239D">
            <w:pPr>
              <w:pStyle w:val="60"/>
              <w:rPr>
                <w:rFonts w:hint="eastAsia"/>
                <w:b/>
                <w:bCs/>
                <w:sz w:val="18"/>
                <w:szCs w:val="18"/>
              </w:rPr>
            </w:pPr>
            <w:r>
              <w:rPr>
                <w:rFonts w:hint="eastAsia"/>
                <w:b/>
                <w:bCs/>
                <w:sz w:val="18"/>
                <w:szCs w:val="18"/>
              </w:rPr>
              <w:t>投标人</w:t>
            </w:r>
            <w:r>
              <w:rPr>
                <w:rFonts w:hint="eastAsia"/>
                <w:b/>
                <w:bCs/>
                <w:sz w:val="18"/>
                <w:szCs w:val="18"/>
                <w:lang w:val="en-US" w:eastAsia="zh-CN"/>
              </w:rPr>
              <w:t>体系认证</w:t>
            </w:r>
            <w:r>
              <w:rPr>
                <w:rFonts w:hint="eastAsia"/>
                <w:b/>
                <w:bCs/>
                <w:sz w:val="18"/>
                <w:szCs w:val="18"/>
              </w:rPr>
              <w:t>情况</w:t>
            </w:r>
          </w:p>
        </w:tc>
        <w:tc>
          <w:tcPr>
            <w:tcW w:w="4998" w:type="dxa"/>
            <w:tcBorders>
              <w:top w:val="single" w:color="auto" w:sz="4" w:space="0"/>
              <w:left w:val="nil"/>
              <w:bottom w:val="single" w:color="auto" w:sz="4" w:space="0"/>
              <w:right w:val="single" w:color="auto" w:sz="4" w:space="0"/>
            </w:tcBorders>
            <w:vAlign w:val="center"/>
          </w:tcPr>
          <w:p w14:paraId="71C30B49">
            <w:pPr>
              <w:numPr>
                <w:ilvl w:val="255"/>
                <w:numId w:val="0"/>
              </w:numPr>
              <w:spacing w:line="240" w:lineRule="auto"/>
              <w:rPr>
                <w:rFonts w:ascii="仿宋_GB2312"/>
                <w:sz w:val="18"/>
                <w:szCs w:val="18"/>
              </w:rPr>
            </w:pPr>
            <w:r>
              <w:rPr>
                <w:rFonts w:hint="eastAsia" w:ascii="仿宋_GB2312"/>
                <w:sz w:val="18"/>
                <w:szCs w:val="18"/>
              </w:rPr>
              <w:t>投标人具备ISO质量管理体系认证证书。</w:t>
            </w:r>
          </w:p>
        </w:tc>
        <w:tc>
          <w:tcPr>
            <w:tcW w:w="2977" w:type="dxa"/>
            <w:tcBorders>
              <w:top w:val="single" w:color="auto" w:sz="4" w:space="0"/>
              <w:left w:val="nil"/>
              <w:bottom w:val="single" w:color="auto" w:sz="4" w:space="0"/>
              <w:right w:val="single" w:color="auto" w:sz="4" w:space="0"/>
            </w:tcBorders>
            <w:vAlign w:val="center"/>
          </w:tcPr>
          <w:p w14:paraId="6294D3C6">
            <w:pPr>
              <w:spacing w:line="240" w:lineRule="auto"/>
              <w:ind w:firstLine="0" w:firstLineChars="0"/>
              <w:rPr>
                <w:rFonts w:ascii="仿宋_GB2312"/>
                <w:sz w:val="18"/>
                <w:szCs w:val="18"/>
              </w:rPr>
            </w:pPr>
            <w:r>
              <w:rPr>
                <w:rFonts w:hint="eastAsia" w:ascii="仿宋_GB2312"/>
                <w:sz w:val="18"/>
                <w:szCs w:val="18"/>
              </w:rPr>
              <w:t>得</w:t>
            </w:r>
            <w:r>
              <w:rPr>
                <w:rFonts w:hint="eastAsia" w:ascii="仿宋_GB2312"/>
                <w:sz w:val="18"/>
                <w:szCs w:val="18"/>
                <w:lang w:val="en-US" w:eastAsia="zh-CN"/>
              </w:rPr>
              <w:t>2</w:t>
            </w:r>
            <w:r>
              <w:rPr>
                <w:rFonts w:hint="eastAsia" w:ascii="仿宋_GB2312"/>
                <w:sz w:val="18"/>
                <w:szCs w:val="18"/>
              </w:rPr>
              <w:t>分</w:t>
            </w:r>
            <w:r>
              <w:rPr>
                <w:rFonts w:hint="eastAsia" w:ascii="仿宋_GB2312"/>
                <w:sz w:val="18"/>
                <w:szCs w:val="18"/>
                <w:lang w:eastAsia="zh-CN"/>
              </w:rPr>
              <w:t>；没有则不得分</w:t>
            </w:r>
            <w:r>
              <w:rPr>
                <w:rFonts w:hint="eastAsia" w:ascii="仿宋_GB2312"/>
                <w:sz w:val="18"/>
                <w:szCs w:val="18"/>
              </w:rPr>
              <w:t>。</w:t>
            </w:r>
          </w:p>
        </w:tc>
        <w:tc>
          <w:tcPr>
            <w:tcW w:w="709" w:type="dxa"/>
            <w:tcBorders>
              <w:left w:val="single" w:color="auto" w:sz="4" w:space="0"/>
              <w:bottom w:val="single" w:color="auto" w:sz="4" w:space="0"/>
              <w:right w:val="single" w:color="auto" w:sz="4" w:space="0"/>
            </w:tcBorders>
            <w:vAlign w:val="center"/>
          </w:tcPr>
          <w:p w14:paraId="028D2E45">
            <w:pPr>
              <w:spacing w:line="240" w:lineRule="auto"/>
              <w:ind w:firstLine="0" w:firstLineChars="0"/>
              <w:jc w:val="center"/>
              <w:rPr>
                <w:rFonts w:ascii="仿宋_GB2312"/>
                <w:sz w:val="18"/>
                <w:szCs w:val="18"/>
              </w:rPr>
            </w:pPr>
            <w:r>
              <w:rPr>
                <w:rFonts w:hint="eastAsia" w:ascii="仿宋_GB2312"/>
                <w:sz w:val="18"/>
                <w:szCs w:val="18"/>
                <w:lang w:val="en-US" w:eastAsia="zh-CN"/>
              </w:rPr>
              <w:t>2</w:t>
            </w:r>
            <w:r>
              <w:rPr>
                <w:rFonts w:hint="eastAsia" w:ascii="仿宋_GB2312"/>
                <w:sz w:val="18"/>
                <w:szCs w:val="18"/>
              </w:rPr>
              <w:t>分</w:t>
            </w:r>
          </w:p>
        </w:tc>
        <w:tc>
          <w:tcPr>
            <w:tcW w:w="4252" w:type="dxa"/>
            <w:tcBorders>
              <w:left w:val="single" w:color="auto" w:sz="4" w:space="0"/>
              <w:right w:val="single" w:color="auto" w:sz="4" w:space="0"/>
            </w:tcBorders>
            <w:vAlign w:val="center"/>
          </w:tcPr>
          <w:p w14:paraId="7D34D0A6">
            <w:pPr>
              <w:spacing w:line="240" w:lineRule="auto"/>
              <w:ind w:firstLine="0" w:firstLineChars="0"/>
              <w:rPr>
                <w:rFonts w:ascii="仿宋_GB2312"/>
                <w:sz w:val="18"/>
                <w:szCs w:val="18"/>
              </w:rPr>
            </w:pPr>
            <w:r>
              <w:rPr>
                <w:rFonts w:hint="eastAsia" w:ascii="仿宋_GB2312"/>
                <w:sz w:val="18"/>
                <w:szCs w:val="18"/>
              </w:rPr>
              <w:t>需提供证书的扫描件或复印件，并加盖公章。</w:t>
            </w:r>
          </w:p>
        </w:tc>
      </w:tr>
      <w:tr w14:paraId="0750DF93">
        <w:tblPrEx>
          <w:tblCellMar>
            <w:top w:w="0" w:type="dxa"/>
            <w:left w:w="108" w:type="dxa"/>
            <w:bottom w:w="0" w:type="dxa"/>
            <w:right w:w="108" w:type="dxa"/>
          </w:tblCellMar>
        </w:tblPrEx>
        <w:trPr>
          <w:trHeight w:val="269" w:hRule="atLeast"/>
          <w:jc w:val="center"/>
        </w:trPr>
        <w:tc>
          <w:tcPr>
            <w:tcW w:w="424" w:type="dxa"/>
            <w:tcBorders>
              <w:top w:val="nil"/>
              <w:left w:val="single" w:color="auto" w:sz="4" w:space="0"/>
              <w:bottom w:val="single" w:color="auto" w:sz="4" w:space="0"/>
              <w:right w:val="single" w:color="auto" w:sz="4" w:space="0"/>
            </w:tcBorders>
            <w:vAlign w:val="center"/>
          </w:tcPr>
          <w:p w14:paraId="78F5BBD6">
            <w:pPr>
              <w:widowControl/>
              <w:ind w:firstLine="0"/>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p>
        </w:tc>
        <w:tc>
          <w:tcPr>
            <w:tcW w:w="960" w:type="dxa"/>
            <w:vMerge w:val="continue"/>
            <w:tcBorders>
              <w:left w:val="single" w:color="auto" w:sz="4" w:space="0"/>
              <w:right w:val="nil"/>
            </w:tcBorders>
            <w:vAlign w:val="center"/>
          </w:tcPr>
          <w:p w14:paraId="0633EFDD">
            <w:pPr>
              <w:spacing w:line="240" w:lineRule="auto"/>
              <w:ind w:firstLine="360"/>
              <w:rPr>
                <w:rFonts w:hint="eastAsia" w:ascii="宋体" w:hAnsi="宋体" w:cs="宋体"/>
                <w:kern w:val="0"/>
                <w:sz w:val="18"/>
                <w:szCs w:val="18"/>
              </w:rPr>
            </w:pPr>
          </w:p>
        </w:tc>
        <w:tc>
          <w:tcPr>
            <w:tcW w:w="1239" w:type="dxa"/>
            <w:vMerge w:val="restart"/>
            <w:tcBorders>
              <w:top w:val="single" w:color="auto" w:sz="4" w:space="0"/>
              <w:left w:val="single" w:color="auto" w:sz="4" w:space="0"/>
              <w:right w:val="single" w:color="auto" w:sz="4" w:space="0"/>
            </w:tcBorders>
            <w:vAlign w:val="center"/>
          </w:tcPr>
          <w:p w14:paraId="1185B326">
            <w:pPr>
              <w:pStyle w:val="60"/>
              <w:rPr>
                <w:rFonts w:hint="eastAsia" w:ascii="宋体" w:hAnsi="宋体"/>
                <w:b/>
                <w:bCs/>
                <w:sz w:val="18"/>
                <w:szCs w:val="18"/>
              </w:rPr>
            </w:pPr>
            <w:r>
              <w:rPr>
                <w:rFonts w:hint="eastAsia"/>
                <w:b/>
                <w:bCs/>
                <w:sz w:val="18"/>
                <w:szCs w:val="18"/>
              </w:rPr>
              <w:t>投标人业绩经验</w:t>
            </w:r>
          </w:p>
        </w:tc>
        <w:tc>
          <w:tcPr>
            <w:tcW w:w="4998" w:type="dxa"/>
            <w:tcBorders>
              <w:top w:val="nil"/>
              <w:left w:val="nil"/>
              <w:bottom w:val="single" w:color="auto" w:sz="4" w:space="0"/>
              <w:right w:val="single" w:color="auto" w:sz="4" w:space="0"/>
            </w:tcBorders>
            <w:vAlign w:val="center"/>
          </w:tcPr>
          <w:p w14:paraId="513685AE">
            <w:pPr>
              <w:numPr>
                <w:ilvl w:val="255"/>
                <w:numId w:val="0"/>
              </w:numPr>
              <w:spacing w:line="240" w:lineRule="auto"/>
              <w:rPr>
                <w:rFonts w:hint="default" w:ascii="仿宋_GB2312" w:eastAsia="宋体"/>
                <w:sz w:val="18"/>
                <w:szCs w:val="18"/>
                <w:lang w:val="en-US" w:eastAsia="zh-CN"/>
              </w:rPr>
            </w:pPr>
            <w:r>
              <w:rPr>
                <w:rFonts w:hint="eastAsia" w:ascii="仿宋_GB2312"/>
                <w:sz w:val="18"/>
                <w:szCs w:val="18"/>
              </w:rPr>
              <w:t>投标人具有</w:t>
            </w:r>
            <w:r>
              <w:rPr>
                <w:rFonts w:hint="eastAsia" w:ascii="仿宋_GB2312"/>
                <w:sz w:val="18"/>
                <w:szCs w:val="18"/>
                <w:lang w:val="en-US" w:eastAsia="zh-CN"/>
              </w:rPr>
              <w:t>2020年1月1日后</w:t>
            </w:r>
            <w:r>
              <w:rPr>
                <w:rFonts w:hint="eastAsia" w:ascii="仿宋_GB2312"/>
                <w:sz w:val="18"/>
                <w:szCs w:val="18"/>
              </w:rPr>
              <w:t>全国范围内</w:t>
            </w:r>
            <w:r>
              <w:rPr>
                <w:rFonts w:hint="eastAsia" w:ascii="仿宋_GB2312"/>
                <w:sz w:val="18"/>
                <w:szCs w:val="18"/>
                <w:lang w:val="en-US" w:eastAsia="zh-CN"/>
              </w:rPr>
              <w:t>综合型</w:t>
            </w:r>
            <w:r>
              <w:rPr>
                <w:rFonts w:hint="eastAsia" w:ascii="仿宋_GB2312"/>
                <w:sz w:val="18"/>
                <w:szCs w:val="18"/>
              </w:rPr>
              <w:t>咨询项目服务经验</w:t>
            </w:r>
            <w:r>
              <w:rPr>
                <w:rFonts w:hint="eastAsia" w:ascii="仿宋_GB2312"/>
                <w:sz w:val="18"/>
                <w:szCs w:val="18"/>
                <w:lang w:eastAsia="zh-CN"/>
              </w:rPr>
              <w:t>，</w:t>
            </w:r>
            <w:r>
              <w:rPr>
                <w:rFonts w:hint="eastAsia" w:ascii="仿宋_GB2312"/>
                <w:sz w:val="18"/>
                <w:szCs w:val="18"/>
                <w:lang w:val="en-US" w:eastAsia="zh-CN"/>
              </w:rPr>
              <w:t>单个项目须同时具备</w:t>
            </w:r>
            <w:r>
              <w:rPr>
                <w:rFonts w:hint="eastAsia" w:ascii="仿宋_GB2312"/>
                <w:sz w:val="18"/>
                <w:szCs w:val="18"/>
              </w:rPr>
              <w:t>战略规划、组织管控、人力资源方面</w:t>
            </w:r>
            <w:r>
              <w:rPr>
                <w:rFonts w:hint="eastAsia" w:ascii="仿宋_GB2312"/>
                <w:sz w:val="18"/>
                <w:szCs w:val="18"/>
                <w:lang w:val="en-US" w:eastAsia="zh-CN"/>
              </w:rPr>
              <w:t>服务内容</w:t>
            </w:r>
            <w:r>
              <w:rPr>
                <w:rFonts w:hint="eastAsia" w:ascii="仿宋_GB2312"/>
                <w:sz w:val="18"/>
                <w:szCs w:val="18"/>
                <w:lang w:eastAsia="zh-CN"/>
              </w:rPr>
              <w:t>。</w:t>
            </w:r>
          </w:p>
        </w:tc>
        <w:tc>
          <w:tcPr>
            <w:tcW w:w="2977" w:type="dxa"/>
            <w:tcBorders>
              <w:top w:val="nil"/>
              <w:left w:val="nil"/>
              <w:bottom w:val="single" w:color="auto" w:sz="4" w:space="0"/>
              <w:right w:val="single" w:color="auto" w:sz="4" w:space="0"/>
            </w:tcBorders>
            <w:vAlign w:val="center"/>
          </w:tcPr>
          <w:p w14:paraId="33B34BFD">
            <w:pPr>
              <w:spacing w:line="240" w:lineRule="auto"/>
              <w:ind w:firstLine="0" w:firstLineChars="0"/>
              <w:rPr>
                <w:rFonts w:hint="eastAsia" w:ascii="仿宋_GB2312" w:eastAsia="宋体"/>
                <w:sz w:val="18"/>
                <w:szCs w:val="18"/>
                <w:lang w:eastAsia="zh-CN"/>
              </w:rPr>
            </w:pPr>
            <w:r>
              <w:rPr>
                <w:rFonts w:hint="eastAsia" w:ascii="仿宋_GB2312"/>
                <w:sz w:val="18"/>
                <w:szCs w:val="18"/>
                <w:lang w:val="en-US" w:eastAsia="zh-CN"/>
              </w:rPr>
              <w:t>符合要求的项目3分/个，最高得9分，不提供项目不得分。</w:t>
            </w:r>
          </w:p>
        </w:tc>
        <w:tc>
          <w:tcPr>
            <w:tcW w:w="709" w:type="dxa"/>
            <w:vMerge w:val="restart"/>
            <w:tcBorders>
              <w:top w:val="single" w:color="auto" w:sz="4" w:space="0"/>
              <w:left w:val="single" w:color="auto" w:sz="4" w:space="0"/>
              <w:right w:val="single" w:color="auto" w:sz="4" w:space="0"/>
            </w:tcBorders>
            <w:vAlign w:val="center"/>
          </w:tcPr>
          <w:p w14:paraId="0076F258">
            <w:pPr>
              <w:spacing w:line="240" w:lineRule="auto"/>
              <w:ind w:firstLine="0" w:firstLineChars="0"/>
              <w:jc w:val="center"/>
              <w:rPr>
                <w:rFonts w:ascii="仿宋_GB2312"/>
                <w:sz w:val="18"/>
                <w:szCs w:val="18"/>
              </w:rPr>
            </w:pPr>
            <w:r>
              <w:rPr>
                <w:rFonts w:hint="eastAsia" w:ascii="仿宋_GB2312"/>
                <w:sz w:val="18"/>
                <w:szCs w:val="18"/>
                <w:lang w:val="en-US" w:eastAsia="zh-CN"/>
              </w:rPr>
              <w:t>15</w:t>
            </w:r>
            <w:r>
              <w:rPr>
                <w:rFonts w:hint="eastAsia" w:ascii="仿宋_GB2312"/>
                <w:sz w:val="18"/>
                <w:szCs w:val="18"/>
              </w:rPr>
              <w:t>分</w:t>
            </w:r>
          </w:p>
        </w:tc>
        <w:tc>
          <w:tcPr>
            <w:tcW w:w="4252" w:type="dxa"/>
            <w:vMerge w:val="restart"/>
            <w:tcBorders>
              <w:top w:val="single" w:color="auto" w:sz="4" w:space="0"/>
              <w:left w:val="single" w:color="auto" w:sz="4" w:space="0"/>
              <w:right w:val="single" w:color="auto" w:sz="4" w:space="0"/>
            </w:tcBorders>
            <w:vAlign w:val="center"/>
          </w:tcPr>
          <w:p w14:paraId="6E3BCDBE">
            <w:pPr>
              <w:widowControl/>
              <w:spacing w:line="240" w:lineRule="auto"/>
              <w:ind w:firstLine="0" w:firstLineChars="0"/>
              <w:rPr>
                <w:rFonts w:hint="default" w:ascii="仿宋_GB2312" w:eastAsia="宋体"/>
                <w:sz w:val="18"/>
                <w:szCs w:val="18"/>
                <w:lang w:val="en-US" w:eastAsia="zh-CN"/>
              </w:rPr>
            </w:pPr>
            <w:r>
              <w:rPr>
                <w:rFonts w:hint="eastAsia" w:ascii="仿宋_GB2312"/>
                <w:sz w:val="18"/>
                <w:szCs w:val="18"/>
              </w:rPr>
              <w:t>提供所参与项目合同关键页复印件或过往投标文件关键页及中标通知书复印件</w:t>
            </w:r>
            <w:r>
              <w:rPr>
                <w:rFonts w:hint="eastAsia" w:ascii="仿宋_GB2312"/>
                <w:sz w:val="18"/>
                <w:szCs w:val="18"/>
                <w:lang w:val="en-US" w:eastAsia="zh-CN"/>
              </w:rPr>
              <w:t>等证明文件</w:t>
            </w:r>
            <w:r>
              <w:rPr>
                <w:rFonts w:hint="eastAsia" w:ascii="仿宋_GB2312"/>
                <w:sz w:val="18"/>
                <w:szCs w:val="18"/>
              </w:rPr>
              <w:t>，并加盖公章。</w:t>
            </w:r>
            <w:r>
              <w:rPr>
                <w:rFonts w:hint="eastAsia" w:ascii="仿宋_GB2312"/>
                <w:sz w:val="18"/>
                <w:szCs w:val="18"/>
                <w:lang w:val="en-US" w:eastAsia="zh-CN"/>
              </w:rPr>
              <w:t>项目同时满足综合型服务及特定行业要求的，可重复计分。</w:t>
            </w:r>
          </w:p>
        </w:tc>
      </w:tr>
      <w:tr w14:paraId="604467F2">
        <w:tblPrEx>
          <w:tblCellMar>
            <w:top w:w="0" w:type="dxa"/>
            <w:left w:w="108" w:type="dxa"/>
            <w:bottom w:w="0" w:type="dxa"/>
            <w:right w:w="108" w:type="dxa"/>
          </w:tblCellMar>
        </w:tblPrEx>
        <w:trPr>
          <w:trHeight w:val="638" w:hRule="atLeast"/>
          <w:jc w:val="center"/>
        </w:trPr>
        <w:tc>
          <w:tcPr>
            <w:tcW w:w="424" w:type="dxa"/>
            <w:tcBorders>
              <w:top w:val="single" w:color="auto" w:sz="4" w:space="0"/>
              <w:left w:val="single" w:color="auto" w:sz="4" w:space="0"/>
              <w:bottom w:val="single" w:color="auto" w:sz="4" w:space="0"/>
              <w:right w:val="single" w:color="auto" w:sz="4" w:space="0"/>
            </w:tcBorders>
            <w:vAlign w:val="center"/>
          </w:tcPr>
          <w:p w14:paraId="46C68CCF">
            <w:pPr>
              <w:widowControl/>
              <w:ind w:firstLine="0"/>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960" w:type="dxa"/>
            <w:vMerge w:val="continue"/>
            <w:tcBorders>
              <w:left w:val="single" w:color="auto" w:sz="4" w:space="0"/>
              <w:right w:val="nil"/>
            </w:tcBorders>
            <w:vAlign w:val="center"/>
          </w:tcPr>
          <w:p w14:paraId="6A0D0E94">
            <w:pPr>
              <w:spacing w:line="240" w:lineRule="auto"/>
              <w:ind w:firstLine="360"/>
              <w:rPr>
                <w:rFonts w:hint="eastAsia" w:ascii="宋体" w:hAnsi="宋体" w:cs="宋体"/>
                <w:kern w:val="0"/>
                <w:sz w:val="18"/>
                <w:szCs w:val="18"/>
              </w:rPr>
            </w:pPr>
          </w:p>
        </w:tc>
        <w:tc>
          <w:tcPr>
            <w:tcW w:w="1239" w:type="dxa"/>
            <w:vMerge w:val="continue"/>
            <w:tcBorders>
              <w:left w:val="single" w:color="auto" w:sz="4" w:space="0"/>
              <w:right w:val="single" w:color="auto" w:sz="4" w:space="0"/>
            </w:tcBorders>
            <w:vAlign w:val="center"/>
          </w:tcPr>
          <w:p w14:paraId="2ED433D7">
            <w:pPr>
              <w:pStyle w:val="60"/>
              <w:rPr>
                <w:rFonts w:hint="eastAsia" w:ascii="宋体" w:hAnsi="宋体"/>
                <w:b/>
                <w:bCs/>
                <w:sz w:val="18"/>
                <w:szCs w:val="18"/>
              </w:rPr>
            </w:pPr>
          </w:p>
        </w:tc>
        <w:tc>
          <w:tcPr>
            <w:tcW w:w="4998" w:type="dxa"/>
            <w:tcBorders>
              <w:top w:val="single" w:color="auto" w:sz="4" w:space="0"/>
              <w:left w:val="single" w:color="auto" w:sz="4" w:space="0"/>
              <w:right w:val="single" w:color="auto" w:sz="4" w:space="0"/>
            </w:tcBorders>
            <w:vAlign w:val="center"/>
          </w:tcPr>
          <w:p w14:paraId="0F9C398A">
            <w:pPr>
              <w:pStyle w:val="60"/>
              <w:rPr>
                <w:rFonts w:hint="default" w:hAnsi="Times New Roman"/>
                <w:strike/>
                <w:color w:val="auto"/>
                <w:kern w:val="2"/>
                <w:sz w:val="18"/>
                <w:szCs w:val="18"/>
                <w:lang w:val="en-US" w:eastAsia="zh-CN"/>
              </w:rPr>
            </w:pPr>
            <w:r>
              <w:rPr>
                <w:rFonts w:hint="eastAsia" w:hAnsi="Times New Roman"/>
                <w:strike w:val="0"/>
                <w:color w:val="auto"/>
                <w:kern w:val="2"/>
                <w:sz w:val="18"/>
                <w:szCs w:val="18"/>
                <w:lang w:val="en-US" w:eastAsia="zh-CN"/>
              </w:rPr>
              <w:t>投标人具有</w:t>
            </w:r>
            <w:r>
              <w:rPr>
                <w:rFonts w:hint="eastAsia" w:ascii="仿宋_GB2312"/>
                <w:sz w:val="18"/>
                <w:szCs w:val="18"/>
                <w:lang w:val="en-US" w:eastAsia="zh-CN"/>
              </w:rPr>
              <w:t>2020年1月1日后</w:t>
            </w:r>
            <w:r>
              <w:rPr>
                <w:rFonts w:hint="eastAsia" w:ascii="仿宋_GB2312"/>
                <w:sz w:val="18"/>
                <w:szCs w:val="18"/>
              </w:rPr>
              <w:t>全国范围内</w:t>
            </w:r>
            <w:r>
              <w:rPr>
                <w:rFonts w:hint="eastAsia" w:hAnsi="Times New Roman"/>
                <w:strike w:val="0"/>
                <w:color w:val="auto"/>
                <w:kern w:val="2"/>
                <w:sz w:val="18"/>
                <w:szCs w:val="18"/>
                <w:lang w:val="en-US" w:eastAsia="zh-CN"/>
              </w:rPr>
              <w:t>数字经济、文旅、港航物流任一行业咨询项目服务经验。</w:t>
            </w:r>
          </w:p>
        </w:tc>
        <w:tc>
          <w:tcPr>
            <w:tcW w:w="2977" w:type="dxa"/>
            <w:tcBorders>
              <w:top w:val="single" w:color="auto" w:sz="4" w:space="0"/>
              <w:left w:val="single" w:color="auto" w:sz="4" w:space="0"/>
              <w:right w:val="single" w:color="auto" w:sz="4" w:space="0"/>
            </w:tcBorders>
            <w:vAlign w:val="center"/>
          </w:tcPr>
          <w:p w14:paraId="79B131BA">
            <w:pPr>
              <w:pStyle w:val="2"/>
              <w:widowControl w:val="0"/>
              <w:numPr>
                <w:ilvl w:val="-1"/>
                <w:numId w:val="0"/>
              </w:numPr>
              <w:rPr>
                <w:rFonts w:hint="eastAsia" w:ascii="仿宋_GB2312" w:hAnsi="仿宋_GB2312" w:cs="仿宋_GB2312"/>
                <w:kern w:val="0"/>
                <w:sz w:val="18"/>
                <w:szCs w:val="18"/>
                <w:lang w:val="en-US" w:eastAsia="zh-CN"/>
              </w:rPr>
            </w:pPr>
            <w:r>
              <w:rPr>
                <w:rFonts w:hint="eastAsia" w:ascii="仿宋_GB2312"/>
                <w:sz w:val="18"/>
                <w:szCs w:val="18"/>
                <w:lang w:val="en-US" w:eastAsia="zh-CN"/>
              </w:rPr>
              <w:t>符合要求的项目3分/个，最高得6分，不提供项目不得分。</w:t>
            </w:r>
          </w:p>
        </w:tc>
        <w:tc>
          <w:tcPr>
            <w:tcW w:w="709" w:type="dxa"/>
            <w:vMerge w:val="continue"/>
            <w:tcBorders>
              <w:left w:val="single" w:color="auto" w:sz="4" w:space="0"/>
              <w:right w:val="single" w:color="auto" w:sz="4" w:space="0"/>
            </w:tcBorders>
            <w:vAlign w:val="center"/>
          </w:tcPr>
          <w:p w14:paraId="7F3E9717">
            <w:pPr>
              <w:spacing w:line="240" w:lineRule="auto"/>
              <w:ind w:firstLine="0" w:firstLineChars="0"/>
              <w:jc w:val="center"/>
              <w:rPr>
                <w:rFonts w:hint="eastAsia" w:ascii="仿宋_GB2312" w:hAnsi="仿宋_GB2312" w:cs="仿宋_GB2312"/>
                <w:kern w:val="0"/>
                <w:sz w:val="18"/>
                <w:szCs w:val="18"/>
                <w:lang w:val="en-US" w:eastAsia="zh-CN"/>
              </w:rPr>
            </w:pPr>
          </w:p>
        </w:tc>
        <w:tc>
          <w:tcPr>
            <w:tcW w:w="4252" w:type="dxa"/>
            <w:vMerge w:val="continue"/>
            <w:tcBorders>
              <w:left w:val="single" w:color="auto" w:sz="4" w:space="0"/>
              <w:right w:val="single" w:color="auto" w:sz="4" w:space="0"/>
            </w:tcBorders>
            <w:vAlign w:val="center"/>
          </w:tcPr>
          <w:p w14:paraId="1E154AD2">
            <w:pPr>
              <w:spacing w:line="240" w:lineRule="auto"/>
              <w:ind w:firstLine="0" w:firstLineChars="0"/>
              <w:rPr>
                <w:rFonts w:hint="eastAsia" w:ascii="仿宋_GB2312" w:hAnsi="仿宋_GB2312" w:cs="仿宋_GB2312"/>
                <w:kern w:val="0"/>
                <w:sz w:val="18"/>
                <w:szCs w:val="18"/>
              </w:rPr>
            </w:pPr>
          </w:p>
        </w:tc>
      </w:tr>
      <w:tr w14:paraId="5DF96821">
        <w:tblPrEx>
          <w:tblCellMar>
            <w:top w:w="0" w:type="dxa"/>
            <w:left w:w="108" w:type="dxa"/>
            <w:bottom w:w="0" w:type="dxa"/>
            <w:right w:w="108" w:type="dxa"/>
          </w:tblCellMar>
        </w:tblPrEx>
        <w:trPr>
          <w:trHeight w:val="2456" w:hRule="atLeast"/>
          <w:jc w:val="center"/>
        </w:trPr>
        <w:tc>
          <w:tcPr>
            <w:tcW w:w="424" w:type="dxa"/>
            <w:tcBorders>
              <w:top w:val="single" w:color="auto" w:sz="4" w:space="0"/>
              <w:left w:val="single" w:color="auto" w:sz="4" w:space="0"/>
              <w:bottom w:val="single" w:color="auto" w:sz="4" w:space="0"/>
              <w:right w:val="single" w:color="auto" w:sz="4" w:space="0"/>
            </w:tcBorders>
            <w:vAlign w:val="center"/>
          </w:tcPr>
          <w:p w14:paraId="449DB87C">
            <w:pPr>
              <w:widowControl/>
              <w:ind w:firstLine="0"/>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4</w:t>
            </w:r>
          </w:p>
        </w:tc>
        <w:tc>
          <w:tcPr>
            <w:tcW w:w="960" w:type="dxa"/>
            <w:vMerge w:val="continue"/>
            <w:tcBorders>
              <w:left w:val="single" w:color="auto" w:sz="4" w:space="0"/>
              <w:right w:val="nil"/>
            </w:tcBorders>
            <w:vAlign w:val="center"/>
          </w:tcPr>
          <w:p w14:paraId="71BB3BB8">
            <w:pPr>
              <w:spacing w:line="240" w:lineRule="auto"/>
              <w:ind w:firstLine="360"/>
              <w:rPr>
                <w:rFonts w:hint="eastAsia" w:ascii="宋体" w:hAnsi="宋体" w:cs="宋体"/>
                <w:kern w:val="0"/>
                <w:sz w:val="18"/>
                <w:szCs w:val="18"/>
              </w:rPr>
            </w:pPr>
          </w:p>
        </w:tc>
        <w:tc>
          <w:tcPr>
            <w:tcW w:w="1239" w:type="dxa"/>
            <w:tcBorders>
              <w:top w:val="single" w:color="auto" w:sz="4" w:space="0"/>
              <w:left w:val="single" w:color="auto" w:sz="4" w:space="0"/>
              <w:right w:val="single" w:color="auto" w:sz="4" w:space="0"/>
            </w:tcBorders>
            <w:vAlign w:val="center"/>
          </w:tcPr>
          <w:p w14:paraId="36EEF768">
            <w:pPr>
              <w:pStyle w:val="60"/>
              <w:rPr>
                <w:rFonts w:hint="eastAsia" w:ascii="宋体" w:hAnsi="宋体"/>
                <w:b/>
                <w:bCs/>
                <w:sz w:val="18"/>
                <w:szCs w:val="18"/>
              </w:rPr>
            </w:pPr>
            <w:r>
              <w:rPr>
                <w:rFonts w:hint="eastAsia" w:ascii="宋体" w:hAnsi="宋体"/>
                <w:b/>
                <w:bCs/>
                <w:sz w:val="18"/>
                <w:szCs w:val="18"/>
              </w:rPr>
              <w:t>项目负责人</w:t>
            </w:r>
          </w:p>
        </w:tc>
        <w:tc>
          <w:tcPr>
            <w:tcW w:w="4998" w:type="dxa"/>
            <w:tcBorders>
              <w:top w:val="single" w:color="auto" w:sz="4" w:space="0"/>
              <w:left w:val="single" w:color="auto" w:sz="4" w:space="0"/>
              <w:right w:val="single" w:color="auto" w:sz="4" w:space="0"/>
            </w:tcBorders>
            <w:vAlign w:val="center"/>
          </w:tcPr>
          <w:p w14:paraId="08962A79">
            <w:pPr>
              <w:pStyle w:val="60"/>
              <w:numPr>
                <w:ilvl w:val="-1"/>
                <w:numId w:val="0"/>
              </w:numPr>
              <w:tabs>
                <w:tab w:val="clear" w:pos="312"/>
              </w:tabs>
              <w:rPr>
                <w:rFonts w:hint="eastAsia" w:hAnsi="Times New Roman"/>
                <w:color w:val="auto"/>
                <w:kern w:val="2"/>
                <w:sz w:val="18"/>
                <w:szCs w:val="18"/>
                <w:lang w:eastAsia="zh-CN"/>
              </w:rPr>
            </w:pPr>
            <w:r>
              <w:rPr>
                <w:rFonts w:hint="eastAsia" w:hAnsi="Times New Roman"/>
                <w:color w:val="auto"/>
                <w:kern w:val="2"/>
                <w:sz w:val="18"/>
                <w:szCs w:val="18"/>
                <w:lang w:val="en-US" w:eastAsia="zh-CN"/>
              </w:rPr>
              <w:t>1.项目负责人具有10年及以上管理咨询工作经验</w:t>
            </w:r>
            <w:r>
              <w:rPr>
                <w:rFonts w:hint="eastAsia" w:hAnsi="Times New Roman"/>
                <w:color w:val="auto"/>
                <w:kern w:val="2"/>
                <w:sz w:val="18"/>
                <w:szCs w:val="18"/>
                <w:lang w:eastAsia="zh-CN"/>
              </w:rPr>
              <w:t>；</w:t>
            </w:r>
          </w:p>
          <w:p w14:paraId="184872C6">
            <w:pPr>
              <w:pStyle w:val="60"/>
              <w:numPr>
                <w:ilvl w:val="0"/>
                <w:numId w:val="0"/>
              </w:numPr>
              <w:tabs>
                <w:tab w:val="clear" w:pos="312"/>
              </w:tabs>
              <w:rPr>
                <w:rFonts w:ascii="仿宋_GB2312"/>
                <w:sz w:val="18"/>
                <w:szCs w:val="18"/>
              </w:rPr>
            </w:pPr>
            <w:r>
              <w:rPr>
                <w:rFonts w:hint="eastAsia" w:hAnsi="Times New Roman"/>
                <w:color w:val="auto"/>
                <w:kern w:val="2"/>
                <w:sz w:val="18"/>
                <w:szCs w:val="18"/>
                <w:lang w:val="en-US" w:eastAsia="zh-CN"/>
              </w:rPr>
              <w:t>2.</w:t>
            </w:r>
            <w:r>
              <w:rPr>
                <w:rFonts w:hint="eastAsia" w:hAnsi="Times New Roman"/>
                <w:color w:val="auto"/>
                <w:kern w:val="2"/>
                <w:sz w:val="18"/>
                <w:szCs w:val="18"/>
              </w:rPr>
              <w:t>项目负责人担任过</w:t>
            </w:r>
            <w:r>
              <w:rPr>
                <w:rFonts w:hAnsi="Times New Roman"/>
                <w:color w:val="auto"/>
                <w:kern w:val="2"/>
                <w:sz w:val="18"/>
                <w:szCs w:val="18"/>
              </w:rPr>
              <w:t>5</w:t>
            </w:r>
            <w:r>
              <w:rPr>
                <w:rFonts w:hint="eastAsia" w:hAnsi="Times New Roman"/>
                <w:color w:val="auto"/>
                <w:kern w:val="2"/>
                <w:sz w:val="18"/>
                <w:szCs w:val="18"/>
              </w:rPr>
              <w:t>个以上战略规划</w:t>
            </w:r>
            <w:r>
              <w:rPr>
                <w:rFonts w:hint="eastAsia" w:hAnsi="Times New Roman"/>
                <w:color w:val="auto"/>
                <w:kern w:val="2"/>
                <w:sz w:val="18"/>
                <w:szCs w:val="18"/>
                <w:lang w:eastAsia="zh-CN"/>
              </w:rPr>
              <w:t>、</w:t>
            </w:r>
            <w:r>
              <w:rPr>
                <w:rFonts w:hint="eastAsia" w:hAnsi="Times New Roman"/>
                <w:color w:val="auto"/>
                <w:kern w:val="2"/>
                <w:sz w:val="18"/>
                <w:szCs w:val="18"/>
              </w:rPr>
              <w:t>组织</w:t>
            </w:r>
            <w:r>
              <w:rPr>
                <w:rFonts w:hint="eastAsia" w:hAnsi="Times New Roman"/>
                <w:color w:val="auto"/>
                <w:kern w:val="2"/>
                <w:sz w:val="18"/>
                <w:szCs w:val="18"/>
                <w:lang w:val="en-US" w:eastAsia="zh-CN"/>
              </w:rPr>
              <w:t>管控</w:t>
            </w:r>
            <w:r>
              <w:rPr>
                <w:rFonts w:hint="eastAsia" w:hAnsi="Times New Roman"/>
                <w:color w:val="auto"/>
                <w:kern w:val="2"/>
                <w:sz w:val="18"/>
                <w:szCs w:val="18"/>
                <w:lang w:eastAsia="zh-CN"/>
              </w:rPr>
              <w:t>、</w:t>
            </w:r>
            <w:r>
              <w:rPr>
                <w:rFonts w:hint="eastAsia" w:hAnsi="Times New Roman"/>
                <w:color w:val="auto"/>
                <w:kern w:val="2"/>
                <w:sz w:val="18"/>
                <w:szCs w:val="18"/>
              </w:rPr>
              <w:t>人力资源</w:t>
            </w:r>
            <w:r>
              <w:rPr>
                <w:rFonts w:hint="eastAsia" w:hAnsi="Times New Roman"/>
                <w:color w:val="auto"/>
                <w:kern w:val="2"/>
                <w:sz w:val="18"/>
                <w:szCs w:val="18"/>
                <w:lang w:val="en-US" w:eastAsia="zh-CN"/>
              </w:rPr>
              <w:t>任一方面咨询</w:t>
            </w:r>
            <w:r>
              <w:rPr>
                <w:rFonts w:hint="eastAsia" w:hAnsi="Times New Roman"/>
                <w:color w:val="auto"/>
                <w:kern w:val="2"/>
                <w:sz w:val="18"/>
                <w:szCs w:val="18"/>
              </w:rPr>
              <w:t>项目的项目负责人，</w:t>
            </w:r>
            <w:r>
              <w:rPr>
                <w:rFonts w:hint="eastAsia" w:hAnsi="Times New Roman"/>
                <w:color w:val="auto"/>
                <w:kern w:val="2"/>
                <w:sz w:val="18"/>
                <w:szCs w:val="18"/>
                <w:lang w:val="en-US" w:eastAsia="zh-CN"/>
              </w:rPr>
              <w:t>由</w:t>
            </w:r>
            <w:r>
              <w:rPr>
                <w:rFonts w:hint="eastAsia" w:hAnsi="Times New Roman"/>
                <w:color w:val="auto"/>
                <w:kern w:val="2"/>
                <w:sz w:val="18"/>
                <w:szCs w:val="18"/>
              </w:rPr>
              <w:t>甲方出具证明或合同注明</w:t>
            </w:r>
            <w:r>
              <w:rPr>
                <w:rFonts w:hint="eastAsia" w:hAnsi="Times New Roman"/>
                <w:color w:val="auto"/>
                <w:kern w:val="2"/>
                <w:sz w:val="18"/>
                <w:szCs w:val="18"/>
                <w:lang w:val="en-US" w:eastAsia="zh-CN"/>
              </w:rPr>
              <w:t>。</w:t>
            </w:r>
          </w:p>
        </w:tc>
        <w:tc>
          <w:tcPr>
            <w:tcW w:w="2977" w:type="dxa"/>
            <w:tcBorders>
              <w:top w:val="single" w:color="auto" w:sz="4" w:space="0"/>
              <w:left w:val="single" w:color="auto" w:sz="4" w:space="0"/>
              <w:right w:val="single" w:color="auto" w:sz="4" w:space="0"/>
            </w:tcBorders>
            <w:vAlign w:val="center"/>
          </w:tcPr>
          <w:p w14:paraId="6EEFB504">
            <w:pPr>
              <w:pStyle w:val="2"/>
              <w:widowControl w:val="0"/>
              <w:numPr>
                <w:ilvl w:val="-1"/>
                <w:numId w:val="0"/>
              </w:numPr>
              <w:spacing w:after="0"/>
              <w:rPr>
                <w:rFonts w:hint="eastAsia" w:ascii="仿宋_GB2312" w:hAnsi="仿宋_GB2312" w:eastAsia="宋体" w:cs="仿宋_GB2312"/>
                <w:kern w:val="0"/>
                <w:sz w:val="18"/>
                <w:szCs w:val="18"/>
                <w:lang w:eastAsia="zh-CN"/>
              </w:rPr>
            </w:pPr>
            <w:r>
              <w:rPr>
                <w:rFonts w:hint="eastAsia" w:ascii="仿宋_GB2312" w:hAnsi="仿宋_GB2312" w:cs="仿宋_GB2312"/>
                <w:kern w:val="0"/>
                <w:sz w:val="18"/>
                <w:szCs w:val="18"/>
                <w:lang w:val="en-US" w:eastAsia="zh-CN"/>
              </w:rPr>
              <w:t>1.</w:t>
            </w:r>
            <w:r>
              <w:rPr>
                <w:rFonts w:hint="eastAsia" w:ascii="仿宋_GB2312" w:hAnsi="仿宋_GB2312" w:cs="仿宋_GB2312"/>
                <w:kern w:val="0"/>
                <w:sz w:val="18"/>
                <w:szCs w:val="18"/>
              </w:rPr>
              <w:t>项目负责人具有13年及以上管理咨询工作经验，得5分；10-12年管理咨询工作经验</w:t>
            </w:r>
            <w:r>
              <w:rPr>
                <w:rFonts w:hint="eastAsia" w:ascii="仿宋_GB2312" w:hAnsi="仿宋_GB2312" w:cs="仿宋_GB2312"/>
                <w:kern w:val="0"/>
                <w:sz w:val="18"/>
                <w:szCs w:val="18"/>
                <w:lang w:val="en-US" w:eastAsia="zh-CN"/>
              </w:rPr>
              <w:t>得</w:t>
            </w:r>
            <w:r>
              <w:rPr>
                <w:rFonts w:hint="eastAsia" w:ascii="仿宋_GB2312" w:hAnsi="仿宋_GB2312" w:cs="仿宋_GB2312"/>
                <w:kern w:val="0"/>
                <w:sz w:val="18"/>
                <w:szCs w:val="18"/>
              </w:rPr>
              <w:t>2分；不足10年管理咨询工作经验不得分</w:t>
            </w:r>
            <w:r>
              <w:rPr>
                <w:rFonts w:hint="eastAsia" w:ascii="仿宋_GB2312" w:hAnsi="仿宋_GB2312" w:cs="仿宋_GB2312"/>
                <w:kern w:val="0"/>
                <w:sz w:val="18"/>
                <w:szCs w:val="18"/>
                <w:lang w:eastAsia="zh-CN"/>
              </w:rPr>
              <w:t>。</w:t>
            </w:r>
          </w:p>
          <w:p w14:paraId="7E9C0E03">
            <w:pPr>
              <w:pStyle w:val="2"/>
              <w:widowControl w:val="0"/>
              <w:numPr>
                <w:ilvl w:val="-1"/>
                <w:numId w:val="0"/>
              </w:numPr>
              <w:rPr>
                <w:rFonts w:hint="eastAsia" w:ascii="仿宋_GB2312" w:hAnsi="仿宋_GB2312" w:cs="仿宋_GB2312"/>
                <w:kern w:val="0"/>
                <w:sz w:val="18"/>
                <w:szCs w:val="18"/>
              </w:rPr>
            </w:pPr>
            <w:r>
              <w:rPr>
                <w:rFonts w:hint="eastAsia" w:ascii="仿宋_GB2312" w:hAnsi="仿宋_GB2312" w:cs="仿宋_GB2312"/>
                <w:kern w:val="0"/>
                <w:sz w:val="18"/>
                <w:szCs w:val="18"/>
                <w:lang w:val="en-US" w:eastAsia="zh-CN"/>
              </w:rPr>
              <w:t>2.项目负责人担任过10个及以上战略规划、组织管理、人力资源相关项目的项目负责人，得3分；5-9个的得1分；不足5个不得分。</w:t>
            </w:r>
          </w:p>
        </w:tc>
        <w:tc>
          <w:tcPr>
            <w:tcW w:w="709" w:type="dxa"/>
            <w:tcBorders>
              <w:top w:val="single" w:color="auto" w:sz="4" w:space="0"/>
              <w:left w:val="single" w:color="auto" w:sz="4" w:space="0"/>
              <w:right w:val="single" w:color="auto" w:sz="4" w:space="0"/>
            </w:tcBorders>
            <w:vAlign w:val="center"/>
          </w:tcPr>
          <w:p w14:paraId="60DCA84C">
            <w:pPr>
              <w:spacing w:line="240" w:lineRule="auto"/>
              <w:ind w:firstLine="0" w:firstLineChars="0"/>
              <w:jc w:val="center"/>
              <w:rPr>
                <w:rFonts w:hint="eastAsia" w:ascii="仿宋_GB2312" w:hAnsi="仿宋_GB2312" w:cs="仿宋_GB2312"/>
                <w:kern w:val="0"/>
                <w:sz w:val="18"/>
                <w:szCs w:val="18"/>
              </w:rPr>
            </w:pPr>
            <w:r>
              <w:rPr>
                <w:rFonts w:hint="eastAsia" w:ascii="仿宋_GB2312" w:hAnsi="仿宋_GB2312" w:cs="仿宋_GB2312"/>
                <w:kern w:val="0"/>
                <w:sz w:val="18"/>
                <w:szCs w:val="18"/>
                <w:lang w:val="en-US" w:eastAsia="zh-CN"/>
              </w:rPr>
              <w:t>8</w:t>
            </w:r>
            <w:r>
              <w:rPr>
                <w:rFonts w:hint="eastAsia" w:ascii="仿宋_GB2312" w:hAnsi="仿宋_GB2312" w:cs="仿宋_GB2312"/>
                <w:kern w:val="0"/>
                <w:sz w:val="18"/>
                <w:szCs w:val="18"/>
              </w:rPr>
              <w:t>分</w:t>
            </w:r>
          </w:p>
        </w:tc>
        <w:tc>
          <w:tcPr>
            <w:tcW w:w="4252" w:type="dxa"/>
            <w:tcBorders>
              <w:top w:val="single" w:color="auto" w:sz="4" w:space="0"/>
              <w:left w:val="single" w:color="auto" w:sz="4" w:space="0"/>
              <w:right w:val="single" w:color="auto" w:sz="4" w:space="0"/>
            </w:tcBorders>
            <w:vAlign w:val="center"/>
          </w:tcPr>
          <w:p w14:paraId="5FF93487">
            <w:pPr>
              <w:pStyle w:val="2"/>
              <w:rPr>
                <w:rFonts w:hint="eastAsia" w:ascii="仿宋_GB2312" w:hAnsi="仿宋_GB2312" w:eastAsia="宋体" w:cs="仿宋_GB2312"/>
                <w:kern w:val="0"/>
                <w:sz w:val="18"/>
                <w:szCs w:val="18"/>
                <w:lang w:val="en-US" w:eastAsia="zh-CN"/>
              </w:rPr>
            </w:pPr>
            <w:r>
              <w:rPr>
                <w:rFonts w:hint="eastAsia" w:ascii="仿宋_GB2312" w:hAnsi="仿宋_GB2312" w:cs="仿宋_GB2312"/>
                <w:kern w:val="0"/>
                <w:sz w:val="18"/>
                <w:szCs w:val="18"/>
                <w:lang w:val="en-US" w:eastAsia="zh-CN"/>
              </w:rPr>
              <w:t>1.</w:t>
            </w:r>
            <w:r>
              <w:rPr>
                <w:rFonts w:hint="eastAsia" w:ascii="仿宋_GB2312" w:hAnsi="仿宋_GB2312" w:cs="仿宋_GB2312"/>
                <w:kern w:val="0"/>
                <w:sz w:val="18"/>
                <w:szCs w:val="18"/>
              </w:rPr>
              <w:t>需提供可反映工作经验时长的简历、劳动合同及社保证明等</w:t>
            </w:r>
            <w:r>
              <w:rPr>
                <w:rFonts w:hint="eastAsia" w:ascii="仿宋_GB2312" w:hAnsi="仿宋_GB2312" w:cs="仿宋_GB2312"/>
                <w:kern w:val="0"/>
                <w:sz w:val="18"/>
                <w:szCs w:val="18"/>
                <w:lang w:eastAsia="zh-CN"/>
              </w:rPr>
              <w:t>，</w:t>
            </w:r>
            <w:r>
              <w:rPr>
                <w:rFonts w:hint="eastAsia" w:ascii="仿宋_GB2312" w:hAnsi="仿宋_GB2312" w:cs="仿宋_GB2312"/>
                <w:kern w:val="0"/>
                <w:sz w:val="18"/>
                <w:szCs w:val="18"/>
                <w:lang w:val="en-US" w:eastAsia="zh-CN"/>
              </w:rPr>
              <w:t>并</w:t>
            </w:r>
            <w:r>
              <w:rPr>
                <w:rFonts w:hint="eastAsia" w:ascii="仿宋_GB2312" w:hAnsi="仿宋_GB2312" w:cs="仿宋_GB2312"/>
                <w:kern w:val="0"/>
                <w:sz w:val="18"/>
                <w:szCs w:val="18"/>
              </w:rPr>
              <w:t>加盖公章</w:t>
            </w:r>
            <w:r>
              <w:rPr>
                <w:rFonts w:hint="eastAsia" w:ascii="仿宋_GB2312" w:hAnsi="仿宋_GB2312" w:cs="仿宋_GB2312"/>
                <w:kern w:val="0"/>
                <w:sz w:val="18"/>
                <w:szCs w:val="18"/>
                <w:lang w:eastAsia="zh-CN"/>
              </w:rPr>
              <w:t>。</w:t>
            </w:r>
          </w:p>
          <w:p w14:paraId="6CD98A24">
            <w:pPr>
              <w:pStyle w:val="2"/>
              <w:numPr>
                <w:ilvl w:val="0"/>
                <w:numId w:val="0"/>
              </w:numPr>
              <w:rPr>
                <w:rFonts w:hint="eastAsia" w:ascii="仿宋_GB2312" w:hAnsi="仿宋_GB2312" w:cs="仿宋_GB2312"/>
                <w:kern w:val="0"/>
                <w:sz w:val="18"/>
                <w:szCs w:val="18"/>
              </w:rPr>
            </w:pPr>
            <w:r>
              <w:rPr>
                <w:rFonts w:hint="eastAsia" w:ascii="仿宋_GB2312" w:hAnsi="仿宋_GB2312" w:cs="仿宋_GB2312"/>
                <w:kern w:val="0"/>
                <w:sz w:val="18"/>
                <w:szCs w:val="18"/>
                <w:lang w:val="en-US" w:eastAsia="zh-CN"/>
              </w:rPr>
              <w:t>2.需提供可以体现项目负责人相关项目经验的案例合同、甲方出具的证明文件等，并加盖公章。</w:t>
            </w:r>
          </w:p>
        </w:tc>
      </w:tr>
      <w:tr w14:paraId="07DDB68E">
        <w:tblPrEx>
          <w:tblCellMar>
            <w:top w:w="0" w:type="dxa"/>
            <w:left w:w="108" w:type="dxa"/>
            <w:bottom w:w="0" w:type="dxa"/>
            <w:right w:w="108" w:type="dxa"/>
          </w:tblCellMar>
        </w:tblPrEx>
        <w:trPr>
          <w:trHeight w:val="60" w:hRule="atLeast"/>
          <w:jc w:val="center"/>
        </w:trPr>
        <w:tc>
          <w:tcPr>
            <w:tcW w:w="424" w:type="dxa"/>
            <w:tcBorders>
              <w:top w:val="single" w:color="auto" w:sz="4" w:space="0"/>
              <w:left w:val="single" w:color="auto" w:sz="4" w:space="0"/>
              <w:bottom w:val="single" w:color="auto" w:sz="4" w:space="0"/>
              <w:right w:val="single" w:color="auto" w:sz="4" w:space="0"/>
            </w:tcBorders>
            <w:vAlign w:val="center"/>
          </w:tcPr>
          <w:p w14:paraId="356BA426">
            <w:pPr>
              <w:widowControl/>
              <w:ind w:firstLine="0"/>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960" w:type="dxa"/>
            <w:vMerge w:val="continue"/>
            <w:tcBorders>
              <w:left w:val="single" w:color="auto" w:sz="4" w:space="0"/>
              <w:right w:val="nil"/>
            </w:tcBorders>
            <w:vAlign w:val="center"/>
          </w:tcPr>
          <w:p w14:paraId="66A6719B">
            <w:pPr>
              <w:widowControl/>
              <w:spacing w:line="240" w:lineRule="auto"/>
              <w:ind w:firstLine="360"/>
              <w:rPr>
                <w:rFonts w:hint="eastAsia" w:ascii="宋体" w:hAnsi="宋体" w:cs="宋体"/>
                <w:kern w:val="0"/>
                <w:sz w:val="18"/>
                <w:szCs w:val="18"/>
              </w:rPr>
            </w:pPr>
          </w:p>
        </w:tc>
        <w:tc>
          <w:tcPr>
            <w:tcW w:w="1239" w:type="dxa"/>
            <w:vMerge w:val="restart"/>
            <w:tcBorders>
              <w:left w:val="single" w:color="auto" w:sz="4" w:space="0"/>
              <w:right w:val="single" w:color="auto" w:sz="4" w:space="0"/>
            </w:tcBorders>
            <w:vAlign w:val="center"/>
          </w:tcPr>
          <w:p w14:paraId="474CC2CA">
            <w:pPr>
              <w:spacing w:line="240" w:lineRule="auto"/>
              <w:ind w:firstLine="0"/>
              <w:jc w:val="both"/>
              <w:rPr>
                <w:rFonts w:hint="default" w:ascii="宋体" w:hAnsi="宋体" w:eastAsia="宋体"/>
                <w:b/>
                <w:bCs/>
                <w:sz w:val="18"/>
                <w:szCs w:val="18"/>
                <w:lang w:val="en-US" w:eastAsia="zh-CN"/>
              </w:rPr>
            </w:pPr>
            <w:r>
              <w:rPr>
                <w:rFonts w:hint="eastAsia" w:ascii="宋体" w:hAnsi="宋体"/>
                <w:b/>
                <w:bCs/>
                <w:sz w:val="18"/>
                <w:szCs w:val="18"/>
                <w:lang w:val="en-US" w:eastAsia="zh-CN"/>
              </w:rPr>
              <w:t>项目团队</w:t>
            </w:r>
          </w:p>
        </w:tc>
        <w:tc>
          <w:tcPr>
            <w:tcW w:w="4998" w:type="dxa"/>
            <w:tcBorders>
              <w:left w:val="single" w:color="auto" w:sz="4" w:space="0"/>
              <w:bottom w:val="single" w:color="auto" w:sz="4" w:space="0"/>
              <w:right w:val="single" w:color="auto" w:sz="4" w:space="0"/>
            </w:tcBorders>
            <w:vAlign w:val="center"/>
          </w:tcPr>
          <w:p w14:paraId="2DDF3BF5">
            <w:pPr>
              <w:widowControl/>
              <w:spacing w:line="240" w:lineRule="auto"/>
              <w:rPr>
                <w:rFonts w:hint="default" w:ascii="仿宋_GB2312" w:eastAsia="宋体"/>
                <w:sz w:val="18"/>
                <w:szCs w:val="18"/>
                <w:lang w:val="en-US" w:eastAsia="zh-CN"/>
              </w:rPr>
            </w:pPr>
            <w:r>
              <w:rPr>
                <w:rFonts w:hint="eastAsia" w:ascii="仿宋_GB2312"/>
                <w:sz w:val="18"/>
                <w:szCs w:val="18"/>
              </w:rPr>
              <w:t>团队成员不少于5人</w:t>
            </w:r>
            <w:r>
              <w:rPr>
                <w:rFonts w:hint="eastAsia" w:ascii="仿宋_GB2312"/>
                <w:sz w:val="18"/>
                <w:szCs w:val="18"/>
                <w:lang w:val="en-US" w:eastAsia="zh-CN"/>
              </w:rPr>
              <w:t>。</w:t>
            </w:r>
          </w:p>
        </w:tc>
        <w:tc>
          <w:tcPr>
            <w:tcW w:w="2977" w:type="dxa"/>
            <w:tcBorders>
              <w:left w:val="single" w:color="auto" w:sz="4" w:space="0"/>
              <w:bottom w:val="single" w:color="auto" w:sz="4" w:space="0"/>
              <w:right w:val="single" w:color="auto" w:sz="4" w:space="0"/>
            </w:tcBorders>
            <w:vAlign w:val="center"/>
          </w:tcPr>
          <w:p w14:paraId="3C7FAFB0">
            <w:pPr>
              <w:widowControl/>
              <w:spacing w:line="240" w:lineRule="auto"/>
              <w:ind w:firstLine="0"/>
              <w:rPr>
                <w:rFonts w:hint="default" w:ascii="仿宋_GB2312" w:hAnsi="仿宋_GB2312" w:eastAsia="宋体" w:cs="仿宋_GB2312"/>
                <w:sz w:val="18"/>
                <w:szCs w:val="18"/>
                <w:lang w:val="en-US" w:eastAsia="zh-CN"/>
              </w:rPr>
            </w:pPr>
            <w:r>
              <w:rPr>
                <w:rFonts w:hint="eastAsia" w:ascii="仿宋_GB2312" w:hAnsi="仿宋_GB2312" w:cs="仿宋_GB2312"/>
                <w:sz w:val="18"/>
                <w:szCs w:val="18"/>
                <w:lang w:val="en-US" w:eastAsia="zh-CN"/>
              </w:rPr>
              <w:t>得2分；少于5人则不得分。</w:t>
            </w:r>
          </w:p>
        </w:tc>
        <w:tc>
          <w:tcPr>
            <w:tcW w:w="709" w:type="dxa"/>
            <w:vMerge w:val="restart"/>
            <w:tcBorders>
              <w:left w:val="single" w:color="auto" w:sz="4" w:space="0"/>
              <w:right w:val="single" w:color="auto" w:sz="4" w:space="0"/>
            </w:tcBorders>
            <w:vAlign w:val="center"/>
          </w:tcPr>
          <w:p w14:paraId="1FA7293D">
            <w:pPr>
              <w:widowControl/>
              <w:spacing w:line="240" w:lineRule="auto"/>
              <w:jc w:val="center"/>
              <w:rPr>
                <w:rFonts w:hint="eastAsia" w:ascii="仿宋_GB2312" w:hAnsi="仿宋_GB2312" w:cs="仿宋_GB2312"/>
                <w:kern w:val="0"/>
                <w:sz w:val="18"/>
                <w:szCs w:val="18"/>
              </w:rPr>
            </w:pPr>
            <w:r>
              <w:rPr>
                <w:rFonts w:hint="eastAsia" w:ascii="仿宋_GB2312" w:hAnsi="仿宋_GB2312" w:cs="仿宋_GB2312"/>
                <w:kern w:val="0"/>
                <w:sz w:val="18"/>
                <w:szCs w:val="18"/>
                <w:lang w:val="en-US" w:eastAsia="zh-CN"/>
              </w:rPr>
              <w:t>5</w:t>
            </w:r>
            <w:r>
              <w:rPr>
                <w:rFonts w:hint="eastAsia" w:ascii="仿宋_GB2312" w:hAnsi="仿宋_GB2312" w:cs="仿宋_GB2312"/>
                <w:kern w:val="0"/>
                <w:sz w:val="18"/>
                <w:szCs w:val="18"/>
              </w:rPr>
              <w:t>分</w:t>
            </w:r>
          </w:p>
        </w:tc>
        <w:tc>
          <w:tcPr>
            <w:tcW w:w="4252" w:type="dxa"/>
            <w:vMerge w:val="restart"/>
            <w:tcBorders>
              <w:left w:val="single" w:color="auto" w:sz="4" w:space="0"/>
              <w:right w:val="single" w:color="auto" w:sz="4" w:space="0"/>
            </w:tcBorders>
            <w:vAlign w:val="center"/>
          </w:tcPr>
          <w:p w14:paraId="31118515">
            <w:pPr>
              <w:widowControl/>
              <w:numPr>
                <w:ilvl w:val="-1"/>
                <w:numId w:val="0"/>
              </w:numPr>
              <w:spacing w:line="240" w:lineRule="auto"/>
              <w:ind w:firstLine="0"/>
              <w:rPr>
                <w:rFonts w:hint="eastAsia" w:ascii="仿宋_GB2312"/>
                <w:sz w:val="18"/>
                <w:szCs w:val="18"/>
              </w:rPr>
            </w:pPr>
            <w:r>
              <w:rPr>
                <w:rFonts w:hint="eastAsia" w:ascii="仿宋_GB2312" w:hAnsi="仿宋_GB2312" w:cs="仿宋_GB2312"/>
                <w:kern w:val="0"/>
                <w:sz w:val="18"/>
                <w:szCs w:val="18"/>
                <w:lang w:val="en-US" w:eastAsia="zh-CN"/>
              </w:rPr>
              <w:t>1.需</w:t>
            </w:r>
            <w:r>
              <w:rPr>
                <w:rFonts w:hint="eastAsia" w:ascii="仿宋_GB2312" w:hAnsi="仿宋_GB2312" w:cs="仿宋_GB2312"/>
                <w:kern w:val="0"/>
                <w:sz w:val="18"/>
                <w:szCs w:val="18"/>
              </w:rPr>
              <w:t>提供团队人员名单</w:t>
            </w:r>
            <w:r>
              <w:rPr>
                <w:rFonts w:hint="eastAsia" w:ascii="仿宋_GB2312" w:hAnsi="仿宋_GB2312" w:cs="仿宋_GB2312"/>
                <w:kern w:val="0"/>
                <w:sz w:val="18"/>
                <w:szCs w:val="18"/>
                <w:lang w:val="en-US" w:eastAsia="zh-CN"/>
              </w:rPr>
              <w:t>及团队人员</w:t>
            </w:r>
            <w:r>
              <w:rPr>
                <w:rFonts w:hint="eastAsia" w:ascii="仿宋_GB2312"/>
                <w:sz w:val="18"/>
                <w:szCs w:val="18"/>
              </w:rPr>
              <w:t>近6个月由本单位缴纳的社保证明以及</w:t>
            </w:r>
            <w:r>
              <w:rPr>
                <w:rFonts w:hint="eastAsia" w:ascii="仿宋_GB2312" w:hAnsi="仿宋_GB2312" w:cs="仿宋_GB2312"/>
                <w:kern w:val="0"/>
                <w:sz w:val="18"/>
                <w:szCs w:val="18"/>
              </w:rPr>
              <w:t>身份证、学历学位证复印件</w:t>
            </w:r>
            <w:r>
              <w:rPr>
                <w:rFonts w:hint="eastAsia" w:ascii="仿宋_GB2312"/>
                <w:sz w:val="18"/>
                <w:szCs w:val="18"/>
              </w:rPr>
              <w:t>，并加盖公章。</w:t>
            </w:r>
          </w:p>
          <w:p w14:paraId="12E0C9B3">
            <w:pPr>
              <w:pStyle w:val="2"/>
              <w:numPr>
                <w:ilvl w:val="-1"/>
                <w:numId w:val="0"/>
              </w:numPr>
              <w:rPr>
                <w:rFonts w:hint="default"/>
                <w:lang w:val="en-US" w:eastAsia="zh-CN"/>
              </w:rPr>
            </w:pPr>
            <w:r>
              <w:rPr>
                <w:rFonts w:hint="eastAsia" w:asciiTheme="minorEastAsia" w:hAnsiTheme="minorEastAsia" w:eastAsiaTheme="minorEastAsia" w:cstheme="minorEastAsia"/>
                <w:sz w:val="18"/>
                <w:szCs w:val="18"/>
                <w:lang w:val="en-US" w:eastAsia="zh-CN"/>
              </w:rPr>
              <w:t>2.需提供可以体现项目经理相关项目经验的案例合同、甲方出具的证明文件等，并加盖公章。</w:t>
            </w:r>
          </w:p>
        </w:tc>
      </w:tr>
      <w:tr w14:paraId="308D3A6E">
        <w:tblPrEx>
          <w:tblCellMar>
            <w:top w:w="0" w:type="dxa"/>
            <w:left w:w="108" w:type="dxa"/>
            <w:bottom w:w="0" w:type="dxa"/>
            <w:right w:w="108" w:type="dxa"/>
          </w:tblCellMar>
        </w:tblPrEx>
        <w:trPr>
          <w:trHeight w:val="286" w:hRule="atLeast"/>
          <w:jc w:val="center"/>
        </w:trPr>
        <w:tc>
          <w:tcPr>
            <w:tcW w:w="424" w:type="dxa"/>
            <w:tcBorders>
              <w:top w:val="single" w:color="auto" w:sz="4" w:space="0"/>
              <w:left w:val="single" w:color="auto" w:sz="4" w:space="0"/>
              <w:bottom w:val="single" w:color="auto" w:sz="4" w:space="0"/>
              <w:right w:val="single" w:color="auto" w:sz="4" w:space="0"/>
            </w:tcBorders>
            <w:vAlign w:val="center"/>
          </w:tcPr>
          <w:p w14:paraId="6D11E60F">
            <w:pPr>
              <w:widowControl/>
              <w:ind w:firstLine="0"/>
              <w:jc w:val="center"/>
              <w:rPr>
                <w:rFonts w:hint="eastAsia" w:ascii="宋体" w:hAnsi="宋体" w:cs="宋体"/>
                <w:color w:val="000000"/>
                <w:kern w:val="0"/>
                <w:sz w:val="18"/>
                <w:szCs w:val="18"/>
                <w:lang w:val="en-US" w:eastAsia="zh-CN"/>
              </w:rPr>
            </w:pPr>
          </w:p>
        </w:tc>
        <w:tc>
          <w:tcPr>
            <w:tcW w:w="960" w:type="dxa"/>
            <w:vMerge w:val="continue"/>
            <w:tcBorders>
              <w:left w:val="single" w:color="auto" w:sz="4" w:space="0"/>
              <w:bottom w:val="single" w:color="auto" w:sz="4" w:space="0"/>
              <w:right w:val="nil"/>
            </w:tcBorders>
            <w:vAlign w:val="center"/>
          </w:tcPr>
          <w:p w14:paraId="06F6396A">
            <w:pPr>
              <w:widowControl/>
              <w:spacing w:line="240" w:lineRule="auto"/>
              <w:ind w:firstLine="360"/>
              <w:rPr>
                <w:rFonts w:hint="eastAsia" w:ascii="宋体" w:hAnsi="宋体" w:cs="宋体"/>
                <w:kern w:val="0"/>
                <w:sz w:val="18"/>
                <w:szCs w:val="18"/>
              </w:rPr>
            </w:pPr>
          </w:p>
        </w:tc>
        <w:tc>
          <w:tcPr>
            <w:tcW w:w="1239" w:type="dxa"/>
            <w:vMerge w:val="continue"/>
            <w:tcBorders>
              <w:left w:val="single" w:color="auto" w:sz="4" w:space="0"/>
              <w:bottom w:val="single" w:color="auto" w:sz="4" w:space="0"/>
              <w:right w:val="single" w:color="auto" w:sz="4" w:space="0"/>
            </w:tcBorders>
            <w:vAlign w:val="center"/>
          </w:tcPr>
          <w:p w14:paraId="5C2AE9B4">
            <w:pPr>
              <w:spacing w:line="240" w:lineRule="auto"/>
              <w:ind w:firstLine="0"/>
              <w:jc w:val="both"/>
              <w:rPr>
                <w:rFonts w:hint="eastAsia" w:ascii="宋体" w:hAnsi="宋体"/>
                <w:b/>
                <w:bCs/>
                <w:sz w:val="18"/>
                <w:szCs w:val="18"/>
                <w:lang w:val="en-US" w:eastAsia="zh-CN"/>
              </w:rPr>
            </w:pPr>
          </w:p>
        </w:tc>
        <w:tc>
          <w:tcPr>
            <w:tcW w:w="4998" w:type="dxa"/>
            <w:tcBorders>
              <w:left w:val="single" w:color="auto" w:sz="4" w:space="0"/>
              <w:bottom w:val="single" w:color="auto" w:sz="4" w:space="0"/>
              <w:right w:val="single" w:color="auto" w:sz="4" w:space="0"/>
            </w:tcBorders>
            <w:vAlign w:val="center"/>
          </w:tcPr>
          <w:p w14:paraId="367F71C4">
            <w:pPr>
              <w:widowControl/>
              <w:spacing w:line="240" w:lineRule="auto"/>
              <w:rPr>
                <w:rFonts w:hint="eastAsia" w:ascii="仿宋_GB2312"/>
                <w:sz w:val="18"/>
                <w:szCs w:val="18"/>
                <w:lang w:val="en-US" w:eastAsia="zh-CN"/>
              </w:rPr>
            </w:pPr>
            <w:r>
              <w:rPr>
                <w:rFonts w:hint="eastAsia" w:ascii="仿宋_GB2312"/>
                <w:sz w:val="18"/>
                <w:szCs w:val="18"/>
                <w:lang w:val="en-US" w:eastAsia="zh-CN"/>
              </w:rPr>
              <w:t>项目经理担任过3个及以上战略规划、组织管理、人力资源</w:t>
            </w:r>
            <w:r>
              <w:rPr>
                <w:rFonts w:hint="eastAsia" w:hAnsi="Times New Roman"/>
                <w:color w:val="auto"/>
                <w:kern w:val="2"/>
                <w:sz w:val="18"/>
                <w:szCs w:val="18"/>
                <w:lang w:val="en-US" w:eastAsia="zh-CN"/>
              </w:rPr>
              <w:t>任一方面</w:t>
            </w:r>
            <w:r>
              <w:rPr>
                <w:rFonts w:hint="eastAsia" w:ascii="仿宋_GB2312"/>
                <w:sz w:val="18"/>
                <w:szCs w:val="18"/>
                <w:lang w:val="en-US" w:eastAsia="zh-CN"/>
              </w:rPr>
              <w:t>咨询项目的项目经理。</w:t>
            </w:r>
          </w:p>
        </w:tc>
        <w:tc>
          <w:tcPr>
            <w:tcW w:w="2977" w:type="dxa"/>
            <w:tcBorders>
              <w:left w:val="single" w:color="auto" w:sz="4" w:space="0"/>
              <w:bottom w:val="single" w:color="auto" w:sz="4" w:space="0"/>
              <w:right w:val="single" w:color="auto" w:sz="4" w:space="0"/>
            </w:tcBorders>
            <w:vAlign w:val="center"/>
          </w:tcPr>
          <w:p w14:paraId="0110751A">
            <w:pPr>
              <w:widowControl/>
              <w:spacing w:line="240" w:lineRule="auto"/>
              <w:ind w:firstLine="0"/>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得3分；不满足条件则不得分。</w:t>
            </w:r>
          </w:p>
        </w:tc>
        <w:tc>
          <w:tcPr>
            <w:tcW w:w="709" w:type="dxa"/>
            <w:vMerge w:val="continue"/>
            <w:tcBorders>
              <w:left w:val="single" w:color="auto" w:sz="4" w:space="0"/>
              <w:bottom w:val="single" w:color="auto" w:sz="4" w:space="0"/>
              <w:right w:val="single" w:color="auto" w:sz="4" w:space="0"/>
            </w:tcBorders>
            <w:vAlign w:val="center"/>
          </w:tcPr>
          <w:p w14:paraId="31392785">
            <w:pPr>
              <w:widowControl/>
              <w:spacing w:line="240" w:lineRule="auto"/>
              <w:jc w:val="center"/>
              <w:rPr>
                <w:rFonts w:hint="eastAsia" w:ascii="仿宋_GB2312" w:hAnsi="仿宋_GB2312" w:cs="仿宋_GB2312"/>
                <w:kern w:val="0"/>
                <w:sz w:val="18"/>
                <w:szCs w:val="18"/>
                <w:lang w:val="en-US" w:eastAsia="zh-CN"/>
              </w:rPr>
            </w:pPr>
          </w:p>
        </w:tc>
        <w:tc>
          <w:tcPr>
            <w:tcW w:w="4252" w:type="dxa"/>
            <w:vMerge w:val="continue"/>
            <w:tcBorders>
              <w:left w:val="single" w:color="auto" w:sz="4" w:space="0"/>
              <w:bottom w:val="single" w:color="auto" w:sz="4" w:space="0"/>
              <w:right w:val="single" w:color="auto" w:sz="4" w:space="0"/>
            </w:tcBorders>
            <w:vAlign w:val="center"/>
          </w:tcPr>
          <w:p w14:paraId="42CC6447">
            <w:pPr>
              <w:widowControl/>
              <w:spacing w:line="240" w:lineRule="auto"/>
              <w:ind w:firstLine="0"/>
              <w:rPr>
                <w:rFonts w:hint="eastAsia" w:ascii="仿宋_GB2312" w:hAnsi="仿宋_GB2312" w:cs="仿宋_GB2312"/>
                <w:kern w:val="0"/>
                <w:sz w:val="18"/>
                <w:szCs w:val="18"/>
                <w:lang w:val="en-US" w:eastAsia="zh-CN"/>
              </w:rPr>
            </w:pPr>
          </w:p>
        </w:tc>
      </w:tr>
      <w:tr w14:paraId="74306097">
        <w:tblPrEx>
          <w:tblCellMar>
            <w:top w:w="0" w:type="dxa"/>
            <w:left w:w="108" w:type="dxa"/>
            <w:bottom w:w="0" w:type="dxa"/>
            <w:right w:w="108" w:type="dxa"/>
          </w:tblCellMar>
        </w:tblPrEx>
        <w:trPr>
          <w:trHeight w:val="90" w:hRule="atLeast"/>
          <w:jc w:val="center"/>
        </w:trPr>
        <w:tc>
          <w:tcPr>
            <w:tcW w:w="424" w:type="dxa"/>
            <w:tcBorders>
              <w:top w:val="single" w:color="auto" w:sz="4" w:space="0"/>
              <w:left w:val="single" w:color="auto" w:sz="4" w:space="0"/>
              <w:bottom w:val="single" w:color="auto" w:sz="4" w:space="0"/>
              <w:right w:val="single" w:color="auto" w:sz="4" w:space="0"/>
            </w:tcBorders>
            <w:vAlign w:val="center"/>
          </w:tcPr>
          <w:p w14:paraId="34F40FC8">
            <w:pPr>
              <w:widowControl/>
              <w:ind w:firstLine="0"/>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6</w:t>
            </w:r>
          </w:p>
        </w:tc>
        <w:tc>
          <w:tcPr>
            <w:tcW w:w="960" w:type="dxa"/>
            <w:vMerge w:val="restart"/>
            <w:tcBorders>
              <w:top w:val="single" w:color="auto" w:sz="4" w:space="0"/>
              <w:left w:val="single" w:color="auto" w:sz="4" w:space="0"/>
              <w:right w:val="nil"/>
            </w:tcBorders>
            <w:vAlign w:val="center"/>
          </w:tcPr>
          <w:p w14:paraId="10ED6D67">
            <w:pPr>
              <w:spacing w:line="240" w:lineRule="auto"/>
              <w:ind w:firstLine="0" w:firstLineChars="0"/>
              <w:jc w:val="left"/>
              <w:rPr>
                <w:rFonts w:hint="eastAsia"/>
                <w:b/>
                <w:bCs/>
                <w:sz w:val="18"/>
                <w:szCs w:val="18"/>
                <w:lang w:val="en-US" w:eastAsia="zh-CN"/>
              </w:rPr>
            </w:pPr>
            <w:r>
              <w:rPr>
                <w:rFonts w:hint="eastAsia"/>
                <w:b/>
                <w:bCs/>
                <w:sz w:val="18"/>
                <w:szCs w:val="18"/>
              </w:rPr>
              <w:t>技术</w:t>
            </w:r>
            <w:r>
              <w:rPr>
                <w:rFonts w:hint="eastAsia"/>
                <w:b/>
                <w:bCs/>
                <w:sz w:val="18"/>
                <w:szCs w:val="18"/>
                <w:lang w:val="en-US" w:eastAsia="zh-CN"/>
              </w:rPr>
              <w:t>能力得分</w:t>
            </w:r>
          </w:p>
          <w:p w14:paraId="120E450D">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（满分</w:t>
            </w:r>
            <w:r>
              <w:rPr>
                <w:rFonts w:hint="eastAsia" w:ascii="宋体" w:hAnsi="宋体" w:cs="宋体"/>
                <w:color w:val="000000"/>
                <w:kern w:val="0"/>
                <w:sz w:val="18"/>
                <w:szCs w:val="18"/>
                <w:lang w:val="en-US" w:eastAsia="zh-CN"/>
              </w:rPr>
              <w:t>40</w:t>
            </w:r>
            <w:r>
              <w:rPr>
                <w:rFonts w:hint="eastAsia" w:ascii="宋体" w:hAnsi="宋体" w:cs="宋体"/>
                <w:color w:val="000000"/>
                <w:kern w:val="0"/>
                <w:sz w:val="18"/>
                <w:szCs w:val="18"/>
              </w:rPr>
              <w:t>分）</w:t>
            </w:r>
          </w:p>
        </w:tc>
        <w:tc>
          <w:tcPr>
            <w:tcW w:w="1239" w:type="dxa"/>
            <w:tcBorders>
              <w:top w:val="single" w:color="auto" w:sz="4" w:space="0"/>
              <w:left w:val="single" w:color="auto" w:sz="4" w:space="0"/>
              <w:bottom w:val="single" w:color="auto" w:sz="4" w:space="0"/>
              <w:right w:val="single" w:color="auto" w:sz="4" w:space="0"/>
            </w:tcBorders>
            <w:vAlign w:val="center"/>
          </w:tcPr>
          <w:p w14:paraId="09A4CDBF">
            <w:pPr>
              <w:pStyle w:val="60"/>
              <w:rPr>
                <w:rFonts w:hint="eastAsia" w:ascii="宋体" w:hAnsi="宋体"/>
                <w:b/>
                <w:bCs/>
                <w:sz w:val="18"/>
                <w:szCs w:val="18"/>
              </w:rPr>
            </w:pPr>
            <w:r>
              <w:rPr>
                <w:rFonts w:hint="eastAsia" w:ascii="宋体" w:hAnsi="宋体"/>
                <w:b/>
                <w:bCs/>
                <w:sz w:val="18"/>
                <w:szCs w:val="18"/>
              </w:rPr>
              <w:t>发展诊断</w:t>
            </w:r>
          </w:p>
          <w:p w14:paraId="487BAB96">
            <w:pPr>
              <w:pStyle w:val="60"/>
              <w:rPr>
                <w:rFonts w:hint="eastAsia" w:ascii="宋体" w:hAnsi="宋体"/>
                <w:b/>
                <w:bCs/>
                <w:sz w:val="18"/>
                <w:szCs w:val="18"/>
              </w:rPr>
            </w:pPr>
            <w:r>
              <w:rPr>
                <w:rFonts w:hint="eastAsia" w:ascii="宋体" w:hAnsi="宋体"/>
                <w:b/>
                <w:bCs/>
                <w:sz w:val="18"/>
                <w:szCs w:val="18"/>
              </w:rPr>
              <w:t>分析</w:t>
            </w:r>
          </w:p>
        </w:tc>
        <w:tc>
          <w:tcPr>
            <w:tcW w:w="4998" w:type="dxa"/>
            <w:tcBorders>
              <w:top w:val="single" w:color="auto" w:sz="4" w:space="0"/>
              <w:left w:val="single" w:color="auto" w:sz="4" w:space="0"/>
              <w:bottom w:val="single" w:color="auto" w:sz="4" w:space="0"/>
              <w:right w:val="single" w:color="auto" w:sz="4" w:space="0"/>
            </w:tcBorders>
            <w:vAlign w:val="center"/>
          </w:tcPr>
          <w:p w14:paraId="4B72653F">
            <w:pPr>
              <w:spacing w:line="240" w:lineRule="auto"/>
              <w:ind w:firstLine="0" w:firstLineChars="0"/>
              <w:rPr>
                <w:rFonts w:hint="eastAsia" w:ascii="仿宋_GB2312" w:eastAsia="宋体"/>
                <w:sz w:val="18"/>
                <w:szCs w:val="18"/>
                <w:lang w:eastAsia="zh-CN"/>
              </w:rPr>
            </w:pPr>
            <w:r>
              <w:rPr>
                <w:rFonts w:hint="eastAsia" w:ascii="仿宋_GB2312"/>
                <w:sz w:val="18"/>
                <w:szCs w:val="18"/>
              </w:rPr>
              <w:t>深入了解招标人的实际发展情况，包括但不限于从以下方面科学诊断并分析招标人“十四五”期间发展的成绩和存在的问题：发展目标实现情况、业务布局情况、重点项目情况、管理体系建设情况、人力资源建设情况</w:t>
            </w:r>
            <w:r>
              <w:rPr>
                <w:rFonts w:hint="eastAsia" w:ascii="仿宋_GB2312"/>
                <w:sz w:val="18"/>
                <w:szCs w:val="18"/>
                <w:lang w:eastAsia="zh-CN"/>
              </w:rPr>
              <w:t>。</w:t>
            </w:r>
          </w:p>
        </w:tc>
        <w:tc>
          <w:tcPr>
            <w:tcW w:w="2977" w:type="dxa"/>
            <w:tcBorders>
              <w:top w:val="single" w:color="auto" w:sz="4" w:space="0"/>
              <w:left w:val="single" w:color="auto" w:sz="4" w:space="0"/>
              <w:bottom w:val="single" w:color="auto" w:sz="4" w:space="0"/>
              <w:right w:val="single" w:color="auto" w:sz="4" w:space="0"/>
            </w:tcBorders>
            <w:vAlign w:val="center"/>
          </w:tcPr>
          <w:p w14:paraId="7EA2EDDC">
            <w:pPr>
              <w:spacing w:line="240" w:lineRule="auto"/>
              <w:ind w:firstLine="0" w:firstLineChars="0"/>
              <w:rPr>
                <w:rFonts w:hint="eastAsia" w:ascii="仿宋_GB2312" w:hAnsi="仿宋_GB2312" w:cs="仿宋_GB2312"/>
                <w:sz w:val="18"/>
                <w:szCs w:val="18"/>
              </w:rPr>
            </w:pPr>
            <w:r>
              <w:rPr>
                <w:rFonts w:hint="eastAsia" w:ascii="仿宋_GB2312" w:hAnsi="仿宋_GB2312" w:cs="仿宋_GB2312"/>
                <w:sz w:val="18"/>
                <w:szCs w:val="18"/>
              </w:rPr>
              <w:t>分析内容科学完整，对</w:t>
            </w:r>
            <w:r>
              <w:rPr>
                <w:rFonts w:hint="eastAsia" w:ascii="仿宋_GB2312" w:hAnsi="仿宋_GB2312" w:cs="仿宋_GB2312"/>
                <w:sz w:val="18"/>
                <w:szCs w:val="18"/>
                <w:lang w:val="en-US" w:eastAsia="zh-CN"/>
              </w:rPr>
              <w:t>招标</w:t>
            </w:r>
            <w:r>
              <w:rPr>
                <w:rFonts w:hint="eastAsia" w:ascii="仿宋_GB2312" w:hAnsi="仿宋_GB2312" w:cs="仿宋_GB2312"/>
                <w:sz w:val="18"/>
                <w:szCs w:val="18"/>
              </w:rPr>
              <w:t>人的实际情况掌握较好，对发展成绩和存在问题诊断精准，得12-15分；分析内容基本完整、框架基本合理，能一定程度上掌握</w:t>
            </w:r>
            <w:r>
              <w:rPr>
                <w:rFonts w:hint="eastAsia" w:ascii="仿宋_GB2312" w:hAnsi="仿宋_GB2312" w:cs="仿宋_GB2312"/>
                <w:sz w:val="18"/>
                <w:szCs w:val="18"/>
                <w:lang w:val="en-US" w:eastAsia="zh-CN"/>
              </w:rPr>
              <w:t>招标</w:t>
            </w:r>
            <w:r>
              <w:rPr>
                <w:rFonts w:hint="eastAsia" w:ascii="仿宋_GB2312" w:hAnsi="仿宋_GB2312" w:cs="仿宋_GB2312"/>
                <w:sz w:val="18"/>
                <w:szCs w:val="18"/>
              </w:rPr>
              <w:t>人的实际情况</w:t>
            </w:r>
            <w:r>
              <w:rPr>
                <w:rFonts w:hint="eastAsia" w:ascii="仿宋_GB2312" w:hAnsi="仿宋_GB2312" w:cs="仿宋_GB2312"/>
                <w:sz w:val="18"/>
                <w:szCs w:val="18"/>
                <w:lang w:eastAsia="zh-CN"/>
              </w:rPr>
              <w:t>，</w:t>
            </w:r>
            <w:r>
              <w:rPr>
                <w:rFonts w:hint="eastAsia" w:ascii="仿宋_GB2312" w:hAnsi="仿宋_GB2312" w:cs="仿宋_GB2312"/>
                <w:sz w:val="18"/>
                <w:szCs w:val="18"/>
              </w:rPr>
              <w:t>诊断较为精准，得8-11分；分析内容基本完整、框架基本合理，但不熟悉采购人实际情况，诊断结论针对性较差，得4-7分；分析内容有所缺失，或框架不合理，不熟悉</w:t>
            </w:r>
            <w:r>
              <w:rPr>
                <w:rFonts w:hint="eastAsia" w:ascii="仿宋_GB2312" w:hAnsi="仿宋_GB2312" w:cs="仿宋_GB2312"/>
                <w:sz w:val="18"/>
                <w:szCs w:val="18"/>
                <w:lang w:val="en-US" w:eastAsia="zh-CN"/>
              </w:rPr>
              <w:t>招标</w:t>
            </w:r>
            <w:r>
              <w:rPr>
                <w:rFonts w:hint="eastAsia" w:ascii="仿宋_GB2312" w:hAnsi="仿宋_GB2312" w:cs="仿宋_GB2312"/>
                <w:sz w:val="18"/>
                <w:szCs w:val="18"/>
              </w:rPr>
              <w:t>人实际情况，诊断结论偏差较大，得0-3分。</w:t>
            </w:r>
          </w:p>
        </w:tc>
        <w:tc>
          <w:tcPr>
            <w:tcW w:w="709" w:type="dxa"/>
            <w:tcBorders>
              <w:top w:val="single" w:color="auto" w:sz="4" w:space="0"/>
              <w:left w:val="single" w:color="auto" w:sz="4" w:space="0"/>
              <w:bottom w:val="single" w:color="auto" w:sz="4" w:space="0"/>
              <w:right w:val="single" w:color="auto" w:sz="4" w:space="0"/>
            </w:tcBorders>
            <w:vAlign w:val="center"/>
          </w:tcPr>
          <w:p w14:paraId="4B8C182B">
            <w:pPr>
              <w:spacing w:line="240" w:lineRule="auto"/>
              <w:ind w:firstLine="0" w:firstLineChars="0"/>
              <w:jc w:val="center"/>
              <w:rPr>
                <w:rFonts w:ascii="仿宋_GB2312"/>
                <w:sz w:val="18"/>
                <w:szCs w:val="18"/>
              </w:rPr>
            </w:pPr>
            <w:r>
              <w:rPr>
                <w:rFonts w:hint="eastAsia" w:ascii="仿宋_GB2312"/>
                <w:sz w:val="18"/>
                <w:szCs w:val="18"/>
              </w:rPr>
              <w:t>15分</w:t>
            </w:r>
          </w:p>
        </w:tc>
        <w:tc>
          <w:tcPr>
            <w:tcW w:w="4252" w:type="dxa"/>
            <w:tcBorders>
              <w:top w:val="single" w:color="auto" w:sz="4" w:space="0"/>
              <w:left w:val="single" w:color="auto" w:sz="4" w:space="0"/>
              <w:bottom w:val="single" w:color="auto" w:sz="4" w:space="0"/>
              <w:right w:val="single" w:color="auto" w:sz="4" w:space="0"/>
            </w:tcBorders>
            <w:vAlign w:val="center"/>
          </w:tcPr>
          <w:p w14:paraId="5887FE37">
            <w:pPr>
              <w:widowControl/>
              <w:spacing w:line="240" w:lineRule="auto"/>
              <w:ind w:firstLine="0" w:firstLineChars="0"/>
              <w:rPr>
                <w:rFonts w:hint="eastAsia" w:ascii="仿宋_GB2312" w:hAnsi="仿宋_GB2312" w:cs="仿宋_GB2312"/>
                <w:color w:val="000000"/>
                <w:kern w:val="0"/>
                <w:sz w:val="18"/>
                <w:szCs w:val="18"/>
              </w:rPr>
            </w:pPr>
            <w:r>
              <w:rPr>
                <w:rFonts w:hint="eastAsia" w:ascii="仿宋_GB2312"/>
                <w:sz w:val="18"/>
                <w:szCs w:val="18"/>
              </w:rPr>
              <w:t>内容及格式由投标人自拟，需加盖公章。</w:t>
            </w:r>
            <w:r>
              <w:rPr>
                <w:rFonts w:hint="eastAsia" w:ascii="仿宋_GB2312" w:hAnsi="仿宋_GB2312" w:cs="仿宋_GB2312"/>
                <w:color w:val="000000"/>
                <w:kern w:val="0"/>
                <w:sz w:val="18"/>
                <w:szCs w:val="18"/>
              </w:rPr>
              <w:t xml:space="preserve"> </w:t>
            </w:r>
          </w:p>
        </w:tc>
      </w:tr>
      <w:tr w14:paraId="24892F14">
        <w:tblPrEx>
          <w:tblCellMar>
            <w:top w:w="0" w:type="dxa"/>
            <w:left w:w="108" w:type="dxa"/>
            <w:bottom w:w="0" w:type="dxa"/>
            <w:right w:w="108" w:type="dxa"/>
          </w:tblCellMar>
        </w:tblPrEx>
        <w:trPr>
          <w:trHeight w:val="938" w:hRule="atLeast"/>
          <w:jc w:val="center"/>
        </w:trPr>
        <w:tc>
          <w:tcPr>
            <w:tcW w:w="424" w:type="dxa"/>
            <w:tcBorders>
              <w:top w:val="single" w:color="auto" w:sz="4" w:space="0"/>
              <w:left w:val="single" w:color="auto" w:sz="4" w:space="0"/>
              <w:bottom w:val="single" w:color="auto" w:sz="4" w:space="0"/>
              <w:right w:val="single" w:color="auto" w:sz="4" w:space="0"/>
            </w:tcBorders>
            <w:vAlign w:val="center"/>
          </w:tcPr>
          <w:p w14:paraId="7EF66E2C">
            <w:pPr>
              <w:widowControl/>
              <w:ind w:firstLine="0"/>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7</w:t>
            </w:r>
          </w:p>
        </w:tc>
        <w:tc>
          <w:tcPr>
            <w:tcW w:w="960" w:type="dxa"/>
            <w:vMerge w:val="continue"/>
            <w:tcBorders>
              <w:left w:val="single" w:color="auto" w:sz="4" w:space="0"/>
              <w:right w:val="nil"/>
            </w:tcBorders>
            <w:vAlign w:val="center"/>
          </w:tcPr>
          <w:p w14:paraId="4EED8EC9">
            <w:pPr>
              <w:widowControl/>
              <w:spacing w:line="240" w:lineRule="auto"/>
              <w:ind w:firstLine="360"/>
              <w:rPr>
                <w:rFonts w:hint="eastAsia" w:ascii="宋体" w:hAnsi="宋体" w:cs="宋体"/>
                <w:color w:val="000000"/>
                <w:kern w:val="0"/>
                <w:sz w:val="18"/>
                <w:szCs w:val="18"/>
              </w:rPr>
            </w:pPr>
          </w:p>
        </w:tc>
        <w:tc>
          <w:tcPr>
            <w:tcW w:w="1239" w:type="dxa"/>
            <w:tcBorders>
              <w:top w:val="single" w:color="auto" w:sz="4" w:space="0"/>
              <w:left w:val="single" w:color="auto" w:sz="4" w:space="0"/>
              <w:right w:val="single" w:color="auto" w:sz="4" w:space="0"/>
            </w:tcBorders>
            <w:vAlign w:val="center"/>
          </w:tcPr>
          <w:p w14:paraId="2394E310">
            <w:pPr>
              <w:pStyle w:val="60"/>
              <w:rPr>
                <w:rFonts w:hint="eastAsia" w:ascii="宋体" w:hAnsi="宋体"/>
                <w:b/>
                <w:bCs/>
                <w:sz w:val="18"/>
                <w:szCs w:val="18"/>
              </w:rPr>
            </w:pPr>
            <w:r>
              <w:rPr>
                <w:rFonts w:hint="eastAsia" w:ascii="宋体" w:hAnsi="宋体"/>
                <w:b/>
                <w:bCs/>
                <w:sz w:val="18"/>
                <w:szCs w:val="18"/>
              </w:rPr>
              <w:t>外部环境</w:t>
            </w:r>
          </w:p>
          <w:p w14:paraId="0A8B9827">
            <w:pPr>
              <w:pStyle w:val="60"/>
              <w:rPr>
                <w:rFonts w:hint="eastAsia" w:ascii="宋体" w:hAnsi="宋体"/>
                <w:b/>
                <w:bCs/>
                <w:sz w:val="18"/>
                <w:szCs w:val="18"/>
              </w:rPr>
            </w:pPr>
            <w:r>
              <w:rPr>
                <w:rFonts w:hint="eastAsia" w:ascii="宋体" w:hAnsi="宋体"/>
                <w:b/>
                <w:bCs/>
                <w:sz w:val="18"/>
                <w:szCs w:val="18"/>
              </w:rPr>
              <w:t>分析</w:t>
            </w:r>
          </w:p>
        </w:tc>
        <w:tc>
          <w:tcPr>
            <w:tcW w:w="4998" w:type="dxa"/>
            <w:tcBorders>
              <w:top w:val="single" w:color="auto" w:sz="4" w:space="0"/>
              <w:left w:val="single" w:color="auto" w:sz="4" w:space="0"/>
              <w:bottom w:val="single" w:color="auto" w:sz="4" w:space="0"/>
              <w:right w:val="single" w:color="auto" w:sz="4" w:space="0"/>
            </w:tcBorders>
            <w:vAlign w:val="center"/>
          </w:tcPr>
          <w:p w14:paraId="2858CF8F">
            <w:pPr>
              <w:spacing w:line="240" w:lineRule="auto"/>
              <w:ind w:firstLine="0" w:firstLineChars="0"/>
              <w:rPr>
                <w:rFonts w:hint="eastAsia" w:ascii="仿宋_GB2312" w:eastAsia="宋体"/>
                <w:sz w:val="18"/>
                <w:szCs w:val="18"/>
                <w:lang w:eastAsia="zh-CN"/>
              </w:rPr>
            </w:pPr>
            <w:r>
              <w:rPr>
                <w:rFonts w:hint="eastAsia" w:ascii="仿宋_GB2312"/>
                <w:sz w:val="18"/>
                <w:szCs w:val="18"/>
              </w:rPr>
              <w:t>深刻理解招标人编制“十五五”规划的发展背景，分析招标人发展面临的宏观环境、行业环境和区域环境变化带来的机遇和挑战。宏观环境包括经济范式变化、人口结构变化、消费升级、科技创新、政策导向、国企改革等；行业环境包括招标人涉及的文旅消费、数字经济等行业发展形势等；区域环境包括南沙区近年来发展形势等</w:t>
            </w:r>
            <w:r>
              <w:rPr>
                <w:rFonts w:hint="eastAsia" w:ascii="仿宋_GB2312"/>
                <w:sz w:val="18"/>
                <w:szCs w:val="18"/>
                <w:lang w:eastAsia="zh-CN"/>
              </w:rPr>
              <w:t>。</w:t>
            </w:r>
          </w:p>
        </w:tc>
        <w:tc>
          <w:tcPr>
            <w:tcW w:w="2977" w:type="dxa"/>
            <w:tcBorders>
              <w:top w:val="single" w:color="auto" w:sz="4" w:space="0"/>
              <w:left w:val="single" w:color="auto" w:sz="4" w:space="0"/>
              <w:bottom w:val="single" w:color="auto" w:sz="4" w:space="0"/>
              <w:right w:val="single" w:color="auto" w:sz="4" w:space="0"/>
            </w:tcBorders>
            <w:vAlign w:val="center"/>
          </w:tcPr>
          <w:p w14:paraId="721F6E0C">
            <w:pPr>
              <w:spacing w:line="240" w:lineRule="auto"/>
              <w:ind w:firstLine="0" w:firstLineChars="0"/>
              <w:rPr>
                <w:rFonts w:hint="eastAsia" w:ascii="仿宋_GB2312" w:hAnsi="仿宋_GB2312" w:cs="仿宋_GB2312"/>
                <w:sz w:val="18"/>
                <w:szCs w:val="18"/>
              </w:rPr>
            </w:pPr>
            <w:r>
              <w:rPr>
                <w:rFonts w:hint="eastAsia" w:ascii="仿宋_GB2312" w:hAnsi="仿宋_GB2312" w:cs="仿宋_GB2312"/>
                <w:sz w:val="18"/>
                <w:szCs w:val="18"/>
              </w:rPr>
              <w:t>分析内容完整、认识深刻、符合</w:t>
            </w:r>
            <w:r>
              <w:rPr>
                <w:rFonts w:hint="eastAsia" w:ascii="仿宋_GB2312" w:hAnsi="仿宋_GB2312" w:cs="仿宋_GB2312"/>
                <w:sz w:val="18"/>
                <w:szCs w:val="18"/>
                <w:lang w:val="en-US" w:eastAsia="zh-CN"/>
              </w:rPr>
              <w:t>招标</w:t>
            </w:r>
            <w:r>
              <w:rPr>
                <w:rFonts w:hint="eastAsia" w:ascii="仿宋_GB2312" w:hAnsi="仿宋_GB2312" w:cs="仿宋_GB2312"/>
                <w:sz w:val="18"/>
                <w:szCs w:val="18"/>
              </w:rPr>
              <w:t>人实际情况</w:t>
            </w:r>
            <w:r>
              <w:rPr>
                <w:rFonts w:hint="eastAsia" w:ascii="仿宋_GB2312" w:hAnsi="仿宋_GB2312" w:cs="仿宋_GB2312"/>
                <w:sz w:val="18"/>
                <w:szCs w:val="18"/>
                <w:lang w:eastAsia="zh-CN"/>
              </w:rPr>
              <w:t>，</w:t>
            </w:r>
            <w:r>
              <w:rPr>
                <w:rFonts w:hint="eastAsia" w:ascii="仿宋_GB2312" w:hAnsi="仿宋_GB2312" w:cs="仿宋_GB2312"/>
                <w:sz w:val="18"/>
                <w:szCs w:val="18"/>
              </w:rPr>
              <w:t>熟悉</w:t>
            </w:r>
            <w:r>
              <w:rPr>
                <w:rFonts w:hint="eastAsia" w:ascii="仿宋_GB2312" w:hAnsi="仿宋_GB2312" w:cs="仿宋_GB2312"/>
                <w:sz w:val="18"/>
                <w:szCs w:val="18"/>
                <w:lang w:val="en-US" w:eastAsia="zh-CN"/>
              </w:rPr>
              <w:t>行业和</w:t>
            </w:r>
            <w:r>
              <w:rPr>
                <w:rFonts w:hint="eastAsia" w:ascii="仿宋_GB2312" w:hAnsi="仿宋_GB2312" w:cs="仿宋_GB2312"/>
                <w:sz w:val="18"/>
                <w:szCs w:val="18"/>
              </w:rPr>
              <w:t>区域环境，得</w:t>
            </w:r>
            <w:r>
              <w:rPr>
                <w:rFonts w:hint="eastAsia" w:ascii="仿宋_GB2312" w:hAnsi="仿宋_GB2312" w:cs="仿宋_GB2312"/>
                <w:sz w:val="18"/>
                <w:szCs w:val="18"/>
                <w:lang w:val="en-US" w:eastAsia="zh-CN"/>
              </w:rPr>
              <w:t>9</w:t>
            </w:r>
            <w:r>
              <w:rPr>
                <w:rFonts w:hint="eastAsia" w:ascii="仿宋_GB2312" w:hAnsi="仿宋_GB2312" w:cs="仿宋_GB2312"/>
                <w:sz w:val="18"/>
                <w:szCs w:val="18"/>
              </w:rPr>
              <w:t>-10分；分析内容完整，对宏观、行业和区域有一定认识，得6-8分；分析内容不完整，</w:t>
            </w:r>
            <w:r>
              <w:rPr>
                <w:rFonts w:hint="eastAsia" w:ascii="仿宋_GB2312" w:hAnsi="仿宋_GB2312" w:cs="仿宋_GB2312"/>
                <w:sz w:val="18"/>
                <w:szCs w:val="18"/>
                <w:lang w:val="en-US" w:eastAsia="zh-CN"/>
              </w:rPr>
              <w:t>对</w:t>
            </w:r>
            <w:r>
              <w:rPr>
                <w:rFonts w:hint="eastAsia" w:ascii="仿宋_GB2312" w:hAnsi="仿宋_GB2312" w:cs="仿宋_GB2312"/>
                <w:sz w:val="18"/>
                <w:szCs w:val="18"/>
              </w:rPr>
              <w:t>宏观、行业和区域有一定认识，</w:t>
            </w:r>
            <w:r>
              <w:rPr>
                <w:rFonts w:hint="eastAsia" w:ascii="仿宋_GB2312" w:hAnsi="仿宋_GB2312" w:cs="仿宋_GB2312"/>
                <w:sz w:val="18"/>
                <w:szCs w:val="18"/>
                <w:lang w:val="en-US" w:eastAsia="zh-CN"/>
              </w:rPr>
              <w:t>但欠缺对招标</w:t>
            </w:r>
            <w:r>
              <w:rPr>
                <w:rFonts w:hint="eastAsia" w:ascii="仿宋_GB2312" w:hAnsi="仿宋_GB2312" w:cs="仿宋_GB2312"/>
                <w:sz w:val="18"/>
                <w:szCs w:val="18"/>
              </w:rPr>
              <w:t>人实际情况</w:t>
            </w:r>
            <w:r>
              <w:rPr>
                <w:rFonts w:hint="eastAsia" w:ascii="仿宋_GB2312" w:hAnsi="仿宋_GB2312" w:cs="仿宋_GB2312"/>
                <w:sz w:val="18"/>
                <w:szCs w:val="18"/>
                <w:lang w:val="en-US" w:eastAsia="zh-CN"/>
              </w:rPr>
              <w:t>的</w:t>
            </w:r>
            <w:r>
              <w:rPr>
                <w:rFonts w:hint="eastAsia" w:ascii="仿宋_GB2312" w:hAnsi="仿宋_GB2312" w:cs="仿宋_GB2312"/>
                <w:sz w:val="18"/>
                <w:szCs w:val="18"/>
              </w:rPr>
              <w:t>针对性，得3-5分；分析内容不完整，针对性差，得0-2分。</w:t>
            </w:r>
          </w:p>
        </w:tc>
        <w:tc>
          <w:tcPr>
            <w:tcW w:w="709" w:type="dxa"/>
            <w:tcBorders>
              <w:top w:val="single" w:color="auto" w:sz="4" w:space="0"/>
              <w:left w:val="single" w:color="auto" w:sz="4" w:space="0"/>
              <w:bottom w:val="single" w:color="auto" w:sz="4" w:space="0"/>
              <w:right w:val="single" w:color="auto" w:sz="4" w:space="0"/>
            </w:tcBorders>
            <w:vAlign w:val="center"/>
          </w:tcPr>
          <w:p w14:paraId="3ACDBF0A">
            <w:pPr>
              <w:spacing w:line="240" w:lineRule="auto"/>
              <w:ind w:firstLine="0" w:firstLineChars="0"/>
              <w:jc w:val="center"/>
              <w:rPr>
                <w:rFonts w:ascii="仿宋_GB2312"/>
                <w:sz w:val="18"/>
                <w:szCs w:val="18"/>
              </w:rPr>
            </w:pPr>
            <w:r>
              <w:rPr>
                <w:rFonts w:hint="eastAsia" w:ascii="仿宋_GB2312"/>
                <w:sz w:val="18"/>
                <w:szCs w:val="18"/>
              </w:rPr>
              <w:t>10分</w:t>
            </w:r>
          </w:p>
        </w:tc>
        <w:tc>
          <w:tcPr>
            <w:tcW w:w="4252" w:type="dxa"/>
            <w:tcBorders>
              <w:top w:val="single" w:color="auto" w:sz="4" w:space="0"/>
              <w:left w:val="single" w:color="auto" w:sz="4" w:space="0"/>
              <w:right w:val="single" w:color="auto" w:sz="4" w:space="0"/>
            </w:tcBorders>
            <w:vAlign w:val="center"/>
          </w:tcPr>
          <w:p w14:paraId="0226C611">
            <w:pPr>
              <w:spacing w:line="240" w:lineRule="auto"/>
              <w:ind w:firstLine="0" w:firstLineChars="0"/>
              <w:rPr>
                <w:rFonts w:ascii="仿宋_GB2312"/>
                <w:sz w:val="18"/>
                <w:szCs w:val="18"/>
              </w:rPr>
            </w:pPr>
            <w:r>
              <w:rPr>
                <w:rFonts w:hint="eastAsia" w:ascii="仿宋_GB2312"/>
                <w:sz w:val="18"/>
                <w:szCs w:val="18"/>
              </w:rPr>
              <w:t>内容及格式由投标人自拟，需加盖公章。</w:t>
            </w:r>
          </w:p>
        </w:tc>
      </w:tr>
      <w:tr w14:paraId="2DE7DC59">
        <w:tblPrEx>
          <w:tblCellMar>
            <w:top w:w="0" w:type="dxa"/>
            <w:left w:w="108" w:type="dxa"/>
            <w:bottom w:w="0" w:type="dxa"/>
            <w:right w:w="108" w:type="dxa"/>
          </w:tblCellMar>
        </w:tblPrEx>
        <w:trPr>
          <w:trHeight w:val="1248" w:hRule="atLeast"/>
          <w:jc w:val="center"/>
        </w:trPr>
        <w:tc>
          <w:tcPr>
            <w:tcW w:w="424" w:type="dxa"/>
            <w:tcBorders>
              <w:top w:val="single" w:color="auto" w:sz="4" w:space="0"/>
              <w:left w:val="single" w:color="auto" w:sz="4" w:space="0"/>
              <w:bottom w:val="single" w:color="auto" w:sz="4" w:space="0"/>
              <w:right w:val="single" w:color="auto" w:sz="4" w:space="0"/>
            </w:tcBorders>
            <w:vAlign w:val="center"/>
          </w:tcPr>
          <w:p w14:paraId="49754F7D">
            <w:pPr>
              <w:widowControl/>
              <w:ind w:firstLine="0"/>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8</w:t>
            </w:r>
          </w:p>
        </w:tc>
        <w:tc>
          <w:tcPr>
            <w:tcW w:w="960" w:type="dxa"/>
            <w:vMerge w:val="restart"/>
            <w:tcBorders>
              <w:left w:val="single" w:color="auto" w:sz="4" w:space="0"/>
              <w:right w:val="nil"/>
            </w:tcBorders>
            <w:vAlign w:val="center"/>
          </w:tcPr>
          <w:p w14:paraId="4F3AC7CD">
            <w:pPr>
              <w:spacing w:line="240" w:lineRule="auto"/>
              <w:ind w:firstLine="0" w:firstLineChars="0"/>
              <w:jc w:val="left"/>
              <w:rPr>
                <w:rFonts w:hint="eastAsia"/>
                <w:b/>
                <w:bCs/>
                <w:sz w:val="18"/>
                <w:szCs w:val="18"/>
              </w:rPr>
            </w:pPr>
          </w:p>
          <w:p w14:paraId="43D1FFC1">
            <w:pPr>
              <w:spacing w:line="240" w:lineRule="auto"/>
              <w:ind w:firstLine="0" w:firstLineChars="0"/>
              <w:jc w:val="left"/>
              <w:rPr>
                <w:rFonts w:hint="eastAsia"/>
                <w:b/>
                <w:bCs/>
                <w:sz w:val="18"/>
                <w:szCs w:val="18"/>
              </w:rPr>
            </w:pPr>
          </w:p>
          <w:p w14:paraId="4A696D14">
            <w:pPr>
              <w:spacing w:line="240" w:lineRule="auto"/>
              <w:ind w:firstLine="0" w:firstLineChars="0"/>
              <w:jc w:val="left"/>
              <w:rPr>
                <w:rFonts w:hint="eastAsia"/>
                <w:b/>
                <w:bCs/>
                <w:sz w:val="18"/>
                <w:szCs w:val="18"/>
              </w:rPr>
            </w:pPr>
          </w:p>
          <w:p w14:paraId="0ECC6597">
            <w:pPr>
              <w:spacing w:line="240" w:lineRule="auto"/>
              <w:ind w:firstLine="0" w:firstLineChars="0"/>
              <w:jc w:val="left"/>
              <w:rPr>
                <w:rFonts w:hint="eastAsia"/>
                <w:b/>
                <w:bCs/>
                <w:sz w:val="18"/>
                <w:szCs w:val="18"/>
              </w:rPr>
            </w:pPr>
          </w:p>
          <w:p w14:paraId="6BFD1A91">
            <w:pPr>
              <w:spacing w:line="240" w:lineRule="auto"/>
              <w:ind w:firstLine="0" w:firstLineChars="0"/>
              <w:jc w:val="left"/>
              <w:rPr>
                <w:rFonts w:hint="eastAsia"/>
                <w:b/>
                <w:bCs/>
                <w:sz w:val="18"/>
                <w:szCs w:val="18"/>
              </w:rPr>
            </w:pPr>
          </w:p>
          <w:p w14:paraId="65CB6D47">
            <w:pPr>
              <w:spacing w:line="240" w:lineRule="auto"/>
              <w:ind w:firstLine="0" w:firstLineChars="0"/>
              <w:jc w:val="left"/>
              <w:rPr>
                <w:rFonts w:hint="eastAsia"/>
                <w:b/>
                <w:bCs/>
                <w:sz w:val="18"/>
                <w:szCs w:val="18"/>
                <w:lang w:val="en-US" w:eastAsia="zh-CN"/>
              </w:rPr>
            </w:pPr>
            <w:r>
              <w:rPr>
                <w:rFonts w:hint="eastAsia"/>
                <w:b/>
                <w:bCs/>
                <w:sz w:val="18"/>
                <w:szCs w:val="18"/>
              </w:rPr>
              <w:t>技术</w:t>
            </w:r>
            <w:r>
              <w:rPr>
                <w:rFonts w:hint="eastAsia"/>
                <w:b/>
                <w:bCs/>
                <w:sz w:val="18"/>
                <w:szCs w:val="18"/>
                <w:lang w:val="en-US" w:eastAsia="zh-CN"/>
              </w:rPr>
              <w:t>能力得分</w:t>
            </w:r>
          </w:p>
          <w:p w14:paraId="7F99D83C">
            <w:pPr>
              <w:widowControl/>
              <w:spacing w:line="240" w:lineRule="auto"/>
              <w:ind w:firstLine="0"/>
              <w:rPr>
                <w:rFonts w:hint="eastAsia" w:ascii="宋体" w:hAnsi="宋体" w:cs="宋体"/>
                <w:color w:val="000000"/>
                <w:kern w:val="0"/>
                <w:sz w:val="18"/>
                <w:szCs w:val="18"/>
              </w:rPr>
            </w:pPr>
            <w:r>
              <w:rPr>
                <w:rFonts w:hint="eastAsia" w:ascii="宋体" w:hAnsi="宋体" w:cs="宋体"/>
                <w:color w:val="000000"/>
                <w:kern w:val="0"/>
                <w:sz w:val="18"/>
                <w:szCs w:val="18"/>
              </w:rPr>
              <w:t>（满分</w:t>
            </w:r>
            <w:r>
              <w:rPr>
                <w:rFonts w:hint="eastAsia" w:ascii="宋体" w:hAnsi="宋体" w:cs="宋体"/>
                <w:color w:val="000000"/>
                <w:kern w:val="0"/>
                <w:sz w:val="18"/>
                <w:szCs w:val="18"/>
                <w:lang w:val="en-US" w:eastAsia="zh-CN"/>
              </w:rPr>
              <w:t>40</w:t>
            </w:r>
            <w:r>
              <w:rPr>
                <w:rFonts w:hint="eastAsia" w:ascii="宋体" w:hAnsi="宋体" w:cs="宋体"/>
                <w:color w:val="000000"/>
                <w:kern w:val="0"/>
                <w:sz w:val="18"/>
                <w:szCs w:val="18"/>
              </w:rPr>
              <w:t>分）</w:t>
            </w:r>
          </w:p>
        </w:tc>
        <w:tc>
          <w:tcPr>
            <w:tcW w:w="1239" w:type="dxa"/>
            <w:tcBorders>
              <w:left w:val="single" w:color="auto" w:sz="4" w:space="0"/>
              <w:right w:val="single" w:color="auto" w:sz="4" w:space="0"/>
            </w:tcBorders>
            <w:vAlign w:val="center"/>
          </w:tcPr>
          <w:p w14:paraId="79AAE91E">
            <w:pPr>
              <w:pStyle w:val="60"/>
              <w:rPr>
                <w:rFonts w:hint="eastAsia" w:ascii="宋体" w:hAnsi="宋体"/>
                <w:b/>
                <w:bCs/>
                <w:sz w:val="18"/>
                <w:szCs w:val="18"/>
              </w:rPr>
            </w:pPr>
            <w:r>
              <w:rPr>
                <w:rFonts w:hint="eastAsia" w:ascii="宋体" w:hAnsi="宋体"/>
                <w:b/>
                <w:bCs/>
                <w:sz w:val="18"/>
                <w:szCs w:val="18"/>
              </w:rPr>
              <w:t>规划编制</w:t>
            </w:r>
          </w:p>
          <w:p w14:paraId="0BF2FCA1">
            <w:pPr>
              <w:pStyle w:val="60"/>
              <w:rPr>
                <w:rFonts w:hint="eastAsia" w:ascii="宋体" w:hAnsi="宋体"/>
                <w:b/>
                <w:bCs/>
                <w:sz w:val="18"/>
                <w:szCs w:val="18"/>
              </w:rPr>
            </w:pPr>
            <w:r>
              <w:rPr>
                <w:rFonts w:hint="eastAsia" w:ascii="宋体" w:hAnsi="宋体"/>
                <w:b/>
                <w:bCs/>
                <w:sz w:val="18"/>
                <w:szCs w:val="18"/>
              </w:rPr>
              <w:t>思路</w:t>
            </w:r>
          </w:p>
        </w:tc>
        <w:tc>
          <w:tcPr>
            <w:tcW w:w="4998" w:type="dxa"/>
            <w:tcBorders>
              <w:top w:val="single" w:color="auto" w:sz="4" w:space="0"/>
              <w:left w:val="single" w:color="auto" w:sz="4" w:space="0"/>
              <w:bottom w:val="single" w:color="auto" w:sz="4" w:space="0"/>
              <w:right w:val="single" w:color="auto" w:sz="4" w:space="0"/>
            </w:tcBorders>
            <w:vAlign w:val="center"/>
          </w:tcPr>
          <w:p w14:paraId="3CD11AA0">
            <w:pPr>
              <w:spacing w:line="240" w:lineRule="auto"/>
              <w:ind w:firstLine="0" w:firstLineChars="0"/>
              <w:rPr>
                <w:rFonts w:hint="eastAsia" w:ascii="仿宋_GB2312" w:eastAsia="宋体"/>
                <w:sz w:val="18"/>
                <w:szCs w:val="18"/>
                <w:lang w:eastAsia="zh-CN"/>
              </w:rPr>
            </w:pPr>
            <w:r>
              <w:rPr>
                <w:rFonts w:hint="eastAsia" w:ascii="仿宋_GB2312"/>
                <w:sz w:val="18"/>
                <w:szCs w:val="18"/>
              </w:rPr>
              <w:t>基于对招标人内外部发展环境的理解，针对招标人的规划编制需要，提出有针对性、有创新性的规划思路，主要包括顶层设计与总体战略蓝图、业务布局与业务发展思路、组织管控与集团管理、战略落地保障措施、人力资源体系系统提升等</w:t>
            </w:r>
            <w:r>
              <w:rPr>
                <w:rFonts w:hint="eastAsia" w:ascii="仿宋_GB2312"/>
                <w:sz w:val="18"/>
                <w:szCs w:val="18"/>
                <w:lang w:eastAsia="zh-CN"/>
              </w:rPr>
              <w:t>。</w:t>
            </w:r>
          </w:p>
        </w:tc>
        <w:tc>
          <w:tcPr>
            <w:tcW w:w="2977" w:type="dxa"/>
            <w:tcBorders>
              <w:top w:val="single" w:color="auto" w:sz="4" w:space="0"/>
              <w:left w:val="single" w:color="auto" w:sz="4" w:space="0"/>
              <w:bottom w:val="single" w:color="auto" w:sz="4" w:space="0"/>
              <w:right w:val="single" w:color="auto" w:sz="4" w:space="0"/>
            </w:tcBorders>
            <w:vAlign w:val="center"/>
          </w:tcPr>
          <w:p w14:paraId="7E5FDCA0">
            <w:pPr>
              <w:spacing w:line="240" w:lineRule="auto"/>
              <w:ind w:firstLine="0" w:firstLineChars="0"/>
              <w:rPr>
                <w:rFonts w:hint="eastAsia" w:ascii="仿宋_GB2312" w:hAnsi="仿宋_GB2312" w:cs="仿宋_GB2312"/>
                <w:sz w:val="18"/>
                <w:szCs w:val="18"/>
              </w:rPr>
            </w:pPr>
            <w:r>
              <w:rPr>
                <w:rFonts w:hint="eastAsia" w:ascii="仿宋_GB2312" w:hAnsi="仿宋_GB2312" w:cs="仿宋_GB2312"/>
                <w:sz w:val="18"/>
                <w:szCs w:val="18"/>
              </w:rPr>
              <w:t>编制思路</w:t>
            </w:r>
            <w:r>
              <w:rPr>
                <w:rFonts w:hint="eastAsia" w:ascii="仿宋_GB2312" w:hAnsi="仿宋_GB2312" w:cs="仿宋_GB2312"/>
                <w:sz w:val="18"/>
                <w:szCs w:val="18"/>
                <w:lang w:val="en-US" w:eastAsia="zh-CN"/>
              </w:rPr>
              <w:t>内容完整</w:t>
            </w:r>
            <w:r>
              <w:rPr>
                <w:rFonts w:hint="eastAsia" w:ascii="仿宋_GB2312" w:hAnsi="仿宋_GB2312" w:cs="仿宋_GB2312"/>
                <w:sz w:val="18"/>
                <w:szCs w:val="18"/>
              </w:rPr>
              <w:t>，有针对性、有创新性，提出的举措和思路科学合理，符合</w:t>
            </w:r>
            <w:r>
              <w:rPr>
                <w:rFonts w:hint="eastAsia" w:ascii="仿宋_GB2312" w:hAnsi="仿宋_GB2312" w:cs="仿宋_GB2312"/>
                <w:sz w:val="18"/>
                <w:szCs w:val="18"/>
                <w:lang w:val="en-US" w:eastAsia="zh-CN"/>
              </w:rPr>
              <w:t>招标</w:t>
            </w:r>
            <w:r>
              <w:rPr>
                <w:rFonts w:hint="eastAsia" w:ascii="仿宋_GB2312" w:hAnsi="仿宋_GB2312" w:cs="仿宋_GB2312"/>
                <w:sz w:val="18"/>
                <w:szCs w:val="18"/>
              </w:rPr>
              <w:t>人</w:t>
            </w:r>
            <w:r>
              <w:rPr>
                <w:rFonts w:hint="eastAsia" w:ascii="仿宋_GB2312" w:hAnsi="仿宋_GB2312" w:cs="仿宋_GB2312"/>
                <w:sz w:val="18"/>
                <w:szCs w:val="18"/>
                <w:lang w:val="en-US" w:eastAsia="zh-CN"/>
              </w:rPr>
              <w:t>发展</w:t>
            </w:r>
            <w:r>
              <w:rPr>
                <w:rFonts w:hint="eastAsia" w:ascii="仿宋_GB2312" w:hAnsi="仿宋_GB2312" w:cs="仿宋_GB2312"/>
                <w:sz w:val="18"/>
                <w:szCs w:val="18"/>
              </w:rPr>
              <w:t>需要，具备可落地执行性，得</w:t>
            </w:r>
            <w:r>
              <w:rPr>
                <w:rFonts w:hint="eastAsia" w:ascii="仿宋_GB2312" w:hAnsi="仿宋_GB2312" w:cs="仿宋_GB2312"/>
                <w:sz w:val="18"/>
                <w:szCs w:val="18"/>
                <w:lang w:val="en-US" w:eastAsia="zh-CN"/>
              </w:rPr>
              <w:t>9</w:t>
            </w:r>
            <w:r>
              <w:rPr>
                <w:rFonts w:hint="eastAsia" w:ascii="仿宋_GB2312" w:hAnsi="仿宋_GB2312" w:cs="仿宋_GB2312"/>
                <w:sz w:val="18"/>
                <w:szCs w:val="18"/>
              </w:rPr>
              <w:t>-10分；编制思路</w:t>
            </w:r>
            <w:r>
              <w:rPr>
                <w:rFonts w:hint="eastAsia" w:ascii="仿宋_GB2312" w:hAnsi="仿宋_GB2312" w:cs="仿宋_GB2312"/>
                <w:sz w:val="18"/>
                <w:szCs w:val="18"/>
                <w:lang w:val="en-US" w:eastAsia="zh-CN"/>
              </w:rPr>
              <w:t>内容完整</w:t>
            </w:r>
            <w:r>
              <w:rPr>
                <w:rFonts w:hint="eastAsia" w:ascii="仿宋_GB2312" w:hAnsi="仿宋_GB2312" w:cs="仿宋_GB2312"/>
                <w:sz w:val="18"/>
                <w:szCs w:val="18"/>
              </w:rPr>
              <w:t>，有一定的创新性和针对性，基本满足</w:t>
            </w:r>
            <w:r>
              <w:rPr>
                <w:rFonts w:hint="eastAsia" w:ascii="仿宋_GB2312" w:hAnsi="仿宋_GB2312" w:cs="仿宋_GB2312"/>
                <w:sz w:val="18"/>
                <w:szCs w:val="18"/>
                <w:lang w:val="en-US" w:eastAsia="zh-CN"/>
              </w:rPr>
              <w:t>招标</w:t>
            </w:r>
            <w:r>
              <w:rPr>
                <w:rFonts w:hint="eastAsia" w:ascii="仿宋_GB2312" w:hAnsi="仿宋_GB2312" w:cs="仿宋_GB2312"/>
                <w:sz w:val="18"/>
                <w:szCs w:val="18"/>
              </w:rPr>
              <w:t>人发展需要，得6-8分</w:t>
            </w:r>
            <w:r>
              <w:rPr>
                <w:rFonts w:hint="eastAsia" w:ascii="仿宋_GB2312" w:hAnsi="仿宋_GB2312" w:cs="仿宋_GB2312"/>
                <w:sz w:val="18"/>
                <w:szCs w:val="18"/>
                <w:lang w:eastAsia="zh-CN"/>
              </w:rPr>
              <w:t>；</w:t>
            </w:r>
            <w:r>
              <w:rPr>
                <w:rFonts w:hint="eastAsia" w:ascii="仿宋_GB2312" w:hAnsi="仿宋_GB2312" w:cs="仿宋_GB2312"/>
                <w:sz w:val="18"/>
                <w:szCs w:val="18"/>
              </w:rPr>
              <w:t>编制思路包含多数内容，创新性和针对性一般，与</w:t>
            </w:r>
            <w:r>
              <w:rPr>
                <w:rFonts w:hint="eastAsia" w:ascii="仿宋_GB2312" w:hAnsi="仿宋_GB2312" w:cs="仿宋_GB2312"/>
                <w:sz w:val="18"/>
                <w:szCs w:val="18"/>
                <w:lang w:val="en-US" w:eastAsia="zh-CN"/>
              </w:rPr>
              <w:t>招标</w:t>
            </w:r>
            <w:r>
              <w:rPr>
                <w:rFonts w:hint="eastAsia" w:ascii="仿宋_GB2312" w:hAnsi="仿宋_GB2312" w:cs="仿宋_GB2312"/>
                <w:sz w:val="18"/>
                <w:szCs w:val="18"/>
              </w:rPr>
              <w:t>人实际情况有所偏离，得3-5分；编制思路内容偏离较多，创新性和针对性较差，得0-2分。</w:t>
            </w:r>
          </w:p>
        </w:tc>
        <w:tc>
          <w:tcPr>
            <w:tcW w:w="709" w:type="dxa"/>
            <w:tcBorders>
              <w:top w:val="single" w:color="auto" w:sz="4" w:space="0"/>
              <w:left w:val="single" w:color="auto" w:sz="4" w:space="0"/>
              <w:bottom w:val="single" w:color="auto" w:sz="4" w:space="0"/>
              <w:right w:val="single" w:color="auto" w:sz="4" w:space="0"/>
            </w:tcBorders>
            <w:vAlign w:val="center"/>
          </w:tcPr>
          <w:p w14:paraId="3EA34497">
            <w:pPr>
              <w:spacing w:line="240" w:lineRule="auto"/>
              <w:ind w:firstLine="0" w:firstLineChars="0"/>
              <w:jc w:val="center"/>
              <w:rPr>
                <w:rFonts w:hint="default" w:ascii="仿宋_GB2312" w:eastAsia="宋体"/>
                <w:sz w:val="18"/>
                <w:szCs w:val="18"/>
                <w:lang w:val="en-US" w:eastAsia="zh-CN"/>
              </w:rPr>
            </w:pPr>
            <w:r>
              <w:rPr>
                <w:rFonts w:hint="eastAsia" w:ascii="仿宋_GB2312"/>
                <w:sz w:val="18"/>
                <w:szCs w:val="18"/>
                <w:lang w:val="en-US" w:eastAsia="zh-CN"/>
              </w:rPr>
              <w:t>10分</w:t>
            </w:r>
          </w:p>
        </w:tc>
        <w:tc>
          <w:tcPr>
            <w:tcW w:w="4252" w:type="dxa"/>
            <w:tcBorders>
              <w:top w:val="single" w:color="auto" w:sz="4" w:space="0"/>
              <w:left w:val="single" w:color="auto" w:sz="4" w:space="0"/>
              <w:right w:val="single" w:color="auto" w:sz="4" w:space="0"/>
            </w:tcBorders>
            <w:vAlign w:val="center"/>
          </w:tcPr>
          <w:p w14:paraId="1AC63042">
            <w:pPr>
              <w:spacing w:line="240" w:lineRule="auto"/>
              <w:ind w:firstLine="0" w:firstLineChars="0"/>
              <w:rPr>
                <w:rFonts w:hint="eastAsia" w:ascii="仿宋_GB2312"/>
                <w:sz w:val="18"/>
                <w:szCs w:val="18"/>
              </w:rPr>
            </w:pPr>
            <w:r>
              <w:rPr>
                <w:rFonts w:hint="eastAsia" w:ascii="仿宋_GB2312"/>
                <w:sz w:val="18"/>
                <w:szCs w:val="18"/>
              </w:rPr>
              <w:t>内容及格式由投标人自拟，需加盖公章。</w:t>
            </w:r>
          </w:p>
        </w:tc>
      </w:tr>
      <w:tr w14:paraId="3EB88BE5">
        <w:tblPrEx>
          <w:tblCellMar>
            <w:top w:w="0" w:type="dxa"/>
            <w:left w:w="108" w:type="dxa"/>
            <w:bottom w:w="0" w:type="dxa"/>
            <w:right w:w="108" w:type="dxa"/>
          </w:tblCellMar>
        </w:tblPrEx>
        <w:trPr>
          <w:trHeight w:val="1248" w:hRule="atLeast"/>
          <w:jc w:val="center"/>
        </w:trPr>
        <w:tc>
          <w:tcPr>
            <w:tcW w:w="424" w:type="dxa"/>
            <w:tcBorders>
              <w:top w:val="single" w:color="auto" w:sz="4" w:space="0"/>
              <w:left w:val="single" w:color="auto" w:sz="4" w:space="0"/>
              <w:bottom w:val="single" w:color="auto" w:sz="4" w:space="0"/>
              <w:right w:val="single" w:color="auto" w:sz="4" w:space="0"/>
            </w:tcBorders>
            <w:vAlign w:val="center"/>
          </w:tcPr>
          <w:p w14:paraId="5331D04F">
            <w:pPr>
              <w:widowControl/>
              <w:ind w:firstLine="0"/>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9</w:t>
            </w:r>
          </w:p>
        </w:tc>
        <w:tc>
          <w:tcPr>
            <w:tcW w:w="960" w:type="dxa"/>
            <w:vMerge w:val="continue"/>
            <w:tcBorders>
              <w:left w:val="single" w:color="auto" w:sz="4" w:space="0"/>
              <w:right w:val="nil"/>
            </w:tcBorders>
            <w:vAlign w:val="center"/>
          </w:tcPr>
          <w:p w14:paraId="4AFF2363">
            <w:pPr>
              <w:widowControl/>
              <w:spacing w:line="240" w:lineRule="auto"/>
              <w:ind w:firstLine="360"/>
              <w:rPr>
                <w:rFonts w:hint="eastAsia" w:ascii="宋体" w:hAnsi="宋体" w:cs="宋体"/>
                <w:color w:val="000000"/>
                <w:kern w:val="0"/>
                <w:sz w:val="18"/>
                <w:szCs w:val="18"/>
              </w:rPr>
            </w:pPr>
          </w:p>
        </w:tc>
        <w:tc>
          <w:tcPr>
            <w:tcW w:w="1239" w:type="dxa"/>
            <w:tcBorders>
              <w:left w:val="single" w:color="auto" w:sz="4" w:space="0"/>
              <w:right w:val="single" w:color="auto" w:sz="4" w:space="0"/>
            </w:tcBorders>
            <w:vAlign w:val="center"/>
          </w:tcPr>
          <w:p w14:paraId="46994332">
            <w:pPr>
              <w:pStyle w:val="60"/>
              <w:rPr>
                <w:rFonts w:hint="eastAsia" w:ascii="宋体" w:hAnsi="宋体"/>
                <w:b/>
                <w:bCs/>
                <w:sz w:val="18"/>
                <w:szCs w:val="18"/>
              </w:rPr>
            </w:pPr>
            <w:r>
              <w:rPr>
                <w:rFonts w:hint="eastAsia" w:ascii="宋体" w:hAnsi="宋体"/>
                <w:b/>
                <w:bCs/>
                <w:sz w:val="18"/>
                <w:szCs w:val="18"/>
              </w:rPr>
              <w:t>服务方案</w:t>
            </w:r>
          </w:p>
        </w:tc>
        <w:tc>
          <w:tcPr>
            <w:tcW w:w="4998" w:type="dxa"/>
            <w:tcBorders>
              <w:top w:val="single" w:color="auto" w:sz="4" w:space="0"/>
              <w:left w:val="single" w:color="auto" w:sz="4" w:space="0"/>
              <w:bottom w:val="single" w:color="auto" w:sz="4" w:space="0"/>
              <w:right w:val="single" w:color="auto" w:sz="4" w:space="0"/>
            </w:tcBorders>
            <w:vAlign w:val="center"/>
          </w:tcPr>
          <w:p w14:paraId="24F49CA5">
            <w:pPr>
              <w:spacing w:line="240" w:lineRule="auto"/>
              <w:ind w:firstLine="0" w:firstLineChars="0"/>
              <w:rPr>
                <w:rFonts w:hint="eastAsia" w:ascii="仿宋_GB2312" w:eastAsia="宋体"/>
                <w:sz w:val="18"/>
                <w:szCs w:val="18"/>
                <w:lang w:eastAsia="zh-CN"/>
              </w:rPr>
            </w:pPr>
            <w:r>
              <w:rPr>
                <w:rFonts w:hint="eastAsia" w:ascii="仿宋_GB2312"/>
                <w:sz w:val="18"/>
                <w:szCs w:val="18"/>
              </w:rPr>
              <w:t>基于招标人服务需求和投标人提出的规划编制思路，提出有针对性</w:t>
            </w:r>
            <w:r>
              <w:rPr>
                <w:rFonts w:hint="eastAsia" w:ascii="仿宋_GB2312"/>
                <w:sz w:val="18"/>
                <w:szCs w:val="18"/>
                <w:lang w:val="en-US" w:eastAsia="zh-CN"/>
              </w:rPr>
              <w:t>及</w:t>
            </w:r>
            <w:r>
              <w:rPr>
                <w:rFonts w:hint="eastAsia" w:ascii="仿宋_GB2312"/>
                <w:sz w:val="18"/>
                <w:szCs w:val="18"/>
              </w:rPr>
              <w:t>可操作性的规划服务方案</w:t>
            </w:r>
            <w:r>
              <w:rPr>
                <w:rFonts w:hint="eastAsia" w:ascii="仿宋_GB2312"/>
                <w:sz w:val="18"/>
                <w:szCs w:val="18"/>
                <w:lang w:eastAsia="zh-CN"/>
              </w:rPr>
              <w:t>。</w:t>
            </w:r>
          </w:p>
        </w:tc>
        <w:tc>
          <w:tcPr>
            <w:tcW w:w="2977" w:type="dxa"/>
            <w:tcBorders>
              <w:top w:val="single" w:color="auto" w:sz="4" w:space="0"/>
              <w:left w:val="single" w:color="auto" w:sz="4" w:space="0"/>
              <w:bottom w:val="single" w:color="auto" w:sz="4" w:space="0"/>
              <w:right w:val="single" w:color="auto" w:sz="4" w:space="0"/>
            </w:tcBorders>
            <w:vAlign w:val="center"/>
          </w:tcPr>
          <w:p w14:paraId="547EA127">
            <w:pPr>
              <w:spacing w:line="240" w:lineRule="auto"/>
              <w:ind w:firstLine="0" w:firstLineChars="0"/>
              <w:rPr>
                <w:rFonts w:hint="eastAsia" w:ascii="仿宋_GB2312" w:hAnsi="仿宋_GB2312" w:eastAsia="宋体" w:cs="仿宋_GB2312"/>
                <w:sz w:val="18"/>
                <w:szCs w:val="18"/>
                <w:lang w:eastAsia="zh-CN"/>
              </w:rPr>
            </w:pPr>
            <w:r>
              <w:rPr>
                <w:rFonts w:hint="eastAsia" w:ascii="仿宋_GB2312" w:hAnsi="仿宋_GB2312" w:cs="仿宋_GB2312"/>
                <w:sz w:val="18"/>
                <w:szCs w:val="18"/>
              </w:rPr>
              <w:t>有清晰、科学、合理的工作方法，</w:t>
            </w:r>
            <w:r>
              <w:rPr>
                <w:rFonts w:hint="eastAsia" w:ascii="仿宋_GB2312" w:hAnsi="仿宋_GB2312" w:cs="仿宋_GB2312"/>
                <w:sz w:val="18"/>
                <w:szCs w:val="18"/>
                <w:lang w:val="en-US" w:eastAsia="zh-CN"/>
              </w:rPr>
              <w:t>能保障规划编制</w:t>
            </w:r>
            <w:r>
              <w:rPr>
                <w:rFonts w:hint="eastAsia" w:ascii="仿宋_GB2312" w:hAnsi="仿宋_GB2312" w:cs="仿宋_GB2312"/>
                <w:sz w:val="18"/>
                <w:szCs w:val="18"/>
              </w:rPr>
              <w:t>落地执行，</w:t>
            </w:r>
            <w:r>
              <w:rPr>
                <w:rFonts w:hint="eastAsia" w:ascii="仿宋_GB2312" w:hAnsi="仿宋_GB2312" w:cs="仿宋_GB2312"/>
                <w:sz w:val="18"/>
                <w:szCs w:val="18"/>
                <w:lang w:val="en-US" w:eastAsia="zh-CN"/>
              </w:rPr>
              <w:t>有</w:t>
            </w:r>
            <w:r>
              <w:rPr>
                <w:rFonts w:hint="eastAsia" w:ascii="仿宋_GB2312" w:hAnsi="仿宋_GB2312" w:cs="仿宋_GB2312"/>
                <w:sz w:val="18"/>
                <w:szCs w:val="18"/>
              </w:rPr>
              <w:t>充足的资源导入，得</w:t>
            </w:r>
            <w:r>
              <w:rPr>
                <w:rFonts w:hint="eastAsia" w:ascii="仿宋_GB2312" w:hAnsi="仿宋_GB2312" w:cs="仿宋_GB2312"/>
                <w:sz w:val="18"/>
                <w:szCs w:val="18"/>
                <w:lang w:val="en-US" w:eastAsia="zh-CN"/>
              </w:rPr>
              <w:t>4</w:t>
            </w:r>
            <w:r>
              <w:rPr>
                <w:rFonts w:hint="eastAsia" w:ascii="仿宋_GB2312" w:hAnsi="仿宋_GB2312" w:cs="仿宋_GB2312"/>
                <w:sz w:val="18"/>
                <w:szCs w:val="18"/>
              </w:rPr>
              <w:t>-</w:t>
            </w:r>
            <w:r>
              <w:rPr>
                <w:rFonts w:hint="eastAsia" w:ascii="仿宋_GB2312" w:hAnsi="仿宋_GB2312" w:cs="仿宋_GB2312"/>
                <w:sz w:val="18"/>
                <w:szCs w:val="18"/>
                <w:lang w:val="en-US" w:eastAsia="zh-CN"/>
              </w:rPr>
              <w:t>5</w:t>
            </w:r>
            <w:r>
              <w:rPr>
                <w:rFonts w:hint="eastAsia" w:ascii="仿宋_GB2312" w:hAnsi="仿宋_GB2312" w:cs="仿宋_GB2312"/>
                <w:sz w:val="18"/>
                <w:szCs w:val="18"/>
              </w:rPr>
              <w:t>分；工作方法不清晰，能</w:t>
            </w:r>
            <w:r>
              <w:rPr>
                <w:rFonts w:hint="eastAsia" w:ascii="仿宋_GB2312" w:hAnsi="仿宋_GB2312" w:cs="仿宋_GB2312"/>
                <w:sz w:val="18"/>
                <w:szCs w:val="18"/>
                <w:lang w:val="en-US" w:eastAsia="zh-CN"/>
              </w:rPr>
              <w:t>基本</w:t>
            </w:r>
            <w:r>
              <w:rPr>
                <w:rFonts w:hint="eastAsia" w:ascii="仿宋_GB2312" w:hAnsi="仿宋_GB2312" w:cs="仿宋_GB2312"/>
                <w:sz w:val="18"/>
                <w:szCs w:val="18"/>
              </w:rPr>
              <w:t>保障规划编制落地，资源导入能力</w:t>
            </w:r>
            <w:r>
              <w:rPr>
                <w:rFonts w:hint="eastAsia" w:ascii="仿宋_GB2312" w:hAnsi="仿宋_GB2312" w:cs="仿宋_GB2312"/>
                <w:sz w:val="18"/>
                <w:szCs w:val="18"/>
                <w:lang w:val="en-US" w:eastAsia="zh-CN"/>
              </w:rPr>
              <w:t>较</w:t>
            </w:r>
            <w:r>
              <w:rPr>
                <w:rFonts w:hint="eastAsia" w:ascii="仿宋_GB2312" w:hAnsi="仿宋_GB2312" w:cs="仿宋_GB2312"/>
                <w:sz w:val="18"/>
                <w:szCs w:val="18"/>
              </w:rPr>
              <w:t>弱，得2-</w:t>
            </w:r>
            <w:r>
              <w:rPr>
                <w:rFonts w:hint="eastAsia" w:ascii="仿宋_GB2312" w:hAnsi="仿宋_GB2312" w:cs="仿宋_GB2312"/>
                <w:sz w:val="18"/>
                <w:szCs w:val="18"/>
                <w:lang w:val="en-US" w:eastAsia="zh-CN"/>
              </w:rPr>
              <w:t>3</w:t>
            </w:r>
            <w:r>
              <w:rPr>
                <w:rFonts w:hint="eastAsia" w:ascii="仿宋_GB2312" w:hAnsi="仿宋_GB2312" w:cs="仿宋_GB2312"/>
                <w:sz w:val="18"/>
                <w:szCs w:val="18"/>
              </w:rPr>
              <w:t>分；服务方案操作性、可实现性</w:t>
            </w:r>
            <w:r>
              <w:rPr>
                <w:rFonts w:hint="eastAsia" w:ascii="仿宋_GB2312" w:hAnsi="仿宋_GB2312" w:cs="仿宋_GB2312"/>
                <w:sz w:val="18"/>
                <w:szCs w:val="18"/>
                <w:lang w:val="en-US" w:eastAsia="zh-CN"/>
              </w:rPr>
              <w:t>较差</w:t>
            </w:r>
            <w:r>
              <w:rPr>
                <w:rFonts w:hint="eastAsia" w:ascii="仿宋_GB2312" w:hAnsi="仿宋_GB2312" w:cs="仿宋_GB2312"/>
                <w:sz w:val="18"/>
                <w:szCs w:val="18"/>
              </w:rPr>
              <w:t>，</w:t>
            </w:r>
            <w:r>
              <w:rPr>
                <w:rFonts w:hint="eastAsia" w:ascii="仿宋_GB2312" w:hAnsi="仿宋_GB2312" w:cs="仿宋_GB2312"/>
                <w:sz w:val="18"/>
                <w:szCs w:val="18"/>
                <w:lang w:val="en-US" w:eastAsia="zh-CN"/>
              </w:rPr>
              <w:t>难以</w:t>
            </w:r>
            <w:r>
              <w:rPr>
                <w:rFonts w:hint="eastAsia" w:ascii="仿宋_GB2312" w:hAnsi="仿宋_GB2312" w:cs="仿宋_GB2312"/>
                <w:sz w:val="18"/>
                <w:szCs w:val="18"/>
              </w:rPr>
              <w:t>保障规划编制落地，得0-1分</w:t>
            </w:r>
            <w:r>
              <w:rPr>
                <w:rFonts w:hint="eastAsia" w:ascii="仿宋_GB2312" w:hAnsi="仿宋_GB2312" w:cs="仿宋_GB2312"/>
                <w:sz w:val="18"/>
                <w:szCs w:val="18"/>
                <w:lang w:eastAsia="zh-CN"/>
              </w:rPr>
              <w:t>。</w:t>
            </w:r>
          </w:p>
        </w:tc>
        <w:tc>
          <w:tcPr>
            <w:tcW w:w="709" w:type="dxa"/>
            <w:tcBorders>
              <w:top w:val="single" w:color="auto" w:sz="4" w:space="0"/>
              <w:left w:val="single" w:color="auto" w:sz="4" w:space="0"/>
              <w:bottom w:val="single" w:color="auto" w:sz="4" w:space="0"/>
              <w:right w:val="single" w:color="auto" w:sz="4" w:space="0"/>
            </w:tcBorders>
            <w:vAlign w:val="center"/>
          </w:tcPr>
          <w:p w14:paraId="27EDD8CD">
            <w:pPr>
              <w:spacing w:line="240" w:lineRule="auto"/>
              <w:ind w:firstLine="0" w:firstLineChars="0"/>
              <w:jc w:val="center"/>
              <w:rPr>
                <w:rFonts w:hint="eastAsia" w:ascii="仿宋_GB2312"/>
                <w:sz w:val="18"/>
                <w:szCs w:val="18"/>
                <w:lang w:val="en-US" w:eastAsia="zh-CN"/>
              </w:rPr>
            </w:pPr>
            <w:r>
              <w:rPr>
                <w:rFonts w:hint="eastAsia" w:ascii="仿宋_GB2312"/>
                <w:sz w:val="18"/>
                <w:szCs w:val="18"/>
                <w:lang w:val="en-US" w:eastAsia="zh-CN"/>
              </w:rPr>
              <w:t>5分</w:t>
            </w:r>
          </w:p>
        </w:tc>
        <w:tc>
          <w:tcPr>
            <w:tcW w:w="4252" w:type="dxa"/>
            <w:tcBorders>
              <w:top w:val="single" w:color="auto" w:sz="4" w:space="0"/>
              <w:left w:val="single" w:color="auto" w:sz="4" w:space="0"/>
              <w:right w:val="single" w:color="auto" w:sz="4" w:space="0"/>
            </w:tcBorders>
            <w:vAlign w:val="center"/>
          </w:tcPr>
          <w:p w14:paraId="15F6FC80">
            <w:pPr>
              <w:spacing w:line="240" w:lineRule="auto"/>
              <w:ind w:firstLine="0" w:firstLineChars="0"/>
              <w:rPr>
                <w:rFonts w:hint="eastAsia" w:ascii="仿宋_GB2312"/>
                <w:sz w:val="18"/>
                <w:szCs w:val="18"/>
              </w:rPr>
            </w:pPr>
            <w:r>
              <w:rPr>
                <w:rFonts w:hint="eastAsia" w:ascii="仿宋_GB2312"/>
                <w:sz w:val="18"/>
                <w:szCs w:val="18"/>
              </w:rPr>
              <w:t>内容及格式由投标人自拟，需加盖公章。</w:t>
            </w:r>
          </w:p>
        </w:tc>
      </w:tr>
      <w:tr w14:paraId="61C1CFF2">
        <w:tblPrEx>
          <w:tblCellMar>
            <w:top w:w="0" w:type="dxa"/>
            <w:left w:w="108" w:type="dxa"/>
            <w:bottom w:w="0" w:type="dxa"/>
            <w:right w:w="108" w:type="dxa"/>
          </w:tblCellMar>
        </w:tblPrEx>
        <w:trPr>
          <w:trHeight w:val="1157" w:hRule="atLeast"/>
          <w:jc w:val="center"/>
        </w:trPr>
        <w:tc>
          <w:tcPr>
            <w:tcW w:w="424" w:type="dxa"/>
            <w:tcBorders>
              <w:top w:val="nil"/>
              <w:left w:val="single" w:color="auto" w:sz="4" w:space="0"/>
              <w:bottom w:val="single" w:color="auto" w:sz="4" w:space="0"/>
              <w:right w:val="single" w:color="auto" w:sz="4" w:space="0"/>
            </w:tcBorders>
            <w:shd w:val="clear" w:color="auto" w:fill="auto"/>
            <w:vAlign w:val="center"/>
          </w:tcPr>
          <w:p w14:paraId="6311289D">
            <w:pPr>
              <w:widowControl/>
              <w:ind w:firstLine="0" w:firstLineChars="0"/>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10</w:t>
            </w:r>
          </w:p>
        </w:tc>
        <w:tc>
          <w:tcPr>
            <w:tcW w:w="960" w:type="dxa"/>
            <w:tcBorders>
              <w:top w:val="nil"/>
              <w:left w:val="single" w:color="000000" w:sz="4" w:space="0"/>
              <w:bottom w:val="single" w:color="auto" w:sz="4" w:space="0"/>
              <w:right w:val="nil"/>
            </w:tcBorders>
            <w:shd w:val="clear" w:color="auto" w:fill="auto"/>
            <w:vAlign w:val="center"/>
          </w:tcPr>
          <w:p w14:paraId="2A1EA473">
            <w:pPr>
              <w:widowControl/>
              <w:spacing w:line="240" w:lineRule="auto"/>
              <w:ind w:firstLine="0" w:firstLineChars="0"/>
              <w:rPr>
                <w:rFonts w:hint="eastAsia" w:ascii="宋体" w:hAnsi="宋体" w:eastAsia="宋体" w:cs="宋体"/>
                <w:color w:val="000000"/>
                <w:kern w:val="0"/>
                <w:sz w:val="18"/>
                <w:szCs w:val="18"/>
                <w:lang w:val="en-US" w:eastAsia="zh-CN" w:bidi="ar-SA"/>
              </w:rPr>
            </w:pPr>
            <w:r>
              <w:rPr>
                <w:rFonts w:hint="eastAsia" w:ascii="宋体" w:hAnsi="宋体" w:cs="宋体"/>
                <w:b/>
                <w:bCs/>
                <w:color w:val="000000"/>
                <w:kern w:val="0"/>
                <w:sz w:val="18"/>
                <w:szCs w:val="18"/>
              </w:rPr>
              <w:t>报价得分</w:t>
            </w:r>
            <w:r>
              <w:rPr>
                <w:rFonts w:hint="eastAsia" w:ascii="宋体" w:hAnsi="宋体" w:cs="宋体"/>
                <w:color w:val="000000"/>
                <w:kern w:val="0"/>
                <w:sz w:val="18"/>
                <w:szCs w:val="18"/>
              </w:rPr>
              <w:t>（满分</w:t>
            </w:r>
            <w:r>
              <w:rPr>
                <w:rFonts w:hint="eastAsia" w:ascii="宋体" w:hAnsi="宋体" w:cs="宋体"/>
                <w:color w:val="auto"/>
                <w:kern w:val="0"/>
                <w:sz w:val="18"/>
                <w:szCs w:val="18"/>
                <w:lang w:val="en-US" w:eastAsia="zh-CN"/>
              </w:rPr>
              <w:t>30</w:t>
            </w:r>
            <w:r>
              <w:rPr>
                <w:rFonts w:hint="eastAsia" w:ascii="宋体" w:hAnsi="宋体" w:cs="宋体"/>
                <w:color w:val="000000"/>
                <w:kern w:val="0"/>
                <w:sz w:val="18"/>
                <w:szCs w:val="18"/>
              </w:rPr>
              <w:t>分）</w:t>
            </w:r>
          </w:p>
        </w:tc>
        <w:tc>
          <w:tcPr>
            <w:tcW w:w="92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1D31E61">
            <w:pPr>
              <w:widowControl/>
              <w:jc w:val="left"/>
              <w:rPr>
                <w:rFonts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1.评标基准价的计算：</w:t>
            </w:r>
          </w:p>
          <w:p w14:paraId="4AD0BED1">
            <w:pPr>
              <w:widowControl/>
              <w:jc w:val="left"/>
              <w:rPr>
                <w:rFonts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以投标人中的最低报价作为评标基准价，最低报价即得满分。</w:t>
            </w:r>
          </w:p>
          <w:p w14:paraId="594CACC7">
            <w:pPr>
              <w:widowControl/>
              <w:jc w:val="left"/>
              <w:rPr>
                <w:rFonts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2.评标价得分计算公式：</w:t>
            </w:r>
          </w:p>
          <w:p w14:paraId="4DCB209D">
            <w:pPr>
              <w:widowControl/>
              <w:spacing w:line="240" w:lineRule="auto"/>
              <w:ind w:firstLine="0" w:firstLineChars="0"/>
              <w:rPr>
                <w:rFonts w:hint="eastAsia" w:ascii="仿宋_GB2312" w:hAnsi="仿宋_GB2312" w:eastAsia="仿宋_GB2312" w:cs="仿宋_GB2312"/>
                <w:kern w:val="0"/>
                <w:sz w:val="18"/>
                <w:szCs w:val="18"/>
                <w:lang w:val="en-US" w:eastAsia="zh-CN" w:bidi="ar-SA"/>
              </w:rPr>
            </w:pPr>
            <w:r>
              <w:rPr>
                <w:rFonts w:hint="eastAsia" w:ascii="仿宋_GB2312" w:hAnsi="仿宋_GB2312" w:eastAsia="仿宋_GB2312" w:cs="仿宋_GB2312"/>
                <w:kern w:val="0"/>
                <w:sz w:val="18"/>
                <w:szCs w:val="18"/>
                <w:highlight w:val="none"/>
              </w:rPr>
              <w:t>报价得分＝</w:t>
            </w:r>
            <w:r>
              <w:rPr>
                <w:rFonts w:hint="eastAsia" w:ascii="仿宋_GB2312" w:hAnsi="仿宋_GB2312" w:eastAsia="仿宋_GB2312" w:cs="仿宋_GB2312"/>
                <w:kern w:val="0"/>
                <w:sz w:val="18"/>
                <w:szCs w:val="18"/>
                <w:highlight w:val="none"/>
                <w:lang w:val="en-US" w:eastAsia="zh-CN"/>
              </w:rPr>
              <w:t>3</w:t>
            </w:r>
            <w:r>
              <w:rPr>
                <w:rFonts w:hint="eastAsia" w:ascii="仿宋_GB2312" w:hAnsi="仿宋_GB2312" w:eastAsia="仿宋_GB2312" w:cs="仿宋_GB2312"/>
                <w:kern w:val="0"/>
                <w:sz w:val="18"/>
                <w:szCs w:val="18"/>
                <w:highlight w:val="none"/>
              </w:rPr>
              <w:t>0－</w:t>
            </w:r>
            <w:r>
              <w:rPr>
                <w:rFonts w:hint="eastAsia" w:ascii="仿宋_GB2312" w:hAnsi="仿宋_GB2312" w:eastAsia="仿宋_GB2312" w:cs="仿宋_GB2312"/>
                <w:kern w:val="0"/>
                <w:sz w:val="18"/>
                <w:szCs w:val="18"/>
                <w:highlight w:val="none"/>
                <w:lang w:val="en-US" w:eastAsia="zh-CN"/>
              </w:rPr>
              <w:t>0.3*</w:t>
            </w:r>
            <w:r>
              <w:rPr>
                <w:rFonts w:hint="eastAsia" w:ascii="仿宋_GB2312" w:hAnsi="仿宋_GB2312" w:eastAsia="仿宋_GB2312" w:cs="仿宋_GB2312"/>
                <w:kern w:val="0"/>
                <w:sz w:val="18"/>
                <w:szCs w:val="18"/>
                <w:highlight w:val="none"/>
              </w:rPr>
              <w:t>100*|（投标人报价－评标基准价）|/评标基准价（即与基准价每偏差1%扣</w:t>
            </w:r>
            <w:r>
              <w:rPr>
                <w:rFonts w:hint="eastAsia" w:ascii="仿宋_GB2312" w:hAnsi="仿宋_GB2312" w:eastAsia="仿宋_GB2312" w:cs="仿宋_GB2312"/>
                <w:kern w:val="0"/>
                <w:sz w:val="18"/>
                <w:szCs w:val="18"/>
                <w:highlight w:val="none"/>
                <w:lang w:val="en-US" w:eastAsia="zh-CN"/>
              </w:rPr>
              <w:t>0.3</w:t>
            </w:r>
            <w:r>
              <w:rPr>
                <w:rFonts w:hint="eastAsia" w:ascii="仿宋_GB2312" w:hAnsi="仿宋_GB2312" w:eastAsia="仿宋_GB2312" w:cs="仿宋_GB2312"/>
                <w:kern w:val="0"/>
                <w:sz w:val="18"/>
                <w:szCs w:val="18"/>
                <w:highlight w:val="none"/>
              </w:rPr>
              <w:t>分）</w:t>
            </w:r>
          </w:p>
        </w:tc>
        <w:tc>
          <w:tcPr>
            <w:tcW w:w="709" w:type="dxa"/>
            <w:tcBorders>
              <w:top w:val="single" w:color="auto" w:sz="4" w:space="0"/>
              <w:left w:val="nil"/>
              <w:bottom w:val="single" w:color="auto" w:sz="4" w:space="0"/>
              <w:right w:val="nil"/>
            </w:tcBorders>
            <w:shd w:val="clear" w:color="auto" w:fill="auto"/>
            <w:vAlign w:val="center"/>
          </w:tcPr>
          <w:p w14:paraId="7ACC4A99">
            <w:pPr>
              <w:spacing w:line="240" w:lineRule="auto"/>
              <w:ind w:firstLine="0" w:firstLineChars="0"/>
              <w:jc w:val="center"/>
              <w:rPr>
                <w:rFonts w:hint="eastAsia" w:ascii="仿宋_GB2312" w:hAnsi="仿宋_GB2312" w:eastAsia="宋体" w:cs="仿宋_GB2312"/>
                <w:color w:val="000000"/>
                <w:kern w:val="0"/>
                <w:sz w:val="18"/>
                <w:szCs w:val="18"/>
                <w:lang w:val="en-US" w:eastAsia="zh-CN" w:bidi="ar-SA"/>
              </w:rPr>
            </w:pPr>
            <w:r>
              <w:rPr>
                <w:rFonts w:hint="eastAsia" w:ascii="仿宋_GB2312" w:hAnsi="仿宋_GB2312" w:cs="仿宋_GB2312"/>
                <w:color w:val="000000"/>
                <w:kern w:val="0"/>
                <w:sz w:val="18"/>
                <w:szCs w:val="18"/>
                <w:lang w:val="en-US" w:eastAsia="zh-CN"/>
              </w:rPr>
              <w:t>3</w:t>
            </w:r>
            <w:r>
              <w:rPr>
                <w:rFonts w:hint="eastAsia" w:ascii="仿宋_GB2312" w:hAnsi="仿宋_GB2312" w:cs="仿宋_GB2312"/>
                <w:color w:val="000000"/>
                <w:kern w:val="0"/>
                <w:sz w:val="18"/>
                <w:szCs w:val="18"/>
              </w:rPr>
              <w:t>0分</w:t>
            </w:r>
          </w:p>
        </w:tc>
        <w:tc>
          <w:tcPr>
            <w:tcW w:w="4252" w:type="dxa"/>
            <w:tcBorders>
              <w:top w:val="single" w:color="auto" w:sz="4" w:space="0"/>
              <w:left w:val="nil"/>
              <w:bottom w:val="single" w:color="auto" w:sz="4" w:space="0"/>
              <w:right w:val="single" w:color="auto" w:sz="4" w:space="0"/>
            </w:tcBorders>
            <w:shd w:val="clear" w:color="auto" w:fill="auto"/>
            <w:vAlign w:val="center"/>
          </w:tcPr>
          <w:p w14:paraId="3DD099C4">
            <w:pPr>
              <w:widowControl/>
              <w:spacing w:line="240" w:lineRule="auto"/>
              <w:ind w:firstLine="0" w:firstLineChars="0"/>
              <w:rPr>
                <w:rFonts w:hint="eastAsia" w:ascii="仿宋_GB2312" w:hAnsi="仿宋_GB2312" w:cs="仿宋_GB2312"/>
                <w:color w:val="000000"/>
                <w:kern w:val="0"/>
                <w:sz w:val="18"/>
                <w:szCs w:val="18"/>
              </w:rPr>
            </w:pPr>
            <w:r>
              <w:rPr>
                <w:rFonts w:hint="eastAsia" w:ascii="仿宋_GB2312" w:hAnsi="仿宋_GB2312" w:cs="仿宋_GB2312"/>
                <w:color w:val="000000"/>
                <w:kern w:val="0"/>
                <w:sz w:val="18"/>
                <w:szCs w:val="18"/>
              </w:rPr>
              <w:t>1.有效的投标报价范围为：通过符合性审查的投标人报价；</w:t>
            </w:r>
          </w:p>
          <w:p w14:paraId="48F03A1E">
            <w:pPr>
              <w:widowControl/>
              <w:spacing w:line="240" w:lineRule="auto"/>
              <w:ind w:firstLine="0" w:firstLineChars="0"/>
              <w:rPr>
                <w:rFonts w:hint="eastAsia" w:ascii="仿宋_GB2312" w:hAnsi="仿宋_GB2312" w:cs="仿宋_GB2312"/>
                <w:color w:val="000000"/>
                <w:kern w:val="0"/>
                <w:sz w:val="18"/>
                <w:szCs w:val="18"/>
              </w:rPr>
            </w:pPr>
            <w:r>
              <w:rPr>
                <w:rFonts w:hint="eastAsia" w:ascii="仿宋_GB2312" w:hAnsi="仿宋_GB2312" w:cs="仿宋_GB2312"/>
                <w:color w:val="000000"/>
                <w:kern w:val="0"/>
                <w:sz w:val="18"/>
                <w:szCs w:val="18"/>
              </w:rPr>
              <w:t>2.评标价得分四舍五入至小数点后两位；</w:t>
            </w:r>
          </w:p>
          <w:p w14:paraId="7E9A2BC1">
            <w:pPr>
              <w:widowControl/>
              <w:spacing w:line="240" w:lineRule="auto"/>
              <w:ind w:firstLine="0" w:firstLineChars="0"/>
              <w:rPr>
                <w:rFonts w:hint="eastAsia" w:ascii="仿宋_GB2312" w:hAnsi="仿宋_GB2312" w:eastAsia="宋体" w:cs="仿宋_GB2312"/>
                <w:color w:val="000000"/>
                <w:kern w:val="0"/>
                <w:sz w:val="18"/>
                <w:szCs w:val="18"/>
                <w:lang w:val="en-US" w:eastAsia="zh-CN" w:bidi="ar-SA"/>
              </w:rPr>
            </w:pPr>
            <w:r>
              <w:rPr>
                <w:rFonts w:hint="eastAsia" w:ascii="仿宋_GB2312" w:hAnsi="仿宋_GB2312" w:cs="仿宋_GB2312"/>
                <w:color w:val="000000"/>
                <w:kern w:val="0"/>
                <w:sz w:val="18"/>
                <w:szCs w:val="18"/>
              </w:rPr>
              <w:t>3.本项最低得分为0分，最高得分为30分。</w:t>
            </w:r>
          </w:p>
        </w:tc>
      </w:tr>
      <w:tr w14:paraId="22A1ACE1">
        <w:tblPrEx>
          <w:tblCellMar>
            <w:top w:w="0" w:type="dxa"/>
            <w:left w:w="108" w:type="dxa"/>
            <w:bottom w:w="0" w:type="dxa"/>
            <w:right w:w="108" w:type="dxa"/>
          </w:tblCellMar>
        </w:tblPrEx>
        <w:trPr>
          <w:trHeight w:val="1157" w:hRule="atLeast"/>
          <w:jc w:val="center"/>
        </w:trPr>
        <w:tc>
          <w:tcPr>
            <w:tcW w:w="424" w:type="dxa"/>
            <w:tcBorders>
              <w:top w:val="nil"/>
              <w:left w:val="single" w:color="auto" w:sz="4" w:space="0"/>
              <w:bottom w:val="single" w:color="auto" w:sz="4" w:space="0"/>
              <w:right w:val="single" w:color="auto" w:sz="4" w:space="0"/>
            </w:tcBorders>
            <w:vAlign w:val="center"/>
          </w:tcPr>
          <w:p w14:paraId="6FAC5641">
            <w:pPr>
              <w:widowControl/>
              <w:ind w:firstLine="0"/>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11</w:t>
            </w:r>
          </w:p>
        </w:tc>
        <w:tc>
          <w:tcPr>
            <w:tcW w:w="960" w:type="dxa"/>
            <w:tcBorders>
              <w:top w:val="nil"/>
              <w:left w:val="single" w:color="000000" w:sz="4" w:space="0"/>
              <w:bottom w:val="single" w:color="auto" w:sz="4" w:space="0"/>
              <w:right w:val="nil"/>
            </w:tcBorders>
            <w:vAlign w:val="center"/>
          </w:tcPr>
          <w:p w14:paraId="4175DF45">
            <w:pPr>
              <w:widowControl/>
              <w:spacing w:line="240" w:lineRule="auto"/>
              <w:ind w:firstLine="0" w:firstLineChars="0"/>
              <w:rPr>
                <w:rFonts w:hint="eastAsia" w:ascii="宋体" w:hAnsi="宋体" w:cs="宋体"/>
                <w:b/>
                <w:bCs/>
                <w:color w:val="000000"/>
                <w:kern w:val="0"/>
                <w:sz w:val="18"/>
                <w:szCs w:val="18"/>
              </w:rPr>
            </w:pPr>
            <w:r>
              <w:rPr>
                <w:rFonts w:hint="eastAsia" w:ascii="宋体" w:hAnsi="宋体" w:cs="宋体"/>
                <w:b/>
                <w:bCs/>
                <w:color w:val="000000"/>
                <w:kern w:val="0"/>
                <w:sz w:val="18"/>
                <w:szCs w:val="18"/>
              </w:rPr>
              <w:t>综合得分</w:t>
            </w:r>
          </w:p>
          <w:p w14:paraId="62032405">
            <w:pPr>
              <w:widowControl/>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（满分100分）</w:t>
            </w:r>
          </w:p>
        </w:tc>
        <w:tc>
          <w:tcPr>
            <w:tcW w:w="9214" w:type="dxa"/>
            <w:gridSpan w:val="3"/>
            <w:tcBorders>
              <w:top w:val="single" w:color="auto" w:sz="4" w:space="0"/>
              <w:left w:val="single" w:color="auto" w:sz="4" w:space="0"/>
              <w:bottom w:val="single" w:color="auto" w:sz="4" w:space="0"/>
              <w:right w:val="single" w:color="auto" w:sz="4" w:space="0"/>
            </w:tcBorders>
            <w:vAlign w:val="center"/>
          </w:tcPr>
          <w:p w14:paraId="2D89B85F">
            <w:pPr>
              <w:widowControl/>
              <w:spacing w:line="240" w:lineRule="auto"/>
              <w:ind w:firstLine="0" w:firstLineChars="0"/>
              <w:rPr>
                <w:rFonts w:hint="eastAsia" w:ascii="仿宋_GB2312" w:hAnsi="仿宋_GB2312" w:cs="仿宋_GB2312"/>
                <w:kern w:val="0"/>
                <w:sz w:val="18"/>
                <w:szCs w:val="18"/>
              </w:rPr>
            </w:pPr>
            <w:r>
              <w:rPr>
                <w:rFonts w:hint="eastAsia" w:ascii="仿宋_GB2312" w:hAnsi="仿宋_GB2312" w:cs="仿宋_GB2312"/>
                <w:kern w:val="0"/>
                <w:sz w:val="18"/>
                <w:szCs w:val="18"/>
              </w:rPr>
              <w:t>投标人综合得分=综合能力得分+技术能力得分+报价得分。</w:t>
            </w:r>
          </w:p>
        </w:tc>
        <w:tc>
          <w:tcPr>
            <w:tcW w:w="709" w:type="dxa"/>
            <w:tcBorders>
              <w:top w:val="single" w:color="auto" w:sz="4" w:space="0"/>
              <w:left w:val="nil"/>
              <w:bottom w:val="single" w:color="auto" w:sz="4" w:space="0"/>
              <w:right w:val="nil"/>
            </w:tcBorders>
            <w:vAlign w:val="center"/>
          </w:tcPr>
          <w:p w14:paraId="1772E536">
            <w:pPr>
              <w:spacing w:line="240" w:lineRule="auto"/>
              <w:ind w:firstLine="0" w:firstLineChars="0"/>
              <w:jc w:val="center"/>
              <w:rPr>
                <w:rFonts w:hint="default" w:ascii="仿宋_GB2312" w:hAnsi="仿宋_GB2312" w:eastAsia="宋体" w:cs="仿宋_GB2312"/>
                <w:color w:val="000000"/>
                <w:kern w:val="0"/>
                <w:sz w:val="18"/>
                <w:szCs w:val="18"/>
                <w:lang w:val="en-US" w:eastAsia="zh-CN"/>
              </w:rPr>
            </w:pPr>
            <w:r>
              <w:rPr>
                <w:rFonts w:hint="eastAsia" w:ascii="仿宋_GB2312" w:hAnsi="仿宋_GB2312" w:cs="仿宋_GB2312"/>
                <w:color w:val="000000"/>
                <w:kern w:val="0"/>
                <w:sz w:val="18"/>
                <w:szCs w:val="18"/>
                <w:lang w:val="en-US" w:eastAsia="zh-CN"/>
              </w:rPr>
              <w:t>100分</w:t>
            </w:r>
          </w:p>
        </w:tc>
        <w:tc>
          <w:tcPr>
            <w:tcW w:w="4252" w:type="dxa"/>
            <w:tcBorders>
              <w:top w:val="single" w:color="auto" w:sz="4" w:space="0"/>
              <w:left w:val="nil"/>
              <w:bottom w:val="single" w:color="auto" w:sz="4" w:space="0"/>
              <w:right w:val="single" w:color="auto" w:sz="4" w:space="0"/>
            </w:tcBorders>
            <w:vAlign w:val="center"/>
          </w:tcPr>
          <w:p w14:paraId="2DD01425">
            <w:pPr>
              <w:widowControl/>
              <w:spacing w:line="240" w:lineRule="auto"/>
              <w:ind w:firstLine="0" w:firstLineChars="0"/>
              <w:rPr>
                <w:rFonts w:hint="eastAsia" w:ascii="仿宋_GB2312" w:hAnsi="仿宋_GB2312" w:cs="仿宋_GB2312"/>
                <w:color w:val="000000"/>
                <w:kern w:val="0"/>
                <w:sz w:val="18"/>
                <w:szCs w:val="18"/>
              </w:rPr>
            </w:pPr>
            <w:r>
              <w:rPr>
                <w:rFonts w:hint="eastAsia" w:ascii="仿宋_GB2312" w:hAnsi="仿宋_GB2312" w:cs="仿宋_GB2312"/>
                <w:color w:val="000000"/>
                <w:kern w:val="0"/>
                <w:sz w:val="18"/>
                <w:szCs w:val="18"/>
              </w:rPr>
              <w:t>投标人最终得分为所有评委评分的平均值。</w:t>
            </w:r>
          </w:p>
        </w:tc>
      </w:tr>
    </w:tbl>
    <w:p w14:paraId="69E9744F">
      <w:pPr>
        <w:snapToGrid w:val="0"/>
        <w:ind w:left="0"/>
        <w:rPr>
          <w:rFonts w:hint="eastAsia" w:ascii="仿宋" w:hAnsi="仿宋" w:eastAsia="仿宋" w:cs="宋体"/>
          <w:sz w:val="24"/>
          <w:highlight w:val="none"/>
        </w:rPr>
      </w:pPr>
    </w:p>
    <w:p w14:paraId="11E6D36B">
      <w:pPr>
        <w:snapToGrid w:val="0"/>
        <w:ind w:left="0"/>
        <w:rPr>
          <w:rFonts w:ascii="仿宋" w:hAnsi="仿宋" w:eastAsia="仿宋" w:cs="宋体"/>
          <w:sz w:val="24"/>
          <w:highlight w:val="none"/>
        </w:rPr>
      </w:pPr>
      <w:r>
        <w:rPr>
          <w:rFonts w:hint="eastAsia" w:ascii="仿宋" w:hAnsi="仿宋" w:eastAsia="仿宋" w:cs="宋体"/>
          <w:sz w:val="24"/>
          <w:highlight w:val="none"/>
        </w:rPr>
        <w:t>备注：1、其它关键页是指合同正文首页、合同签署页及能证明业绩符合要求的其它页。2、本次招标采用综合评分法进行计分评定</w:t>
      </w:r>
      <w:r>
        <w:rPr>
          <w:rFonts w:hint="eastAsia" w:ascii="仿宋" w:hAnsi="仿宋" w:eastAsia="仿宋" w:cs="宋体"/>
          <w:sz w:val="24"/>
          <w:highlight w:val="none"/>
          <w:lang w:eastAsia="zh-CN"/>
        </w:rPr>
        <w:t>，</w:t>
      </w:r>
      <w:r>
        <w:rPr>
          <w:rFonts w:hint="eastAsia" w:ascii="仿宋" w:hAnsi="仿宋" w:eastAsia="仿宋" w:cs="宋体"/>
          <w:sz w:val="24"/>
          <w:highlight w:val="none"/>
        </w:rPr>
        <w:t>评标委员会从</w:t>
      </w:r>
      <w:r>
        <w:rPr>
          <w:rFonts w:hint="eastAsia" w:ascii="仿宋" w:hAnsi="仿宋" w:eastAsia="仿宋" w:cs="宋体"/>
          <w:sz w:val="24"/>
          <w:highlight w:val="none"/>
          <w:lang w:val="en-US" w:eastAsia="zh-CN"/>
        </w:rPr>
        <w:t>综合能力</w:t>
      </w:r>
      <w:r>
        <w:rPr>
          <w:rFonts w:hint="eastAsia" w:ascii="仿宋" w:hAnsi="仿宋" w:eastAsia="仿宋" w:cs="宋体"/>
          <w:sz w:val="24"/>
          <w:highlight w:val="none"/>
        </w:rPr>
        <w:t>、技术</w:t>
      </w:r>
      <w:r>
        <w:rPr>
          <w:rFonts w:hint="eastAsia" w:ascii="仿宋" w:hAnsi="仿宋" w:eastAsia="仿宋" w:cs="宋体"/>
          <w:sz w:val="24"/>
          <w:highlight w:val="none"/>
          <w:lang w:val="en-US" w:eastAsia="zh-CN"/>
        </w:rPr>
        <w:t>能力</w:t>
      </w:r>
      <w:r>
        <w:rPr>
          <w:rFonts w:hint="eastAsia" w:ascii="仿宋" w:hAnsi="仿宋" w:eastAsia="仿宋" w:cs="宋体"/>
          <w:sz w:val="24"/>
          <w:highlight w:val="none"/>
        </w:rPr>
        <w:t>和报价（四舍五入后精确到小数点后2位）三方面进行比较与评价。3、所有复印件须加盖投标人公章。</w:t>
      </w:r>
    </w:p>
    <w:sectPr>
      <w:footerReference r:id="rId11" w:type="default"/>
      <w:pgSz w:w="16838" w:h="11906" w:orient="landscape"/>
      <w:pgMar w:top="156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4153E">
    <w:pPr>
      <w:pStyle w:val="11"/>
      <w:ind w:left="4111"/>
    </w:pPr>
  </w:p>
  <w:p w14:paraId="1F5AC31B">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CF030">
    <w:pPr>
      <w:pStyle w:val="11"/>
      <w:framePr w:wrap="around" w:vAnchor="text" w:hAnchor="margin" w:xAlign="center" w:y="1"/>
      <w:rPr>
        <w:rStyle w:val="21"/>
      </w:rPr>
    </w:pPr>
    <w:r>
      <w:fldChar w:fldCharType="begin"/>
    </w:r>
    <w:r>
      <w:rPr>
        <w:rStyle w:val="21"/>
      </w:rPr>
      <w:instrText xml:space="preserve">PAGE  </w:instrText>
    </w:r>
    <w:r>
      <w:fldChar w:fldCharType="end"/>
    </w:r>
  </w:p>
  <w:p w14:paraId="4D72CF92">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998B3">
    <w:pPr>
      <w:pStyle w:val="11"/>
      <w:jc w:val="center"/>
    </w:pPr>
    <w:r>
      <w:fldChar w:fldCharType="begin"/>
    </w:r>
    <w:r>
      <w:instrText xml:space="preserve"> PAGE   \* MERGEFORMAT </w:instrText>
    </w:r>
    <w:r>
      <w:fldChar w:fldCharType="separate"/>
    </w:r>
    <w:r>
      <w:rPr>
        <w:lang w:val="zh-CN"/>
      </w:rPr>
      <w:t>2</w:t>
    </w:r>
    <w:r>
      <w:fldChar w:fldCharType="end"/>
    </w:r>
  </w:p>
  <w:p w14:paraId="723A733D">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998BD">
    <w:pPr>
      <w:pStyle w:val="11"/>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9BFD203">
                          <w:pPr>
                            <w:pStyle w:val="11"/>
                          </w:pPr>
                          <w:r>
                            <w:t xml:space="preserve">第 </w:t>
                          </w:r>
                          <w:r>
                            <w:fldChar w:fldCharType="begin"/>
                          </w:r>
                          <w:r>
                            <w:instrText xml:space="preserve"> PAGE  \* MERGEFORMAT </w:instrText>
                          </w:r>
                          <w:r>
                            <w:fldChar w:fldCharType="separate"/>
                          </w:r>
                          <w:r>
                            <w:t>18</w:t>
                          </w:r>
                          <w:r>
                            <w:fldChar w:fldCharType="end"/>
                          </w:r>
                          <w:r>
                            <w:t xml:space="preserve"> 页 共 </w:t>
                          </w:r>
                          <w:r>
                            <w:rPr>
                              <w:rFonts w:hint="eastAsia"/>
                              <w:lang w:val="en-US" w:eastAsia="zh-CN"/>
                            </w:rPr>
                            <w:t xml:space="preserve">34 </w:t>
                          </w:r>
                          <w:r>
                            <w:t>页</w:t>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Nur18oBAACXAwAADgAAAAAAAAABACAAAAAeAQAAZHJzL2Uyb0Rv&#10;Yy54bWxQSwUGAAAAAAYABgBZAQAAWgUAAAAA&#10;">
              <v:fill on="f" focussize="0,0"/>
              <v:stroke on="f"/>
              <v:imagedata o:title=""/>
              <o:lock v:ext="edit" aspectratio="f"/>
              <v:textbox inset="0mm,0mm,0mm,0mm" style="mso-fit-shape-to-text:t;">
                <w:txbxContent>
                  <w:p w14:paraId="39BFD203">
                    <w:pPr>
                      <w:pStyle w:val="11"/>
                    </w:pPr>
                    <w:r>
                      <w:t xml:space="preserve">第 </w:t>
                    </w:r>
                    <w:r>
                      <w:fldChar w:fldCharType="begin"/>
                    </w:r>
                    <w:r>
                      <w:instrText xml:space="preserve"> PAGE  \* MERGEFORMAT </w:instrText>
                    </w:r>
                    <w:r>
                      <w:fldChar w:fldCharType="separate"/>
                    </w:r>
                    <w:r>
                      <w:t>18</w:t>
                    </w:r>
                    <w:r>
                      <w:fldChar w:fldCharType="end"/>
                    </w:r>
                    <w:r>
                      <w:t xml:space="preserve"> 页 共 </w:t>
                    </w:r>
                    <w:r>
                      <w:rPr>
                        <w:rFonts w:hint="eastAsia"/>
                        <w:lang w:val="en-US" w:eastAsia="zh-CN"/>
                      </w:rPr>
                      <w:t xml:space="preserve">34 </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DDB9D">
    <w:pPr>
      <w:pStyle w:val="11"/>
      <w:framePr w:wrap="around" w:vAnchor="text" w:hAnchor="margin" w:xAlign="right" w:y="1"/>
      <w:rPr>
        <w:rStyle w:val="21"/>
      </w:rPr>
    </w:pPr>
    <w:r>
      <w:fldChar w:fldCharType="begin"/>
    </w:r>
    <w:r>
      <w:rPr>
        <w:rStyle w:val="21"/>
      </w:rPr>
      <w:instrText xml:space="preserve">PAGE  </w:instrText>
    </w:r>
    <w:r>
      <w:fldChar w:fldCharType="end"/>
    </w:r>
  </w:p>
  <w:p w14:paraId="1114E56F">
    <w:pPr>
      <w:pStyle w:val="1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FA177">
    <w:pPr>
      <w:pStyle w:val="1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275DE">
    <w:pPr>
      <w:pStyle w:val="11"/>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DBD222E">
                          <w:pPr>
                            <w:pStyle w:val="11"/>
                          </w:pPr>
                          <w:r>
                            <w:t xml:space="preserve">第 </w:t>
                          </w:r>
                          <w:r>
                            <w:fldChar w:fldCharType="begin"/>
                          </w:r>
                          <w:r>
                            <w:instrText xml:space="preserve"> PAGE  \* MERGEFORMAT </w:instrText>
                          </w:r>
                          <w:r>
                            <w:fldChar w:fldCharType="separate"/>
                          </w:r>
                          <w:r>
                            <w:t>28</w:t>
                          </w:r>
                          <w:r>
                            <w:fldChar w:fldCharType="end"/>
                          </w:r>
                          <w:r>
                            <w:t xml:space="preserve"> 页 共 </w:t>
                          </w:r>
                          <w:r>
                            <w:rPr>
                              <w:rFonts w:hint="eastAsia"/>
                              <w:lang w:val="en-US" w:eastAsia="zh-CN"/>
                            </w:rPr>
                            <w:t>34</w:t>
                          </w:r>
                          <w:r>
                            <w:t xml:space="preserve"> 页</w:t>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8EJwnLAQAAlgMAAA4AAAAAAAAAAQAgAAAAHgEAAGRycy9lMm9E&#10;b2MueG1sUEsFBgAAAAAGAAYAWQEAAFsFAAAAAA==&#10;">
              <v:fill on="f" focussize="0,0"/>
              <v:stroke on="f"/>
              <v:imagedata o:title=""/>
              <o:lock v:ext="edit" aspectratio="f"/>
              <v:textbox inset="0mm,0mm,0mm,0mm" style="mso-fit-shape-to-text:t;">
                <w:txbxContent>
                  <w:p w14:paraId="0DBD222E">
                    <w:pPr>
                      <w:pStyle w:val="11"/>
                    </w:pPr>
                    <w:r>
                      <w:t xml:space="preserve">第 </w:t>
                    </w:r>
                    <w:r>
                      <w:fldChar w:fldCharType="begin"/>
                    </w:r>
                    <w:r>
                      <w:instrText xml:space="preserve"> PAGE  \* MERGEFORMAT </w:instrText>
                    </w:r>
                    <w:r>
                      <w:fldChar w:fldCharType="separate"/>
                    </w:r>
                    <w:r>
                      <w:t>28</w:t>
                    </w:r>
                    <w:r>
                      <w:fldChar w:fldCharType="end"/>
                    </w:r>
                    <w:r>
                      <w:t xml:space="preserve"> 页 共 </w:t>
                    </w:r>
                    <w:r>
                      <w:rPr>
                        <w:rFonts w:hint="eastAsia"/>
                        <w:lang w:val="en-US" w:eastAsia="zh-CN"/>
                      </w:rPr>
                      <w:t>34</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A253B">
    <w:pPr>
      <w:pStyle w:val="4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688F9">
    <w:pPr>
      <w:pStyle w:val="12"/>
    </w:pPr>
    <w:r>
      <w:rPr>
        <w:rFonts w:hint="eastAsia"/>
      </w:rPr>
      <w:t>杭州萧山国际机场有限公司公开招标文件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AA38F"/>
    <w:multiLevelType w:val="singleLevel"/>
    <w:tmpl w:val="8D9AA38F"/>
    <w:lvl w:ilvl="0" w:tentative="0">
      <w:start w:val="2"/>
      <w:numFmt w:val="chineseCounting"/>
      <w:suff w:val="nothing"/>
      <w:lvlText w:val="%1、"/>
      <w:lvlJc w:val="left"/>
      <w:rPr>
        <w:rFonts w:hint="eastAsia"/>
      </w:rPr>
    </w:lvl>
  </w:abstractNum>
  <w:abstractNum w:abstractNumId="1">
    <w:nsid w:val="8F64837F"/>
    <w:multiLevelType w:val="singleLevel"/>
    <w:tmpl w:val="8F64837F"/>
    <w:lvl w:ilvl="0" w:tentative="0">
      <w:start w:val="2"/>
      <w:numFmt w:val="chineseCounting"/>
      <w:suff w:val="nothing"/>
      <w:lvlText w:val="（%1）"/>
      <w:lvlJc w:val="left"/>
      <w:rPr>
        <w:rFonts w:hint="eastAsia"/>
      </w:rPr>
    </w:lvl>
  </w:abstractNum>
  <w:abstractNum w:abstractNumId="2">
    <w:nsid w:val="ABC0A25B"/>
    <w:multiLevelType w:val="multilevel"/>
    <w:tmpl w:val="ABC0A25B"/>
    <w:lvl w:ilvl="0" w:tentative="0">
      <w:start w:val="3"/>
      <w:numFmt w:val="chineseCounting"/>
      <w:suff w:val="nothing"/>
      <w:lvlText w:val="（%1）"/>
      <w:lvlJc w:val="left"/>
      <w:rPr>
        <w:rFonts w:hint="eastAsia"/>
      </w:rPr>
    </w:lvl>
    <w:lvl w:ilvl="1" w:tentative="0">
      <w:start w:val="1"/>
      <w:numFmt w:val="decimal"/>
      <w:suff w:val="nothing"/>
      <w:lvlText w:val="%2．"/>
      <w:lvlJc w:val="left"/>
      <w:rPr>
        <w:rFonts w:hint="default" w:ascii="仿宋_GB2312" w:hAnsi="仿宋_GB2312" w:eastAsia="仿宋_GB2312" w:cs="仿宋_GB2312"/>
        <w:sz w:val="32"/>
        <w:szCs w:val="32"/>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3">
    <w:nsid w:val="AE6EDE46"/>
    <w:multiLevelType w:val="singleLevel"/>
    <w:tmpl w:val="AE6EDE46"/>
    <w:lvl w:ilvl="0" w:tentative="0">
      <w:start w:val="1"/>
      <w:numFmt w:val="chineseCounting"/>
      <w:suff w:val="nothing"/>
      <w:lvlText w:val="（%1）"/>
      <w:lvlJc w:val="left"/>
      <w:rPr>
        <w:rFonts w:hint="eastAsia" w:ascii="仿宋_GB2312" w:hAnsi="仿宋_GB2312" w:eastAsia="仿宋_GB2312" w:cs="仿宋_GB2312"/>
        <w:sz w:val="32"/>
        <w:szCs w:val="32"/>
      </w:rPr>
    </w:lvl>
  </w:abstractNum>
  <w:abstractNum w:abstractNumId="4">
    <w:nsid w:val="AF152640"/>
    <w:multiLevelType w:val="singleLevel"/>
    <w:tmpl w:val="AF152640"/>
    <w:lvl w:ilvl="0" w:tentative="0">
      <w:start w:val="1"/>
      <w:numFmt w:val="decimal"/>
      <w:lvlText w:val="%1."/>
      <w:lvlJc w:val="left"/>
      <w:pPr>
        <w:ind w:left="425" w:hanging="425"/>
      </w:pPr>
      <w:rPr>
        <w:rFonts w:hint="default" w:ascii="仿宋_GB2312" w:hAnsi="仿宋_GB2312" w:eastAsia="仿宋_GB2312" w:cs="仿宋_GB2312"/>
        <w:sz w:val="32"/>
        <w:szCs w:val="32"/>
      </w:rPr>
    </w:lvl>
  </w:abstractNum>
  <w:abstractNum w:abstractNumId="5">
    <w:nsid w:val="E0F950B9"/>
    <w:multiLevelType w:val="singleLevel"/>
    <w:tmpl w:val="E0F950B9"/>
    <w:lvl w:ilvl="0" w:tentative="0">
      <w:start w:val="1"/>
      <w:numFmt w:val="decimal"/>
      <w:lvlText w:val="%1."/>
      <w:lvlJc w:val="left"/>
      <w:pPr>
        <w:ind w:left="425" w:hanging="425"/>
      </w:pPr>
      <w:rPr>
        <w:rFonts w:hint="default" w:ascii="仿宋_GB2312" w:hAnsi="仿宋_GB2312" w:eastAsia="仿宋_GB2312" w:cs="仿宋_GB2312"/>
        <w:sz w:val="32"/>
        <w:szCs w:val="32"/>
      </w:rPr>
    </w:lvl>
  </w:abstractNum>
  <w:abstractNum w:abstractNumId="6">
    <w:nsid w:val="F3922B1F"/>
    <w:multiLevelType w:val="singleLevel"/>
    <w:tmpl w:val="F3922B1F"/>
    <w:lvl w:ilvl="0" w:tentative="0">
      <w:start w:val="2"/>
      <w:numFmt w:val="decimal"/>
      <w:suff w:val="nothing"/>
      <w:lvlText w:val="（%1）"/>
      <w:lvlJc w:val="left"/>
      <w:rPr>
        <w:rFonts w:hint="default" w:ascii="宋体" w:hAnsi="宋体" w:eastAsia="宋体" w:cs="宋体"/>
        <w:b w:val="0"/>
        <w:bCs w:val="0"/>
      </w:rPr>
    </w:lvl>
  </w:abstractNum>
  <w:abstractNum w:abstractNumId="7">
    <w:nsid w:val="F74B597E"/>
    <w:multiLevelType w:val="multilevel"/>
    <w:tmpl w:val="F74B597E"/>
    <w:lvl w:ilvl="0" w:tentative="0">
      <w:start w:val="1"/>
      <w:numFmt w:val="chineseCounting"/>
      <w:suff w:val="nothing"/>
      <w:lvlText w:val="（%1）"/>
      <w:lvlJc w:val="left"/>
      <w:pPr>
        <w:ind w:left="0" w:firstLine="420"/>
      </w:pPr>
      <w:rPr>
        <w:rFonts w:hint="eastAsia" w:ascii="仿宋_GB2312" w:hAnsi="仿宋_GB2312" w:eastAsia="仿宋_GB2312" w:cs="仿宋_GB2312"/>
        <w:b w:val="0"/>
        <w:bCs w:val="0"/>
        <w:sz w:val="32"/>
        <w:szCs w:val="32"/>
      </w:rPr>
    </w:lvl>
    <w:lvl w:ilvl="1" w:tentative="0">
      <w:start w:val="1"/>
      <w:numFmt w:val="decimal"/>
      <w:suff w:val="nothing"/>
      <w:lvlText w:val="%2．"/>
      <w:lvlJc w:val="left"/>
      <w:pPr>
        <w:ind w:left="0" w:firstLine="420"/>
      </w:pPr>
      <w:rPr>
        <w:rFonts w:hint="default" w:ascii="仿宋_GB2312" w:hAnsi="仿宋_GB2312" w:eastAsia="仿宋_GB2312" w:cs="仿宋_GB2312"/>
        <w:b w:val="0"/>
        <w:bCs w:val="0"/>
        <w:sz w:val="32"/>
        <w:szCs w:val="32"/>
      </w:rPr>
    </w:lvl>
    <w:lvl w:ilvl="2" w:tentative="0">
      <w:start w:val="1"/>
      <w:numFmt w:val="decimal"/>
      <w:suff w:val="nothing"/>
      <w:lvlText w:val="（%3）"/>
      <w:lvlJc w:val="left"/>
      <w:pPr>
        <w:ind w:left="0" w:firstLine="420"/>
      </w:pPr>
      <w:rPr>
        <w:rFonts w:hint="eastAsia"/>
        <w:b w:val="0"/>
        <w:bCs w:val="0"/>
        <w:sz w:val="32"/>
        <w:szCs w:val="32"/>
      </w:rPr>
    </w:lvl>
    <w:lvl w:ilvl="3" w:tentative="0">
      <w:start w:val="1"/>
      <w:numFmt w:val="decimalEnclosedCircleChinese"/>
      <w:suff w:val="nothing"/>
      <w:lvlText w:val="%4"/>
      <w:lvlJc w:val="left"/>
      <w:pPr>
        <w:ind w:left="0" w:firstLine="420"/>
      </w:pPr>
      <w:rPr>
        <w:rFonts w:hint="eastAsia"/>
        <w:b w:val="0"/>
        <w:bCs w:val="0"/>
        <w:sz w:val="32"/>
        <w:szCs w:val="32"/>
      </w:rPr>
    </w:lvl>
    <w:lvl w:ilvl="4" w:tentative="0">
      <w:start w:val="1"/>
      <w:numFmt w:val="decimal"/>
      <w:suff w:val="nothing"/>
      <w:lvlText w:val="%5）"/>
      <w:lvlJc w:val="left"/>
      <w:pPr>
        <w:ind w:left="0" w:firstLine="420"/>
      </w:pPr>
      <w:rPr>
        <w:rFonts w:hint="eastAsia"/>
        <w:b w:val="0"/>
        <w:bCs w:val="0"/>
        <w:sz w:val="32"/>
        <w:szCs w:val="32"/>
      </w:rPr>
    </w:lvl>
    <w:lvl w:ilvl="5" w:tentative="0">
      <w:start w:val="1"/>
      <w:numFmt w:val="lowerLetter"/>
      <w:suff w:val="nothing"/>
      <w:lvlText w:val="%6．"/>
      <w:lvlJc w:val="left"/>
      <w:pPr>
        <w:ind w:left="0" w:firstLine="420"/>
      </w:pPr>
      <w:rPr>
        <w:rFonts w:hint="eastAsia"/>
        <w:b w:val="0"/>
        <w:bCs w:val="0"/>
        <w:sz w:val="32"/>
        <w:szCs w:val="32"/>
      </w:rPr>
    </w:lvl>
    <w:lvl w:ilvl="6" w:tentative="0">
      <w:start w:val="1"/>
      <w:numFmt w:val="lowerLetter"/>
      <w:suff w:val="nothing"/>
      <w:lvlText w:val="%7）"/>
      <w:lvlJc w:val="left"/>
      <w:pPr>
        <w:ind w:left="0" w:firstLine="420"/>
      </w:pPr>
      <w:rPr>
        <w:rFonts w:hint="eastAsia"/>
        <w:b w:val="0"/>
        <w:bCs w:val="0"/>
        <w:sz w:val="32"/>
        <w:szCs w:val="32"/>
      </w:rPr>
    </w:lvl>
    <w:lvl w:ilvl="7" w:tentative="0">
      <w:start w:val="1"/>
      <w:numFmt w:val="lowerRoman"/>
      <w:suff w:val="nothing"/>
      <w:lvlText w:val="%8．"/>
      <w:lvlJc w:val="left"/>
      <w:pPr>
        <w:ind w:left="0" w:firstLine="420"/>
      </w:pPr>
      <w:rPr>
        <w:rFonts w:hint="eastAsia"/>
        <w:b w:val="0"/>
        <w:bCs w:val="0"/>
        <w:sz w:val="32"/>
        <w:szCs w:val="32"/>
      </w:rPr>
    </w:lvl>
    <w:lvl w:ilvl="8" w:tentative="0">
      <w:start w:val="1"/>
      <w:numFmt w:val="lowerRoman"/>
      <w:suff w:val="nothing"/>
      <w:lvlText w:val="%9）"/>
      <w:lvlJc w:val="left"/>
      <w:pPr>
        <w:ind w:left="0" w:firstLine="420"/>
      </w:pPr>
      <w:rPr>
        <w:rFonts w:hint="eastAsia"/>
        <w:b w:val="0"/>
        <w:bCs w:val="0"/>
        <w:sz w:val="32"/>
        <w:szCs w:val="32"/>
      </w:rPr>
    </w:lvl>
  </w:abstractNum>
  <w:abstractNum w:abstractNumId="8">
    <w:nsid w:val="29C8A850"/>
    <w:multiLevelType w:val="singleLevel"/>
    <w:tmpl w:val="29C8A850"/>
    <w:lvl w:ilvl="0" w:tentative="0">
      <w:start w:val="1"/>
      <w:numFmt w:val="decimal"/>
      <w:lvlText w:val="(%1)"/>
      <w:lvlJc w:val="left"/>
      <w:pPr>
        <w:ind w:left="425" w:hanging="425"/>
      </w:pPr>
      <w:rPr>
        <w:rFonts w:hint="default"/>
      </w:rPr>
    </w:lvl>
  </w:abstractNum>
  <w:abstractNum w:abstractNumId="9">
    <w:nsid w:val="34270CF0"/>
    <w:multiLevelType w:val="singleLevel"/>
    <w:tmpl w:val="34270CF0"/>
    <w:lvl w:ilvl="0" w:tentative="0">
      <w:start w:val="1"/>
      <w:numFmt w:val="decimal"/>
      <w:lvlText w:val="%1."/>
      <w:lvlJc w:val="left"/>
      <w:pPr>
        <w:ind w:left="425" w:hanging="425"/>
      </w:pPr>
      <w:rPr>
        <w:rFonts w:hint="default"/>
      </w:rPr>
    </w:lvl>
  </w:abstractNum>
  <w:abstractNum w:abstractNumId="10">
    <w:nsid w:val="480FD67F"/>
    <w:multiLevelType w:val="singleLevel"/>
    <w:tmpl w:val="480FD67F"/>
    <w:lvl w:ilvl="0" w:tentative="0">
      <w:start w:val="1"/>
      <w:numFmt w:val="decimal"/>
      <w:lvlText w:val="%1."/>
      <w:lvlJc w:val="left"/>
      <w:pPr>
        <w:tabs>
          <w:tab w:val="left" w:pos="312"/>
        </w:tabs>
      </w:pPr>
    </w:lvl>
  </w:abstractNum>
  <w:abstractNum w:abstractNumId="11">
    <w:nsid w:val="4A8A396C"/>
    <w:multiLevelType w:val="singleLevel"/>
    <w:tmpl w:val="4A8A396C"/>
    <w:lvl w:ilvl="0" w:tentative="0">
      <w:start w:val="1"/>
      <w:numFmt w:val="chineseCounting"/>
      <w:suff w:val="nothing"/>
      <w:lvlText w:val="（%1）"/>
      <w:lvlJc w:val="left"/>
      <w:rPr>
        <w:rFonts w:hint="eastAsia"/>
      </w:rPr>
    </w:lvl>
  </w:abstractNum>
  <w:abstractNum w:abstractNumId="12">
    <w:nsid w:val="51A16E4F"/>
    <w:multiLevelType w:val="multilevel"/>
    <w:tmpl w:val="51A16E4F"/>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3">
    <w:nsid w:val="6A11432B"/>
    <w:multiLevelType w:val="singleLevel"/>
    <w:tmpl w:val="6A11432B"/>
    <w:lvl w:ilvl="0" w:tentative="0">
      <w:start w:val="1"/>
      <w:numFmt w:val="chineseCounting"/>
      <w:suff w:val="nothing"/>
      <w:lvlText w:val="（%1）"/>
      <w:lvlJc w:val="left"/>
      <w:rPr>
        <w:rFonts w:hint="eastAsia" w:ascii="仿宋_GB2312" w:hAnsi="仿宋_GB2312" w:eastAsia="仿宋_GB2312" w:cs="仿宋_GB2312"/>
        <w:sz w:val="32"/>
        <w:szCs w:val="32"/>
      </w:rPr>
    </w:lvl>
  </w:abstractNum>
  <w:num w:numId="1">
    <w:abstractNumId w:val="3"/>
  </w:num>
  <w:num w:numId="2">
    <w:abstractNumId w:val="0"/>
  </w:num>
  <w:num w:numId="3">
    <w:abstractNumId w:val="11"/>
  </w:num>
  <w:num w:numId="4">
    <w:abstractNumId w:val="2"/>
  </w:num>
  <w:num w:numId="5">
    <w:abstractNumId w:val="10"/>
  </w:num>
  <w:num w:numId="6">
    <w:abstractNumId w:val="13"/>
  </w:num>
  <w:num w:numId="7">
    <w:abstractNumId w:val="5"/>
  </w:num>
  <w:num w:numId="8">
    <w:abstractNumId w:val="8"/>
  </w:num>
  <w:num w:numId="9">
    <w:abstractNumId w:val="4"/>
  </w:num>
  <w:num w:numId="10">
    <w:abstractNumId w:val="7"/>
  </w:num>
  <w:num w:numId="11">
    <w:abstractNumId w:val="1"/>
  </w:num>
  <w:num w:numId="12">
    <w:abstractNumId w:val="9"/>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NjRkOWMwZmQ1MzRkNDc5MGIzNjRmZTQ3OGZiMzQifQ=="/>
  </w:docVars>
  <w:rsids>
    <w:rsidRoot w:val="00172A27"/>
    <w:rsid w:val="00005DE3"/>
    <w:rsid w:val="000110A4"/>
    <w:rsid w:val="00020822"/>
    <w:rsid w:val="00032DA9"/>
    <w:rsid w:val="00033483"/>
    <w:rsid w:val="00046A4E"/>
    <w:rsid w:val="000640BD"/>
    <w:rsid w:val="00071542"/>
    <w:rsid w:val="00071FFE"/>
    <w:rsid w:val="00081F4C"/>
    <w:rsid w:val="00087609"/>
    <w:rsid w:val="00091B32"/>
    <w:rsid w:val="000A2670"/>
    <w:rsid w:val="000C358A"/>
    <w:rsid w:val="0010178D"/>
    <w:rsid w:val="00101B96"/>
    <w:rsid w:val="00103FF3"/>
    <w:rsid w:val="00106989"/>
    <w:rsid w:val="0010749C"/>
    <w:rsid w:val="001124B0"/>
    <w:rsid w:val="001300C2"/>
    <w:rsid w:val="00132EC0"/>
    <w:rsid w:val="001500BD"/>
    <w:rsid w:val="00154D19"/>
    <w:rsid w:val="00162735"/>
    <w:rsid w:val="00172A27"/>
    <w:rsid w:val="00177CD7"/>
    <w:rsid w:val="00187927"/>
    <w:rsid w:val="001B7C39"/>
    <w:rsid w:val="001C556C"/>
    <w:rsid w:val="001C62D6"/>
    <w:rsid w:val="001D3CD7"/>
    <w:rsid w:val="001D56A9"/>
    <w:rsid w:val="001F023B"/>
    <w:rsid w:val="001F7AB9"/>
    <w:rsid w:val="002032F7"/>
    <w:rsid w:val="002068C1"/>
    <w:rsid w:val="00212AFF"/>
    <w:rsid w:val="00227D5D"/>
    <w:rsid w:val="00243397"/>
    <w:rsid w:val="002435C3"/>
    <w:rsid w:val="00245249"/>
    <w:rsid w:val="00246EF4"/>
    <w:rsid w:val="00251ED5"/>
    <w:rsid w:val="00254D69"/>
    <w:rsid w:val="0027478E"/>
    <w:rsid w:val="00285EE7"/>
    <w:rsid w:val="002B74AE"/>
    <w:rsid w:val="002D75D1"/>
    <w:rsid w:val="002E05E4"/>
    <w:rsid w:val="002E2EB4"/>
    <w:rsid w:val="0031274F"/>
    <w:rsid w:val="003127DA"/>
    <w:rsid w:val="003152F3"/>
    <w:rsid w:val="00325EB1"/>
    <w:rsid w:val="0033391C"/>
    <w:rsid w:val="0034587C"/>
    <w:rsid w:val="00360A89"/>
    <w:rsid w:val="00362A29"/>
    <w:rsid w:val="00375F72"/>
    <w:rsid w:val="003A3829"/>
    <w:rsid w:val="003A77B7"/>
    <w:rsid w:val="003B1F4F"/>
    <w:rsid w:val="003D0211"/>
    <w:rsid w:val="003D6109"/>
    <w:rsid w:val="003F1979"/>
    <w:rsid w:val="003F415E"/>
    <w:rsid w:val="00400380"/>
    <w:rsid w:val="00402642"/>
    <w:rsid w:val="004245D9"/>
    <w:rsid w:val="00425134"/>
    <w:rsid w:val="0043200E"/>
    <w:rsid w:val="00435877"/>
    <w:rsid w:val="004438E3"/>
    <w:rsid w:val="00443F59"/>
    <w:rsid w:val="004461C0"/>
    <w:rsid w:val="00447EAE"/>
    <w:rsid w:val="00455B1D"/>
    <w:rsid w:val="00460E95"/>
    <w:rsid w:val="004616A2"/>
    <w:rsid w:val="00471D53"/>
    <w:rsid w:val="00482AAD"/>
    <w:rsid w:val="00491F81"/>
    <w:rsid w:val="00493372"/>
    <w:rsid w:val="00494507"/>
    <w:rsid w:val="004C07BF"/>
    <w:rsid w:val="004C5F63"/>
    <w:rsid w:val="004D6441"/>
    <w:rsid w:val="004E1FEB"/>
    <w:rsid w:val="00533328"/>
    <w:rsid w:val="00537A45"/>
    <w:rsid w:val="00540FCD"/>
    <w:rsid w:val="0054550B"/>
    <w:rsid w:val="0056194F"/>
    <w:rsid w:val="00564ACC"/>
    <w:rsid w:val="00566F1A"/>
    <w:rsid w:val="005721F3"/>
    <w:rsid w:val="00572883"/>
    <w:rsid w:val="00585B7C"/>
    <w:rsid w:val="00591D84"/>
    <w:rsid w:val="005C796F"/>
    <w:rsid w:val="005D2282"/>
    <w:rsid w:val="005D24B1"/>
    <w:rsid w:val="00604707"/>
    <w:rsid w:val="00611015"/>
    <w:rsid w:val="00636F08"/>
    <w:rsid w:val="0064635A"/>
    <w:rsid w:val="00646A0F"/>
    <w:rsid w:val="00650FF9"/>
    <w:rsid w:val="00660300"/>
    <w:rsid w:val="00666586"/>
    <w:rsid w:val="00671EF0"/>
    <w:rsid w:val="006741F5"/>
    <w:rsid w:val="00675DEE"/>
    <w:rsid w:val="006861B3"/>
    <w:rsid w:val="006A2600"/>
    <w:rsid w:val="006A43F0"/>
    <w:rsid w:val="006A52C9"/>
    <w:rsid w:val="006A74CD"/>
    <w:rsid w:val="006B4B26"/>
    <w:rsid w:val="006F29EE"/>
    <w:rsid w:val="00720D00"/>
    <w:rsid w:val="00736D1E"/>
    <w:rsid w:val="0074188E"/>
    <w:rsid w:val="0074190A"/>
    <w:rsid w:val="00742EB3"/>
    <w:rsid w:val="00744EC9"/>
    <w:rsid w:val="007A21CA"/>
    <w:rsid w:val="007A3097"/>
    <w:rsid w:val="007F5819"/>
    <w:rsid w:val="00806DD5"/>
    <w:rsid w:val="00811CBD"/>
    <w:rsid w:val="00820898"/>
    <w:rsid w:val="008239FC"/>
    <w:rsid w:val="008252DB"/>
    <w:rsid w:val="00836A70"/>
    <w:rsid w:val="0085351A"/>
    <w:rsid w:val="008629C6"/>
    <w:rsid w:val="00876031"/>
    <w:rsid w:val="00876816"/>
    <w:rsid w:val="008833E4"/>
    <w:rsid w:val="00895563"/>
    <w:rsid w:val="008A043A"/>
    <w:rsid w:val="008B19DE"/>
    <w:rsid w:val="008B202A"/>
    <w:rsid w:val="008D15CE"/>
    <w:rsid w:val="008D34A4"/>
    <w:rsid w:val="008E77E1"/>
    <w:rsid w:val="008F62FC"/>
    <w:rsid w:val="00911670"/>
    <w:rsid w:val="00926443"/>
    <w:rsid w:val="00941F5E"/>
    <w:rsid w:val="009460A7"/>
    <w:rsid w:val="00967B0A"/>
    <w:rsid w:val="00975443"/>
    <w:rsid w:val="00987459"/>
    <w:rsid w:val="0099178E"/>
    <w:rsid w:val="00991B9F"/>
    <w:rsid w:val="00992DC8"/>
    <w:rsid w:val="00997288"/>
    <w:rsid w:val="009A67FC"/>
    <w:rsid w:val="009C017C"/>
    <w:rsid w:val="009E0BEA"/>
    <w:rsid w:val="009E191A"/>
    <w:rsid w:val="009E4797"/>
    <w:rsid w:val="00A001C6"/>
    <w:rsid w:val="00A130F1"/>
    <w:rsid w:val="00A15909"/>
    <w:rsid w:val="00A62010"/>
    <w:rsid w:val="00A77372"/>
    <w:rsid w:val="00A818F3"/>
    <w:rsid w:val="00A829E7"/>
    <w:rsid w:val="00A85352"/>
    <w:rsid w:val="00A865C5"/>
    <w:rsid w:val="00A90767"/>
    <w:rsid w:val="00A933C3"/>
    <w:rsid w:val="00AA3A37"/>
    <w:rsid w:val="00AA4CE8"/>
    <w:rsid w:val="00AB1AEA"/>
    <w:rsid w:val="00AC704B"/>
    <w:rsid w:val="00AE2526"/>
    <w:rsid w:val="00B06C77"/>
    <w:rsid w:val="00B61AD0"/>
    <w:rsid w:val="00B6639F"/>
    <w:rsid w:val="00B73D60"/>
    <w:rsid w:val="00B76983"/>
    <w:rsid w:val="00B76D1D"/>
    <w:rsid w:val="00B77D47"/>
    <w:rsid w:val="00B93B3B"/>
    <w:rsid w:val="00BA57A1"/>
    <w:rsid w:val="00BB2BC1"/>
    <w:rsid w:val="00BB7747"/>
    <w:rsid w:val="00BC223D"/>
    <w:rsid w:val="00BC3FE1"/>
    <w:rsid w:val="00BC5950"/>
    <w:rsid w:val="00BD36DC"/>
    <w:rsid w:val="00BD7D18"/>
    <w:rsid w:val="00BE366F"/>
    <w:rsid w:val="00BE41F1"/>
    <w:rsid w:val="00BF7900"/>
    <w:rsid w:val="00C23F4B"/>
    <w:rsid w:val="00C30BE9"/>
    <w:rsid w:val="00C450AF"/>
    <w:rsid w:val="00C55C62"/>
    <w:rsid w:val="00C61C1E"/>
    <w:rsid w:val="00C63F1C"/>
    <w:rsid w:val="00C752B7"/>
    <w:rsid w:val="00C83C65"/>
    <w:rsid w:val="00C943E3"/>
    <w:rsid w:val="00CA1331"/>
    <w:rsid w:val="00CB1EF9"/>
    <w:rsid w:val="00CB7352"/>
    <w:rsid w:val="00CC43BA"/>
    <w:rsid w:val="00CD0F3F"/>
    <w:rsid w:val="00CD2ED2"/>
    <w:rsid w:val="00CE35E6"/>
    <w:rsid w:val="00CF3752"/>
    <w:rsid w:val="00D0254D"/>
    <w:rsid w:val="00D307AE"/>
    <w:rsid w:val="00D36AD8"/>
    <w:rsid w:val="00D557B4"/>
    <w:rsid w:val="00D74B3A"/>
    <w:rsid w:val="00D77B50"/>
    <w:rsid w:val="00D807B5"/>
    <w:rsid w:val="00D84D06"/>
    <w:rsid w:val="00D97DB3"/>
    <w:rsid w:val="00DA2783"/>
    <w:rsid w:val="00DA284E"/>
    <w:rsid w:val="00DC1735"/>
    <w:rsid w:val="00DE7891"/>
    <w:rsid w:val="00E00E84"/>
    <w:rsid w:val="00E039C5"/>
    <w:rsid w:val="00E126C7"/>
    <w:rsid w:val="00E3431F"/>
    <w:rsid w:val="00E51614"/>
    <w:rsid w:val="00E81C16"/>
    <w:rsid w:val="00EA3F78"/>
    <w:rsid w:val="00EC54D2"/>
    <w:rsid w:val="00EC67AF"/>
    <w:rsid w:val="00EF1AF4"/>
    <w:rsid w:val="00F055F6"/>
    <w:rsid w:val="00F2056B"/>
    <w:rsid w:val="00F20837"/>
    <w:rsid w:val="00F22B30"/>
    <w:rsid w:val="00F53A94"/>
    <w:rsid w:val="00F640DF"/>
    <w:rsid w:val="00F70AB6"/>
    <w:rsid w:val="00F7422A"/>
    <w:rsid w:val="00F83C87"/>
    <w:rsid w:val="00F86CE2"/>
    <w:rsid w:val="00F87B95"/>
    <w:rsid w:val="00F907FA"/>
    <w:rsid w:val="00F9526D"/>
    <w:rsid w:val="00FA0C70"/>
    <w:rsid w:val="00FA0E08"/>
    <w:rsid w:val="00FA1581"/>
    <w:rsid w:val="00FB1D9D"/>
    <w:rsid w:val="00FB344F"/>
    <w:rsid w:val="00FC1671"/>
    <w:rsid w:val="00FC26C4"/>
    <w:rsid w:val="00FC55A9"/>
    <w:rsid w:val="00FC61F4"/>
    <w:rsid w:val="00FE567B"/>
    <w:rsid w:val="00FF04D2"/>
    <w:rsid w:val="01092090"/>
    <w:rsid w:val="01150CE5"/>
    <w:rsid w:val="012D0479"/>
    <w:rsid w:val="013E4434"/>
    <w:rsid w:val="01443960"/>
    <w:rsid w:val="01522BA6"/>
    <w:rsid w:val="01573A89"/>
    <w:rsid w:val="01604A44"/>
    <w:rsid w:val="01683C80"/>
    <w:rsid w:val="01786AFF"/>
    <w:rsid w:val="017E69E2"/>
    <w:rsid w:val="01817196"/>
    <w:rsid w:val="018914DA"/>
    <w:rsid w:val="01921E45"/>
    <w:rsid w:val="01C100BF"/>
    <w:rsid w:val="01C7267B"/>
    <w:rsid w:val="01DA5D05"/>
    <w:rsid w:val="01DE74ED"/>
    <w:rsid w:val="02184C85"/>
    <w:rsid w:val="021D78B2"/>
    <w:rsid w:val="022853BD"/>
    <w:rsid w:val="025E5AA3"/>
    <w:rsid w:val="02865755"/>
    <w:rsid w:val="029D30BB"/>
    <w:rsid w:val="02A56E25"/>
    <w:rsid w:val="02B0085D"/>
    <w:rsid w:val="02B82783"/>
    <w:rsid w:val="02BC1AB4"/>
    <w:rsid w:val="02E6682E"/>
    <w:rsid w:val="02E84495"/>
    <w:rsid w:val="03002CA8"/>
    <w:rsid w:val="031F4C29"/>
    <w:rsid w:val="03301255"/>
    <w:rsid w:val="033A0EA0"/>
    <w:rsid w:val="034E6C67"/>
    <w:rsid w:val="036C34DA"/>
    <w:rsid w:val="039E11BA"/>
    <w:rsid w:val="03AD515F"/>
    <w:rsid w:val="03C84489"/>
    <w:rsid w:val="03C965AB"/>
    <w:rsid w:val="03CB005F"/>
    <w:rsid w:val="03DA6E64"/>
    <w:rsid w:val="03DC0F11"/>
    <w:rsid w:val="03DF4FCF"/>
    <w:rsid w:val="03EE30EC"/>
    <w:rsid w:val="03FA7CEE"/>
    <w:rsid w:val="043A45FB"/>
    <w:rsid w:val="044B3A7E"/>
    <w:rsid w:val="04514D05"/>
    <w:rsid w:val="0462668B"/>
    <w:rsid w:val="04711E59"/>
    <w:rsid w:val="047A7FDB"/>
    <w:rsid w:val="04B22726"/>
    <w:rsid w:val="04C86263"/>
    <w:rsid w:val="05117204"/>
    <w:rsid w:val="051E5D4A"/>
    <w:rsid w:val="05266E4D"/>
    <w:rsid w:val="057F0E66"/>
    <w:rsid w:val="059A6A0C"/>
    <w:rsid w:val="059F34DA"/>
    <w:rsid w:val="05A93688"/>
    <w:rsid w:val="05D61AB1"/>
    <w:rsid w:val="05D80FC6"/>
    <w:rsid w:val="05F601B2"/>
    <w:rsid w:val="05FA2885"/>
    <w:rsid w:val="06565D7C"/>
    <w:rsid w:val="0664493D"/>
    <w:rsid w:val="06AA2C8D"/>
    <w:rsid w:val="06B1380C"/>
    <w:rsid w:val="06CB24CD"/>
    <w:rsid w:val="06D1511F"/>
    <w:rsid w:val="06D60F51"/>
    <w:rsid w:val="06D94E7B"/>
    <w:rsid w:val="06FD01B8"/>
    <w:rsid w:val="071029B6"/>
    <w:rsid w:val="07346507"/>
    <w:rsid w:val="073F2193"/>
    <w:rsid w:val="076F6C65"/>
    <w:rsid w:val="078E6B4F"/>
    <w:rsid w:val="07D84963"/>
    <w:rsid w:val="07E16EE2"/>
    <w:rsid w:val="07FC5379"/>
    <w:rsid w:val="08597391"/>
    <w:rsid w:val="085E5421"/>
    <w:rsid w:val="086D4E20"/>
    <w:rsid w:val="08882C6E"/>
    <w:rsid w:val="08950665"/>
    <w:rsid w:val="089A15A8"/>
    <w:rsid w:val="089E62C6"/>
    <w:rsid w:val="09403E87"/>
    <w:rsid w:val="09525596"/>
    <w:rsid w:val="095D3BDF"/>
    <w:rsid w:val="097C44C0"/>
    <w:rsid w:val="09823932"/>
    <w:rsid w:val="09D10C1B"/>
    <w:rsid w:val="09DE123F"/>
    <w:rsid w:val="09EC5F0C"/>
    <w:rsid w:val="09F868E0"/>
    <w:rsid w:val="0A04041B"/>
    <w:rsid w:val="0A2450AA"/>
    <w:rsid w:val="0A494730"/>
    <w:rsid w:val="0A4B3734"/>
    <w:rsid w:val="0A764C3F"/>
    <w:rsid w:val="0A87036F"/>
    <w:rsid w:val="0A8D36B2"/>
    <w:rsid w:val="0AA80A80"/>
    <w:rsid w:val="0AF71B51"/>
    <w:rsid w:val="0B186C1A"/>
    <w:rsid w:val="0B1C0DD8"/>
    <w:rsid w:val="0B6C5E87"/>
    <w:rsid w:val="0B777308"/>
    <w:rsid w:val="0B836C77"/>
    <w:rsid w:val="0B9D61FB"/>
    <w:rsid w:val="0BA2713F"/>
    <w:rsid w:val="0BB836A7"/>
    <w:rsid w:val="0BBE2360"/>
    <w:rsid w:val="0BC74676"/>
    <w:rsid w:val="0BC91BF2"/>
    <w:rsid w:val="0BCD4DA5"/>
    <w:rsid w:val="0BD7170D"/>
    <w:rsid w:val="0BFD72CC"/>
    <w:rsid w:val="0BFE03DA"/>
    <w:rsid w:val="0C1E29BD"/>
    <w:rsid w:val="0C32639D"/>
    <w:rsid w:val="0C3A5E6D"/>
    <w:rsid w:val="0C5A0060"/>
    <w:rsid w:val="0C9814B5"/>
    <w:rsid w:val="0CAA338F"/>
    <w:rsid w:val="0CB56A46"/>
    <w:rsid w:val="0CB8153E"/>
    <w:rsid w:val="0CE768F3"/>
    <w:rsid w:val="0CEA15C0"/>
    <w:rsid w:val="0CEC11E8"/>
    <w:rsid w:val="0CEC224A"/>
    <w:rsid w:val="0CF462EF"/>
    <w:rsid w:val="0CF94377"/>
    <w:rsid w:val="0D15474B"/>
    <w:rsid w:val="0D2721D6"/>
    <w:rsid w:val="0D32412C"/>
    <w:rsid w:val="0D397CED"/>
    <w:rsid w:val="0D3C216F"/>
    <w:rsid w:val="0D4B4CD3"/>
    <w:rsid w:val="0D55238A"/>
    <w:rsid w:val="0D690A8B"/>
    <w:rsid w:val="0D863451"/>
    <w:rsid w:val="0D9532D4"/>
    <w:rsid w:val="0D9B351C"/>
    <w:rsid w:val="0DC539CC"/>
    <w:rsid w:val="0DD73C46"/>
    <w:rsid w:val="0E47352C"/>
    <w:rsid w:val="0E5C3DCB"/>
    <w:rsid w:val="0E8801E2"/>
    <w:rsid w:val="0E911D75"/>
    <w:rsid w:val="0E931724"/>
    <w:rsid w:val="0ECF4F4C"/>
    <w:rsid w:val="0EF5494D"/>
    <w:rsid w:val="0EFC06C6"/>
    <w:rsid w:val="0F457D78"/>
    <w:rsid w:val="0F4D71B1"/>
    <w:rsid w:val="0F576D81"/>
    <w:rsid w:val="0F5A3F5F"/>
    <w:rsid w:val="0F813E01"/>
    <w:rsid w:val="0F900A8A"/>
    <w:rsid w:val="0F9136EF"/>
    <w:rsid w:val="0FA276D8"/>
    <w:rsid w:val="0FBC1346"/>
    <w:rsid w:val="100617DE"/>
    <w:rsid w:val="10150A56"/>
    <w:rsid w:val="10211D05"/>
    <w:rsid w:val="10470360"/>
    <w:rsid w:val="105300C1"/>
    <w:rsid w:val="105350F0"/>
    <w:rsid w:val="10872343"/>
    <w:rsid w:val="108F0808"/>
    <w:rsid w:val="108F489C"/>
    <w:rsid w:val="10993435"/>
    <w:rsid w:val="109D11DA"/>
    <w:rsid w:val="10AC13BA"/>
    <w:rsid w:val="10B014DA"/>
    <w:rsid w:val="10BA23AC"/>
    <w:rsid w:val="10C24133"/>
    <w:rsid w:val="10D8379B"/>
    <w:rsid w:val="10D96D2F"/>
    <w:rsid w:val="10EF574B"/>
    <w:rsid w:val="10F67A21"/>
    <w:rsid w:val="110E6E32"/>
    <w:rsid w:val="111F4200"/>
    <w:rsid w:val="112453F4"/>
    <w:rsid w:val="11382EB1"/>
    <w:rsid w:val="114F27CD"/>
    <w:rsid w:val="11553F80"/>
    <w:rsid w:val="1161538D"/>
    <w:rsid w:val="116E041E"/>
    <w:rsid w:val="11B524F0"/>
    <w:rsid w:val="11BC6149"/>
    <w:rsid w:val="11BE77BD"/>
    <w:rsid w:val="11DB29DB"/>
    <w:rsid w:val="11EA286B"/>
    <w:rsid w:val="12255BFE"/>
    <w:rsid w:val="12420B07"/>
    <w:rsid w:val="12457317"/>
    <w:rsid w:val="125C13D5"/>
    <w:rsid w:val="127678A8"/>
    <w:rsid w:val="1297450B"/>
    <w:rsid w:val="129E21B2"/>
    <w:rsid w:val="12A232B2"/>
    <w:rsid w:val="12B417E2"/>
    <w:rsid w:val="12BD714C"/>
    <w:rsid w:val="12D60F59"/>
    <w:rsid w:val="1325123C"/>
    <w:rsid w:val="132F5F52"/>
    <w:rsid w:val="13376A95"/>
    <w:rsid w:val="13385187"/>
    <w:rsid w:val="13A0446F"/>
    <w:rsid w:val="13C40F9F"/>
    <w:rsid w:val="13E156B5"/>
    <w:rsid w:val="13EA2A63"/>
    <w:rsid w:val="1414323A"/>
    <w:rsid w:val="142C45C0"/>
    <w:rsid w:val="14394E19"/>
    <w:rsid w:val="14494B90"/>
    <w:rsid w:val="146A3C93"/>
    <w:rsid w:val="14BD45AD"/>
    <w:rsid w:val="14C15116"/>
    <w:rsid w:val="14C34F24"/>
    <w:rsid w:val="14CE5C89"/>
    <w:rsid w:val="14CE7B96"/>
    <w:rsid w:val="14F31730"/>
    <w:rsid w:val="152B0972"/>
    <w:rsid w:val="15400323"/>
    <w:rsid w:val="15590791"/>
    <w:rsid w:val="157545F9"/>
    <w:rsid w:val="157651D8"/>
    <w:rsid w:val="157E6DCE"/>
    <w:rsid w:val="15A12282"/>
    <w:rsid w:val="15AF7257"/>
    <w:rsid w:val="15C66D59"/>
    <w:rsid w:val="15D649DC"/>
    <w:rsid w:val="15DD358D"/>
    <w:rsid w:val="15FB0469"/>
    <w:rsid w:val="160C1D97"/>
    <w:rsid w:val="160C6EEC"/>
    <w:rsid w:val="163C3478"/>
    <w:rsid w:val="163F54FB"/>
    <w:rsid w:val="1659158D"/>
    <w:rsid w:val="16591BC5"/>
    <w:rsid w:val="1663363A"/>
    <w:rsid w:val="167045FC"/>
    <w:rsid w:val="16704C38"/>
    <w:rsid w:val="16BA0272"/>
    <w:rsid w:val="16D40DE1"/>
    <w:rsid w:val="16E05432"/>
    <w:rsid w:val="172B2476"/>
    <w:rsid w:val="174A32A5"/>
    <w:rsid w:val="175956CC"/>
    <w:rsid w:val="17643646"/>
    <w:rsid w:val="179A4712"/>
    <w:rsid w:val="17CA481C"/>
    <w:rsid w:val="17CC3ED4"/>
    <w:rsid w:val="17D7040C"/>
    <w:rsid w:val="17EE3251"/>
    <w:rsid w:val="17F11DA8"/>
    <w:rsid w:val="17FD074D"/>
    <w:rsid w:val="180F222F"/>
    <w:rsid w:val="182B4989"/>
    <w:rsid w:val="183A54FD"/>
    <w:rsid w:val="18631F3A"/>
    <w:rsid w:val="186936F3"/>
    <w:rsid w:val="18940FCA"/>
    <w:rsid w:val="18947295"/>
    <w:rsid w:val="18A746DB"/>
    <w:rsid w:val="18AC1846"/>
    <w:rsid w:val="18C54E50"/>
    <w:rsid w:val="18C61307"/>
    <w:rsid w:val="18E57DA6"/>
    <w:rsid w:val="19020E18"/>
    <w:rsid w:val="192B08D4"/>
    <w:rsid w:val="193C34F7"/>
    <w:rsid w:val="194E2DA6"/>
    <w:rsid w:val="196A7494"/>
    <w:rsid w:val="198253AE"/>
    <w:rsid w:val="198923A7"/>
    <w:rsid w:val="198B333F"/>
    <w:rsid w:val="19AC578D"/>
    <w:rsid w:val="19B17A41"/>
    <w:rsid w:val="19BA4D9C"/>
    <w:rsid w:val="19E61847"/>
    <w:rsid w:val="1A045DC3"/>
    <w:rsid w:val="1A124223"/>
    <w:rsid w:val="1A151A88"/>
    <w:rsid w:val="1A334131"/>
    <w:rsid w:val="1A630F21"/>
    <w:rsid w:val="1A6E576A"/>
    <w:rsid w:val="1A8D7FA6"/>
    <w:rsid w:val="1AA4136C"/>
    <w:rsid w:val="1AB30F83"/>
    <w:rsid w:val="1AD774E9"/>
    <w:rsid w:val="1ADD1E1B"/>
    <w:rsid w:val="1B0713FC"/>
    <w:rsid w:val="1B342C4F"/>
    <w:rsid w:val="1B9C48FD"/>
    <w:rsid w:val="1BA32634"/>
    <w:rsid w:val="1BA7738B"/>
    <w:rsid w:val="1BBC2859"/>
    <w:rsid w:val="1BD66A20"/>
    <w:rsid w:val="1BE22134"/>
    <w:rsid w:val="1BE53628"/>
    <w:rsid w:val="1BEE7988"/>
    <w:rsid w:val="1C2956EE"/>
    <w:rsid w:val="1C394DB6"/>
    <w:rsid w:val="1C3D7A87"/>
    <w:rsid w:val="1C533032"/>
    <w:rsid w:val="1C6E39C8"/>
    <w:rsid w:val="1C7860F9"/>
    <w:rsid w:val="1C7F561C"/>
    <w:rsid w:val="1C94231B"/>
    <w:rsid w:val="1CA048A8"/>
    <w:rsid w:val="1CBF4223"/>
    <w:rsid w:val="1D036806"/>
    <w:rsid w:val="1D0427A8"/>
    <w:rsid w:val="1D1D5D1E"/>
    <w:rsid w:val="1D243CDC"/>
    <w:rsid w:val="1D3C3AC6"/>
    <w:rsid w:val="1D63422B"/>
    <w:rsid w:val="1D6D282C"/>
    <w:rsid w:val="1D6E4A05"/>
    <w:rsid w:val="1D7A639C"/>
    <w:rsid w:val="1D8E4E63"/>
    <w:rsid w:val="1DA8641B"/>
    <w:rsid w:val="1DC1221D"/>
    <w:rsid w:val="1DC37A1A"/>
    <w:rsid w:val="1DD367F4"/>
    <w:rsid w:val="1DF372AA"/>
    <w:rsid w:val="1DFF3AF2"/>
    <w:rsid w:val="1DFF5567"/>
    <w:rsid w:val="1E131876"/>
    <w:rsid w:val="1E14074F"/>
    <w:rsid w:val="1E1F7DE5"/>
    <w:rsid w:val="1E234C86"/>
    <w:rsid w:val="1E8A6B3B"/>
    <w:rsid w:val="1E8E3BCF"/>
    <w:rsid w:val="1EBA3929"/>
    <w:rsid w:val="1EBC4DE8"/>
    <w:rsid w:val="1ED657D3"/>
    <w:rsid w:val="1EFB3574"/>
    <w:rsid w:val="1F1E28FB"/>
    <w:rsid w:val="1F332CA6"/>
    <w:rsid w:val="1F3C2B91"/>
    <w:rsid w:val="1F3F2FF9"/>
    <w:rsid w:val="1F4B047A"/>
    <w:rsid w:val="1F9D049A"/>
    <w:rsid w:val="1FC02D93"/>
    <w:rsid w:val="1FD955FC"/>
    <w:rsid w:val="1FE83022"/>
    <w:rsid w:val="20120B0E"/>
    <w:rsid w:val="202F1635"/>
    <w:rsid w:val="20360903"/>
    <w:rsid w:val="20402FF6"/>
    <w:rsid w:val="2052204A"/>
    <w:rsid w:val="207870BD"/>
    <w:rsid w:val="2081292C"/>
    <w:rsid w:val="209E31F8"/>
    <w:rsid w:val="20A15033"/>
    <w:rsid w:val="20B10327"/>
    <w:rsid w:val="20B816B5"/>
    <w:rsid w:val="20E740EA"/>
    <w:rsid w:val="20EA631A"/>
    <w:rsid w:val="21151A96"/>
    <w:rsid w:val="211D38AB"/>
    <w:rsid w:val="21820E75"/>
    <w:rsid w:val="218E0C44"/>
    <w:rsid w:val="219127B3"/>
    <w:rsid w:val="2193306B"/>
    <w:rsid w:val="219942F9"/>
    <w:rsid w:val="219D2D23"/>
    <w:rsid w:val="21C44A9A"/>
    <w:rsid w:val="21EC1E27"/>
    <w:rsid w:val="21FC0566"/>
    <w:rsid w:val="220A457C"/>
    <w:rsid w:val="220A5007"/>
    <w:rsid w:val="221D1E7A"/>
    <w:rsid w:val="22301CFC"/>
    <w:rsid w:val="223905D4"/>
    <w:rsid w:val="22421B7E"/>
    <w:rsid w:val="22453220"/>
    <w:rsid w:val="2245744C"/>
    <w:rsid w:val="22586564"/>
    <w:rsid w:val="226A08F0"/>
    <w:rsid w:val="228601D5"/>
    <w:rsid w:val="22A56343"/>
    <w:rsid w:val="22F87E4C"/>
    <w:rsid w:val="22FD695A"/>
    <w:rsid w:val="23007343"/>
    <w:rsid w:val="2306757E"/>
    <w:rsid w:val="23272F9C"/>
    <w:rsid w:val="233539C2"/>
    <w:rsid w:val="23417508"/>
    <w:rsid w:val="236B42F1"/>
    <w:rsid w:val="237C0B6D"/>
    <w:rsid w:val="2399789A"/>
    <w:rsid w:val="239B2DBC"/>
    <w:rsid w:val="23B045E4"/>
    <w:rsid w:val="23C12F77"/>
    <w:rsid w:val="23DB5160"/>
    <w:rsid w:val="23DF3726"/>
    <w:rsid w:val="23EB7FF4"/>
    <w:rsid w:val="23F57AFC"/>
    <w:rsid w:val="240E0BCA"/>
    <w:rsid w:val="241C1840"/>
    <w:rsid w:val="24A37BC2"/>
    <w:rsid w:val="24AA3A0B"/>
    <w:rsid w:val="24DF7405"/>
    <w:rsid w:val="24ED6254"/>
    <w:rsid w:val="24F87B37"/>
    <w:rsid w:val="2509610E"/>
    <w:rsid w:val="2515370F"/>
    <w:rsid w:val="25360354"/>
    <w:rsid w:val="25AD30A0"/>
    <w:rsid w:val="25F66A48"/>
    <w:rsid w:val="262B62EF"/>
    <w:rsid w:val="265A104A"/>
    <w:rsid w:val="26657B7E"/>
    <w:rsid w:val="266B6CB8"/>
    <w:rsid w:val="268D7140"/>
    <w:rsid w:val="26961A2A"/>
    <w:rsid w:val="269C6296"/>
    <w:rsid w:val="26C021F4"/>
    <w:rsid w:val="26C5617A"/>
    <w:rsid w:val="26D1073F"/>
    <w:rsid w:val="26D46B1D"/>
    <w:rsid w:val="26E20586"/>
    <w:rsid w:val="26E23A43"/>
    <w:rsid w:val="26E41445"/>
    <w:rsid w:val="26EB4911"/>
    <w:rsid w:val="270569D9"/>
    <w:rsid w:val="27181B7A"/>
    <w:rsid w:val="274818C8"/>
    <w:rsid w:val="276150C2"/>
    <w:rsid w:val="276161F2"/>
    <w:rsid w:val="276578D0"/>
    <w:rsid w:val="27715E0D"/>
    <w:rsid w:val="27867A1D"/>
    <w:rsid w:val="27D02DCF"/>
    <w:rsid w:val="27D93086"/>
    <w:rsid w:val="27ED2023"/>
    <w:rsid w:val="27F9199C"/>
    <w:rsid w:val="280010A1"/>
    <w:rsid w:val="281914C3"/>
    <w:rsid w:val="282067CE"/>
    <w:rsid w:val="2824686A"/>
    <w:rsid w:val="28631C5C"/>
    <w:rsid w:val="286B2C34"/>
    <w:rsid w:val="28760D0C"/>
    <w:rsid w:val="28823561"/>
    <w:rsid w:val="288F719F"/>
    <w:rsid w:val="28A1072E"/>
    <w:rsid w:val="28D62084"/>
    <w:rsid w:val="2904400B"/>
    <w:rsid w:val="291947B9"/>
    <w:rsid w:val="291C3D7C"/>
    <w:rsid w:val="29211DC2"/>
    <w:rsid w:val="29257B04"/>
    <w:rsid w:val="29407343"/>
    <w:rsid w:val="29633FB2"/>
    <w:rsid w:val="29711B0A"/>
    <w:rsid w:val="29732A72"/>
    <w:rsid w:val="2977348C"/>
    <w:rsid w:val="29945C1B"/>
    <w:rsid w:val="29AD0D5D"/>
    <w:rsid w:val="29BA27A6"/>
    <w:rsid w:val="29E9444A"/>
    <w:rsid w:val="29FF1EA4"/>
    <w:rsid w:val="2A0002AE"/>
    <w:rsid w:val="2A052857"/>
    <w:rsid w:val="2A0A24C3"/>
    <w:rsid w:val="2A0D18E3"/>
    <w:rsid w:val="2A1042EA"/>
    <w:rsid w:val="2A133E00"/>
    <w:rsid w:val="2A2C59C6"/>
    <w:rsid w:val="2A307D13"/>
    <w:rsid w:val="2A343366"/>
    <w:rsid w:val="2A445C52"/>
    <w:rsid w:val="2A5F325C"/>
    <w:rsid w:val="2A7C5220"/>
    <w:rsid w:val="2A934BD4"/>
    <w:rsid w:val="2A947591"/>
    <w:rsid w:val="2A9F0201"/>
    <w:rsid w:val="2AB72CFE"/>
    <w:rsid w:val="2AC5487E"/>
    <w:rsid w:val="2ACB7B38"/>
    <w:rsid w:val="2ADC7671"/>
    <w:rsid w:val="2AFD18CB"/>
    <w:rsid w:val="2B0F26DB"/>
    <w:rsid w:val="2B103944"/>
    <w:rsid w:val="2B1C6A30"/>
    <w:rsid w:val="2B1F2086"/>
    <w:rsid w:val="2B394BBF"/>
    <w:rsid w:val="2B445D20"/>
    <w:rsid w:val="2B481AA5"/>
    <w:rsid w:val="2B487ADA"/>
    <w:rsid w:val="2B4E75A2"/>
    <w:rsid w:val="2B6A1B7F"/>
    <w:rsid w:val="2B6D7540"/>
    <w:rsid w:val="2B7E174D"/>
    <w:rsid w:val="2B8633A6"/>
    <w:rsid w:val="2BB825B0"/>
    <w:rsid w:val="2BC92536"/>
    <w:rsid w:val="2BD4552F"/>
    <w:rsid w:val="2BD82C0B"/>
    <w:rsid w:val="2BDD05B1"/>
    <w:rsid w:val="2BE409FE"/>
    <w:rsid w:val="2BE71F26"/>
    <w:rsid w:val="2C1A3224"/>
    <w:rsid w:val="2C2438DA"/>
    <w:rsid w:val="2C29232C"/>
    <w:rsid w:val="2C343987"/>
    <w:rsid w:val="2C416A03"/>
    <w:rsid w:val="2C4653FC"/>
    <w:rsid w:val="2C4D4F42"/>
    <w:rsid w:val="2C77402E"/>
    <w:rsid w:val="2C80479D"/>
    <w:rsid w:val="2C90240B"/>
    <w:rsid w:val="2C9254B0"/>
    <w:rsid w:val="2CB91B21"/>
    <w:rsid w:val="2CD56185"/>
    <w:rsid w:val="2CD83541"/>
    <w:rsid w:val="2CF42E39"/>
    <w:rsid w:val="2D1519FD"/>
    <w:rsid w:val="2D551FD6"/>
    <w:rsid w:val="2D6530D9"/>
    <w:rsid w:val="2D6A61F4"/>
    <w:rsid w:val="2D6D54AF"/>
    <w:rsid w:val="2D7C44D2"/>
    <w:rsid w:val="2D8D1B9B"/>
    <w:rsid w:val="2DC15613"/>
    <w:rsid w:val="2DDE2344"/>
    <w:rsid w:val="2DFE766A"/>
    <w:rsid w:val="2E4310F5"/>
    <w:rsid w:val="2E765E78"/>
    <w:rsid w:val="2E7B1F74"/>
    <w:rsid w:val="2E862DF3"/>
    <w:rsid w:val="2E922FE1"/>
    <w:rsid w:val="2EBE640C"/>
    <w:rsid w:val="2EE31FF3"/>
    <w:rsid w:val="2F047A1F"/>
    <w:rsid w:val="2F0D407F"/>
    <w:rsid w:val="2F667ECE"/>
    <w:rsid w:val="2FA02DFB"/>
    <w:rsid w:val="2FB40EA2"/>
    <w:rsid w:val="2FC008CA"/>
    <w:rsid w:val="2FCA7487"/>
    <w:rsid w:val="2FE32697"/>
    <w:rsid w:val="3001584D"/>
    <w:rsid w:val="30051E70"/>
    <w:rsid w:val="30444D13"/>
    <w:rsid w:val="30487E23"/>
    <w:rsid w:val="306235B5"/>
    <w:rsid w:val="306E3305"/>
    <w:rsid w:val="309B67DB"/>
    <w:rsid w:val="30BB3543"/>
    <w:rsid w:val="30CA07D5"/>
    <w:rsid w:val="30E01EA3"/>
    <w:rsid w:val="30E91417"/>
    <w:rsid w:val="30FD0B8E"/>
    <w:rsid w:val="31532102"/>
    <w:rsid w:val="31973A2D"/>
    <w:rsid w:val="31994BEB"/>
    <w:rsid w:val="31A6397F"/>
    <w:rsid w:val="31A96332"/>
    <w:rsid w:val="31D83A26"/>
    <w:rsid w:val="31ED4F37"/>
    <w:rsid w:val="320533D7"/>
    <w:rsid w:val="32073322"/>
    <w:rsid w:val="32463BF6"/>
    <w:rsid w:val="324E3C27"/>
    <w:rsid w:val="325154C6"/>
    <w:rsid w:val="3255631A"/>
    <w:rsid w:val="325A563E"/>
    <w:rsid w:val="32880362"/>
    <w:rsid w:val="328817CF"/>
    <w:rsid w:val="329C3A14"/>
    <w:rsid w:val="32AC3044"/>
    <w:rsid w:val="32C263C3"/>
    <w:rsid w:val="32C97332"/>
    <w:rsid w:val="32D63C1D"/>
    <w:rsid w:val="32E439BE"/>
    <w:rsid w:val="32F10A57"/>
    <w:rsid w:val="32FD564D"/>
    <w:rsid w:val="330D3AE3"/>
    <w:rsid w:val="333F2EE2"/>
    <w:rsid w:val="334641D6"/>
    <w:rsid w:val="335039CF"/>
    <w:rsid w:val="337643C0"/>
    <w:rsid w:val="3398596D"/>
    <w:rsid w:val="339C71B8"/>
    <w:rsid w:val="33C002C9"/>
    <w:rsid w:val="33DD09F5"/>
    <w:rsid w:val="33DF2EF6"/>
    <w:rsid w:val="33E249D7"/>
    <w:rsid w:val="33ED0AAA"/>
    <w:rsid w:val="33F22302"/>
    <w:rsid w:val="340B0E0D"/>
    <w:rsid w:val="34314AF1"/>
    <w:rsid w:val="344E182C"/>
    <w:rsid w:val="34584E85"/>
    <w:rsid w:val="34647DE6"/>
    <w:rsid w:val="34861F04"/>
    <w:rsid w:val="34A37B14"/>
    <w:rsid w:val="34A41838"/>
    <w:rsid w:val="34DD3309"/>
    <w:rsid w:val="3516753D"/>
    <w:rsid w:val="35245113"/>
    <w:rsid w:val="353D7F83"/>
    <w:rsid w:val="35753BC1"/>
    <w:rsid w:val="35CD45C4"/>
    <w:rsid w:val="35D20B8C"/>
    <w:rsid w:val="35F40894"/>
    <w:rsid w:val="35F47278"/>
    <w:rsid w:val="36174C78"/>
    <w:rsid w:val="36346D46"/>
    <w:rsid w:val="36482ECF"/>
    <w:rsid w:val="3674478B"/>
    <w:rsid w:val="368045CB"/>
    <w:rsid w:val="369A1104"/>
    <w:rsid w:val="36B27631"/>
    <w:rsid w:val="36D414C4"/>
    <w:rsid w:val="36ED0763"/>
    <w:rsid w:val="36FF3D71"/>
    <w:rsid w:val="3724598F"/>
    <w:rsid w:val="37255B7B"/>
    <w:rsid w:val="37406CE9"/>
    <w:rsid w:val="3743183F"/>
    <w:rsid w:val="37593C30"/>
    <w:rsid w:val="37892453"/>
    <w:rsid w:val="37936580"/>
    <w:rsid w:val="37C60704"/>
    <w:rsid w:val="37F42B6B"/>
    <w:rsid w:val="37F57115"/>
    <w:rsid w:val="380247B9"/>
    <w:rsid w:val="38083D4D"/>
    <w:rsid w:val="38204CD5"/>
    <w:rsid w:val="386F1539"/>
    <w:rsid w:val="387C703E"/>
    <w:rsid w:val="38894D98"/>
    <w:rsid w:val="38962B62"/>
    <w:rsid w:val="38AF15F0"/>
    <w:rsid w:val="38B844F1"/>
    <w:rsid w:val="38C70290"/>
    <w:rsid w:val="38DF727B"/>
    <w:rsid w:val="38F44DFD"/>
    <w:rsid w:val="391401DA"/>
    <w:rsid w:val="39545602"/>
    <w:rsid w:val="397C544B"/>
    <w:rsid w:val="398C5FB8"/>
    <w:rsid w:val="398D539F"/>
    <w:rsid w:val="39AB5AD8"/>
    <w:rsid w:val="39D8471E"/>
    <w:rsid w:val="3A035A45"/>
    <w:rsid w:val="3A0E7B59"/>
    <w:rsid w:val="3A361B71"/>
    <w:rsid w:val="3A483652"/>
    <w:rsid w:val="3A532A8E"/>
    <w:rsid w:val="3A5E3FDB"/>
    <w:rsid w:val="3A60331E"/>
    <w:rsid w:val="3A656B5C"/>
    <w:rsid w:val="3A704B3D"/>
    <w:rsid w:val="3A952A02"/>
    <w:rsid w:val="3AC36A26"/>
    <w:rsid w:val="3AC832DB"/>
    <w:rsid w:val="3ADF27B4"/>
    <w:rsid w:val="3B0312A1"/>
    <w:rsid w:val="3B336623"/>
    <w:rsid w:val="3B3635ED"/>
    <w:rsid w:val="3B3B7DEA"/>
    <w:rsid w:val="3B4042C6"/>
    <w:rsid w:val="3B420818"/>
    <w:rsid w:val="3B4E4D37"/>
    <w:rsid w:val="3B585B17"/>
    <w:rsid w:val="3B605EAE"/>
    <w:rsid w:val="3B7E3D63"/>
    <w:rsid w:val="3B8B1429"/>
    <w:rsid w:val="3B9B5455"/>
    <w:rsid w:val="3BA0301A"/>
    <w:rsid w:val="3BA63F13"/>
    <w:rsid w:val="3BAC7CCE"/>
    <w:rsid w:val="3BAD0FDB"/>
    <w:rsid w:val="3BD65A1D"/>
    <w:rsid w:val="3BE13D5E"/>
    <w:rsid w:val="3C031E27"/>
    <w:rsid w:val="3C875353"/>
    <w:rsid w:val="3C9E39FD"/>
    <w:rsid w:val="3C9E48D2"/>
    <w:rsid w:val="3CE10D02"/>
    <w:rsid w:val="3CF906C0"/>
    <w:rsid w:val="3D3E6B45"/>
    <w:rsid w:val="3D64137B"/>
    <w:rsid w:val="3D6B30DD"/>
    <w:rsid w:val="3D7B276A"/>
    <w:rsid w:val="3D9E0C11"/>
    <w:rsid w:val="3DC75DDA"/>
    <w:rsid w:val="3DD17008"/>
    <w:rsid w:val="3DE91159"/>
    <w:rsid w:val="3E1F5F94"/>
    <w:rsid w:val="3E37026C"/>
    <w:rsid w:val="3E3B04C1"/>
    <w:rsid w:val="3E3D619C"/>
    <w:rsid w:val="3E5D75B6"/>
    <w:rsid w:val="3E6D18D9"/>
    <w:rsid w:val="3E7C0750"/>
    <w:rsid w:val="3E8527C7"/>
    <w:rsid w:val="3EB2382D"/>
    <w:rsid w:val="3ED80049"/>
    <w:rsid w:val="3EE34F82"/>
    <w:rsid w:val="3EFC126B"/>
    <w:rsid w:val="3F0F414C"/>
    <w:rsid w:val="3F56125F"/>
    <w:rsid w:val="3F5F4D5C"/>
    <w:rsid w:val="3F6922C0"/>
    <w:rsid w:val="3F7A0CC3"/>
    <w:rsid w:val="3FBB7954"/>
    <w:rsid w:val="3FC32742"/>
    <w:rsid w:val="3FE12B33"/>
    <w:rsid w:val="3FEA0D08"/>
    <w:rsid w:val="40304DB2"/>
    <w:rsid w:val="403C5C9B"/>
    <w:rsid w:val="40843844"/>
    <w:rsid w:val="40860A30"/>
    <w:rsid w:val="40916E7B"/>
    <w:rsid w:val="40997015"/>
    <w:rsid w:val="40BA4B7E"/>
    <w:rsid w:val="40C61775"/>
    <w:rsid w:val="40D6309B"/>
    <w:rsid w:val="40DB1D4C"/>
    <w:rsid w:val="40E44B67"/>
    <w:rsid w:val="40EC2A35"/>
    <w:rsid w:val="40F70E2B"/>
    <w:rsid w:val="4105229D"/>
    <w:rsid w:val="410D5C48"/>
    <w:rsid w:val="411E04AF"/>
    <w:rsid w:val="412451C6"/>
    <w:rsid w:val="413F1C61"/>
    <w:rsid w:val="414D38B4"/>
    <w:rsid w:val="416A5E0A"/>
    <w:rsid w:val="41871BAC"/>
    <w:rsid w:val="4199585A"/>
    <w:rsid w:val="419F7403"/>
    <w:rsid w:val="41C11747"/>
    <w:rsid w:val="41C51A2C"/>
    <w:rsid w:val="41C6125E"/>
    <w:rsid w:val="41C87AD3"/>
    <w:rsid w:val="41DB4DAC"/>
    <w:rsid w:val="41DC3F2D"/>
    <w:rsid w:val="42154762"/>
    <w:rsid w:val="42250FE1"/>
    <w:rsid w:val="425E0FAA"/>
    <w:rsid w:val="427C708B"/>
    <w:rsid w:val="42846187"/>
    <w:rsid w:val="428C169C"/>
    <w:rsid w:val="428F2DF5"/>
    <w:rsid w:val="42A46591"/>
    <w:rsid w:val="42C13A57"/>
    <w:rsid w:val="42E934F8"/>
    <w:rsid w:val="431613E9"/>
    <w:rsid w:val="4327227D"/>
    <w:rsid w:val="434A34C4"/>
    <w:rsid w:val="435A1AD5"/>
    <w:rsid w:val="43674C5D"/>
    <w:rsid w:val="43735A6D"/>
    <w:rsid w:val="437804BE"/>
    <w:rsid w:val="438D1AFF"/>
    <w:rsid w:val="43923B90"/>
    <w:rsid w:val="43985028"/>
    <w:rsid w:val="43A049F8"/>
    <w:rsid w:val="43A96511"/>
    <w:rsid w:val="43BA759D"/>
    <w:rsid w:val="43C57AC2"/>
    <w:rsid w:val="43C87087"/>
    <w:rsid w:val="43F0608D"/>
    <w:rsid w:val="43FA626A"/>
    <w:rsid w:val="440A1EEC"/>
    <w:rsid w:val="44227892"/>
    <w:rsid w:val="443600D1"/>
    <w:rsid w:val="44395DD0"/>
    <w:rsid w:val="444B2851"/>
    <w:rsid w:val="4456233A"/>
    <w:rsid w:val="44650D7A"/>
    <w:rsid w:val="446F7B25"/>
    <w:rsid w:val="44852336"/>
    <w:rsid w:val="44C166F5"/>
    <w:rsid w:val="44CF2CD0"/>
    <w:rsid w:val="44DC39CD"/>
    <w:rsid w:val="44E44DD8"/>
    <w:rsid w:val="450C1E86"/>
    <w:rsid w:val="451707F1"/>
    <w:rsid w:val="451E1B32"/>
    <w:rsid w:val="45517EFB"/>
    <w:rsid w:val="458B0897"/>
    <w:rsid w:val="459142DA"/>
    <w:rsid w:val="459C04E5"/>
    <w:rsid w:val="45E76415"/>
    <w:rsid w:val="460B4061"/>
    <w:rsid w:val="46143D6E"/>
    <w:rsid w:val="46541464"/>
    <w:rsid w:val="46560680"/>
    <w:rsid w:val="465B47BD"/>
    <w:rsid w:val="46805690"/>
    <w:rsid w:val="46834701"/>
    <w:rsid w:val="46A05641"/>
    <w:rsid w:val="46A06809"/>
    <w:rsid w:val="46E147DD"/>
    <w:rsid w:val="46FA3F26"/>
    <w:rsid w:val="46FC6BB3"/>
    <w:rsid w:val="47032F71"/>
    <w:rsid w:val="47046B53"/>
    <w:rsid w:val="474967E5"/>
    <w:rsid w:val="474B2BF8"/>
    <w:rsid w:val="475B4033"/>
    <w:rsid w:val="476475F1"/>
    <w:rsid w:val="47710D74"/>
    <w:rsid w:val="47977DAD"/>
    <w:rsid w:val="479967E1"/>
    <w:rsid w:val="479F60F9"/>
    <w:rsid w:val="47AF44AD"/>
    <w:rsid w:val="47B81CE8"/>
    <w:rsid w:val="47BA5605"/>
    <w:rsid w:val="47E06040"/>
    <w:rsid w:val="47E13DA9"/>
    <w:rsid w:val="47F01920"/>
    <w:rsid w:val="47FD7EBF"/>
    <w:rsid w:val="48071B09"/>
    <w:rsid w:val="480B7A60"/>
    <w:rsid w:val="480E08E1"/>
    <w:rsid w:val="482C6361"/>
    <w:rsid w:val="48457423"/>
    <w:rsid w:val="484C255F"/>
    <w:rsid w:val="4852255D"/>
    <w:rsid w:val="48810B92"/>
    <w:rsid w:val="48836E15"/>
    <w:rsid w:val="488D747E"/>
    <w:rsid w:val="48B325DE"/>
    <w:rsid w:val="48BF5427"/>
    <w:rsid w:val="48EE218F"/>
    <w:rsid w:val="48F12C9D"/>
    <w:rsid w:val="496C05F4"/>
    <w:rsid w:val="497236A9"/>
    <w:rsid w:val="497A6719"/>
    <w:rsid w:val="497B5A55"/>
    <w:rsid w:val="49977748"/>
    <w:rsid w:val="4A023D89"/>
    <w:rsid w:val="4A080819"/>
    <w:rsid w:val="4A1E4B84"/>
    <w:rsid w:val="4A3516C5"/>
    <w:rsid w:val="4A59710C"/>
    <w:rsid w:val="4A60699B"/>
    <w:rsid w:val="4A8C70C9"/>
    <w:rsid w:val="4ADA02F6"/>
    <w:rsid w:val="4ADA3161"/>
    <w:rsid w:val="4ADC7789"/>
    <w:rsid w:val="4B4439C2"/>
    <w:rsid w:val="4B455764"/>
    <w:rsid w:val="4B4E32D2"/>
    <w:rsid w:val="4B5E0F27"/>
    <w:rsid w:val="4B6B67AE"/>
    <w:rsid w:val="4BB46D99"/>
    <w:rsid w:val="4BCF5981"/>
    <w:rsid w:val="4C1D5F2E"/>
    <w:rsid w:val="4C231829"/>
    <w:rsid w:val="4C324901"/>
    <w:rsid w:val="4C341BBE"/>
    <w:rsid w:val="4C3D2366"/>
    <w:rsid w:val="4C453E95"/>
    <w:rsid w:val="4C4F6AC2"/>
    <w:rsid w:val="4C675BBA"/>
    <w:rsid w:val="4C9F36E9"/>
    <w:rsid w:val="4CAF7561"/>
    <w:rsid w:val="4CC80658"/>
    <w:rsid w:val="4CCE6D61"/>
    <w:rsid w:val="4CE4720A"/>
    <w:rsid w:val="4CE61CF9"/>
    <w:rsid w:val="4CEA2347"/>
    <w:rsid w:val="4CF64847"/>
    <w:rsid w:val="4D0A53A6"/>
    <w:rsid w:val="4D135D42"/>
    <w:rsid w:val="4D1D2E37"/>
    <w:rsid w:val="4D54670E"/>
    <w:rsid w:val="4D7C4E87"/>
    <w:rsid w:val="4DAC7BAA"/>
    <w:rsid w:val="4DB25737"/>
    <w:rsid w:val="4DB66C7E"/>
    <w:rsid w:val="4DC60742"/>
    <w:rsid w:val="4DCF3A46"/>
    <w:rsid w:val="4DE11456"/>
    <w:rsid w:val="4E0538DC"/>
    <w:rsid w:val="4E515E12"/>
    <w:rsid w:val="4E5263F6"/>
    <w:rsid w:val="4E612ADD"/>
    <w:rsid w:val="4EAC6EF9"/>
    <w:rsid w:val="4ED2628E"/>
    <w:rsid w:val="4EE16D80"/>
    <w:rsid w:val="4EEA0C28"/>
    <w:rsid w:val="4EF7701F"/>
    <w:rsid w:val="4F0E4A13"/>
    <w:rsid w:val="4F195655"/>
    <w:rsid w:val="4F1B164B"/>
    <w:rsid w:val="4F267466"/>
    <w:rsid w:val="4F3C208C"/>
    <w:rsid w:val="4F6E012E"/>
    <w:rsid w:val="4F7657BE"/>
    <w:rsid w:val="4FA10881"/>
    <w:rsid w:val="4FAB0182"/>
    <w:rsid w:val="4FAD5B31"/>
    <w:rsid w:val="4FD345F5"/>
    <w:rsid w:val="502A5D70"/>
    <w:rsid w:val="505B6EA3"/>
    <w:rsid w:val="506035F9"/>
    <w:rsid w:val="50744D49"/>
    <w:rsid w:val="50826298"/>
    <w:rsid w:val="509B4F6E"/>
    <w:rsid w:val="50DC2AD2"/>
    <w:rsid w:val="50DF75EC"/>
    <w:rsid w:val="50FC2AA5"/>
    <w:rsid w:val="5121561D"/>
    <w:rsid w:val="514019FA"/>
    <w:rsid w:val="514566E6"/>
    <w:rsid w:val="5146046C"/>
    <w:rsid w:val="5151478A"/>
    <w:rsid w:val="51632F97"/>
    <w:rsid w:val="518717C1"/>
    <w:rsid w:val="51C27D36"/>
    <w:rsid w:val="51F45E45"/>
    <w:rsid w:val="51F55A16"/>
    <w:rsid w:val="51F62284"/>
    <w:rsid w:val="520333D5"/>
    <w:rsid w:val="52212B1D"/>
    <w:rsid w:val="52333223"/>
    <w:rsid w:val="523336B1"/>
    <w:rsid w:val="52614E59"/>
    <w:rsid w:val="527252B8"/>
    <w:rsid w:val="52731941"/>
    <w:rsid w:val="528A7A1D"/>
    <w:rsid w:val="52C061AC"/>
    <w:rsid w:val="52C46F5C"/>
    <w:rsid w:val="52C963C3"/>
    <w:rsid w:val="52DC3586"/>
    <w:rsid w:val="52E509EA"/>
    <w:rsid w:val="52EB6077"/>
    <w:rsid w:val="531D54C0"/>
    <w:rsid w:val="534C7C2C"/>
    <w:rsid w:val="53894668"/>
    <w:rsid w:val="53B93610"/>
    <w:rsid w:val="53BB3736"/>
    <w:rsid w:val="53BB79FB"/>
    <w:rsid w:val="53C80274"/>
    <w:rsid w:val="53E2021C"/>
    <w:rsid w:val="54016DAC"/>
    <w:rsid w:val="5411465D"/>
    <w:rsid w:val="54140455"/>
    <w:rsid w:val="5435659E"/>
    <w:rsid w:val="54484799"/>
    <w:rsid w:val="548031DE"/>
    <w:rsid w:val="54A13ABE"/>
    <w:rsid w:val="54AF45A2"/>
    <w:rsid w:val="54EB17C9"/>
    <w:rsid w:val="55101363"/>
    <w:rsid w:val="555775BD"/>
    <w:rsid w:val="5566518E"/>
    <w:rsid w:val="556B0171"/>
    <w:rsid w:val="558D518B"/>
    <w:rsid w:val="5592084F"/>
    <w:rsid w:val="55A02F01"/>
    <w:rsid w:val="55AA2FBB"/>
    <w:rsid w:val="55CA0DA4"/>
    <w:rsid w:val="55CB6606"/>
    <w:rsid w:val="55E611D4"/>
    <w:rsid w:val="55F1241B"/>
    <w:rsid w:val="55F33CC5"/>
    <w:rsid w:val="561316A7"/>
    <w:rsid w:val="56547508"/>
    <w:rsid w:val="565E627F"/>
    <w:rsid w:val="566E5889"/>
    <w:rsid w:val="5684380C"/>
    <w:rsid w:val="569357FD"/>
    <w:rsid w:val="56C67981"/>
    <w:rsid w:val="56CE6835"/>
    <w:rsid w:val="56CF2CD9"/>
    <w:rsid w:val="56D6079B"/>
    <w:rsid w:val="56E61DD1"/>
    <w:rsid w:val="56ED6274"/>
    <w:rsid w:val="56EF2CB5"/>
    <w:rsid w:val="570241E3"/>
    <w:rsid w:val="570F009B"/>
    <w:rsid w:val="5735460C"/>
    <w:rsid w:val="5738309F"/>
    <w:rsid w:val="57945CD1"/>
    <w:rsid w:val="57A457CA"/>
    <w:rsid w:val="57B159C6"/>
    <w:rsid w:val="57B24890"/>
    <w:rsid w:val="57DF23DA"/>
    <w:rsid w:val="57FE5D13"/>
    <w:rsid w:val="5804694A"/>
    <w:rsid w:val="58240E03"/>
    <w:rsid w:val="584F0469"/>
    <w:rsid w:val="585D0F85"/>
    <w:rsid w:val="588271D7"/>
    <w:rsid w:val="58900CCB"/>
    <w:rsid w:val="58AD1552"/>
    <w:rsid w:val="58CC2FD1"/>
    <w:rsid w:val="58CF5213"/>
    <w:rsid w:val="58D64465"/>
    <w:rsid w:val="58D860BF"/>
    <w:rsid w:val="58E0301B"/>
    <w:rsid w:val="58F24A5D"/>
    <w:rsid w:val="58F5454D"/>
    <w:rsid w:val="591B0A08"/>
    <w:rsid w:val="59327AEA"/>
    <w:rsid w:val="59523578"/>
    <w:rsid w:val="595924F8"/>
    <w:rsid w:val="59600FBD"/>
    <w:rsid w:val="59676E9D"/>
    <w:rsid w:val="599A62D3"/>
    <w:rsid w:val="59BA0DAF"/>
    <w:rsid w:val="59BE2281"/>
    <w:rsid w:val="59CD37AF"/>
    <w:rsid w:val="59D16D68"/>
    <w:rsid w:val="59E0228F"/>
    <w:rsid w:val="59F82547"/>
    <w:rsid w:val="5A161A30"/>
    <w:rsid w:val="5A466C09"/>
    <w:rsid w:val="5A5B2616"/>
    <w:rsid w:val="5A671707"/>
    <w:rsid w:val="5A822E25"/>
    <w:rsid w:val="5ADC64B4"/>
    <w:rsid w:val="5AF54CD9"/>
    <w:rsid w:val="5AFE1B79"/>
    <w:rsid w:val="5B120D0D"/>
    <w:rsid w:val="5B17576C"/>
    <w:rsid w:val="5B516558"/>
    <w:rsid w:val="5B623201"/>
    <w:rsid w:val="5B762009"/>
    <w:rsid w:val="5B8E5BF9"/>
    <w:rsid w:val="5B9D23D1"/>
    <w:rsid w:val="5B9F573C"/>
    <w:rsid w:val="5BAD258C"/>
    <w:rsid w:val="5BDD017D"/>
    <w:rsid w:val="5BE570F6"/>
    <w:rsid w:val="5BF313BE"/>
    <w:rsid w:val="5C1A0524"/>
    <w:rsid w:val="5C3F20E9"/>
    <w:rsid w:val="5CA10E43"/>
    <w:rsid w:val="5CA359C0"/>
    <w:rsid w:val="5CB31A20"/>
    <w:rsid w:val="5CBC792D"/>
    <w:rsid w:val="5CC62CDC"/>
    <w:rsid w:val="5CD86904"/>
    <w:rsid w:val="5CF74D38"/>
    <w:rsid w:val="5CF8252C"/>
    <w:rsid w:val="5D1F77E7"/>
    <w:rsid w:val="5D327B1E"/>
    <w:rsid w:val="5D55380D"/>
    <w:rsid w:val="5D632120"/>
    <w:rsid w:val="5D656145"/>
    <w:rsid w:val="5D7315B2"/>
    <w:rsid w:val="5D74794C"/>
    <w:rsid w:val="5D7B791A"/>
    <w:rsid w:val="5DAE63CF"/>
    <w:rsid w:val="5DC27E0A"/>
    <w:rsid w:val="5E0E54BA"/>
    <w:rsid w:val="5E2B4CB8"/>
    <w:rsid w:val="5E565A8E"/>
    <w:rsid w:val="5E660081"/>
    <w:rsid w:val="5E666302"/>
    <w:rsid w:val="5E997A50"/>
    <w:rsid w:val="5E9F0372"/>
    <w:rsid w:val="5EF53795"/>
    <w:rsid w:val="5F092B01"/>
    <w:rsid w:val="5F124768"/>
    <w:rsid w:val="5F1F6DAD"/>
    <w:rsid w:val="5F39745D"/>
    <w:rsid w:val="5F5C2FDA"/>
    <w:rsid w:val="5F9A2067"/>
    <w:rsid w:val="5F9B8D1B"/>
    <w:rsid w:val="5FE72DA2"/>
    <w:rsid w:val="5FEE687F"/>
    <w:rsid w:val="60003F04"/>
    <w:rsid w:val="60116111"/>
    <w:rsid w:val="6017784D"/>
    <w:rsid w:val="60306E04"/>
    <w:rsid w:val="60326EC6"/>
    <w:rsid w:val="60570C04"/>
    <w:rsid w:val="605E6476"/>
    <w:rsid w:val="60820DBC"/>
    <w:rsid w:val="608A7146"/>
    <w:rsid w:val="6091063B"/>
    <w:rsid w:val="60D64174"/>
    <w:rsid w:val="61326204"/>
    <w:rsid w:val="616F1934"/>
    <w:rsid w:val="61727C3A"/>
    <w:rsid w:val="617C1CB0"/>
    <w:rsid w:val="61AA1AEC"/>
    <w:rsid w:val="61B745A7"/>
    <w:rsid w:val="61F0646D"/>
    <w:rsid w:val="61F863A5"/>
    <w:rsid w:val="62071D00"/>
    <w:rsid w:val="620F48D2"/>
    <w:rsid w:val="621456D4"/>
    <w:rsid w:val="6220088D"/>
    <w:rsid w:val="62233ED9"/>
    <w:rsid w:val="62582C10"/>
    <w:rsid w:val="626711ED"/>
    <w:rsid w:val="62B4342F"/>
    <w:rsid w:val="62B45FB9"/>
    <w:rsid w:val="62B8167B"/>
    <w:rsid w:val="62C531E2"/>
    <w:rsid w:val="62E0001C"/>
    <w:rsid w:val="62FB7147"/>
    <w:rsid w:val="62FC3808"/>
    <w:rsid w:val="633E0E95"/>
    <w:rsid w:val="634E4DA2"/>
    <w:rsid w:val="63691DC0"/>
    <w:rsid w:val="63717C82"/>
    <w:rsid w:val="638B5E2B"/>
    <w:rsid w:val="6398398F"/>
    <w:rsid w:val="63A80709"/>
    <w:rsid w:val="63CA4122"/>
    <w:rsid w:val="63EC2A8C"/>
    <w:rsid w:val="641937E6"/>
    <w:rsid w:val="641C24DC"/>
    <w:rsid w:val="646C60FB"/>
    <w:rsid w:val="647A78E5"/>
    <w:rsid w:val="648B5596"/>
    <w:rsid w:val="649013AD"/>
    <w:rsid w:val="64952A57"/>
    <w:rsid w:val="649B41FB"/>
    <w:rsid w:val="64B32E22"/>
    <w:rsid w:val="64C5396E"/>
    <w:rsid w:val="64D95AB5"/>
    <w:rsid w:val="64F145F3"/>
    <w:rsid w:val="64F3338B"/>
    <w:rsid w:val="651A3A08"/>
    <w:rsid w:val="65201CF5"/>
    <w:rsid w:val="654D4B10"/>
    <w:rsid w:val="65797D18"/>
    <w:rsid w:val="659B1574"/>
    <w:rsid w:val="65C634F9"/>
    <w:rsid w:val="65DD4C97"/>
    <w:rsid w:val="66295856"/>
    <w:rsid w:val="662B7800"/>
    <w:rsid w:val="66341E4F"/>
    <w:rsid w:val="663D12E2"/>
    <w:rsid w:val="66433DC7"/>
    <w:rsid w:val="664367EF"/>
    <w:rsid w:val="669D0E2C"/>
    <w:rsid w:val="669E6224"/>
    <w:rsid w:val="66CA0555"/>
    <w:rsid w:val="66DB4549"/>
    <w:rsid w:val="66DD63E5"/>
    <w:rsid w:val="66E624C7"/>
    <w:rsid w:val="66EB016E"/>
    <w:rsid w:val="66ED62A9"/>
    <w:rsid w:val="66F63F01"/>
    <w:rsid w:val="66FA33A5"/>
    <w:rsid w:val="66FB57DB"/>
    <w:rsid w:val="66FF2019"/>
    <w:rsid w:val="670B5FD2"/>
    <w:rsid w:val="672002AE"/>
    <w:rsid w:val="67326A3A"/>
    <w:rsid w:val="67362901"/>
    <w:rsid w:val="67492B86"/>
    <w:rsid w:val="676051CA"/>
    <w:rsid w:val="67724805"/>
    <w:rsid w:val="67915C9A"/>
    <w:rsid w:val="67AE693B"/>
    <w:rsid w:val="67C972D1"/>
    <w:rsid w:val="67E10ABE"/>
    <w:rsid w:val="67E526B1"/>
    <w:rsid w:val="67E950EF"/>
    <w:rsid w:val="68063974"/>
    <w:rsid w:val="68190258"/>
    <w:rsid w:val="68373F2A"/>
    <w:rsid w:val="684613C1"/>
    <w:rsid w:val="686D0C23"/>
    <w:rsid w:val="687B385B"/>
    <w:rsid w:val="68896A60"/>
    <w:rsid w:val="68993DC9"/>
    <w:rsid w:val="68C32023"/>
    <w:rsid w:val="68C47A98"/>
    <w:rsid w:val="68F47416"/>
    <w:rsid w:val="69016FA0"/>
    <w:rsid w:val="69156A22"/>
    <w:rsid w:val="694046C4"/>
    <w:rsid w:val="69534735"/>
    <w:rsid w:val="697E08AF"/>
    <w:rsid w:val="69836AAF"/>
    <w:rsid w:val="699C71C2"/>
    <w:rsid w:val="69A11A00"/>
    <w:rsid w:val="69C05DDE"/>
    <w:rsid w:val="6A0F269D"/>
    <w:rsid w:val="6A1D6279"/>
    <w:rsid w:val="6A586C99"/>
    <w:rsid w:val="6A8F5BB2"/>
    <w:rsid w:val="6ACC1E33"/>
    <w:rsid w:val="6ADA5F95"/>
    <w:rsid w:val="6B2A4D8D"/>
    <w:rsid w:val="6B2C2381"/>
    <w:rsid w:val="6B35128E"/>
    <w:rsid w:val="6B35495D"/>
    <w:rsid w:val="6B3727A3"/>
    <w:rsid w:val="6B442A4F"/>
    <w:rsid w:val="6B51261B"/>
    <w:rsid w:val="6B607F4C"/>
    <w:rsid w:val="6B6D13CE"/>
    <w:rsid w:val="6B805DC8"/>
    <w:rsid w:val="6B841A72"/>
    <w:rsid w:val="6B9632B1"/>
    <w:rsid w:val="6B994B7E"/>
    <w:rsid w:val="6BAB63CD"/>
    <w:rsid w:val="6BBA6682"/>
    <w:rsid w:val="6BF06333"/>
    <w:rsid w:val="6C1528C1"/>
    <w:rsid w:val="6C156F76"/>
    <w:rsid w:val="6C2E0119"/>
    <w:rsid w:val="6C3F1ED8"/>
    <w:rsid w:val="6C594DFB"/>
    <w:rsid w:val="6C6903E2"/>
    <w:rsid w:val="6C8955C3"/>
    <w:rsid w:val="6C9A719D"/>
    <w:rsid w:val="6C9C0EEC"/>
    <w:rsid w:val="6CD170EA"/>
    <w:rsid w:val="6CDE7CC8"/>
    <w:rsid w:val="6CF31047"/>
    <w:rsid w:val="6D013069"/>
    <w:rsid w:val="6D341B71"/>
    <w:rsid w:val="6D3E250F"/>
    <w:rsid w:val="6D3E2C5D"/>
    <w:rsid w:val="6D7C3AA6"/>
    <w:rsid w:val="6D830A83"/>
    <w:rsid w:val="6D8D393B"/>
    <w:rsid w:val="6D9246E7"/>
    <w:rsid w:val="6DAF6F69"/>
    <w:rsid w:val="6DC64AA9"/>
    <w:rsid w:val="6DE94229"/>
    <w:rsid w:val="6DF37226"/>
    <w:rsid w:val="6E1B45FE"/>
    <w:rsid w:val="6E3B76E5"/>
    <w:rsid w:val="6E4F3245"/>
    <w:rsid w:val="6E6140D7"/>
    <w:rsid w:val="6E673CC2"/>
    <w:rsid w:val="6E883B02"/>
    <w:rsid w:val="6E894F6E"/>
    <w:rsid w:val="6ED8429D"/>
    <w:rsid w:val="6EEB79DC"/>
    <w:rsid w:val="6F0E7879"/>
    <w:rsid w:val="6F214424"/>
    <w:rsid w:val="6F2953DB"/>
    <w:rsid w:val="6F3E727C"/>
    <w:rsid w:val="6F467459"/>
    <w:rsid w:val="6F5A6338"/>
    <w:rsid w:val="6F641EC7"/>
    <w:rsid w:val="6F7B4324"/>
    <w:rsid w:val="6F993A2D"/>
    <w:rsid w:val="6FB40867"/>
    <w:rsid w:val="6FBF3C28"/>
    <w:rsid w:val="6FC87460"/>
    <w:rsid w:val="6FFA108C"/>
    <w:rsid w:val="704E1EA7"/>
    <w:rsid w:val="70691DF6"/>
    <w:rsid w:val="706D32B3"/>
    <w:rsid w:val="7071709E"/>
    <w:rsid w:val="708E10B8"/>
    <w:rsid w:val="709D12FB"/>
    <w:rsid w:val="70A1703D"/>
    <w:rsid w:val="70AC3EA0"/>
    <w:rsid w:val="71147319"/>
    <w:rsid w:val="71213778"/>
    <w:rsid w:val="714E0847"/>
    <w:rsid w:val="71563720"/>
    <w:rsid w:val="71673816"/>
    <w:rsid w:val="718129CA"/>
    <w:rsid w:val="71892B9A"/>
    <w:rsid w:val="71B33E2D"/>
    <w:rsid w:val="71B92164"/>
    <w:rsid w:val="71CB27BF"/>
    <w:rsid w:val="71E40BD8"/>
    <w:rsid w:val="71E411A4"/>
    <w:rsid w:val="71EB453D"/>
    <w:rsid w:val="71F66F14"/>
    <w:rsid w:val="72181794"/>
    <w:rsid w:val="721D26F3"/>
    <w:rsid w:val="723F78FE"/>
    <w:rsid w:val="7258372B"/>
    <w:rsid w:val="72693615"/>
    <w:rsid w:val="726B1B51"/>
    <w:rsid w:val="72841147"/>
    <w:rsid w:val="72B00AB1"/>
    <w:rsid w:val="72B23573"/>
    <w:rsid w:val="72CA2F87"/>
    <w:rsid w:val="72D34712"/>
    <w:rsid w:val="72EB2D84"/>
    <w:rsid w:val="72FE3F7D"/>
    <w:rsid w:val="73311445"/>
    <w:rsid w:val="736F7856"/>
    <w:rsid w:val="737C17DD"/>
    <w:rsid w:val="73964DD4"/>
    <w:rsid w:val="7399224D"/>
    <w:rsid w:val="73B454E2"/>
    <w:rsid w:val="73B61051"/>
    <w:rsid w:val="73C02596"/>
    <w:rsid w:val="73C130D5"/>
    <w:rsid w:val="73C41094"/>
    <w:rsid w:val="73ED16C0"/>
    <w:rsid w:val="7400024C"/>
    <w:rsid w:val="74156F01"/>
    <w:rsid w:val="743401C8"/>
    <w:rsid w:val="743F7103"/>
    <w:rsid w:val="74485E22"/>
    <w:rsid w:val="74E120FE"/>
    <w:rsid w:val="74FD4A5E"/>
    <w:rsid w:val="750C2452"/>
    <w:rsid w:val="754363A7"/>
    <w:rsid w:val="754E070B"/>
    <w:rsid w:val="755C3504"/>
    <w:rsid w:val="75605585"/>
    <w:rsid w:val="756E770A"/>
    <w:rsid w:val="75932CCC"/>
    <w:rsid w:val="759816F6"/>
    <w:rsid w:val="75987257"/>
    <w:rsid w:val="75A574B4"/>
    <w:rsid w:val="75A849CA"/>
    <w:rsid w:val="75DC7D69"/>
    <w:rsid w:val="75E83018"/>
    <w:rsid w:val="75F85D11"/>
    <w:rsid w:val="760A11E0"/>
    <w:rsid w:val="761955FB"/>
    <w:rsid w:val="763418B6"/>
    <w:rsid w:val="76505B29"/>
    <w:rsid w:val="76565C81"/>
    <w:rsid w:val="7691253E"/>
    <w:rsid w:val="76946211"/>
    <w:rsid w:val="769519B4"/>
    <w:rsid w:val="76E018EC"/>
    <w:rsid w:val="76E56D55"/>
    <w:rsid w:val="76F25B61"/>
    <w:rsid w:val="77056A4E"/>
    <w:rsid w:val="77424889"/>
    <w:rsid w:val="7748416C"/>
    <w:rsid w:val="775F730A"/>
    <w:rsid w:val="777875CD"/>
    <w:rsid w:val="77AE203F"/>
    <w:rsid w:val="77B365E6"/>
    <w:rsid w:val="77ED700C"/>
    <w:rsid w:val="78025216"/>
    <w:rsid w:val="78175E36"/>
    <w:rsid w:val="783219DD"/>
    <w:rsid w:val="784E41F7"/>
    <w:rsid w:val="78793171"/>
    <w:rsid w:val="78801C2E"/>
    <w:rsid w:val="78923700"/>
    <w:rsid w:val="789B0816"/>
    <w:rsid w:val="789E5569"/>
    <w:rsid w:val="78B80CE1"/>
    <w:rsid w:val="78BF0E3B"/>
    <w:rsid w:val="78D33B67"/>
    <w:rsid w:val="79062AD2"/>
    <w:rsid w:val="79140FED"/>
    <w:rsid w:val="792103E3"/>
    <w:rsid w:val="794F7C70"/>
    <w:rsid w:val="79860C21"/>
    <w:rsid w:val="799534B7"/>
    <w:rsid w:val="799C4845"/>
    <w:rsid w:val="79A44AFC"/>
    <w:rsid w:val="79C9792C"/>
    <w:rsid w:val="79DA711C"/>
    <w:rsid w:val="79DB72AE"/>
    <w:rsid w:val="79DC2E94"/>
    <w:rsid w:val="79F0435A"/>
    <w:rsid w:val="7A195644"/>
    <w:rsid w:val="7A6D61E2"/>
    <w:rsid w:val="7A7026C2"/>
    <w:rsid w:val="7A862E00"/>
    <w:rsid w:val="7A9D13B5"/>
    <w:rsid w:val="7AEF13EC"/>
    <w:rsid w:val="7B11147F"/>
    <w:rsid w:val="7B39505A"/>
    <w:rsid w:val="7B65510B"/>
    <w:rsid w:val="7B8626B2"/>
    <w:rsid w:val="7B865ECD"/>
    <w:rsid w:val="7B8E4662"/>
    <w:rsid w:val="7BAB5214"/>
    <w:rsid w:val="7BEE795C"/>
    <w:rsid w:val="7C0A403D"/>
    <w:rsid w:val="7C0D6B88"/>
    <w:rsid w:val="7C773348"/>
    <w:rsid w:val="7C792C1C"/>
    <w:rsid w:val="7C966E80"/>
    <w:rsid w:val="7C9B72D5"/>
    <w:rsid w:val="7CF06F45"/>
    <w:rsid w:val="7CF474F2"/>
    <w:rsid w:val="7D1B3CD3"/>
    <w:rsid w:val="7D252DA4"/>
    <w:rsid w:val="7D751B04"/>
    <w:rsid w:val="7D973E0A"/>
    <w:rsid w:val="7DEB1831"/>
    <w:rsid w:val="7DF31BC1"/>
    <w:rsid w:val="7DF70031"/>
    <w:rsid w:val="7DF86EFC"/>
    <w:rsid w:val="7DFF0B5C"/>
    <w:rsid w:val="7E656F09"/>
    <w:rsid w:val="7E6A6D2A"/>
    <w:rsid w:val="7E8E4CE0"/>
    <w:rsid w:val="7EB54F9B"/>
    <w:rsid w:val="7F0B3C01"/>
    <w:rsid w:val="7F4728BA"/>
    <w:rsid w:val="7F47583B"/>
    <w:rsid w:val="7F4C6FA2"/>
    <w:rsid w:val="7F8C0EB8"/>
    <w:rsid w:val="7FAA39F5"/>
    <w:rsid w:val="7FBF303C"/>
    <w:rsid w:val="7FDD6312"/>
    <w:rsid w:val="7FF66DF9"/>
    <w:rsid w:val="F6BDC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line="576" w:lineRule="auto"/>
      <w:outlineLvl w:val="0"/>
    </w:pPr>
    <w:rPr>
      <w:b/>
      <w:bCs/>
      <w:kern w:val="44"/>
      <w:sz w:val="44"/>
      <w:szCs w:val="44"/>
    </w:rPr>
  </w:style>
  <w:style w:type="paragraph" w:styleId="4">
    <w:name w:val="heading 2"/>
    <w:basedOn w:val="1"/>
    <w:next w:val="5"/>
    <w:link w:val="29"/>
    <w:qFormat/>
    <w:uiPriority w:val="0"/>
    <w:pPr>
      <w:keepNext/>
      <w:keepLines/>
      <w:spacing w:before="260" w:after="260" w:line="416" w:lineRule="auto"/>
      <w:outlineLvl w:val="1"/>
    </w:pPr>
    <w:rPr>
      <w:rFonts w:ascii="等线 Light" w:hAnsi="等线 Light" w:eastAsia="等线 Light"/>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0"/>
    <w:qFormat/>
    <w:uiPriority w:val="0"/>
    <w:pPr>
      <w:spacing w:after="120"/>
    </w:pPr>
  </w:style>
  <w:style w:type="paragraph" w:styleId="5">
    <w:name w:val="Normal Indent"/>
    <w:basedOn w:val="1"/>
    <w:qFormat/>
    <w:uiPriority w:val="0"/>
    <w:pPr>
      <w:adjustRightInd w:val="0"/>
      <w:spacing w:line="480" w:lineRule="atLeast"/>
      <w:ind w:firstLine="600"/>
      <w:textAlignment w:val="baseline"/>
    </w:pPr>
    <w:rPr>
      <w:rFonts w:eastAsia="仿宋_GB2312"/>
      <w:kern w:val="0"/>
      <w:sz w:val="30"/>
    </w:rPr>
  </w:style>
  <w:style w:type="paragraph" w:styleId="6">
    <w:name w:val="caption"/>
    <w:basedOn w:val="1"/>
    <w:next w:val="1"/>
    <w:semiHidden/>
    <w:unhideWhenUsed/>
    <w:qFormat/>
    <w:uiPriority w:val="0"/>
    <w:rPr>
      <w:rFonts w:ascii="Arial" w:hAnsi="Arial" w:eastAsia="黑体"/>
      <w:sz w:val="20"/>
    </w:rPr>
  </w:style>
  <w:style w:type="paragraph" w:styleId="7">
    <w:name w:val="annotation text"/>
    <w:basedOn w:val="1"/>
    <w:link w:val="54"/>
    <w:qFormat/>
    <w:uiPriority w:val="0"/>
    <w:pPr>
      <w:jc w:val="left"/>
    </w:pPr>
  </w:style>
  <w:style w:type="paragraph" w:styleId="8">
    <w:name w:val="Body Text Indent"/>
    <w:basedOn w:val="1"/>
    <w:qFormat/>
    <w:uiPriority w:val="0"/>
    <w:pPr>
      <w:spacing w:line="360" w:lineRule="auto"/>
      <w:ind w:firstLine="480" w:firstLineChars="200"/>
    </w:pPr>
    <w:rPr>
      <w:sz w:val="24"/>
    </w:rPr>
  </w:style>
  <w:style w:type="paragraph" w:styleId="9">
    <w:name w:val="Date"/>
    <w:basedOn w:val="1"/>
    <w:next w:val="1"/>
    <w:link w:val="3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32"/>
    <w:qFormat/>
    <w:uiPriority w:val="99"/>
    <w:pPr>
      <w:tabs>
        <w:tab w:val="center" w:pos="4153"/>
        <w:tab w:val="right" w:pos="8306"/>
      </w:tabs>
      <w:snapToGrid w:val="0"/>
      <w:jc w:val="left"/>
    </w:pPr>
    <w:rPr>
      <w:sz w:val="18"/>
    </w:rPr>
  </w:style>
  <w:style w:type="paragraph" w:styleId="12">
    <w:name w:val="header"/>
    <w:basedOn w:val="1"/>
    <w:link w:val="3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0"/>
    <w:pPr>
      <w:jc w:val="left"/>
    </w:pPr>
    <w:rPr>
      <w:rFonts w:hint="eastAsia" w:ascii="微软雅黑" w:hAnsi="微软雅黑" w:eastAsia="微软雅黑"/>
      <w:kern w:val="0"/>
      <w:sz w:val="24"/>
    </w:rPr>
  </w:style>
  <w:style w:type="paragraph" w:styleId="14">
    <w:name w:val="Title"/>
    <w:basedOn w:val="1"/>
    <w:next w:val="1"/>
    <w:link w:val="34"/>
    <w:qFormat/>
    <w:uiPriority w:val="0"/>
    <w:pPr>
      <w:spacing w:before="240" w:after="60"/>
      <w:jc w:val="center"/>
      <w:outlineLvl w:val="0"/>
    </w:pPr>
    <w:rPr>
      <w:rFonts w:ascii="等线 Light" w:hAnsi="等线 Light"/>
      <w:b/>
      <w:bCs/>
      <w:sz w:val="32"/>
      <w:szCs w:val="32"/>
    </w:rPr>
  </w:style>
  <w:style w:type="paragraph" w:styleId="15">
    <w:name w:val="annotation subject"/>
    <w:basedOn w:val="7"/>
    <w:next w:val="7"/>
    <w:link w:val="55"/>
    <w:qFormat/>
    <w:uiPriority w:val="0"/>
    <w:rPr>
      <w:b/>
      <w:bCs/>
    </w:rPr>
  </w:style>
  <w:style w:type="paragraph" w:styleId="16">
    <w:name w:val="Body Text First Indent"/>
    <w:basedOn w:val="2"/>
    <w:link w:val="35"/>
    <w:qFormat/>
    <w:uiPriority w:val="0"/>
    <w:pPr>
      <w:ind w:firstLine="420" w:firstLineChars="100"/>
    </w:pPr>
    <w:rPr>
      <w:szCs w:val="24"/>
    </w:rPr>
  </w:style>
  <w:style w:type="paragraph" w:styleId="17">
    <w:name w:val="Body Text First Indent 2"/>
    <w:basedOn w:val="8"/>
    <w:unhideWhenUsed/>
    <w:qFormat/>
    <w:uiPriority w:val="99"/>
    <w:pPr>
      <w:ind w:firstLine="420"/>
    </w:pPr>
  </w:style>
  <w:style w:type="table" w:styleId="19">
    <w:name w:val="Table Grid"/>
    <w:basedOn w:val="18"/>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style>
  <w:style w:type="character" w:styleId="22">
    <w:name w:val="FollowedHyperlink"/>
    <w:qFormat/>
    <w:uiPriority w:val="0"/>
    <w:rPr>
      <w:color w:val="800080"/>
      <w:u w:val="none"/>
    </w:rPr>
  </w:style>
  <w:style w:type="character" w:styleId="23">
    <w:name w:val="HTML Definition"/>
    <w:qFormat/>
    <w:uiPriority w:val="0"/>
  </w:style>
  <w:style w:type="character" w:styleId="24">
    <w:name w:val="HTML Variable"/>
    <w:qFormat/>
    <w:uiPriority w:val="0"/>
  </w:style>
  <w:style w:type="character" w:styleId="25">
    <w:name w:val="Hyperlink"/>
    <w:basedOn w:val="20"/>
    <w:qFormat/>
    <w:uiPriority w:val="0"/>
    <w:rPr>
      <w:color w:val="0000FF"/>
      <w:u w:val="none"/>
    </w:rPr>
  </w:style>
  <w:style w:type="character" w:styleId="26">
    <w:name w:val="HTML Code"/>
    <w:qFormat/>
    <w:uiPriority w:val="0"/>
    <w:rPr>
      <w:rFonts w:ascii="微软雅黑" w:hAnsi="微软雅黑" w:eastAsia="微软雅黑" w:cs="微软雅黑"/>
      <w:sz w:val="20"/>
    </w:rPr>
  </w:style>
  <w:style w:type="character" w:styleId="27">
    <w:name w:val="annotation reference"/>
    <w:qFormat/>
    <w:uiPriority w:val="0"/>
    <w:rPr>
      <w:sz w:val="21"/>
      <w:szCs w:val="21"/>
    </w:rPr>
  </w:style>
  <w:style w:type="character" w:styleId="28">
    <w:name w:val="HTML Cite"/>
    <w:qFormat/>
    <w:uiPriority w:val="0"/>
  </w:style>
  <w:style w:type="character" w:customStyle="1" w:styleId="29">
    <w:name w:val="标题 2 字符"/>
    <w:link w:val="4"/>
    <w:semiHidden/>
    <w:qFormat/>
    <w:uiPriority w:val="0"/>
    <w:rPr>
      <w:rFonts w:ascii="等线 Light" w:hAnsi="等线 Light" w:eastAsia="等线 Light" w:cs="Times New Roman"/>
      <w:b/>
      <w:bCs/>
      <w:kern w:val="2"/>
      <w:sz w:val="32"/>
      <w:szCs w:val="32"/>
    </w:rPr>
  </w:style>
  <w:style w:type="character" w:customStyle="1" w:styleId="30">
    <w:name w:val="正文文本 字符"/>
    <w:link w:val="2"/>
    <w:qFormat/>
    <w:uiPriority w:val="0"/>
    <w:rPr>
      <w:kern w:val="2"/>
      <w:sz w:val="21"/>
    </w:rPr>
  </w:style>
  <w:style w:type="character" w:customStyle="1" w:styleId="31">
    <w:name w:val="日期 字符"/>
    <w:link w:val="9"/>
    <w:qFormat/>
    <w:uiPriority w:val="0"/>
    <w:rPr>
      <w:kern w:val="2"/>
      <w:sz w:val="21"/>
    </w:rPr>
  </w:style>
  <w:style w:type="character" w:customStyle="1" w:styleId="32">
    <w:name w:val="页脚 字符"/>
    <w:link w:val="11"/>
    <w:qFormat/>
    <w:uiPriority w:val="99"/>
    <w:rPr>
      <w:rFonts w:eastAsia="宋体"/>
      <w:kern w:val="2"/>
      <w:sz w:val="18"/>
      <w:lang w:val="en-US" w:eastAsia="zh-CN" w:bidi="ar-SA"/>
    </w:rPr>
  </w:style>
  <w:style w:type="character" w:customStyle="1" w:styleId="33">
    <w:name w:val="页眉 字符"/>
    <w:link w:val="12"/>
    <w:qFormat/>
    <w:uiPriority w:val="0"/>
    <w:rPr>
      <w:rFonts w:eastAsia="宋体"/>
      <w:kern w:val="2"/>
      <w:sz w:val="18"/>
      <w:lang w:val="en-US" w:eastAsia="zh-CN" w:bidi="ar-SA"/>
    </w:rPr>
  </w:style>
  <w:style w:type="character" w:customStyle="1" w:styleId="34">
    <w:name w:val="标题 字符"/>
    <w:link w:val="14"/>
    <w:qFormat/>
    <w:uiPriority w:val="0"/>
    <w:rPr>
      <w:rFonts w:ascii="等线 Light" w:hAnsi="等线 Light" w:cs="Times New Roman"/>
      <w:b/>
      <w:bCs/>
      <w:kern w:val="2"/>
      <w:sz w:val="32"/>
      <w:szCs w:val="32"/>
    </w:rPr>
  </w:style>
  <w:style w:type="character" w:customStyle="1" w:styleId="35">
    <w:name w:val="正文文本首行缩进 字符"/>
    <w:link w:val="16"/>
    <w:qFormat/>
    <w:uiPriority w:val="0"/>
  </w:style>
  <w:style w:type="character" w:customStyle="1" w:styleId="36">
    <w:name w:val="layui-layer-tabnow"/>
    <w:qFormat/>
    <w:uiPriority w:val="0"/>
    <w:rPr>
      <w:bdr w:val="single" w:color="CCCCCC" w:sz="6" w:space="0"/>
      <w:shd w:val="clear" w:color="auto" w:fill="FFFFFF"/>
    </w:rPr>
  </w:style>
  <w:style w:type="character" w:customStyle="1" w:styleId="37">
    <w:name w:val="first-child"/>
    <w:qFormat/>
    <w:uiPriority w:val="0"/>
  </w:style>
  <w:style w:type="character" w:customStyle="1" w:styleId="38">
    <w:name w:val="xdrichtextbox2"/>
    <w:qFormat/>
    <w:uiPriority w:val="0"/>
  </w:style>
  <w:style w:type="character" w:customStyle="1" w:styleId="39">
    <w:name w:val="xdrichtextbox"/>
    <w:qFormat/>
    <w:uiPriority w:val="0"/>
    <w:rPr>
      <w:color w:val="auto"/>
      <w:sz w:val="18"/>
      <w:szCs w:val="18"/>
      <w:u w:val="none"/>
      <w:bdr w:val="single" w:color="DCDCDC" w:sz="8" w:space="0"/>
      <w:shd w:val="clear" w:color="auto" w:fill="auto"/>
    </w:rPr>
  </w:style>
  <w:style w:type="character" w:customStyle="1" w:styleId="40">
    <w:name w:val="edit_class"/>
    <w:qFormat/>
    <w:uiPriority w:val="0"/>
  </w:style>
  <w:style w:type="character" w:customStyle="1" w:styleId="41">
    <w:name w:val="正文首行缩进 Char1"/>
    <w:qFormat/>
    <w:uiPriority w:val="0"/>
  </w:style>
  <w:style w:type="character" w:customStyle="1" w:styleId="42">
    <w:name w:val="design_class"/>
    <w:qFormat/>
    <w:uiPriority w:val="0"/>
  </w:style>
  <w:style w:type="character" w:customStyle="1" w:styleId="43">
    <w:name w:val="biggerthanmax"/>
    <w:qFormat/>
    <w:uiPriority w:val="0"/>
    <w:rPr>
      <w:shd w:val="clear" w:color="auto" w:fill="FFFF00"/>
    </w:rPr>
  </w:style>
  <w:style w:type="character" w:customStyle="1" w:styleId="44">
    <w:name w:val="15"/>
    <w:qFormat/>
    <w:uiPriority w:val="0"/>
    <w:rPr>
      <w:rFonts w:hint="eastAsia" w:ascii="微软雅黑" w:hAnsi="微软雅黑" w:eastAsia="微软雅黑" w:cs="微软雅黑"/>
    </w:rPr>
  </w:style>
  <w:style w:type="character" w:customStyle="1" w:styleId="45">
    <w:name w:val="样式2 Char"/>
    <w:link w:val="46"/>
    <w:qFormat/>
    <w:uiPriority w:val="0"/>
    <w:rPr>
      <w:rFonts w:eastAsia="宋体"/>
      <w:kern w:val="2"/>
      <w:sz w:val="18"/>
      <w:szCs w:val="24"/>
      <w:lang w:val="en-US" w:eastAsia="zh-CN" w:bidi="ar-SA"/>
    </w:rPr>
  </w:style>
  <w:style w:type="paragraph" w:customStyle="1" w:styleId="46">
    <w:name w:val="样式2"/>
    <w:basedOn w:val="12"/>
    <w:link w:val="45"/>
    <w:qFormat/>
    <w:uiPriority w:val="0"/>
    <w:pPr>
      <w:pBdr>
        <w:top w:val="none" w:color="auto" w:sz="0" w:space="0"/>
        <w:left w:val="none" w:color="auto" w:sz="0" w:space="0"/>
        <w:bottom w:val="single" w:color="auto" w:sz="6" w:space="1"/>
        <w:right w:val="none" w:color="auto" w:sz="0" w:space="0"/>
      </w:pBdr>
      <w:jc w:val="center"/>
    </w:pPr>
    <w:rPr>
      <w:szCs w:val="24"/>
    </w:rPr>
  </w:style>
  <w:style w:type="character" w:customStyle="1" w:styleId="47">
    <w:name w:val="browse_class&gt;span"/>
    <w:qFormat/>
    <w:uiPriority w:val="0"/>
  </w:style>
  <w:style w:type="character" w:customStyle="1" w:styleId="48">
    <w:name w:val="正文文本 Char"/>
    <w:qFormat/>
    <w:uiPriority w:val="0"/>
    <w:rPr>
      <w:kern w:val="2"/>
      <w:sz w:val="21"/>
      <w:szCs w:val="24"/>
    </w:rPr>
  </w:style>
  <w:style w:type="paragraph" w:customStyle="1" w:styleId="49">
    <w:name w:val="2"/>
    <w:basedOn w:val="1"/>
    <w:next w:val="50"/>
    <w:qFormat/>
    <w:uiPriority w:val="34"/>
    <w:pPr>
      <w:ind w:firstLine="420" w:firstLineChars="200"/>
    </w:pPr>
    <w:rPr>
      <w:rFonts w:ascii="Calibri" w:hAnsi="Calibri"/>
      <w:szCs w:val="22"/>
    </w:rPr>
  </w:style>
  <w:style w:type="paragraph" w:styleId="50">
    <w:name w:val="List Paragraph"/>
    <w:basedOn w:val="1"/>
    <w:qFormat/>
    <w:uiPriority w:val="99"/>
    <w:pPr>
      <w:ind w:firstLine="420" w:firstLineChars="200"/>
    </w:pPr>
    <w:rPr>
      <w:rFonts w:ascii="Calibri" w:hAnsi="Calibri"/>
      <w:szCs w:val="24"/>
    </w:rPr>
  </w:style>
  <w:style w:type="paragraph" w:customStyle="1" w:styleId="51">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52">
    <w:name w:val="1"/>
    <w:basedOn w:val="1"/>
    <w:next w:val="50"/>
    <w:qFormat/>
    <w:uiPriority w:val="34"/>
    <w:pPr>
      <w:ind w:firstLine="420" w:firstLineChars="200"/>
    </w:pPr>
    <w:rPr>
      <w:rFonts w:ascii="Calibri" w:hAnsi="Calibri"/>
      <w:szCs w:val="22"/>
    </w:rPr>
  </w:style>
  <w:style w:type="character" w:customStyle="1" w:styleId="53">
    <w:name w:val="NormalCharacter"/>
    <w:semiHidden/>
    <w:qFormat/>
    <w:uiPriority w:val="0"/>
  </w:style>
  <w:style w:type="character" w:customStyle="1" w:styleId="54">
    <w:name w:val="批注文字 字符"/>
    <w:basedOn w:val="20"/>
    <w:link w:val="7"/>
    <w:qFormat/>
    <w:uiPriority w:val="0"/>
    <w:rPr>
      <w:kern w:val="2"/>
      <w:sz w:val="21"/>
    </w:rPr>
  </w:style>
  <w:style w:type="character" w:customStyle="1" w:styleId="55">
    <w:name w:val="批注主题 字符"/>
    <w:basedOn w:val="54"/>
    <w:link w:val="15"/>
    <w:qFormat/>
    <w:uiPriority w:val="0"/>
    <w:rPr>
      <w:b/>
      <w:bCs/>
      <w:kern w:val="2"/>
      <w:sz w:val="21"/>
    </w:rPr>
  </w:style>
  <w:style w:type="paragraph" w:customStyle="1" w:styleId="56">
    <w:name w:val="修订1"/>
    <w:hidden/>
    <w:semiHidden/>
    <w:qFormat/>
    <w:uiPriority w:val="99"/>
    <w:rPr>
      <w:rFonts w:ascii="Times New Roman" w:hAnsi="Times New Roman" w:eastAsia="宋体" w:cs="Times New Roman"/>
      <w:kern w:val="2"/>
      <w:sz w:val="21"/>
      <w:lang w:val="en-US" w:eastAsia="zh-CN" w:bidi="ar-SA"/>
    </w:rPr>
  </w:style>
  <w:style w:type="paragraph" w:customStyle="1" w:styleId="57">
    <w:name w:val="Revision"/>
    <w:hidden/>
    <w:semiHidden/>
    <w:qFormat/>
    <w:uiPriority w:val="99"/>
    <w:rPr>
      <w:rFonts w:ascii="Times New Roman" w:hAnsi="Times New Roman" w:eastAsia="宋体" w:cs="Times New Roman"/>
      <w:kern w:val="2"/>
      <w:sz w:val="21"/>
      <w:lang w:val="en-US" w:eastAsia="zh-CN" w:bidi="ar-SA"/>
    </w:rPr>
  </w:style>
  <w:style w:type="character" w:customStyle="1" w:styleId="58">
    <w:name w:val="font31"/>
    <w:basedOn w:val="20"/>
    <w:qFormat/>
    <w:uiPriority w:val="0"/>
    <w:rPr>
      <w:rFonts w:hint="eastAsia" w:ascii="宋体" w:hAnsi="宋体" w:eastAsia="宋体" w:cs="宋体"/>
      <w:color w:val="000000"/>
      <w:sz w:val="24"/>
      <w:szCs w:val="24"/>
      <w:u w:val="none"/>
    </w:rPr>
  </w:style>
  <w:style w:type="character" w:customStyle="1" w:styleId="59">
    <w:name w:val="font11"/>
    <w:basedOn w:val="20"/>
    <w:qFormat/>
    <w:uiPriority w:val="0"/>
    <w:rPr>
      <w:rFonts w:hint="eastAsia" w:ascii="仿宋_GB2312" w:eastAsia="仿宋_GB2312" w:cs="仿宋_GB2312"/>
      <w:color w:val="000000"/>
      <w:sz w:val="24"/>
      <w:szCs w:val="24"/>
      <w:u w:val="none"/>
    </w:rPr>
  </w:style>
  <w:style w:type="paragraph" w:customStyle="1" w:styleId="60">
    <w:name w:val="表内正文"/>
    <w:basedOn w:val="1"/>
    <w:qFormat/>
    <w:uiPriority w:val="0"/>
    <w:pPr>
      <w:widowControl/>
      <w:tabs>
        <w:tab w:val="left" w:pos="312"/>
      </w:tabs>
      <w:spacing w:line="240" w:lineRule="auto"/>
      <w:ind w:firstLine="0" w:firstLineChars="0"/>
    </w:pPr>
    <w:rPr>
      <w:rFonts w:ascii="仿宋_GB2312" w:hAnsi="仿宋_GB2312"/>
      <w:color w:val="000000" w:themeColor="text1"/>
      <w:kern w:val="0"/>
      <w:sz w:val="24"/>
      <w:szCs w:val="24"/>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4471</Words>
  <Characters>4617</Characters>
  <Lines>84</Lines>
  <Paragraphs>23</Paragraphs>
  <TotalTime>2</TotalTime>
  <ScaleCrop>false</ScaleCrop>
  <LinksUpToDate>false</LinksUpToDate>
  <CharactersWithSpaces>4617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2022-06-15T01:03:00Z</dcterms:created>
  <dc:creator>Tian</dc:creator>
  <cp:lastModifiedBy>吴豪源</cp:lastModifiedBy>
  <cp:lastPrinted>2025-02-26T00:49:00Z</cp:lastPrinted>
  <dcterms:modified xsi:type="dcterms:W3CDTF">2025-08-04T01:26:32Z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DD7DC0E0DE7D4B708E582AB05CF451D1_13</vt:lpwstr>
  </property>
  <property fmtid="{D5CDD505-2E9C-101B-9397-08002B2CF9AE}" pid="4" name="KSOTemplateDocerSaveRecord">
    <vt:lpwstr>eyJoZGlkIjoiZTc5NGM3NjQ5ODJkNGIxOTc5ZTdiY2M2ODk2MWVkODIiLCJ1c2VySWQiOiIxNjk1NTQ1NDY2In0=</vt:lpwstr>
  </property>
</Properties>
</file>