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8B34D">
      <w:pPr>
        <w:pStyle w:val="2"/>
        <w:spacing w:line="360" w:lineRule="auto"/>
        <w:rPr>
          <w:rFonts w:hint="eastAsia" w:eastAsia="宋体"/>
          <w:color w:val="auto"/>
          <w:sz w:val="28"/>
          <w:highlight w:val="none"/>
          <w:lang w:eastAsia="zh-CN"/>
        </w:rPr>
      </w:pPr>
      <w:r>
        <w:rPr>
          <w:rFonts w:hint="eastAsia"/>
          <w:color w:val="auto"/>
          <w:sz w:val="28"/>
          <w:highlight w:val="none"/>
          <w:lang w:eastAsia="zh-CN"/>
        </w:rPr>
        <w:t>合同编号：</w:t>
      </w:r>
    </w:p>
    <w:p w14:paraId="1D667AB5">
      <w:pPr>
        <w:rPr>
          <w:color w:val="auto"/>
          <w:highlight w:val="none"/>
        </w:rPr>
      </w:pPr>
    </w:p>
    <w:p w14:paraId="35C2F304">
      <w:pPr>
        <w:spacing w:line="360" w:lineRule="auto"/>
        <w:jc w:val="center"/>
        <w:rPr>
          <w:rFonts w:hint="eastAsia"/>
          <w:b/>
          <w:color w:val="auto"/>
          <w:sz w:val="52"/>
          <w:highlight w:val="none"/>
        </w:rPr>
      </w:pPr>
      <w:r>
        <w:rPr>
          <w:rFonts w:hint="eastAsia"/>
          <w:b/>
          <w:color w:val="auto"/>
          <w:sz w:val="52"/>
          <w:highlight w:val="none"/>
        </w:rPr>
        <w:t>建设工程设计</w:t>
      </w:r>
      <w:r>
        <w:rPr>
          <w:rFonts w:hint="eastAsia"/>
          <w:b/>
          <w:color w:val="auto"/>
          <w:sz w:val="52"/>
          <w:highlight w:val="none"/>
          <w:lang w:eastAsia="zh-CN"/>
        </w:rPr>
        <w:t>服务</w:t>
      </w:r>
      <w:r>
        <w:rPr>
          <w:rFonts w:hint="eastAsia"/>
          <w:b/>
          <w:color w:val="auto"/>
          <w:sz w:val="52"/>
          <w:highlight w:val="none"/>
        </w:rPr>
        <w:t>合同</w:t>
      </w:r>
    </w:p>
    <w:p w14:paraId="26ACA801">
      <w:pPr>
        <w:spacing w:line="360" w:lineRule="auto"/>
        <w:rPr>
          <w:color w:val="auto"/>
          <w:highlight w:val="none"/>
        </w:rPr>
      </w:pPr>
    </w:p>
    <w:p w14:paraId="539905A1">
      <w:pPr>
        <w:spacing w:line="360" w:lineRule="auto"/>
        <w:rPr>
          <w:rFonts w:hint="eastAsia"/>
          <w:color w:val="auto"/>
          <w:highlight w:val="none"/>
        </w:rPr>
      </w:pPr>
    </w:p>
    <w:p w14:paraId="1E411261">
      <w:pPr>
        <w:spacing w:line="360" w:lineRule="auto"/>
        <w:ind w:left="420" w:hanging="420" w:hangingChars="200"/>
        <w:rPr>
          <w:rFonts w:hint="eastAsia"/>
          <w:color w:val="auto"/>
          <w:highlight w:val="none"/>
        </w:rPr>
      </w:pPr>
    </w:p>
    <w:p w14:paraId="1B5E35AE">
      <w:pPr>
        <w:spacing w:line="360" w:lineRule="auto"/>
        <w:rPr>
          <w:rFonts w:hint="eastAsia"/>
          <w:color w:val="auto"/>
          <w:highlight w:val="none"/>
        </w:rPr>
      </w:pPr>
    </w:p>
    <w:p w14:paraId="32D460E2">
      <w:pPr>
        <w:spacing w:line="360" w:lineRule="auto"/>
        <w:rPr>
          <w:rFonts w:hint="eastAsia"/>
          <w:color w:val="auto"/>
          <w:highlight w:val="none"/>
        </w:rPr>
      </w:pPr>
    </w:p>
    <w:p w14:paraId="00B4A761">
      <w:pPr>
        <w:spacing w:line="360" w:lineRule="auto"/>
        <w:rPr>
          <w:rFonts w:hint="eastAsia"/>
          <w:color w:val="auto"/>
          <w:highlight w:val="none"/>
        </w:rPr>
      </w:pPr>
    </w:p>
    <w:p w14:paraId="1FEC7E0C">
      <w:pPr>
        <w:spacing w:line="360" w:lineRule="auto"/>
        <w:rPr>
          <w:rFonts w:hint="eastAsia"/>
          <w:color w:val="auto"/>
          <w:highlight w:val="none"/>
        </w:rPr>
      </w:pPr>
    </w:p>
    <w:p w14:paraId="1FA2ABBA">
      <w:pPr>
        <w:spacing w:line="360" w:lineRule="auto"/>
        <w:rPr>
          <w:rFonts w:hint="eastAsia"/>
          <w:color w:val="auto"/>
          <w:highlight w:val="none"/>
        </w:rPr>
      </w:pPr>
    </w:p>
    <w:p w14:paraId="0D4AF099">
      <w:pPr>
        <w:spacing w:line="360" w:lineRule="auto"/>
        <w:rPr>
          <w:rFonts w:hint="eastAsia"/>
          <w:color w:val="auto"/>
          <w:highlight w:val="none"/>
        </w:rPr>
      </w:pPr>
    </w:p>
    <w:p w14:paraId="54FE8AE2">
      <w:pPr>
        <w:spacing w:line="360" w:lineRule="auto"/>
        <w:rPr>
          <w:rFonts w:hint="eastAsia"/>
          <w:color w:val="auto"/>
          <w:highlight w:val="none"/>
        </w:rPr>
      </w:pPr>
    </w:p>
    <w:p w14:paraId="64D2848A">
      <w:pPr>
        <w:spacing w:line="360" w:lineRule="auto"/>
        <w:rPr>
          <w:rFonts w:hint="eastAsia"/>
          <w:color w:val="auto"/>
          <w:highlight w:val="none"/>
        </w:rPr>
      </w:pPr>
    </w:p>
    <w:p w14:paraId="1C17E71B">
      <w:pPr>
        <w:spacing w:line="480" w:lineRule="auto"/>
        <w:ind w:left="2281" w:hanging="2280" w:hangingChars="687"/>
        <w:rPr>
          <w:rFonts w:hint="eastAsia"/>
          <w:color w:val="auto"/>
          <w:spacing w:val="26"/>
          <w:sz w:val="28"/>
          <w:highlight w:val="none"/>
          <w:u w:val="single"/>
        </w:rPr>
      </w:pPr>
      <w:r>
        <w:rPr>
          <w:rFonts w:hint="eastAsia"/>
          <w:color w:val="auto"/>
          <w:spacing w:val="26"/>
          <w:sz w:val="28"/>
          <w:highlight w:val="none"/>
        </w:rPr>
        <w:t>工</w:t>
      </w:r>
      <w:r>
        <w:rPr>
          <w:color w:val="auto"/>
          <w:spacing w:val="26"/>
          <w:sz w:val="28"/>
          <w:highlight w:val="none"/>
        </w:rPr>
        <w:t xml:space="preserve"> </w:t>
      </w:r>
      <w:r>
        <w:rPr>
          <w:rFonts w:hint="eastAsia"/>
          <w:color w:val="auto"/>
          <w:spacing w:val="26"/>
          <w:sz w:val="28"/>
          <w:highlight w:val="none"/>
        </w:rPr>
        <w:t>程</w:t>
      </w:r>
      <w:r>
        <w:rPr>
          <w:color w:val="auto"/>
          <w:spacing w:val="26"/>
          <w:sz w:val="28"/>
          <w:highlight w:val="none"/>
        </w:rPr>
        <w:t xml:space="preserve"> </w:t>
      </w:r>
      <w:r>
        <w:rPr>
          <w:rFonts w:hint="eastAsia"/>
          <w:color w:val="auto"/>
          <w:spacing w:val="26"/>
          <w:sz w:val="28"/>
          <w:highlight w:val="none"/>
        </w:rPr>
        <w:t>名</w:t>
      </w:r>
      <w:r>
        <w:rPr>
          <w:color w:val="auto"/>
          <w:spacing w:val="26"/>
          <w:sz w:val="28"/>
          <w:highlight w:val="none"/>
        </w:rPr>
        <w:t xml:space="preserve"> </w:t>
      </w:r>
      <w:r>
        <w:rPr>
          <w:rFonts w:hint="eastAsia"/>
          <w:color w:val="auto"/>
          <w:spacing w:val="26"/>
          <w:sz w:val="28"/>
          <w:highlight w:val="none"/>
        </w:rPr>
        <w:t>称：</w:t>
      </w:r>
      <w:r>
        <w:rPr>
          <w:rFonts w:hint="eastAsia" w:ascii="Calibri" w:hAnsi="Calibri" w:cs="Times New Roman"/>
          <w:color w:val="auto"/>
          <w:spacing w:val="26"/>
          <w:sz w:val="28"/>
          <w:highlight w:val="none"/>
          <w:u w:val="single"/>
          <w:lang w:eastAsia="zh-CN"/>
        </w:rPr>
        <w:t>南沙湾先行启动区国际科创融合发展综合开发项目--南沙湾港前大道周边配套道路新建及提升工程（首期）初步设计</w:t>
      </w:r>
      <w:r>
        <w:rPr>
          <w:rFonts w:hint="eastAsia"/>
          <w:color w:val="auto"/>
          <w:spacing w:val="26"/>
          <w:sz w:val="28"/>
          <w:highlight w:val="none"/>
          <w:u w:val="single"/>
        </w:rPr>
        <w:t xml:space="preserve">                                 　 </w:t>
      </w:r>
    </w:p>
    <w:p w14:paraId="6E476F62">
      <w:pPr>
        <w:spacing w:line="480" w:lineRule="auto"/>
        <w:ind w:left="2281" w:hanging="2280" w:hangingChars="687"/>
        <w:rPr>
          <w:rFonts w:hint="eastAsia"/>
          <w:color w:val="auto"/>
          <w:spacing w:val="26"/>
          <w:sz w:val="28"/>
          <w:highlight w:val="none"/>
          <w:u w:val="single"/>
        </w:rPr>
      </w:pPr>
      <w:r>
        <w:rPr>
          <w:rFonts w:hint="eastAsia"/>
          <w:color w:val="auto"/>
          <w:spacing w:val="26"/>
          <w:sz w:val="28"/>
          <w:highlight w:val="none"/>
        </w:rPr>
        <w:t>工 程 地 点：</w:t>
      </w:r>
      <w:r>
        <w:rPr>
          <w:rFonts w:hint="eastAsia"/>
          <w:color w:val="auto"/>
          <w:spacing w:val="26"/>
          <w:sz w:val="28"/>
          <w:highlight w:val="none"/>
          <w:u w:val="single"/>
        </w:rPr>
        <w:t xml:space="preserve">广州市南沙区                                           </w:t>
      </w:r>
    </w:p>
    <w:p w14:paraId="1305DC35">
      <w:pPr>
        <w:spacing w:line="480" w:lineRule="auto"/>
        <w:ind w:left="2271" w:hanging="2270" w:hangingChars="684"/>
        <w:rPr>
          <w:rFonts w:hint="eastAsia"/>
          <w:color w:val="auto"/>
          <w:spacing w:val="26"/>
          <w:sz w:val="28"/>
          <w:highlight w:val="none"/>
          <w:u w:val="single"/>
        </w:rPr>
      </w:pPr>
      <w:r>
        <w:rPr>
          <w:rFonts w:hint="eastAsia"/>
          <w:color w:val="auto"/>
          <w:spacing w:val="26"/>
          <w:sz w:val="28"/>
          <w:highlight w:val="none"/>
        </w:rPr>
        <w:t>发  包  人：</w:t>
      </w:r>
      <w:r>
        <w:rPr>
          <w:rFonts w:hint="eastAsia"/>
          <w:color w:val="auto"/>
          <w:spacing w:val="26"/>
          <w:sz w:val="28"/>
          <w:highlight w:val="none"/>
          <w:u w:val="single"/>
          <w:lang w:eastAsia="zh-CN"/>
        </w:rPr>
        <w:t>广州南沙工化投资有限公司</w:t>
      </w:r>
      <w:r>
        <w:rPr>
          <w:rFonts w:hint="eastAsia"/>
          <w:color w:val="auto"/>
          <w:spacing w:val="26"/>
          <w:sz w:val="28"/>
          <w:highlight w:val="none"/>
          <w:u w:val="single"/>
        </w:rPr>
        <w:t>（</w:t>
      </w:r>
      <w:r>
        <w:rPr>
          <w:rFonts w:hint="eastAsia"/>
          <w:color w:val="auto"/>
          <w:spacing w:val="26"/>
          <w:sz w:val="28"/>
          <w:highlight w:val="none"/>
          <w:u w:val="single"/>
          <w:lang w:eastAsia="zh-CN"/>
        </w:rPr>
        <w:t>建设单位</w:t>
      </w:r>
      <w:r>
        <w:rPr>
          <w:rFonts w:hint="eastAsia"/>
          <w:color w:val="auto"/>
          <w:spacing w:val="26"/>
          <w:sz w:val="28"/>
          <w:highlight w:val="none"/>
          <w:u w:val="single"/>
        </w:rPr>
        <w:t>）</w:t>
      </w:r>
    </w:p>
    <w:p w14:paraId="1321FD87">
      <w:pPr>
        <w:spacing w:line="480" w:lineRule="auto"/>
        <w:ind w:left="2222" w:leftChars="1058" w:firstLine="59" w:firstLineChars="18"/>
        <w:rPr>
          <w:rFonts w:hint="eastAsia"/>
          <w:color w:val="auto"/>
          <w:spacing w:val="26"/>
          <w:sz w:val="28"/>
          <w:highlight w:val="none"/>
          <w:u w:val="single"/>
        </w:rPr>
      </w:pPr>
      <w:r>
        <w:rPr>
          <w:rFonts w:hint="eastAsia"/>
          <w:color w:val="auto"/>
          <w:spacing w:val="26"/>
          <w:sz w:val="28"/>
          <w:highlight w:val="none"/>
          <w:u w:val="single"/>
        </w:rPr>
        <w:t xml:space="preserve">广州南沙建设维护管理有限公司（建设管理单位）                            </w:t>
      </w:r>
    </w:p>
    <w:p w14:paraId="6192C894">
      <w:pPr>
        <w:spacing w:line="480" w:lineRule="auto"/>
        <w:ind w:left="2281" w:hanging="2280" w:hangingChars="687"/>
        <w:rPr>
          <w:color w:val="auto"/>
          <w:spacing w:val="26"/>
          <w:sz w:val="28"/>
          <w:highlight w:val="none"/>
          <w:u w:val="single"/>
        </w:rPr>
      </w:pPr>
      <w:r>
        <w:rPr>
          <w:rFonts w:hint="eastAsia"/>
          <w:color w:val="auto"/>
          <w:spacing w:val="26"/>
          <w:sz w:val="28"/>
          <w:highlight w:val="none"/>
        </w:rPr>
        <w:t>承  包  人：</w:t>
      </w:r>
      <w:r>
        <w:rPr>
          <w:rFonts w:hint="eastAsia"/>
          <w:color w:val="auto"/>
          <w:spacing w:val="26"/>
          <w:sz w:val="28"/>
          <w:highlight w:val="none"/>
          <w:u w:val="single"/>
        </w:rPr>
        <w:t xml:space="preserve">   </w:t>
      </w:r>
    </w:p>
    <w:p w14:paraId="64B11D88">
      <w:pPr>
        <w:spacing w:line="480" w:lineRule="auto"/>
        <w:ind w:left="2281" w:hanging="2280" w:hangingChars="687"/>
        <w:rPr>
          <w:rFonts w:hint="eastAsia"/>
          <w:color w:val="auto"/>
          <w:spacing w:val="26"/>
          <w:sz w:val="28"/>
          <w:highlight w:val="none"/>
          <w:u w:val="single"/>
        </w:rPr>
      </w:pPr>
      <w:r>
        <w:rPr>
          <w:rFonts w:hint="eastAsia"/>
          <w:color w:val="auto"/>
          <w:spacing w:val="26"/>
          <w:sz w:val="28"/>
          <w:highlight w:val="none"/>
        </w:rPr>
        <w:t>签 订 日 期：</w:t>
      </w:r>
      <w:r>
        <w:rPr>
          <w:rFonts w:hint="eastAsia"/>
          <w:color w:val="auto"/>
          <w:spacing w:val="26"/>
          <w:sz w:val="28"/>
          <w:highlight w:val="none"/>
          <w:u w:val="single"/>
        </w:rPr>
        <w:t xml:space="preserve">        </w:t>
      </w:r>
      <w:r>
        <w:rPr>
          <w:rFonts w:hint="eastAsia"/>
          <w:color w:val="auto"/>
          <w:spacing w:val="26"/>
          <w:sz w:val="28"/>
          <w:highlight w:val="none"/>
          <w:u w:val="single"/>
          <w:lang w:eastAsia="zh-CN"/>
        </w:rPr>
        <w:t>2025</w:t>
      </w:r>
      <w:r>
        <w:rPr>
          <w:rFonts w:hint="eastAsia"/>
          <w:color w:val="auto"/>
          <w:spacing w:val="26"/>
          <w:sz w:val="28"/>
          <w:highlight w:val="none"/>
          <w:u w:val="single"/>
        </w:rPr>
        <w:t xml:space="preserve">年  月  </w:t>
      </w:r>
      <w:r>
        <w:rPr>
          <w:rFonts w:hint="eastAsia"/>
          <w:color w:val="auto"/>
          <w:spacing w:val="26"/>
          <w:sz w:val="28"/>
          <w:highlight w:val="none"/>
          <w:u w:val="single"/>
          <w:lang w:val="en-US" w:eastAsia="zh-CN"/>
        </w:rPr>
        <w:t xml:space="preserve">日 </w:t>
      </w:r>
      <w:r>
        <w:rPr>
          <w:rFonts w:hint="eastAsia"/>
          <w:color w:val="auto"/>
          <w:spacing w:val="26"/>
          <w:sz w:val="28"/>
          <w:highlight w:val="none"/>
          <w:u w:val="single"/>
        </w:rPr>
        <w:t xml:space="preserve">                   </w:t>
      </w:r>
    </w:p>
    <w:p w14:paraId="432858BE">
      <w:pPr>
        <w:spacing w:line="480" w:lineRule="auto"/>
        <w:ind w:left="2281" w:hanging="2280" w:hangingChars="687"/>
        <w:rPr>
          <w:rFonts w:hint="eastAsia"/>
          <w:color w:val="auto"/>
          <w:spacing w:val="26"/>
          <w:sz w:val="28"/>
          <w:highlight w:val="none"/>
          <w:u w:val="single"/>
        </w:rPr>
      </w:pPr>
    </w:p>
    <w:p w14:paraId="6E6EF49F">
      <w:pPr>
        <w:tabs>
          <w:tab w:val="left" w:pos="7425"/>
        </w:tabs>
        <w:spacing w:line="400" w:lineRule="exact"/>
        <w:ind w:left="1236" w:hanging="1236" w:hangingChars="342"/>
        <w:jc w:val="left"/>
        <w:rPr>
          <w:rFonts w:hint="eastAsia" w:ascii="宋体" w:hAnsi="宋体"/>
          <w:b/>
          <w:color w:val="auto"/>
          <w:sz w:val="36"/>
          <w:szCs w:val="36"/>
          <w:highlight w:val="none"/>
        </w:rPr>
      </w:pPr>
      <w:r>
        <w:rPr>
          <w:rFonts w:ascii="宋体" w:hAnsi="宋体"/>
          <w:b/>
          <w:color w:val="auto"/>
          <w:sz w:val="36"/>
          <w:szCs w:val="36"/>
          <w:highlight w:val="none"/>
        </w:rPr>
        <w:tab/>
      </w:r>
      <w:r>
        <w:rPr>
          <w:rFonts w:ascii="宋体" w:hAnsi="宋体"/>
          <w:b/>
          <w:color w:val="auto"/>
          <w:sz w:val="36"/>
          <w:szCs w:val="36"/>
          <w:highlight w:val="none"/>
        </w:rPr>
        <w:tab/>
      </w:r>
    </w:p>
    <w:p w14:paraId="34904A58">
      <w:pPr>
        <w:spacing w:line="360" w:lineRule="auto"/>
        <w:rPr>
          <w:rFonts w:hint="eastAsia" w:ascii="宋体" w:hAnsi="宋体"/>
          <w:b/>
          <w:bCs/>
          <w:color w:val="auto"/>
          <w:sz w:val="24"/>
          <w:highlight w:val="none"/>
          <w:u w:val="single"/>
        </w:rPr>
      </w:pPr>
      <w:r>
        <w:rPr>
          <w:rFonts w:hint="eastAsia" w:ascii="宋体" w:hAnsi="宋体"/>
          <w:b/>
          <w:color w:val="auto"/>
          <w:szCs w:val="24"/>
          <w:highlight w:val="none"/>
        </w:rPr>
        <w:br w:type="page"/>
      </w:r>
      <w:r>
        <w:rPr>
          <w:rFonts w:hint="eastAsia" w:ascii="宋体" w:hAnsi="宋体"/>
          <w:b/>
          <w:color w:val="auto"/>
          <w:szCs w:val="24"/>
          <w:highlight w:val="none"/>
        </w:rPr>
        <w:t>发包人(甲方):</w:t>
      </w:r>
      <w:r>
        <w:rPr>
          <w:rFonts w:hint="eastAsia"/>
          <w:color w:val="auto"/>
          <w:highlight w:val="none"/>
        </w:rPr>
        <w:t xml:space="preserve"> </w:t>
      </w:r>
      <w:r>
        <w:rPr>
          <w:rFonts w:hint="eastAsia" w:ascii="宋体" w:hAnsi="宋体"/>
          <w:b/>
          <w:bCs/>
          <w:color w:val="auto"/>
          <w:sz w:val="24"/>
          <w:highlight w:val="none"/>
          <w:u w:val="single"/>
          <w:lang w:eastAsia="zh-CN"/>
        </w:rPr>
        <w:t>广州南沙工化投资有限公司</w:t>
      </w:r>
      <w:r>
        <w:rPr>
          <w:rFonts w:hint="eastAsia" w:ascii="宋体" w:hAnsi="宋体"/>
          <w:b/>
          <w:bCs/>
          <w:color w:val="auto"/>
          <w:sz w:val="24"/>
          <w:highlight w:val="none"/>
          <w:u w:val="single"/>
        </w:rPr>
        <w:t>（</w:t>
      </w:r>
      <w:r>
        <w:rPr>
          <w:rFonts w:hint="eastAsia" w:ascii="宋体" w:hAnsi="宋体"/>
          <w:b/>
          <w:bCs/>
          <w:color w:val="auto"/>
          <w:sz w:val="24"/>
          <w:highlight w:val="none"/>
          <w:u w:val="single"/>
          <w:lang w:eastAsia="zh-CN"/>
        </w:rPr>
        <w:t>建设单位</w:t>
      </w:r>
      <w:r>
        <w:rPr>
          <w:rFonts w:hint="eastAsia" w:ascii="宋体" w:hAnsi="宋体"/>
          <w:b/>
          <w:bCs/>
          <w:color w:val="auto"/>
          <w:sz w:val="24"/>
          <w:highlight w:val="none"/>
          <w:u w:val="single"/>
        </w:rPr>
        <w:t>）</w:t>
      </w:r>
    </w:p>
    <w:p w14:paraId="5AAE1FA8">
      <w:pPr>
        <w:spacing w:line="360" w:lineRule="auto"/>
        <w:ind w:firstLine="1446" w:firstLineChars="600"/>
        <w:rPr>
          <w:rFonts w:hint="eastAsia" w:ascii="宋体" w:hAnsi="宋体"/>
          <w:b/>
          <w:color w:val="auto"/>
          <w:szCs w:val="24"/>
          <w:highlight w:val="none"/>
        </w:rPr>
      </w:pPr>
      <w:r>
        <w:rPr>
          <w:rFonts w:hint="eastAsia" w:ascii="宋体" w:hAnsi="宋体"/>
          <w:b/>
          <w:bCs/>
          <w:color w:val="auto"/>
          <w:sz w:val="24"/>
          <w:highlight w:val="none"/>
          <w:u w:val="single"/>
        </w:rPr>
        <w:t>广州南沙建设维护管理有限公司（建设管理单位）</w:t>
      </w:r>
    </w:p>
    <w:p w14:paraId="2BFCF3B7">
      <w:pPr>
        <w:spacing w:line="360" w:lineRule="auto"/>
        <w:rPr>
          <w:rFonts w:hint="eastAsia" w:ascii="宋体" w:hAnsi="宋体"/>
          <w:b/>
          <w:color w:val="auto"/>
          <w:szCs w:val="24"/>
          <w:highlight w:val="none"/>
        </w:rPr>
      </w:pPr>
      <w:r>
        <w:rPr>
          <w:rFonts w:hint="eastAsia" w:ascii="宋体" w:hAnsi="宋体"/>
          <w:b/>
          <w:color w:val="auto"/>
          <w:szCs w:val="24"/>
          <w:highlight w:val="none"/>
        </w:rPr>
        <w:t xml:space="preserve">承包人(乙方): </w:t>
      </w:r>
    </w:p>
    <w:p w14:paraId="69ACEBBF">
      <w:pPr>
        <w:spacing w:line="360" w:lineRule="auto"/>
        <w:ind w:firstLine="539"/>
        <w:rPr>
          <w:rFonts w:hint="eastAsia" w:ascii="宋体" w:hAnsi="宋体"/>
          <w:color w:val="auto"/>
          <w:sz w:val="24"/>
          <w:highlight w:val="none"/>
        </w:rPr>
      </w:pPr>
    </w:p>
    <w:p w14:paraId="6220DF9D">
      <w:pPr>
        <w:spacing w:line="360" w:lineRule="auto"/>
        <w:ind w:firstLine="539"/>
        <w:rPr>
          <w:rFonts w:hint="eastAsia"/>
          <w:color w:val="auto"/>
          <w:sz w:val="24"/>
          <w:highlight w:val="none"/>
          <w:u w:val="single"/>
        </w:rPr>
      </w:pPr>
      <w:r>
        <w:rPr>
          <w:rFonts w:hint="eastAsia" w:ascii="宋体" w:hAnsi="宋体"/>
          <w:color w:val="auto"/>
          <w:sz w:val="24"/>
          <w:highlight w:val="none"/>
        </w:rPr>
        <w:t>甲方通过</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日的中标通知书接受</w:t>
      </w:r>
      <w:r>
        <w:rPr>
          <w:rFonts w:hint="eastAsia"/>
          <w:color w:val="auto"/>
          <w:sz w:val="24"/>
          <w:highlight w:val="none"/>
          <w:u w:val="single"/>
          <w:lang w:eastAsia="zh-CN"/>
        </w:rPr>
        <w:t>乙方</w:t>
      </w:r>
      <w:r>
        <w:rPr>
          <w:rFonts w:hint="eastAsia" w:ascii="宋体" w:hAnsi="宋体"/>
          <w:color w:val="auto"/>
          <w:sz w:val="24"/>
          <w:highlight w:val="none"/>
        </w:rPr>
        <w:t>为本工程的</w:t>
      </w:r>
      <w:r>
        <w:rPr>
          <w:rFonts w:hint="eastAsia" w:ascii="宋体" w:hAnsi="宋体"/>
          <w:color w:val="auto"/>
          <w:sz w:val="24"/>
          <w:highlight w:val="none"/>
          <w:lang w:eastAsia="zh-CN"/>
        </w:rPr>
        <w:t>初步</w:t>
      </w:r>
      <w:r>
        <w:rPr>
          <w:rFonts w:hint="eastAsia" w:ascii="宋体" w:hAnsi="宋体"/>
          <w:color w:val="auto"/>
          <w:sz w:val="24"/>
          <w:highlight w:val="none"/>
        </w:rPr>
        <w:t>设计单位，经双方协商一致，签订本合同。</w:t>
      </w:r>
    </w:p>
    <w:p w14:paraId="110C82DF">
      <w:pPr>
        <w:spacing w:line="360" w:lineRule="auto"/>
        <w:rPr>
          <w:rFonts w:hint="eastAsia" w:ascii="宋体" w:hAnsi="宋体"/>
          <w:b/>
          <w:color w:val="auto"/>
          <w:sz w:val="24"/>
          <w:highlight w:val="none"/>
        </w:rPr>
      </w:pPr>
      <w:r>
        <w:rPr>
          <w:rFonts w:hint="eastAsia" w:ascii="宋体" w:hAnsi="宋体"/>
          <w:b/>
          <w:color w:val="auto"/>
          <w:sz w:val="24"/>
          <w:highlight w:val="none"/>
        </w:rPr>
        <w:t>一、工程概况</w:t>
      </w:r>
    </w:p>
    <w:p w14:paraId="01BE5264">
      <w:pPr>
        <w:spacing w:line="360" w:lineRule="auto"/>
        <w:ind w:firstLine="480" w:firstLineChars="200"/>
        <w:rPr>
          <w:rFonts w:hint="eastAsia" w:ascii="宋体" w:eastAsia="宋体"/>
          <w:color w:val="auto"/>
          <w:sz w:val="24"/>
          <w:highlight w:val="none"/>
          <w:u w:val="singl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工程名称：</w:t>
      </w:r>
      <w:r>
        <w:rPr>
          <w:rFonts w:hint="eastAsia" w:ascii="宋体" w:hAnsi="宋体"/>
          <w:color w:val="auto"/>
          <w:spacing w:val="0"/>
          <w:sz w:val="24"/>
          <w:highlight w:val="none"/>
          <w:u w:val="single"/>
          <w:lang w:eastAsia="zh-CN"/>
        </w:rPr>
        <w:t>南沙湾先行启动区国际科创融合发展综合开发项目--南沙湾港前大道周边配套道路新建及提升工程（首期）初步设计</w:t>
      </w:r>
    </w:p>
    <w:p w14:paraId="522864C1">
      <w:pPr>
        <w:spacing w:line="360" w:lineRule="auto"/>
        <w:rPr>
          <w:rFonts w:hint="eastAsia" w:ascii="宋体" w:hAnsi="宋体" w:eastAsia="宋体" w:cs="Times New Roman"/>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lang w:val="en-US" w:eastAsia="zh-CN"/>
        </w:rPr>
        <w:t>2、</w:t>
      </w:r>
      <w:r>
        <w:rPr>
          <w:rFonts w:hint="eastAsia" w:ascii="宋体" w:hAnsi="宋体"/>
          <w:color w:val="auto"/>
          <w:sz w:val="24"/>
          <w:highlight w:val="none"/>
        </w:rPr>
        <w:t>工程地点：</w:t>
      </w:r>
      <w:r>
        <w:rPr>
          <w:rFonts w:hint="eastAsia" w:ascii="宋体" w:hAnsi="宋体" w:eastAsia="宋体" w:cs="Times New Roman"/>
          <w:color w:val="auto"/>
          <w:sz w:val="24"/>
          <w:szCs w:val="22"/>
          <w:highlight w:val="none"/>
          <w:u w:val="single"/>
        </w:rPr>
        <w:t>广州市南沙区</w:t>
      </w:r>
    </w:p>
    <w:p w14:paraId="26DA42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工程规模：</w:t>
      </w:r>
    </w:p>
    <w:p w14:paraId="2117FBD1">
      <w:pPr>
        <w:pStyle w:val="20"/>
        <w:spacing w:line="360" w:lineRule="auto"/>
        <w:rPr>
          <w:rFonts w:hint="default"/>
          <w:color w:val="auto"/>
          <w:highlight w:val="none"/>
          <w:lang w:val="en-US" w:eastAsia="zh-CN"/>
        </w:rPr>
      </w:pPr>
      <w:r>
        <w:rPr>
          <w:rFonts w:hint="eastAsia" w:ascii="宋体" w:hAnsi="宋体" w:eastAsia="宋体" w:cs="宋体"/>
          <w:i w:val="0"/>
          <w:iCs w:val="0"/>
          <w:caps w:val="0"/>
          <w:color w:val="auto"/>
          <w:spacing w:val="0"/>
          <w:sz w:val="24"/>
          <w:szCs w:val="24"/>
          <w:highlight w:val="none"/>
          <w:lang w:eastAsia="zh-CN"/>
        </w:rPr>
        <w:t>南沙湾先行启动区国际科创融合发展综合开发项目--南沙湾港前大道周边配套道路新建及提升工程（首期）</w:t>
      </w:r>
      <w:r>
        <w:rPr>
          <w:rFonts w:hint="eastAsia" w:ascii="宋体" w:hAnsi="宋体" w:eastAsia="宋体" w:cs="宋体"/>
          <w:i w:val="0"/>
          <w:iCs w:val="0"/>
          <w:caps w:val="0"/>
          <w:color w:val="auto"/>
          <w:spacing w:val="0"/>
          <w:sz w:val="24"/>
          <w:szCs w:val="24"/>
          <w:highlight w:val="none"/>
          <w:lang w:val="en-US" w:eastAsia="zh-CN"/>
        </w:rPr>
        <w:t>包括</w:t>
      </w:r>
      <w:r>
        <w:rPr>
          <w:rFonts w:hint="eastAsia" w:ascii="宋体" w:hAnsi="宋体" w:eastAsia="宋体" w:cs="宋体"/>
          <w:color w:val="auto"/>
          <w:sz w:val="24"/>
          <w:szCs w:val="24"/>
          <w:highlight w:val="none"/>
          <w:lang w:val="en-US" w:eastAsia="zh-CN"/>
        </w:rPr>
        <w:t>芦湾村路、兴沙路以及规划一路：</w:t>
      </w:r>
    </w:p>
    <w:p w14:paraId="5C921C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（1）芦湾村路西起于南沙高尔夫球场门楼，终点接港前大道交叉口，路线总长约742m，现状路宽约11.5m，规划路宽20m，道路等级为城市支路，设计速度20km/h。</w:t>
      </w:r>
    </w:p>
    <w:p w14:paraId="6CBA4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（2）新建兴沙路东接现状兴沙路，终点接港前大道交叉口，路线总长约617m，规划路宽30m，道路等级为城市次干路，设计速度30km/h。</w:t>
      </w:r>
    </w:p>
    <w:p w14:paraId="5DC98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（3）新建规划一路东接规划二横路，西接商贸大道一横路，路线总长约216m，规划路宽15m，道路等级为城市支路，设计速度30km/h。</w:t>
      </w:r>
    </w:p>
    <w:p w14:paraId="023CD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主要建设内容包括：道路、综合管线、电力、给水、排水、交通设施、照明、绿化等。</w:t>
      </w:r>
    </w:p>
    <w:p w14:paraId="5C1DA364">
      <w:pPr>
        <w:spacing w:line="360" w:lineRule="auto"/>
        <w:ind w:firstLine="0"/>
        <w:rPr>
          <w:rFonts w:hint="eastAsia" w:ascii="宋体" w:hAnsi="宋体"/>
          <w:b/>
          <w:color w:val="auto"/>
          <w:sz w:val="24"/>
          <w:highlight w:val="none"/>
        </w:rPr>
      </w:pPr>
      <w:r>
        <w:rPr>
          <w:rFonts w:hint="eastAsia" w:ascii="宋体" w:hAnsi="宋体"/>
          <w:b/>
          <w:color w:val="auto"/>
          <w:sz w:val="24"/>
          <w:highlight w:val="none"/>
        </w:rPr>
        <w:t>二、本合同的专有名词定义：</w:t>
      </w:r>
    </w:p>
    <w:p w14:paraId="41F4B6E9">
      <w:pPr>
        <w:pStyle w:val="13"/>
        <w:spacing w:before="0" w:beforeAutospacing="0" w:after="0" w:afterAutospacing="0" w:line="360" w:lineRule="auto"/>
        <w:rPr>
          <w:rFonts w:hint="eastAsia"/>
          <w:b/>
          <w:color w:val="auto"/>
          <w:highlight w:val="none"/>
        </w:rPr>
      </w:pPr>
      <w:r>
        <w:rPr>
          <w:rFonts w:hint="eastAsia"/>
          <w:b/>
          <w:color w:val="auto"/>
          <w:highlight w:val="none"/>
        </w:rPr>
        <w:t>1. 甲方：</w:t>
      </w:r>
      <w:r>
        <w:rPr>
          <w:rFonts w:hint="eastAsia"/>
          <w:color w:val="auto"/>
          <w:highlight w:val="none"/>
        </w:rPr>
        <w:t>指发包人，本合同指</w:t>
      </w:r>
      <w:r>
        <w:rPr>
          <w:rFonts w:hint="eastAsia"/>
          <w:color w:val="auto"/>
          <w:highlight w:val="none"/>
          <w:u w:val="single"/>
          <w:lang w:eastAsia="zh-CN"/>
        </w:rPr>
        <w:t>广州南沙工化投资有限公司</w:t>
      </w:r>
      <w:r>
        <w:rPr>
          <w:rFonts w:hint="eastAsia"/>
          <w:color w:val="auto"/>
          <w:highlight w:val="none"/>
          <w:u w:val="single"/>
        </w:rPr>
        <w:t>、广州南沙建设维护管理有限公司</w:t>
      </w:r>
      <w:r>
        <w:rPr>
          <w:rFonts w:hint="eastAsia"/>
          <w:color w:val="auto"/>
          <w:highlight w:val="none"/>
        </w:rPr>
        <w:t>。</w:t>
      </w:r>
      <w:bookmarkStart w:id="1" w:name="_GoBack"/>
      <w:bookmarkEnd w:id="1"/>
    </w:p>
    <w:p w14:paraId="46AA29B2">
      <w:pPr>
        <w:pStyle w:val="13"/>
        <w:numPr>
          <w:ilvl w:val="0"/>
          <w:numId w:val="2"/>
        </w:numPr>
        <w:spacing w:before="0" w:beforeAutospacing="0" w:after="0" w:afterAutospacing="0" w:line="360" w:lineRule="auto"/>
        <w:rPr>
          <w:rFonts w:hint="eastAsia"/>
          <w:color w:val="auto"/>
          <w:highlight w:val="none"/>
        </w:rPr>
      </w:pPr>
      <w:r>
        <w:rPr>
          <w:rFonts w:hint="eastAsia"/>
          <w:b/>
          <w:color w:val="auto"/>
          <w:highlight w:val="none"/>
        </w:rPr>
        <w:t>乙方：</w:t>
      </w:r>
      <w:r>
        <w:rPr>
          <w:rFonts w:hint="eastAsia"/>
          <w:color w:val="auto"/>
          <w:highlight w:val="none"/>
        </w:rPr>
        <w:t>指承包人，本合同指由甲方委托的设计单位。</w:t>
      </w:r>
    </w:p>
    <w:p w14:paraId="2C867FB9">
      <w:pPr>
        <w:pStyle w:val="13"/>
        <w:numPr>
          <w:ilvl w:val="0"/>
          <w:numId w:val="2"/>
        </w:numPr>
        <w:spacing w:before="0" w:beforeAutospacing="0" w:after="0" w:afterAutospacing="0" w:line="360" w:lineRule="auto"/>
        <w:rPr>
          <w:rFonts w:hint="eastAsia"/>
          <w:color w:val="auto"/>
          <w:highlight w:val="none"/>
        </w:rPr>
      </w:pPr>
      <w:r>
        <w:rPr>
          <w:rFonts w:hint="eastAsia"/>
          <w:b/>
          <w:color w:val="auto"/>
          <w:highlight w:val="none"/>
        </w:rPr>
        <w:t>设计审查人（方）：</w:t>
      </w:r>
      <w:r>
        <w:rPr>
          <w:rFonts w:hint="eastAsia"/>
          <w:color w:val="auto"/>
          <w:highlight w:val="none"/>
        </w:rPr>
        <w:t>指由甲方委托的承担本工程的设计审查的单位。</w:t>
      </w:r>
    </w:p>
    <w:p w14:paraId="649E794E">
      <w:pPr>
        <w:pStyle w:val="13"/>
        <w:numPr>
          <w:ilvl w:val="0"/>
          <w:numId w:val="2"/>
        </w:numPr>
        <w:spacing w:before="0" w:beforeAutospacing="0" w:after="0" w:afterAutospacing="0" w:line="360" w:lineRule="auto"/>
        <w:rPr>
          <w:rFonts w:hint="eastAsia"/>
          <w:color w:val="auto"/>
          <w:highlight w:val="none"/>
        </w:rPr>
      </w:pPr>
      <w:r>
        <w:rPr>
          <w:rFonts w:hint="eastAsia"/>
          <w:b/>
          <w:color w:val="auto"/>
          <w:highlight w:val="none"/>
        </w:rPr>
        <w:t>设计咨询人（方）：</w:t>
      </w:r>
      <w:r>
        <w:rPr>
          <w:rFonts w:hint="eastAsia"/>
          <w:color w:val="auto"/>
          <w:highlight w:val="none"/>
        </w:rPr>
        <w:t>指由甲方委托的承担本工程的设计咨询的单位。</w:t>
      </w:r>
    </w:p>
    <w:p w14:paraId="7A83F3F9">
      <w:pPr>
        <w:pStyle w:val="13"/>
        <w:numPr>
          <w:ilvl w:val="0"/>
          <w:numId w:val="2"/>
        </w:numPr>
        <w:spacing w:before="0" w:beforeAutospacing="0" w:after="0" w:afterAutospacing="0" w:line="360" w:lineRule="auto"/>
        <w:rPr>
          <w:rFonts w:hint="eastAsia"/>
          <w:color w:val="auto"/>
          <w:highlight w:val="none"/>
        </w:rPr>
      </w:pPr>
      <w:r>
        <w:rPr>
          <w:rFonts w:hint="eastAsia"/>
          <w:b/>
          <w:color w:val="auto"/>
          <w:highlight w:val="none"/>
        </w:rPr>
        <w:t>合同：</w:t>
      </w:r>
      <w:r>
        <w:rPr>
          <w:rFonts w:hint="eastAsia"/>
          <w:color w:val="auto"/>
          <w:highlight w:val="none"/>
        </w:rPr>
        <w:t>指甲方与乙方之间为实施、完成并跟踪服务本工程所订立的合同。</w:t>
      </w:r>
    </w:p>
    <w:p w14:paraId="08219F47">
      <w:pPr>
        <w:pStyle w:val="13"/>
        <w:numPr>
          <w:ilvl w:val="0"/>
          <w:numId w:val="2"/>
        </w:numPr>
        <w:spacing w:before="0" w:beforeAutospacing="0" w:after="0" w:afterAutospacing="0" w:line="360" w:lineRule="auto"/>
        <w:rPr>
          <w:rFonts w:hint="eastAsia"/>
          <w:color w:val="auto"/>
          <w:highlight w:val="none"/>
        </w:rPr>
      </w:pPr>
      <w:r>
        <w:rPr>
          <w:rFonts w:hint="eastAsia"/>
          <w:b/>
          <w:color w:val="auto"/>
          <w:highlight w:val="none"/>
        </w:rPr>
        <w:t>中标价格：</w:t>
      </w:r>
      <w:r>
        <w:rPr>
          <w:rFonts w:hint="eastAsia"/>
          <w:color w:val="auto"/>
          <w:highlight w:val="none"/>
        </w:rPr>
        <w:t>指甲方所发中标通知书中所列的价格。</w:t>
      </w:r>
    </w:p>
    <w:p w14:paraId="33A1695A">
      <w:pPr>
        <w:pStyle w:val="13"/>
        <w:numPr>
          <w:ilvl w:val="0"/>
          <w:numId w:val="2"/>
        </w:numPr>
        <w:spacing w:before="0" w:beforeAutospacing="0" w:after="0" w:afterAutospacing="0" w:line="360" w:lineRule="auto"/>
        <w:rPr>
          <w:rFonts w:hint="eastAsia"/>
          <w:color w:val="auto"/>
          <w:highlight w:val="none"/>
        </w:rPr>
      </w:pPr>
      <w:r>
        <w:rPr>
          <w:rFonts w:hint="eastAsia"/>
          <w:b/>
          <w:color w:val="auto"/>
          <w:highlight w:val="none"/>
        </w:rPr>
        <w:t>合同价格：</w:t>
      </w:r>
      <w:r>
        <w:rPr>
          <w:rFonts w:hint="eastAsia"/>
          <w:color w:val="auto"/>
          <w:highlight w:val="none"/>
        </w:rPr>
        <w:t>指在中标通知书中写明并在此后根据合同条款调整的价格。</w:t>
      </w:r>
    </w:p>
    <w:p w14:paraId="535BBFF0">
      <w:pPr>
        <w:pStyle w:val="13"/>
        <w:numPr>
          <w:ilvl w:val="0"/>
          <w:numId w:val="2"/>
        </w:numPr>
        <w:spacing w:before="0" w:beforeAutospacing="0" w:after="0" w:afterAutospacing="0" w:line="360" w:lineRule="auto"/>
        <w:rPr>
          <w:rFonts w:hint="eastAsia"/>
          <w:color w:val="auto"/>
          <w:highlight w:val="none"/>
        </w:rPr>
      </w:pPr>
      <w:r>
        <w:rPr>
          <w:rFonts w:hint="eastAsia"/>
          <w:b/>
          <w:color w:val="auto"/>
          <w:highlight w:val="none"/>
        </w:rPr>
        <w:t>工程概算：</w:t>
      </w:r>
      <w:r>
        <w:rPr>
          <w:rFonts w:hint="eastAsia"/>
          <w:color w:val="auto"/>
          <w:highlight w:val="none"/>
        </w:rPr>
        <w:t>指以初步设计为基础编制而成，且编制深度达到国家有关的编制规定，并经甲方委托的工程造价审查单位及/或政府规定的财政投资评审审定的文件，并以政府主管部门的批复为准。</w:t>
      </w:r>
    </w:p>
    <w:p w14:paraId="6978D49A">
      <w:pPr>
        <w:pStyle w:val="13"/>
        <w:numPr>
          <w:ilvl w:val="0"/>
          <w:numId w:val="2"/>
        </w:numPr>
        <w:tabs>
          <w:tab w:val="clear" w:pos="420"/>
        </w:tabs>
        <w:spacing w:before="0" w:beforeAutospacing="0" w:after="0" w:afterAutospacing="0" w:line="360" w:lineRule="auto"/>
        <w:rPr>
          <w:rFonts w:hint="eastAsia"/>
          <w:color w:val="auto"/>
          <w:highlight w:val="none"/>
        </w:rPr>
      </w:pPr>
      <w:r>
        <w:rPr>
          <w:rFonts w:hint="eastAsia"/>
          <w:b/>
          <w:bCs/>
          <w:color w:val="auto"/>
          <w:highlight w:val="none"/>
        </w:rPr>
        <w:t>设计质量</w:t>
      </w:r>
      <w:r>
        <w:rPr>
          <w:rFonts w:hint="eastAsia"/>
          <w:b/>
          <w:bCs/>
          <w:color w:val="auto"/>
          <w:highlight w:val="none"/>
          <w:lang w:eastAsia="zh-CN"/>
        </w:rPr>
        <w:t>：</w:t>
      </w:r>
      <w:r>
        <w:rPr>
          <w:rFonts w:hint="eastAsia"/>
          <w:color w:val="auto"/>
          <w:highlight w:val="none"/>
        </w:rPr>
        <w:t>符合甲方所提供的国家及项目所在地法律法规、规范的各项要求，满足甲方对本项目的各项设计要求。对于合同中约定的各项设计内容，乙方均应精心设计，符合合同要求</w:t>
      </w:r>
      <w:r>
        <w:rPr>
          <w:rFonts w:hint="eastAsia"/>
          <w:color w:val="auto"/>
          <w:highlight w:val="none"/>
          <w:lang w:eastAsia="zh-CN"/>
        </w:rPr>
        <w:t>，</w:t>
      </w:r>
      <w:r>
        <w:rPr>
          <w:rFonts w:hint="eastAsia"/>
          <w:color w:val="auto"/>
          <w:highlight w:val="none"/>
        </w:rPr>
        <w:t>并满足甲方对本项目的各项合理的设计要求，直至甲方满意为止。</w:t>
      </w:r>
    </w:p>
    <w:p w14:paraId="242A19B5">
      <w:pPr>
        <w:pStyle w:val="13"/>
        <w:numPr>
          <w:ilvl w:val="0"/>
          <w:numId w:val="2"/>
        </w:numPr>
        <w:spacing w:before="0" w:beforeAutospacing="0" w:after="0" w:afterAutospacing="0" w:line="360" w:lineRule="auto"/>
        <w:rPr>
          <w:rFonts w:hint="eastAsia"/>
          <w:color w:val="auto"/>
          <w:highlight w:val="none"/>
        </w:rPr>
      </w:pPr>
      <w:r>
        <w:rPr>
          <w:rFonts w:hint="eastAsia"/>
          <w:b/>
          <w:color w:val="auto"/>
          <w:highlight w:val="none"/>
        </w:rPr>
        <w:t>I类设计变更：</w:t>
      </w:r>
      <w:r>
        <w:rPr>
          <w:rFonts w:hint="eastAsia"/>
          <w:color w:val="auto"/>
          <w:highlight w:val="none"/>
        </w:rPr>
        <w:t>指按照甲方制定的《变更设计管理办法》规定执行。</w:t>
      </w:r>
    </w:p>
    <w:p w14:paraId="66866D24">
      <w:pPr>
        <w:pStyle w:val="13"/>
        <w:numPr>
          <w:ilvl w:val="0"/>
          <w:numId w:val="2"/>
        </w:numPr>
        <w:spacing w:before="0" w:beforeAutospacing="0" w:after="0" w:afterAutospacing="0" w:line="360" w:lineRule="auto"/>
        <w:rPr>
          <w:rFonts w:hint="eastAsia"/>
          <w:color w:val="auto"/>
          <w:highlight w:val="none"/>
        </w:rPr>
      </w:pPr>
      <w:r>
        <w:rPr>
          <w:rFonts w:hint="eastAsia"/>
          <w:color w:val="auto"/>
          <w:highlight w:val="none"/>
        </w:rPr>
        <w:t>本合同中费用、金额均指人民币。</w:t>
      </w:r>
    </w:p>
    <w:p w14:paraId="50C60331">
      <w:pPr>
        <w:pStyle w:val="13"/>
        <w:spacing w:before="0" w:beforeAutospacing="0" w:after="0" w:afterAutospacing="0" w:line="360" w:lineRule="auto"/>
        <w:rPr>
          <w:rFonts w:hint="eastAsia"/>
          <w:color w:val="auto"/>
          <w:highlight w:val="none"/>
        </w:rPr>
      </w:pPr>
      <w:r>
        <w:rPr>
          <w:rFonts w:hint="eastAsia"/>
          <w:b/>
          <w:color w:val="auto"/>
          <w:highlight w:val="none"/>
        </w:rPr>
        <w:t>三、　本合同签订依据</w:t>
      </w:r>
    </w:p>
    <w:p w14:paraId="1165EC88">
      <w:pPr>
        <w:pStyle w:val="13"/>
        <w:spacing w:before="0" w:beforeAutospacing="0" w:after="0" w:afterAutospacing="0" w:line="360" w:lineRule="auto"/>
        <w:ind w:firstLine="424" w:firstLineChars="177"/>
        <w:jc w:val="both"/>
        <w:rPr>
          <w:rFonts w:hint="eastAsia"/>
          <w:color w:val="auto"/>
          <w:highlight w:val="none"/>
        </w:rPr>
      </w:pPr>
      <w:r>
        <w:rPr>
          <w:rFonts w:hint="eastAsia"/>
          <w:color w:val="auto"/>
          <w:highlight w:val="none"/>
        </w:rPr>
        <w:t>1、《中华人民共和国民法典》《中华人民共和国建筑法》。</w:t>
      </w:r>
    </w:p>
    <w:p w14:paraId="1C969F83">
      <w:pPr>
        <w:pStyle w:val="13"/>
        <w:spacing w:before="0" w:beforeAutospacing="0" w:after="0" w:afterAutospacing="0" w:line="360" w:lineRule="auto"/>
        <w:ind w:firstLine="424" w:firstLineChars="177"/>
        <w:jc w:val="both"/>
        <w:rPr>
          <w:rFonts w:hint="eastAsia"/>
          <w:color w:val="auto"/>
          <w:highlight w:val="none"/>
        </w:rPr>
      </w:pPr>
      <w:r>
        <w:rPr>
          <w:rFonts w:hint="eastAsia"/>
          <w:color w:val="auto"/>
          <w:highlight w:val="none"/>
        </w:rPr>
        <w:t>2、国家及地方有关建设工程设计管理法规和规章。</w:t>
      </w:r>
    </w:p>
    <w:p w14:paraId="7EAA33C8">
      <w:pPr>
        <w:pStyle w:val="13"/>
        <w:spacing w:before="0" w:beforeAutospacing="0" w:after="0" w:afterAutospacing="0" w:line="360" w:lineRule="auto"/>
        <w:ind w:firstLine="424" w:firstLineChars="177"/>
        <w:jc w:val="both"/>
        <w:rPr>
          <w:rFonts w:hint="eastAsia"/>
          <w:color w:val="auto"/>
          <w:highlight w:val="none"/>
        </w:rPr>
      </w:pPr>
      <w:r>
        <w:rPr>
          <w:rFonts w:hint="eastAsia"/>
          <w:color w:val="auto"/>
          <w:highlight w:val="none"/>
          <w:lang w:val="en-US" w:eastAsia="zh-CN"/>
        </w:rPr>
        <w:t>3</w:t>
      </w:r>
      <w:r>
        <w:rPr>
          <w:rFonts w:hint="eastAsia"/>
          <w:color w:val="auto"/>
          <w:highlight w:val="none"/>
        </w:rPr>
        <w:t>、中标通知书。</w:t>
      </w:r>
    </w:p>
    <w:p w14:paraId="332E7A53">
      <w:pPr>
        <w:pStyle w:val="13"/>
        <w:spacing w:before="0" w:beforeAutospacing="0" w:after="0" w:afterAutospacing="0" w:line="360" w:lineRule="auto"/>
        <w:rPr>
          <w:rFonts w:hint="eastAsia"/>
          <w:b/>
          <w:color w:val="auto"/>
          <w:highlight w:val="none"/>
        </w:rPr>
      </w:pPr>
      <w:r>
        <w:rPr>
          <w:rFonts w:hint="eastAsia"/>
          <w:b/>
          <w:color w:val="auto"/>
          <w:highlight w:val="none"/>
        </w:rPr>
        <w:t>四、本合同任务、阶段、范围及依据</w:t>
      </w:r>
    </w:p>
    <w:p w14:paraId="340B2E60">
      <w:pPr>
        <w:spacing w:line="360" w:lineRule="auto"/>
        <w:ind w:firstLine="480" w:firstLineChars="200"/>
        <w:rPr>
          <w:rFonts w:hint="eastAsia" w:ascii="宋体" w:hAnsi="宋体" w:eastAsia="宋体" w:cs="Times New Roman"/>
          <w:i w:val="0"/>
          <w:iCs w:val="0"/>
          <w:caps w:val="0"/>
          <w:color w:val="auto"/>
          <w:spacing w:val="0"/>
          <w:kern w:val="2"/>
          <w:sz w:val="24"/>
          <w:szCs w:val="22"/>
          <w:highlight w:val="none"/>
          <w:shd w:val="clear" w:color="auto" w:fill="auto"/>
          <w:lang w:bidi="ar-SA"/>
        </w:rPr>
      </w:pPr>
      <w:r>
        <w:rPr>
          <w:rFonts w:hint="eastAsia" w:ascii="宋体" w:hAnsi="宋体"/>
          <w:b w:val="0"/>
          <w:bCs/>
          <w:color w:val="auto"/>
          <w:sz w:val="24"/>
          <w:highlight w:val="none"/>
        </w:rPr>
        <w:t>1、设计范围及内容具体包括但不限于</w:t>
      </w:r>
      <w:r>
        <w:rPr>
          <w:rFonts w:hint="eastAsia" w:ascii="宋体" w:hAnsi="宋体"/>
          <w:bCs/>
          <w:color w:val="auto"/>
          <w:sz w:val="24"/>
          <w:highlight w:val="none"/>
        </w:rPr>
        <w:t>：</w:t>
      </w:r>
      <w:r>
        <w:rPr>
          <w:rFonts w:hint="eastAsia" w:ascii="宋体" w:hAnsi="宋体" w:eastAsia="宋体" w:cs="Times New Roman"/>
          <w:bCs/>
          <w:color w:val="auto"/>
          <w:sz w:val="24"/>
          <w:szCs w:val="22"/>
          <w:highlight w:val="none"/>
          <w:shd w:val="clear" w:color="auto" w:fill="auto"/>
          <w:lang w:val="en-US" w:eastAsia="zh-CN"/>
        </w:rPr>
        <w:t>芦湾村路、兴沙路</w:t>
      </w:r>
      <w:r>
        <w:rPr>
          <w:rFonts w:hint="eastAsia" w:ascii="宋体" w:hAnsi="宋体" w:eastAsia="宋体" w:cs="Times New Roman"/>
          <w:color w:val="auto"/>
          <w:sz w:val="24"/>
          <w:szCs w:val="22"/>
          <w:highlight w:val="none"/>
          <w:shd w:val="clear" w:color="auto" w:fill="auto"/>
          <w:lang w:val="en-US" w:eastAsia="zh-CN"/>
        </w:rPr>
        <w:t>以及规划一路的方案设计、初步设计（含概算编制）及施工图技术顾问等，开展设计上述内容的整体方案论证和综合评估,协助报建报批工作,及时提供报建所需的技术资料,进行必要的专项研究及深化设计,进行初步设计交底，配合开展施工图设计工作等</w:t>
      </w:r>
      <w:r>
        <w:rPr>
          <w:rFonts w:hint="eastAsia" w:ascii="宋体" w:hAnsi="宋体" w:eastAsia="宋体" w:cs="Times New Roman"/>
          <w:i w:val="0"/>
          <w:iCs w:val="0"/>
          <w:caps w:val="0"/>
          <w:color w:val="auto"/>
          <w:spacing w:val="0"/>
          <w:kern w:val="2"/>
          <w:sz w:val="24"/>
          <w:szCs w:val="22"/>
          <w:highlight w:val="none"/>
          <w:shd w:val="clear" w:color="auto" w:fill="auto"/>
          <w:lang w:val="en-US" w:eastAsia="zh-CN" w:bidi="ar-SA"/>
        </w:rPr>
        <w:t>。</w:t>
      </w:r>
    </w:p>
    <w:p w14:paraId="4391B51B">
      <w:pPr>
        <w:spacing w:line="360" w:lineRule="auto"/>
        <w:ind w:firstLine="480" w:firstLineChars="200"/>
        <w:rPr>
          <w:rFonts w:hint="eastAsia" w:ascii="宋体" w:hAnsi="宋体" w:eastAsia="宋体" w:cs="Times New Roman"/>
          <w:i w:val="0"/>
          <w:iCs w:val="0"/>
          <w:caps w:val="0"/>
          <w:color w:val="auto"/>
          <w:spacing w:val="0"/>
          <w:kern w:val="2"/>
          <w:sz w:val="24"/>
          <w:szCs w:val="22"/>
          <w:highlight w:val="none"/>
          <w:shd w:val="clear" w:color="auto" w:fill="auto"/>
          <w:lang w:bidi="ar-SA"/>
        </w:rPr>
      </w:pPr>
      <w:r>
        <w:rPr>
          <w:rFonts w:hint="eastAsia" w:ascii="宋体" w:hAnsi="宋体" w:eastAsia="宋体" w:cs="Times New Roman"/>
          <w:i w:val="0"/>
          <w:iCs w:val="0"/>
          <w:caps w:val="0"/>
          <w:color w:val="auto"/>
          <w:spacing w:val="0"/>
          <w:kern w:val="2"/>
          <w:sz w:val="24"/>
          <w:szCs w:val="22"/>
          <w:highlight w:val="none"/>
          <w:shd w:val="clear" w:color="auto" w:fill="auto"/>
          <w:lang w:bidi="ar-SA"/>
        </w:rPr>
        <w:t>设计</w:t>
      </w:r>
      <w:r>
        <w:rPr>
          <w:rFonts w:hint="eastAsia" w:ascii="宋体" w:hAnsi="宋体" w:eastAsia="宋体" w:cs="Times New Roman"/>
          <w:i w:val="0"/>
          <w:iCs w:val="0"/>
          <w:caps w:val="0"/>
          <w:color w:val="auto"/>
          <w:spacing w:val="0"/>
          <w:kern w:val="2"/>
          <w:sz w:val="24"/>
          <w:szCs w:val="22"/>
          <w:highlight w:val="none"/>
          <w:shd w:val="clear" w:color="auto" w:fill="auto"/>
          <w:lang w:val="en-US" w:eastAsia="zh-CN" w:bidi="ar-SA"/>
        </w:rPr>
        <w:t>成果</w:t>
      </w:r>
      <w:r>
        <w:rPr>
          <w:rFonts w:hint="eastAsia" w:ascii="宋体" w:hAnsi="宋体" w:eastAsia="宋体" w:cs="Times New Roman"/>
          <w:i w:val="0"/>
          <w:iCs w:val="0"/>
          <w:caps w:val="0"/>
          <w:color w:val="auto"/>
          <w:spacing w:val="0"/>
          <w:kern w:val="2"/>
          <w:sz w:val="24"/>
          <w:szCs w:val="22"/>
          <w:highlight w:val="none"/>
          <w:shd w:val="clear" w:color="auto" w:fill="auto"/>
          <w:lang w:bidi="ar-SA"/>
        </w:rPr>
        <w:t>应满足住房城乡建设部《建筑工程设计文件编制深度规定》（2016版）、《市政公用工程设计文件编制深度规定》（2013年版）等文件关于初步设计深度的要求，包括红线外为本项目所需的排水、供水、供电、燃气等相关</w:t>
      </w:r>
      <w:r>
        <w:rPr>
          <w:rFonts w:hint="eastAsia" w:ascii="宋体" w:hAnsi="宋体" w:cs="Times New Roman"/>
          <w:i w:val="0"/>
          <w:iCs w:val="0"/>
          <w:caps w:val="0"/>
          <w:color w:val="auto"/>
          <w:spacing w:val="0"/>
          <w:kern w:val="2"/>
          <w:sz w:val="24"/>
          <w:szCs w:val="22"/>
          <w:highlight w:val="none"/>
          <w:shd w:val="clear" w:color="auto" w:fill="auto"/>
          <w:lang w:val="en-US" w:eastAsia="zh-CN" w:bidi="ar-SA"/>
        </w:rPr>
        <w:t>接驳</w:t>
      </w:r>
      <w:r>
        <w:rPr>
          <w:rFonts w:hint="eastAsia" w:ascii="宋体" w:hAnsi="宋体" w:eastAsia="宋体" w:cs="Times New Roman"/>
          <w:i w:val="0"/>
          <w:iCs w:val="0"/>
          <w:caps w:val="0"/>
          <w:color w:val="auto"/>
          <w:spacing w:val="0"/>
          <w:kern w:val="2"/>
          <w:sz w:val="24"/>
          <w:szCs w:val="22"/>
          <w:highlight w:val="none"/>
          <w:shd w:val="clear" w:color="auto" w:fill="auto"/>
          <w:lang w:bidi="ar-SA"/>
        </w:rPr>
        <w:t>设计，设计文件</w:t>
      </w:r>
      <w:r>
        <w:rPr>
          <w:rFonts w:hint="eastAsia" w:ascii="宋体" w:hAnsi="宋体" w:eastAsia="宋体" w:cs="Times New Roman"/>
          <w:i w:val="0"/>
          <w:iCs w:val="0"/>
          <w:caps w:val="0"/>
          <w:color w:val="auto"/>
          <w:spacing w:val="0"/>
          <w:kern w:val="2"/>
          <w:sz w:val="24"/>
          <w:szCs w:val="22"/>
          <w:highlight w:val="none"/>
          <w:shd w:val="clear" w:color="auto" w:fill="auto"/>
          <w:lang w:val="en-US" w:eastAsia="zh-CN" w:bidi="ar-SA"/>
        </w:rPr>
        <w:t>须通过专家评审，</w:t>
      </w:r>
      <w:r>
        <w:rPr>
          <w:rFonts w:hint="eastAsia" w:ascii="宋体" w:hAnsi="宋体" w:eastAsia="宋体" w:cs="Times New Roman"/>
          <w:i w:val="0"/>
          <w:iCs w:val="0"/>
          <w:caps w:val="0"/>
          <w:color w:val="auto"/>
          <w:spacing w:val="0"/>
          <w:kern w:val="2"/>
          <w:sz w:val="24"/>
          <w:szCs w:val="22"/>
          <w:highlight w:val="none"/>
          <w:shd w:val="clear" w:color="auto" w:fill="auto"/>
          <w:lang w:bidi="ar-SA"/>
        </w:rPr>
        <w:t>概算文件深度应满足概算审批部门的要求。</w:t>
      </w:r>
    </w:p>
    <w:p w14:paraId="4157AEB9">
      <w:pPr>
        <w:pStyle w:val="13"/>
        <w:spacing w:before="0" w:beforeAutospacing="0" w:after="0" w:afterAutospacing="0" w:line="360" w:lineRule="auto"/>
        <w:ind w:firstLine="482"/>
        <w:rPr>
          <w:rFonts w:hint="eastAsia"/>
          <w:color w:val="auto"/>
          <w:kern w:val="2"/>
          <w:szCs w:val="22"/>
          <w:highlight w:val="none"/>
        </w:rPr>
      </w:pPr>
      <w:r>
        <w:rPr>
          <w:rFonts w:hint="eastAsia"/>
          <w:color w:val="auto"/>
          <w:kern w:val="2"/>
          <w:szCs w:val="22"/>
          <w:highlight w:val="none"/>
        </w:rPr>
        <w:t>各个专业设计的具体要求或标准，以甲方确认为准(乙方可提出具体基本要求或标准)。</w:t>
      </w:r>
    </w:p>
    <w:p w14:paraId="4E90F531">
      <w:pPr>
        <w:pStyle w:val="13"/>
        <w:spacing w:before="0" w:beforeAutospacing="0" w:after="0" w:afterAutospacing="0" w:line="360" w:lineRule="auto"/>
        <w:ind w:firstLine="482"/>
        <w:rPr>
          <w:rFonts w:hint="eastAsia"/>
          <w:color w:val="auto"/>
          <w:kern w:val="2"/>
          <w:szCs w:val="22"/>
          <w:highlight w:val="none"/>
        </w:rPr>
      </w:pPr>
      <w:r>
        <w:rPr>
          <w:rFonts w:hint="eastAsia"/>
          <w:color w:val="auto"/>
          <w:kern w:val="2"/>
          <w:szCs w:val="22"/>
          <w:highlight w:val="none"/>
        </w:rPr>
        <w:t>乙方由于不具备某项或几项专业的设计资质，可以选择具有相应资质的专业分包单位进行设计，但费用包含在总设计费用中，甲方不再另行支付任何费用。乙方应提前向甲方报备相关专业分包单位的设计资质，经发包人</w:t>
      </w:r>
      <w:r>
        <w:rPr>
          <w:rFonts w:hint="eastAsia"/>
          <w:color w:val="auto"/>
          <w:kern w:val="2"/>
          <w:szCs w:val="22"/>
          <w:highlight w:val="none"/>
          <w:lang w:val="en-US" w:eastAsia="zh-CN"/>
        </w:rPr>
        <w:t>书面</w:t>
      </w:r>
      <w:r>
        <w:rPr>
          <w:rFonts w:hint="eastAsia"/>
          <w:color w:val="auto"/>
          <w:kern w:val="2"/>
          <w:szCs w:val="22"/>
          <w:highlight w:val="none"/>
        </w:rPr>
        <w:t>确认后方可开展设计工作。</w:t>
      </w:r>
    </w:p>
    <w:p w14:paraId="054D8138">
      <w:pPr>
        <w:pStyle w:val="13"/>
        <w:spacing w:before="0" w:beforeAutospacing="0" w:after="0" w:afterAutospacing="0" w:line="360" w:lineRule="auto"/>
        <w:ind w:firstLine="482"/>
        <w:jc w:val="both"/>
        <w:rPr>
          <w:rFonts w:hint="eastAsia"/>
          <w:color w:val="auto"/>
          <w:kern w:val="2"/>
          <w:szCs w:val="22"/>
          <w:highlight w:val="none"/>
        </w:rPr>
      </w:pPr>
      <w:r>
        <w:rPr>
          <w:rFonts w:hint="eastAsia"/>
          <w:color w:val="auto"/>
          <w:kern w:val="2"/>
          <w:szCs w:val="22"/>
          <w:highlight w:val="none"/>
        </w:rPr>
        <w:t>若乙方或乙方委托的专业分包单位提供的设计成果设计深度和质量不能满足甲方需要（以两次正式函件退回为准），甲方有权另行委托具有相关设计资质的单位完成相应工作内容，所需费用由乙方承担。</w:t>
      </w:r>
    </w:p>
    <w:p w14:paraId="3F8D63E0">
      <w:pPr>
        <w:pStyle w:val="13"/>
        <w:spacing w:before="0" w:beforeAutospacing="0" w:after="0" w:afterAutospacing="0" w:line="360" w:lineRule="auto"/>
        <w:ind w:firstLine="426"/>
        <w:rPr>
          <w:rFonts w:hint="eastAsia"/>
          <w:color w:val="auto"/>
          <w:highlight w:val="none"/>
        </w:rPr>
      </w:pPr>
      <w:r>
        <w:rPr>
          <w:rFonts w:hint="eastAsia"/>
          <w:b/>
          <w:bCs/>
          <w:color w:val="auto"/>
          <w:highlight w:val="none"/>
        </w:rPr>
        <w:t>2、设计依据：</w:t>
      </w:r>
    </w:p>
    <w:p w14:paraId="47CEAAAD">
      <w:pPr>
        <w:pStyle w:val="13"/>
        <w:spacing w:before="0" w:beforeAutospacing="0" w:after="0" w:afterAutospacing="0" w:line="360" w:lineRule="auto"/>
        <w:ind w:firstLine="480" w:firstLineChars="200"/>
        <w:rPr>
          <w:rFonts w:hint="eastAsia"/>
          <w:color w:val="auto"/>
          <w:highlight w:val="none"/>
        </w:rPr>
      </w:pPr>
      <w:r>
        <w:rPr>
          <w:rFonts w:hint="eastAsia"/>
          <w:color w:val="auto"/>
          <w:highlight w:val="none"/>
        </w:rPr>
        <w:t>2.1甲方提交的基础资料及工程技术要求；</w:t>
      </w:r>
    </w:p>
    <w:p w14:paraId="685FCAA0">
      <w:pPr>
        <w:pStyle w:val="13"/>
        <w:spacing w:before="0" w:beforeAutospacing="0" w:after="0" w:afterAutospacing="0" w:line="360" w:lineRule="auto"/>
        <w:ind w:firstLine="480" w:firstLineChars="200"/>
        <w:rPr>
          <w:rFonts w:hint="eastAsia"/>
          <w:color w:val="auto"/>
          <w:highlight w:val="none"/>
        </w:rPr>
      </w:pPr>
      <w:r>
        <w:rPr>
          <w:rFonts w:hint="eastAsia"/>
          <w:color w:val="auto"/>
          <w:highlight w:val="none"/>
        </w:rPr>
        <w:t>2.2国家及广东省、广州市现行的有关技术规范、规定及标准要求。</w:t>
      </w:r>
    </w:p>
    <w:p w14:paraId="38508F89">
      <w:pPr>
        <w:pStyle w:val="13"/>
        <w:spacing w:before="0" w:beforeAutospacing="0" w:after="0" w:afterAutospacing="0" w:line="360" w:lineRule="auto"/>
        <w:ind w:firstLine="480" w:firstLineChars="200"/>
        <w:rPr>
          <w:rFonts w:hint="eastAsia"/>
          <w:color w:val="auto"/>
          <w:highlight w:val="none"/>
        </w:rPr>
      </w:pPr>
      <w:r>
        <w:rPr>
          <w:rFonts w:hint="eastAsia"/>
          <w:color w:val="auto"/>
          <w:highlight w:val="none"/>
        </w:rPr>
        <w:t>2.3乙方必须按照严格2.1和2.2条约定的相关技术要求进行设计，当2.1与2.2条发生冲突时，应以2.2条为准。</w:t>
      </w:r>
    </w:p>
    <w:p w14:paraId="020D769D">
      <w:pPr>
        <w:pStyle w:val="13"/>
        <w:spacing w:before="0" w:beforeAutospacing="0" w:after="0" w:afterAutospacing="0" w:line="360" w:lineRule="auto"/>
        <w:rPr>
          <w:rFonts w:hint="eastAsia"/>
          <w:color w:val="auto"/>
          <w:highlight w:val="none"/>
        </w:rPr>
      </w:pPr>
      <w:r>
        <w:rPr>
          <w:rFonts w:hint="eastAsia"/>
          <w:b/>
          <w:color w:val="auto"/>
          <w:highlight w:val="none"/>
        </w:rPr>
        <w:t>五、合同文件的优先次序</w:t>
      </w:r>
    </w:p>
    <w:p w14:paraId="091C68EB">
      <w:pPr>
        <w:pStyle w:val="13"/>
        <w:spacing w:before="0" w:beforeAutospacing="0" w:after="0" w:afterAutospacing="0" w:line="360" w:lineRule="auto"/>
        <w:ind w:firstLine="480" w:firstLineChars="200"/>
        <w:rPr>
          <w:rFonts w:hint="eastAsia"/>
          <w:color w:val="auto"/>
          <w:highlight w:val="none"/>
        </w:rPr>
      </w:pPr>
      <w:r>
        <w:rPr>
          <w:rFonts w:hint="eastAsia"/>
          <w:color w:val="auto"/>
          <w:highlight w:val="none"/>
        </w:rPr>
        <w:t>1、下列文件应被认为是组成本合同文件的一部分,并互为补充解释,如果合同文件存在歧义或不一致，以先后排列次序为优先:</w:t>
      </w:r>
    </w:p>
    <w:p w14:paraId="717C075B">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(1) 合同实施期间双方签订的补充或修正文件；</w:t>
      </w:r>
    </w:p>
    <w:p w14:paraId="33402C4D">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(2) 合同正本；</w:t>
      </w:r>
    </w:p>
    <w:p w14:paraId="3B59CE75">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 xml:space="preserve">(3) 中标通知书； </w:t>
      </w:r>
    </w:p>
    <w:p w14:paraId="11EDC66F">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(4) 招标文件的答疑及问题澄清；</w:t>
      </w:r>
    </w:p>
    <w:p w14:paraId="1203B131">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(5) 招标文件；</w:t>
      </w:r>
    </w:p>
    <w:p w14:paraId="510ED924">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(6) 投标文件；</w:t>
      </w:r>
    </w:p>
    <w:p w14:paraId="14D73582">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(7) 投标文件的问题澄清；</w:t>
      </w:r>
    </w:p>
    <w:p w14:paraId="1B2E3A71">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(8) 设计要求和管理；</w:t>
      </w:r>
    </w:p>
    <w:p w14:paraId="6C4C0199">
      <w:pPr>
        <w:pStyle w:val="13"/>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(9) 设计承诺；</w:t>
      </w:r>
    </w:p>
    <w:p w14:paraId="1526E515">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(10) 设计工作大纲及实施计划、设计人员分工表；</w:t>
      </w:r>
    </w:p>
    <w:p w14:paraId="00C23A33">
      <w:pPr>
        <w:pStyle w:val="13"/>
        <w:snapToGrid w:val="0"/>
        <w:spacing w:before="0" w:beforeAutospacing="0" w:after="0" w:afterAutospacing="0" w:line="360" w:lineRule="auto"/>
        <w:ind w:firstLine="480"/>
        <w:rPr>
          <w:rFonts w:hint="eastAsia"/>
          <w:color w:val="auto"/>
          <w:highlight w:val="none"/>
        </w:rPr>
      </w:pPr>
      <w:r>
        <w:rPr>
          <w:rFonts w:hint="eastAsia"/>
          <w:color w:val="auto"/>
          <w:highlight w:val="none"/>
        </w:rPr>
        <w:t>(11)</w:t>
      </w:r>
      <w:r>
        <w:rPr>
          <w:rFonts w:hint="eastAsia"/>
          <w:color w:val="auto"/>
          <w:highlight w:val="none"/>
          <w:lang w:val="en-US" w:eastAsia="zh-CN"/>
        </w:rPr>
        <w:t xml:space="preserve"> </w:t>
      </w:r>
      <w:r>
        <w:rPr>
          <w:rFonts w:hint="eastAsia"/>
          <w:color w:val="auto"/>
          <w:highlight w:val="none"/>
        </w:rPr>
        <w:t>组成合同的其他文件。</w:t>
      </w:r>
    </w:p>
    <w:p w14:paraId="5A665995">
      <w:pPr>
        <w:pStyle w:val="13"/>
        <w:snapToGrid w:val="0"/>
        <w:spacing w:before="0" w:beforeAutospacing="0" w:after="0" w:afterAutospacing="0" w:line="360" w:lineRule="auto"/>
        <w:ind w:firstLine="480" w:firstLineChars="200"/>
        <w:rPr>
          <w:rFonts w:hint="eastAsia"/>
          <w:color w:val="auto"/>
          <w:highlight w:val="none"/>
        </w:rPr>
      </w:pPr>
      <w:r>
        <w:rPr>
          <w:rFonts w:hint="eastAsia"/>
          <w:color w:val="auto"/>
          <w:highlight w:val="none"/>
        </w:rPr>
        <w:t>2、当合同文件内容有含意不清或有矛盾时，在不影响工程正常进行的情况下，由合同各方协商解决。</w:t>
      </w:r>
    </w:p>
    <w:p w14:paraId="5B57B612">
      <w:pPr>
        <w:pStyle w:val="13"/>
        <w:spacing w:before="0" w:beforeAutospacing="0" w:after="0" w:afterAutospacing="0" w:line="360" w:lineRule="auto"/>
        <w:rPr>
          <w:rFonts w:hint="eastAsia"/>
          <w:b/>
          <w:color w:val="auto"/>
          <w:highlight w:val="none"/>
        </w:rPr>
      </w:pPr>
      <w:r>
        <w:rPr>
          <w:rFonts w:hint="eastAsia"/>
          <w:b/>
          <w:color w:val="auto"/>
          <w:highlight w:val="none"/>
        </w:rPr>
        <w:t>六、  甲方向乙方提交的有关资料、文件（如有）</w:t>
      </w:r>
    </w:p>
    <w:tbl>
      <w:tblPr>
        <w:tblStyle w:val="15"/>
        <w:tblW w:w="8379" w:type="dxa"/>
        <w:tblInd w:w="93" w:type="dxa"/>
        <w:tblLayout w:type="autofit"/>
        <w:tblCellMar>
          <w:top w:w="0" w:type="dxa"/>
          <w:left w:w="108" w:type="dxa"/>
          <w:bottom w:w="0" w:type="dxa"/>
          <w:right w:w="108" w:type="dxa"/>
        </w:tblCellMar>
      </w:tblPr>
      <w:tblGrid>
        <w:gridCol w:w="640"/>
        <w:gridCol w:w="3380"/>
        <w:gridCol w:w="1180"/>
        <w:gridCol w:w="1780"/>
        <w:gridCol w:w="1399"/>
      </w:tblGrid>
      <w:tr w14:paraId="7FE4C4B7">
        <w:tblPrEx>
          <w:tblCellMar>
            <w:top w:w="0" w:type="dxa"/>
            <w:left w:w="108" w:type="dxa"/>
            <w:bottom w:w="0" w:type="dxa"/>
            <w:right w:w="108" w:type="dxa"/>
          </w:tblCellMar>
        </w:tblPrEx>
        <w:trPr>
          <w:trHeight w:val="45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72031DDD">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序号</w:t>
            </w:r>
          </w:p>
        </w:tc>
        <w:tc>
          <w:tcPr>
            <w:tcW w:w="3380" w:type="dxa"/>
            <w:tcBorders>
              <w:top w:val="single" w:color="auto" w:sz="4" w:space="0"/>
              <w:left w:val="nil"/>
              <w:bottom w:val="single" w:color="auto" w:sz="4" w:space="0"/>
              <w:right w:val="single" w:color="auto" w:sz="4" w:space="0"/>
            </w:tcBorders>
            <w:noWrap w:val="0"/>
            <w:vAlign w:val="center"/>
          </w:tcPr>
          <w:p w14:paraId="6FF70E98">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资料及文件名称</w:t>
            </w:r>
          </w:p>
        </w:tc>
        <w:tc>
          <w:tcPr>
            <w:tcW w:w="1180" w:type="dxa"/>
            <w:tcBorders>
              <w:top w:val="single" w:color="auto" w:sz="4" w:space="0"/>
              <w:left w:val="nil"/>
              <w:bottom w:val="single" w:color="auto" w:sz="4" w:space="0"/>
              <w:right w:val="single" w:color="auto" w:sz="4" w:space="0"/>
            </w:tcBorders>
            <w:noWrap w:val="0"/>
            <w:vAlign w:val="center"/>
          </w:tcPr>
          <w:p w14:paraId="4DC10BCB">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份数</w:t>
            </w:r>
          </w:p>
        </w:tc>
        <w:tc>
          <w:tcPr>
            <w:tcW w:w="1780" w:type="dxa"/>
            <w:tcBorders>
              <w:top w:val="single" w:color="auto" w:sz="4" w:space="0"/>
              <w:left w:val="nil"/>
              <w:bottom w:val="single" w:color="auto" w:sz="4" w:space="0"/>
              <w:right w:val="single" w:color="auto" w:sz="4" w:space="0"/>
            </w:tcBorders>
            <w:noWrap w:val="0"/>
            <w:vAlign w:val="center"/>
          </w:tcPr>
          <w:p w14:paraId="3B318FCD">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提交日期</w:t>
            </w:r>
          </w:p>
        </w:tc>
        <w:tc>
          <w:tcPr>
            <w:tcW w:w="1399" w:type="dxa"/>
            <w:tcBorders>
              <w:top w:val="single" w:color="auto" w:sz="4" w:space="0"/>
              <w:left w:val="nil"/>
              <w:bottom w:val="single" w:color="auto" w:sz="4" w:space="0"/>
              <w:right w:val="single" w:color="auto" w:sz="4" w:space="0"/>
            </w:tcBorders>
            <w:noWrap w:val="0"/>
            <w:vAlign w:val="center"/>
          </w:tcPr>
          <w:p w14:paraId="01FDEEA9">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备注</w:t>
            </w:r>
          </w:p>
        </w:tc>
      </w:tr>
      <w:tr w14:paraId="61B7A21C">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noWrap w:val="0"/>
            <w:vAlign w:val="center"/>
          </w:tcPr>
          <w:p w14:paraId="03B724D2">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3380" w:type="dxa"/>
            <w:tcBorders>
              <w:top w:val="nil"/>
              <w:left w:val="nil"/>
              <w:bottom w:val="single" w:color="auto" w:sz="4" w:space="0"/>
              <w:right w:val="single" w:color="auto" w:sz="4" w:space="0"/>
            </w:tcBorders>
            <w:noWrap w:val="0"/>
            <w:vAlign w:val="center"/>
          </w:tcPr>
          <w:p w14:paraId="5F5E82F7">
            <w:pPr>
              <w:widowControl/>
              <w:spacing w:line="360" w:lineRule="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工程设计委托书及工程设计任务书</w:t>
            </w:r>
          </w:p>
        </w:tc>
        <w:tc>
          <w:tcPr>
            <w:tcW w:w="1180" w:type="dxa"/>
            <w:tcBorders>
              <w:top w:val="nil"/>
              <w:left w:val="nil"/>
              <w:bottom w:val="single" w:color="auto" w:sz="4" w:space="0"/>
              <w:right w:val="single" w:color="auto" w:sz="4" w:space="0"/>
            </w:tcBorders>
            <w:noWrap w:val="0"/>
            <w:vAlign w:val="center"/>
          </w:tcPr>
          <w:p w14:paraId="4D42C787">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原件1份</w:t>
            </w:r>
          </w:p>
        </w:tc>
        <w:tc>
          <w:tcPr>
            <w:tcW w:w="1780" w:type="dxa"/>
            <w:tcBorders>
              <w:top w:val="nil"/>
              <w:left w:val="nil"/>
              <w:bottom w:val="single" w:color="auto" w:sz="4" w:space="0"/>
              <w:right w:val="single" w:color="auto" w:sz="4" w:space="0"/>
            </w:tcBorders>
            <w:noWrap w:val="0"/>
            <w:vAlign w:val="center"/>
          </w:tcPr>
          <w:p w14:paraId="2C8EE129">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合同签订前</w:t>
            </w:r>
          </w:p>
        </w:tc>
        <w:tc>
          <w:tcPr>
            <w:tcW w:w="1399" w:type="dxa"/>
            <w:vMerge w:val="restart"/>
            <w:tcBorders>
              <w:top w:val="nil"/>
              <w:left w:val="single" w:color="auto" w:sz="4" w:space="0"/>
              <w:bottom w:val="single" w:color="000000" w:sz="4" w:space="0"/>
              <w:right w:val="single" w:color="auto" w:sz="4" w:space="0"/>
            </w:tcBorders>
            <w:noWrap w:val="0"/>
            <w:vAlign w:val="top"/>
          </w:tcPr>
          <w:p w14:paraId="49D3B52D">
            <w:pPr>
              <w:widowControl/>
              <w:spacing w:line="360" w:lineRule="auto"/>
              <w:jc w:val="left"/>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rPr>
              <w:t>1．工程设计任务书内容至少包括：本工程设计的主要技术指标要求；主要功能描述；立面造型要求等。</w:t>
            </w:r>
          </w:p>
          <w:p w14:paraId="38E5D242">
            <w:pPr>
              <w:widowControl/>
              <w:spacing w:line="360" w:lineRule="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2．本条款资料提交的日期均指法定日历天。</w:t>
            </w:r>
          </w:p>
        </w:tc>
      </w:tr>
      <w:tr w14:paraId="3A13526A">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noWrap w:val="0"/>
            <w:vAlign w:val="center"/>
          </w:tcPr>
          <w:p w14:paraId="697B9AF5">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3380" w:type="dxa"/>
            <w:tcBorders>
              <w:top w:val="nil"/>
              <w:left w:val="nil"/>
              <w:bottom w:val="single" w:color="auto" w:sz="4" w:space="0"/>
              <w:right w:val="single" w:color="auto" w:sz="4" w:space="0"/>
            </w:tcBorders>
            <w:noWrap w:val="0"/>
            <w:vAlign w:val="center"/>
          </w:tcPr>
          <w:p w14:paraId="49700E56">
            <w:pPr>
              <w:widowControl/>
              <w:spacing w:line="360" w:lineRule="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周边及规划区内已建成的有关市政工程设施和道路，含各类市政管网设施的现状埋设、分布[包括给水、排雨、排污、煤气、电力、电讯等的标高、管径、埋深、路由、接线 (管) 方式等]</w:t>
            </w:r>
          </w:p>
        </w:tc>
        <w:tc>
          <w:tcPr>
            <w:tcW w:w="1180" w:type="dxa"/>
            <w:tcBorders>
              <w:top w:val="nil"/>
              <w:left w:val="nil"/>
              <w:bottom w:val="single" w:color="auto" w:sz="4" w:space="0"/>
              <w:right w:val="single" w:color="auto" w:sz="4" w:space="0"/>
            </w:tcBorders>
            <w:noWrap w:val="0"/>
            <w:vAlign w:val="center"/>
          </w:tcPr>
          <w:p w14:paraId="5E717192">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纸质</w:t>
            </w:r>
            <w:r>
              <w:rPr>
                <w:rFonts w:hint="eastAsia" w:ascii="仿宋" w:hAnsi="仿宋" w:eastAsia="仿宋" w:cs="仿宋"/>
                <w:color w:val="auto"/>
                <w:kern w:val="0"/>
                <w:sz w:val="20"/>
                <w:szCs w:val="20"/>
                <w:highlight w:val="none"/>
              </w:rPr>
              <w:t>复印件1份</w:t>
            </w:r>
          </w:p>
          <w:p w14:paraId="77874688">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电子文件1份</w:t>
            </w:r>
          </w:p>
        </w:tc>
        <w:tc>
          <w:tcPr>
            <w:tcW w:w="1780" w:type="dxa"/>
            <w:tcBorders>
              <w:top w:val="nil"/>
              <w:left w:val="nil"/>
              <w:bottom w:val="single" w:color="auto" w:sz="4" w:space="0"/>
              <w:right w:val="single" w:color="auto" w:sz="4" w:space="0"/>
            </w:tcBorders>
            <w:noWrap w:val="0"/>
            <w:vAlign w:val="center"/>
          </w:tcPr>
          <w:p w14:paraId="5518596E">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合同签订后10天内</w:t>
            </w:r>
          </w:p>
        </w:tc>
        <w:tc>
          <w:tcPr>
            <w:tcW w:w="1399" w:type="dxa"/>
            <w:vMerge w:val="continue"/>
            <w:tcBorders>
              <w:top w:val="nil"/>
              <w:left w:val="single" w:color="auto" w:sz="4" w:space="0"/>
              <w:bottom w:val="single" w:color="000000" w:sz="4" w:space="0"/>
              <w:right w:val="single" w:color="auto" w:sz="4" w:space="0"/>
            </w:tcBorders>
            <w:noWrap w:val="0"/>
            <w:vAlign w:val="center"/>
          </w:tcPr>
          <w:p w14:paraId="6B4FA949">
            <w:pPr>
              <w:widowControl/>
              <w:spacing w:line="360" w:lineRule="auto"/>
              <w:jc w:val="left"/>
              <w:rPr>
                <w:rFonts w:hint="eastAsia" w:ascii="仿宋" w:hAnsi="仿宋" w:eastAsia="仿宋" w:cs="仿宋"/>
                <w:color w:val="auto"/>
                <w:kern w:val="0"/>
                <w:sz w:val="20"/>
                <w:szCs w:val="20"/>
                <w:highlight w:val="none"/>
              </w:rPr>
            </w:pPr>
          </w:p>
        </w:tc>
      </w:tr>
      <w:tr w14:paraId="685BDB1C">
        <w:tblPrEx>
          <w:tblCellMar>
            <w:top w:w="0" w:type="dxa"/>
            <w:left w:w="108" w:type="dxa"/>
            <w:bottom w:w="0" w:type="dxa"/>
            <w:right w:w="108" w:type="dxa"/>
          </w:tblCellMar>
        </w:tblPrEx>
        <w:trPr>
          <w:trHeight w:val="1560" w:hRule="atLeast"/>
        </w:trPr>
        <w:tc>
          <w:tcPr>
            <w:tcW w:w="640" w:type="dxa"/>
            <w:tcBorders>
              <w:top w:val="nil"/>
              <w:left w:val="single" w:color="auto" w:sz="4" w:space="0"/>
              <w:bottom w:val="single" w:color="auto" w:sz="4" w:space="0"/>
              <w:right w:val="single" w:color="auto" w:sz="4" w:space="0"/>
            </w:tcBorders>
            <w:noWrap w:val="0"/>
            <w:vAlign w:val="center"/>
          </w:tcPr>
          <w:p w14:paraId="3B6A5579">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3380" w:type="dxa"/>
            <w:tcBorders>
              <w:top w:val="nil"/>
              <w:left w:val="nil"/>
              <w:bottom w:val="single" w:color="auto" w:sz="4" w:space="0"/>
              <w:right w:val="single" w:color="auto" w:sz="4" w:space="0"/>
            </w:tcBorders>
            <w:noWrap w:val="0"/>
            <w:vAlign w:val="center"/>
          </w:tcPr>
          <w:p w14:paraId="10792920">
            <w:pPr>
              <w:widowControl/>
              <w:spacing w:line="360" w:lineRule="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投资计划批文或项目的立项文件</w:t>
            </w:r>
          </w:p>
        </w:tc>
        <w:tc>
          <w:tcPr>
            <w:tcW w:w="1180" w:type="dxa"/>
            <w:tcBorders>
              <w:top w:val="nil"/>
              <w:left w:val="nil"/>
              <w:bottom w:val="single" w:color="auto" w:sz="4" w:space="0"/>
              <w:right w:val="single" w:color="auto" w:sz="4" w:space="0"/>
            </w:tcBorders>
            <w:noWrap w:val="0"/>
            <w:vAlign w:val="center"/>
          </w:tcPr>
          <w:p w14:paraId="7C08452B">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纸质</w:t>
            </w:r>
            <w:r>
              <w:rPr>
                <w:rFonts w:hint="eastAsia" w:ascii="仿宋" w:hAnsi="仿宋" w:eastAsia="仿宋" w:cs="仿宋"/>
                <w:color w:val="auto"/>
                <w:kern w:val="0"/>
                <w:sz w:val="20"/>
                <w:szCs w:val="20"/>
                <w:highlight w:val="none"/>
              </w:rPr>
              <w:t>复印件1份</w:t>
            </w:r>
          </w:p>
        </w:tc>
        <w:tc>
          <w:tcPr>
            <w:tcW w:w="1780" w:type="dxa"/>
            <w:tcBorders>
              <w:top w:val="nil"/>
              <w:left w:val="nil"/>
              <w:bottom w:val="single" w:color="auto" w:sz="4" w:space="0"/>
              <w:right w:val="single" w:color="auto" w:sz="4" w:space="0"/>
            </w:tcBorders>
            <w:noWrap w:val="0"/>
            <w:vAlign w:val="center"/>
          </w:tcPr>
          <w:p w14:paraId="022CAFEA">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合同签订后7天内</w:t>
            </w:r>
          </w:p>
        </w:tc>
        <w:tc>
          <w:tcPr>
            <w:tcW w:w="1399" w:type="dxa"/>
            <w:vMerge w:val="continue"/>
            <w:tcBorders>
              <w:top w:val="nil"/>
              <w:left w:val="single" w:color="auto" w:sz="4" w:space="0"/>
              <w:bottom w:val="single" w:color="000000" w:sz="4" w:space="0"/>
              <w:right w:val="single" w:color="auto" w:sz="4" w:space="0"/>
            </w:tcBorders>
            <w:noWrap w:val="0"/>
            <w:vAlign w:val="center"/>
          </w:tcPr>
          <w:p w14:paraId="22E92482">
            <w:pPr>
              <w:widowControl/>
              <w:spacing w:line="360" w:lineRule="auto"/>
              <w:jc w:val="left"/>
              <w:rPr>
                <w:rFonts w:hint="eastAsia" w:ascii="仿宋" w:hAnsi="仿宋" w:eastAsia="仿宋" w:cs="仿宋"/>
                <w:color w:val="auto"/>
                <w:kern w:val="0"/>
                <w:sz w:val="20"/>
                <w:szCs w:val="20"/>
                <w:highlight w:val="none"/>
              </w:rPr>
            </w:pPr>
          </w:p>
        </w:tc>
      </w:tr>
      <w:tr w14:paraId="4E5B6841">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14:paraId="38B8997B">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w:t>
            </w:r>
          </w:p>
        </w:tc>
        <w:tc>
          <w:tcPr>
            <w:tcW w:w="3380" w:type="dxa"/>
            <w:tcBorders>
              <w:top w:val="nil"/>
              <w:left w:val="nil"/>
              <w:bottom w:val="single" w:color="auto" w:sz="4" w:space="0"/>
              <w:right w:val="single" w:color="auto" w:sz="4" w:space="0"/>
            </w:tcBorders>
            <w:noWrap w:val="0"/>
            <w:vAlign w:val="center"/>
          </w:tcPr>
          <w:p w14:paraId="5024DE6F">
            <w:pPr>
              <w:widowControl/>
              <w:spacing w:line="360" w:lineRule="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设计要点</w:t>
            </w:r>
          </w:p>
        </w:tc>
        <w:tc>
          <w:tcPr>
            <w:tcW w:w="1180" w:type="dxa"/>
            <w:tcBorders>
              <w:top w:val="nil"/>
              <w:left w:val="nil"/>
              <w:bottom w:val="single" w:color="auto" w:sz="4" w:space="0"/>
              <w:right w:val="single" w:color="auto" w:sz="4" w:space="0"/>
            </w:tcBorders>
            <w:noWrap w:val="0"/>
            <w:vAlign w:val="center"/>
          </w:tcPr>
          <w:p w14:paraId="55535EDD">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纸质</w:t>
            </w:r>
            <w:r>
              <w:rPr>
                <w:rFonts w:hint="eastAsia" w:ascii="仿宋" w:hAnsi="仿宋" w:eastAsia="仿宋" w:cs="仿宋"/>
                <w:color w:val="auto"/>
                <w:kern w:val="0"/>
                <w:sz w:val="20"/>
                <w:szCs w:val="20"/>
                <w:highlight w:val="none"/>
              </w:rPr>
              <w:t>复印件1份</w:t>
            </w:r>
          </w:p>
        </w:tc>
        <w:tc>
          <w:tcPr>
            <w:tcW w:w="1780" w:type="dxa"/>
            <w:tcBorders>
              <w:top w:val="nil"/>
              <w:left w:val="nil"/>
              <w:bottom w:val="single" w:color="auto" w:sz="4" w:space="0"/>
              <w:right w:val="single" w:color="auto" w:sz="4" w:space="0"/>
            </w:tcBorders>
            <w:noWrap w:val="0"/>
            <w:vAlign w:val="center"/>
          </w:tcPr>
          <w:p w14:paraId="313C9054">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合同签订后7天内</w:t>
            </w:r>
          </w:p>
        </w:tc>
        <w:tc>
          <w:tcPr>
            <w:tcW w:w="1399" w:type="dxa"/>
            <w:vMerge w:val="continue"/>
            <w:tcBorders>
              <w:top w:val="nil"/>
              <w:left w:val="single" w:color="auto" w:sz="4" w:space="0"/>
              <w:bottom w:val="single" w:color="000000" w:sz="4" w:space="0"/>
              <w:right w:val="single" w:color="auto" w:sz="4" w:space="0"/>
            </w:tcBorders>
            <w:noWrap w:val="0"/>
            <w:vAlign w:val="center"/>
          </w:tcPr>
          <w:p w14:paraId="2D3F03F1">
            <w:pPr>
              <w:widowControl/>
              <w:spacing w:line="360" w:lineRule="auto"/>
              <w:jc w:val="left"/>
              <w:rPr>
                <w:rFonts w:hint="eastAsia" w:ascii="仿宋" w:hAnsi="仿宋" w:eastAsia="仿宋" w:cs="仿宋"/>
                <w:color w:val="auto"/>
                <w:kern w:val="0"/>
                <w:sz w:val="20"/>
                <w:szCs w:val="20"/>
                <w:highlight w:val="none"/>
              </w:rPr>
            </w:pPr>
          </w:p>
        </w:tc>
      </w:tr>
      <w:tr w14:paraId="0D8C8829">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noWrap w:val="0"/>
            <w:vAlign w:val="center"/>
          </w:tcPr>
          <w:p w14:paraId="4C6C0663">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3380" w:type="dxa"/>
            <w:tcBorders>
              <w:top w:val="nil"/>
              <w:left w:val="nil"/>
              <w:bottom w:val="single" w:color="auto" w:sz="4" w:space="0"/>
              <w:right w:val="single" w:color="auto" w:sz="4" w:space="0"/>
            </w:tcBorders>
            <w:noWrap w:val="0"/>
            <w:vAlign w:val="center"/>
          </w:tcPr>
          <w:p w14:paraId="5B1DF943">
            <w:pPr>
              <w:widowControl/>
              <w:spacing w:line="360" w:lineRule="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1：500地形图（含电子文件一份）</w:t>
            </w:r>
          </w:p>
        </w:tc>
        <w:tc>
          <w:tcPr>
            <w:tcW w:w="1180" w:type="dxa"/>
            <w:tcBorders>
              <w:top w:val="nil"/>
              <w:left w:val="nil"/>
              <w:bottom w:val="single" w:color="auto" w:sz="4" w:space="0"/>
              <w:right w:val="single" w:color="auto" w:sz="4" w:space="0"/>
            </w:tcBorders>
            <w:noWrap w:val="0"/>
            <w:vAlign w:val="center"/>
          </w:tcPr>
          <w:p w14:paraId="01E0C4BA">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纸质</w:t>
            </w:r>
            <w:r>
              <w:rPr>
                <w:rFonts w:hint="eastAsia" w:ascii="仿宋" w:hAnsi="仿宋" w:eastAsia="仿宋" w:cs="仿宋"/>
                <w:color w:val="auto"/>
                <w:kern w:val="0"/>
                <w:sz w:val="20"/>
                <w:szCs w:val="20"/>
                <w:highlight w:val="none"/>
              </w:rPr>
              <w:t xml:space="preserve">复印件1式8份 </w:t>
            </w:r>
          </w:p>
        </w:tc>
        <w:tc>
          <w:tcPr>
            <w:tcW w:w="1780" w:type="dxa"/>
            <w:tcBorders>
              <w:top w:val="nil"/>
              <w:left w:val="nil"/>
              <w:bottom w:val="single" w:color="auto" w:sz="4" w:space="0"/>
              <w:right w:val="single" w:color="auto" w:sz="4" w:space="0"/>
            </w:tcBorders>
            <w:noWrap w:val="0"/>
            <w:vAlign w:val="center"/>
          </w:tcPr>
          <w:p w14:paraId="129A115B">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合同签订后7天内</w:t>
            </w:r>
          </w:p>
        </w:tc>
        <w:tc>
          <w:tcPr>
            <w:tcW w:w="1399" w:type="dxa"/>
            <w:vMerge w:val="continue"/>
            <w:tcBorders>
              <w:top w:val="nil"/>
              <w:left w:val="single" w:color="auto" w:sz="4" w:space="0"/>
              <w:bottom w:val="single" w:color="000000" w:sz="4" w:space="0"/>
              <w:right w:val="single" w:color="auto" w:sz="4" w:space="0"/>
            </w:tcBorders>
            <w:noWrap w:val="0"/>
            <w:vAlign w:val="center"/>
          </w:tcPr>
          <w:p w14:paraId="595CFE37">
            <w:pPr>
              <w:widowControl/>
              <w:spacing w:line="360" w:lineRule="auto"/>
              <w:jc w:val="left"/>
              <w:rPr>
                <w:rFonts w:hint="eastAsia" w:ascii="仿宋" w:hAnsi="仿宋" w:eastAsia="仿宋" w:cs="仿宋"/>
                <w:color w:val="auto"/>
                <w:kern w:val="0"/>
                <w:sz w:val="20"/>
                <w:szCs w:val="20"/>
                <w:highlight w:val="none"/>
              </w:rPr>
            </w:pPr>
          </w:p>
        </w:tc>
      </w:tr>
      <w:tr w14:paraId="3851503F">
        <w:tblPrEx>
          <w:tblCellMar>
            <w:top w:w="0" w:type="dxa"/>
            <w:left w:w="108" w:type="dxa"/>
            <w:bottom w:w="0" w:type="dxa"/>
            <w:right w:w="108" w:type="dxa"/>
          </w:tblCellMar>
        </w:tblPrEx>
        <w:trPr>
          <w:trHeight w:val="1470"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14:paraId="69E30161">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6</w:t>
            </w:r>
          </w:p>
        </w:tc>
        <w:tc>
          <w:tcPr>
            <w:tcW w:w="3380" w:type="dxa"/>
            <w:tcBorders>
              <w:top w:val="single" w:color="auto" w:sz="4" w:space="0"/>
              <w:left w:val="nil"/>
              <w:bottom w:val="single" w:color="auto" w:sz="4" w:space="0"/>
              <w:right w:val="single" w:color="auto" w:sz="4" w:space="0"/>
            </w:tcBorders>
            <w:noWrap w:val="0"/>
            <w:vAlign w:val="center"/>
          </w:tcPr>
          <w:p w14:paraId="6910005C">
            <w:pPr>
              <w:widowControl/>
              <w:spacing w:line="360" w:lineRule="auto"/>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相关阶段审批批准文件</w:t>
            </w:r>
          </w:p>
        </w:tc>
        <w:tc>
          <w:tcPr>
            <w:tcW w:w="1180" w:type="dxa"/>
            <w:tcBorders>
              <w:top w:val="single" w:color="auto" w:sz="4" w:space="0"/>
              <w:left w:val="nil"/>
              <w:bottom w:val="single" w:color="auto" w:sz="4" w:space="0"/>
              <w:right w:val="single" w:color="auto" w:sz="4" w:space="0"/>
            </w:tcBorders>
            <w:noWrap w:val="0"/>
            <w:vAlign w:val="center"/>
          </w:tcPr>
          <w:p w14:paraId="21A5A7FF">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纸质</w:t>
            </w:r>
            <w:r>
              <w:rPr>
                <w:rFonts w:hint="eastAsia" w:ascii="仿宋" w:hAnsi="仿宋" w:eastAsia="仿宋" w:cs="仿宋"/>
                <w:color w:val="auto"/>
                <w:kern w:val="0"/>
                <w:sz w:val="20"/>
                <w:szCs w:val="20"/>
                <w:highlight w:val="none"/>
              </w:rPr>
              <w:t>复印件各1份</w:t>
            </w:r>
          </w:p>
        </w:tc>
        <w:tc>
          <w:tcPr>
            <w:tcW w:w="1780" w:type="dxa"/>
            <w:tcBorders>
              <w:top w:val="nil"/>
              <w:left w:val="nil"/>
              <w:bottom w:val="single" w:color="auto" w:sz="4" w:space="0"/>
              <w:right w:val="single" w:color="auto" w:sz="4" w:space="0"/>
            </w:tcBorders>
            <w:noWrap w:val="0"/>
            <w:vAlign w:val="center"/>
          </w:tcPr>
          <w:p w14:paraId="0289C65B">
            <w:pPr>
              <w:widowControl/>
              <w:spacing w:line="360" w:lineRule="auto"/>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相关阶段审批批准后7天内</w:t>
            </w:r>
          </w:p>
        </w:tc>
        <w:tc>
          <w:tcPr>
            <w:tcW w:w="1399" w:type="dxa"/>
            <w:vMerge w:val="continue"/>
            <w:tcBorders>
              <w:top w:val="nil"/>
              <w:left w:val="single" w:color="auto" w:sz="4" w:space="0"/>
              <w:bottom w:val="single" w:color="000000" w:sz="4" w:space="0"/>
              <w:right w:val="single" w:color="auto" w:sz="4" w:space="0"/>
            </w:tcBorders>
            <w:noWrap w:val="0"/>
            <w:vAlign w:val="center"/>
          </w:tcPr>
          <w:p w14:paraId="06B7D7B4">
            <w:pPr>
              <w:widowControl/>
              <w:spacing w:line="360" w:lineRule="auto"/>
              <w:jc w:val="left"/>
              <w:rPr>
                <w:rFonts w:hint="eastAsia" w:ascii="仿宋" w:hAnsi="仿宋" w:eastAsia="仿宋" w:cs="仿宋"/>
                <w:color w:val="auto"/>
                <w:kern w:val="0"/>
                <w:sz w:val="20"/>
                <w:szCs w:val="20"/>
                <w:highlight w:val="none"/>
              </w:rPr>
            </w:pPr>
          </w:p>
        </w:tc>
      </w:tr>
    </w:tbl>
    <w:p w14:paraId="5241EC7C">
      <w:pPr>
        <w:pStyle w:val="13"/>
        <w:spacing w:before="0" w:beforeAutospacing="0" w:after="0" w:afterAutospacing="0" w:line="360" w:lineRule="auto"/>
        <w:ind w:firstLine="480"/>
        <w:rPr>
          <w:rFonts w:hint="eastAsia"/>
          <w:color w:val="auto"/>
          <w:highlight w:val="none"/>
        </w:rPr>
      </w:pPr>
      <w:r>
        <w:rPr>
          <w:rFonts w:hint="eastAsia"/>
          <w:color w:val="auto"/>
          <w:highlight w:val="none"/>
        </w:rPr>
        <w:t>甲方提供工程设计技术要求及设计工作范围内已有的技术资料，但不免除乙方自行收集相关技术资料的责任。</w:t>
      </w:r>
    </w:p>
    <w:p w14:paraId="2BAAB5C8">
      <w:pPr>
        <w:pStyle w:val="13"/>
        <w:tabs>
          <w:tab w:val="left" w:pos="0"/>
        </w:tabs>
        <w:spacing w:before="0" w:beforeAutospacing="0" w:after="0" w:afterAutospacing="0" w:line="360" w:lineRule="auto"/>
        <w:rPr>
          <w:rFonts w:hint="eastAsia"/>
          <w:b/>
          <w:color w:val="auto"/>
          <w:highlight w:val="none"/>
        </w:rPr>
      </w:pPr>
      <w:r>
        <w:rPr>
          <w:rFonts w:hint="eastAsia"/>
          <w:b/>
          <w:color w:val="auto"/>
          <w:highlight w:val="none"/>
        </w:rPr>
        <w:t>七、乙方向甲方交付的文件资料、份数及时间</w:t>
      </w:r>
    </w:p>
    <w:p w14:paraId="6BA6BC84">
      <w:pPr>
        <w:pStyle w:val="13"/>
        <w:tabs>
          <w:tab w:val="left" w:pos="0"/>
        </w:tabs>
        <w:spacing w:before="0" w:beforeAutospacing="0" w:after="0" w:afterAutospacing="0" w:line="360" w:lineRule="auto"/>
        <w:rPr>
          <w:rFonts w:hint="eastAsia"/>
          <w:b/>
          <w:color w:val="auto"/>
          <w:highlight w:val="none"/>
        </w:rPr>
      </w:pPr>
      <w:r>
        <w:rPr>
          <w:rFonts w:hint="eastAsia"/>
          <w:b/>
          <w:color w:val="auto"/>
          <w:highlight w:val="none"/>
        </w:rPr>
        <w:t>（以下资料文件仅为基本资料，需要其他资料则根据具体工程填写</w:t>
      </w:r>
      <w:r>
        <w:rPr>
          <w:b/>
          <w:color w:val="auto"/>
          <w:highlight w:val="none"/>
        </w:rPr>
        <w:t>）</w:t>
      </w:r>
    </w:p>
    <w:tbl>
      <w:tblPr>
        <w:tblStyle w:val="15"/>
        <w:tblW w:w="0" w:type="auto"/>
        <w:jc w:val="center"/>
        <w:tblLayout w:type="autofit"/>
        <w:tblCellMar>
          <w:top w:w="0" w:type="dxa"/>
          <w:left w:w="108" w:type="dxa"/>
          <w:bottom w:w="0" w:type="dxa"/>
          <w:right w:w="108" w:type="dxa"/>
        </w:tblCellMar>
      </w:tblPr>
      <w:tblGrid>
        <w:gridCol w:w="656"/>
        <w:gridCol w:w="2658"/>
        <w:gridCol w:w="1147"/>
        <w:gridCol w:w="1880"/>
        <w:gridCol w:w="1972"/>
      </w:tblGrid>
      <w:tr w14:paraId="0BA012E3">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CEEDEED">
            <w:pPr>
              <w:widowControl/>
              <w:spacing w:line="360" w:lineRule="auto"/>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序号</w:t>
            </w:r>
          </w:p>
        </w:tc>
        <w:tc>
          <w:tcPr>
            <w:tcW w:w="2658" w:type="dxa"/>
            <w:tcBorders>
              <w:top w:val="single" w:color="auto" w:sz="4" w:space="0"/>
              <w:left w:val="nil"/>
              <w:bottom w:val="single" w:color="auto" w:sz="4" w:space="0"/>
              <w:right w:val="single" w:color="auto" w:sz="4" w:space="0"/>
            </w:tcBorders>
            <w:noWrap w:val="0"/>
            <w:vAlign w:val="center"/>
          </w:tcPr>
          <w:p w14:paraId="24A50B41">
            <w:pPr>
              <w:widowControl/>
              <w:spacing w:line="360" w:lineRule="auto"/>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资料及文件名称</w:t>
            </w:r>
          </w:p>
        </w:tc>
        <w:tc>
          <w:tcPr>
            <w:tcW w:w="1147" w:type="dxa"/>
            <w:tcBorders>
              <w:top w:val="single" w:color="auto" w:sz="4" w:space="0"/>
              <w:left w:val="nil"/>
              <w:bottom w:val="single" w:color="auto" w:sz="4" w:space="0"/>
              <w:right w:val="single" w:color="auto" w:sz="4" w:space="0"/>
            </w:tcBorders>
            <w:noWrap w:val="0"/>
            <w:vAlign w:val="center"/>
          </w:tcPr>
          <w:p w14:paraId="72B2D017">
            <w:pPr>
              <w:widowControl/>
              <w:spacing w:line="360" w:lineRule="auto"/>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rPr>
              <w:t>暂定</w:t>
            </w:r>
          </w:p>
          <w:p w14:paraId="5BE653A4">
            <w:pPr>
              <w:widowControl/>
              <w:spacing w:line="360" w:lineRule="auto"/>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份数</w:t>
            </w:r>
          </w:p>
        </w:tc>
        <w:tc>
          <w:tcPr>
            <w:tcW w:w="1880" w:type="dxa"/>
            <w:tcBorders>
              <w:top w:val="single" w:color="auto" w:sz="4" w:space="0"/>
              <w:left w:val="nil"/>
              <w:bottom w:val="single" w:color="auto" w:sz="4" w:space="0"/>
              <w:right w:val="single" w:color="auto" w:sz="4" w:space="0"/>
            </w:tcBorders>
            <w:noWrap w:val="0"/>
            <w:vAlign w:val="center"/>
          </w:tcPr>
          <w:p w14:paraId="61AB1927">
            <w:pPr>
              <w:widowControl/>
              <w:spacing w:line="360" w:lineRule="auto"/>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提交日期</w:t>
            </w:r>
          </w:p>
        </w:tc>
        <w:tc>
          <w:tcPr>
            <w:tcW w:w="1972" w:type="dxa"/>
            <w:tcBorders>
              <w:top w:val="single" w:color="auto" w:sz="4" w:space="0"/>
              <w:left w:val="nil"/>
              <w:bottom w:val="single" w:color="auto" w:sz="4" w:space="0"/>
              <w:right w:val="single" w:color="auto" w:sz="4" w:space="0"/>
            </w:tcBorders>
            <w:noWrap w:val="0"/>
            <w:vAlign w:val="center"/>
          </w:tcPr>
          <w:p w14:paraId="6B7B3197">
            <w:pPr>
              <w:widowControl/>
              <w:spacing w:line="360" w:lineRule="auto"/>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备注</w:t>
            </w:r>
          </w:p>
        </w:tc>
      </w:tr>
      <w:tr w14:paraId="1639BB83">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EAEE184">
            <w:pPr>
              <w:pStyle w:val="4"/>
              <w:ind w:firstLine="0"/>
              <w:jc w:val="center"/>
              <w:rPr>
                <w:rFonts w:hint="default"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1</w:t>
            </w:r>
          </w:p>
        </w:tc>
        <w:tc>
          <w:tcPr>
            <w:tcW w:w="2658" w:type="dxa"/>
            <w:tcBorders>
              <w:top w:val="single" w:color="auto" w:sz="4" w:space="0"/>
              <w:left w:val="nil"/>
              <w:bottom w:val="single" w:color="auto" w:sz="4" w:space="0"/>
              <w:right w:val="single" w:color="auto" w:sz="4" w:space="0"/>
            </w:tcBorders>
            <w:noWrap w:val="0"/>
            <w:vAlign w:val="center"/>
          </w:tcPr>
          <w:p w14:paraId="6EBE2C43">
            <w:pPr>
              <w:widowControl/>
              <w:spacing w:line="360" w:lineRule="auto"/>
              <w:jc w:val="center"/>
              <w:rPr>
                <w:rFonts w:hint="eastAsia" w:ascii="仿宋" w:hAnsi="仿宋" w:eastAsia="仿宋" w:cs="仿宋"/>
                <w:color w:val="auto"/>
                <w:kern w:val="0"/>
                <w:sz w:val="22"/>
                <w:highlight w:val="none"/>
                <w:lang w:val="en-US" w:eastAsia="zh-CN"/>
              </w:rPr>
            </w:pPr>
            <w:r>
              <w:rPr>
                <w:rFonts w:hint="eastAsia" w:ascii="仿宋" w:hAnsi="仿宋" w:eastAsia="仿宋" w:cs="仿宋"/>
                <w:color w:val="auto"/>
                <w:kern w:val="0"/>
                <w:sz w:val="22"/>
                <w:szCs w:val="22"/>
                <w:highlight w:val="none"/>
                <w:lang w:val="en-US" w:eastAsia="zh-CN"/>
              </w:rPr>
              <w:t>初步设计成果文件（含概算及计算书等）</w:t>
            </w:r>
          </w:p>
        </w:tc>
        <w:tc>
          <w:tcPr>
            <w:tcW w:w="1147" w:type="dxa"/>
            <w:tcBorders>
              <w:top w:val="single" w:color="auto" w:sz="4" w:space="0"/>
              <w:left w:val="nil"/>
              <w:bottom w:val="single" w:color="auto" w:sz="4" w:space="0"/>
              <w:right w:val="single" w:color="auto" w:sz="4" w:space="0"/>
            </w:tcBorders>
            <w:noWrap w:val="0"/>
            <w:vAlign w:val="center"/>
          </w:tcPr>
          <w:p w14:paraId="06A4F961">
            <w:pPr>
              <w:widowControl/>
              <w:spacing w:line="360" w:lineRule="auto"/>
              <w:jc w:val="center"/>
              <w:rPr>
                <w:rFonts w:hint="default"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6</w:t>
            </w:r>
          </w:p>
        </w:tc>
        <w:tc>
          <w:tcPr>
            <w:tcW w:w="1880" w:type="dxa"/>
            <w:tcBorders>
              <w:top w:val="single" w:color="auto" w:sz="4" w:space="0"/>
              <w:left w:val="nil"/>
              <w:bottom w:val="single" w:color="auto" w:sz="4" w:space="0"/>
              <w:right w:val="single" w:color="auto" w:sz="4" w:space="0"/>
            </w:tcBorders>
            <w:noWrap w:val="0"/>
            <w:vAlign w:val="center"/>
          </w:tcPr>
          <w:p w14:paraId="3900EEAE">
            <w:pPr>
              <w:widowControl/>
              <w:spacing w:line="360" w:lineRule="auto"/>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2025年9月30日前完成</w:t>
            </w:r>
          </w:p>
        </w:tc>
        <w:tc>
          <w:tcPr>
            <w:tcW w:w="1972" w:type="dxa"/>
            <w:tcBorders>
              <w:top w:val="single" w:color="auto" w:sz="4" w:space="0"/>
              <w:left w:val="nil"/>
              <w:bottom w:val="single" w:color="auto" w:sz="4" w:space="0"/>
              <w:right w:val="single" w:color="auto" w:sz="4" w:space="0"/>
            </w:tcBorders>
            <w:noWrap w:val="0"/>
            <w:vAlign w:val="center"/>
          </w:tcPr>
          <w:p w14:paraId="258CD20F">
            <w:pPr>
              <w:widowControl/>
              <w:spacing w:line="360" w:lineRule="auto"/>
              <w:jc w:val="center"/>
              <w:rPr>
                <w:rFonts w:hint="default"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相应成果文件电子版一式四套</w:t>
            </w:r>
          </w:p>
        </w:tc>
      </w:tr>
      <w:tr w14:paraId="0076D6E8">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2E5FC85">
            <w:pPr>
              <w:pStyle w:val="4"/>
              <w:ind w:firstLine="0"/>
              <w:jc w:val="center"/>
              <w:rPr>
                <w:rFonts w:hint="default"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2</w:t>
            </w:r>
          </w:p>
        </w:tc>
        <w:tc>
          <w:tcPr>
            <w:tcW w:w="2658" w:type="dxa"/>
            <w:tcBorders>
              <w:top w:val="single" w:color="auto" w:sz="4" w:space="0"/>
              <w:left w:val="nil"/>
              <w:bottom w:val="single" w:color="auto" w:sz="4" w:space="0"/>
              <w:right w:val="single" w:color="auto" w:sz="4" w:space="0"/>
            </w:tcBorders>
            <w:noWrap w:val="0"/>
            <w:vAlign w:val="center"/>
          </w:tcPr>
          <w:p w14:paraId="573410BF">
            <w:pPr>
              <w:widowControl/>
              <w:spacing w:line="360" w:lineRule="auto"/>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初步设计阶段相关报批、报建成果文件</w:t>
            </w:r>
          </w:p>
        </w:tc>
        <w:tc>
          <w:tcPr>
            <w:tcW w:w="1147" w:type="dxa"/>
            <w:tcBorders>
              <w:top w:val="single" w:color="auto" w:sz="4" w:space="0"/>
              <w:left w:val="nil"/>
              <w:bottom w:val="single" w:color="auto" w:sz="4" w:space="0"/>
              <w:right w:val="single" w:color="auto" w:sz="4" w:space="0"/>
            </w:tcBorders>
            <w:noWrap w:val="0"/>
            <w:vAlign w:val="center"/>
          </w:tcPr>
          <w:p w14:paraId="5628857A">
            <w:pPr>
              <w:widowControl/>
              <w:spacing w:line="360" w:lineRule="auto"/>
              <w:jc w:val="center"/>
              <w:rPr>
                <w:rFonts w:hint="default"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按报建要求</w:t>
            </w:r>
          </w:p>
        </w:tc>
        <w:tc>
          <w:tcPr>
            <w:tcW w:w="1880" w:type="dxa"/>
            <w:tcBorders>
              <w:top w:val="single" w:color="auto" w:sz="4" w:space="0"/>
              <w:left w:val="nil"/>
              <w:bottom w:val="single" w:color="auto" w:sz="4" w:space="0"/>
              <w:right w:val="single" w:color="auto" w:sz="4" w:space="0"/>
            </w:tcBorders>
            <w:noWrap w:val="0"/>
            <w:vAlign w:val="center"/>
          </w:tcPr>
          <w:p w14:paraId="3B229EC3">
            <w:pPr>
              <w:widowControl/>
              <w:spacing w:line="360" w:lineRule="auto"/>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按甲方要求提供</w:t>
            </w:r>
          </w:p>
        </w:tc>
        <w:tc>
          <w:tcPr>
            <w:tcW w:w="1972" w:type="dxa"/>
            <w:tcBorders>
              <w:top w:val="single" w:color="auto" w:sz="4" w:space="0"/>
              <w:left w:val="nil"/>
              <w:bottom w:val="single" w:color="auto" w:sz="4" w:space="0"/>
              <w:right w:val="single" w:color="auto" w:sz="4" w:space="0"/>
            </w:tcBorders>
            <w:noWrap w:val="0"/>
            <w:vAlign w:val="center"/>
          </w:tcPr>
          <w:p w14:paraId="02F28D1B">
            <w:pPr>
              <w:widowControl/>
              <w:spacing w:line="360" w:lineRule="auto"/>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lang w:val="en-US" w:eastAsia="zh-CN"/>
              </w:rPr>
              <w:t>相应成果文件电子版一式四套</w:t>
            </w:r>
          </w:p>
        </w:tc>
      </w:tr>
    </w:tbl>
    <w:p w14:paraId="5ACFA70B">
      <w:pPr>
        <w:pStyle w:val="13"/>
        <w:spacing w:before="0" w:beforeAutospacing="0" w:after="0" w:afterAutospacing="0" w:line="360" w:lineRule="auto"/>
        <w:ind w:left="0" w:firstLine="480" w:firstLineChars="200"/>
        <w:rPr>
          <w:rFonts w:hint="eastAsia"/>
          <w:color w:val="auto"/>
          <w:highlight w:val="none"/>
        </w:rPr>
      </w:pPr>
      <w:r>
        <w:rPr>
          <w:rFonts w:hint="eastAsia"/>
          <w:color w:val="auto"/>
          <w:highlight w:val="none"/>
        </w:rPr>
        <w:t>1、乙方向甲方提交设计成果资料，并对其质量负责。</w:t>
      </w:r>
    </w:p>
    <w:p w14:paraId="18761876">
      <w:pPr>
        <w:pStyle w:val="13"/>
        <w:spacing w:before="0" w:beforeAutospacing="0" w:after="0" w:afterAutospacing="0" w:line="360" w:lineRule="auto"/>
        <w:ind w:firstLine="475"/>
        <w:rPr>
          <w:rFonts w:hint="eastAsia"/>
          <w:color w:val="auto"/>
          <w:highlight w:val="none"/>
        </w:rPr>
      </w:pPr>
      <w:r>
        <w:rPr>
          <w:rFonts w:hint="eastAsia"/>
          <w:color w:val="auto"/>
          <w:highlight w:val="none"/>
        </w:rPr>
        <w:t>2、乙方负责向甲方提交设计文件的实际份数须满足甲方正当合理的需要。</w:t>
      </w:r>
    </w:p>
    <w:p w14:paraId="781597D9">
      <w:pPr>
        <w:pStyle w:val="13"/>
        <w:spacing w:before="0" w:beforeAutospacing="0" w:after="0" w:afterAutospacing="0" w:line="360" w:lineRule="auto"/>
        <w:ind w:firstLine="475"/>
        <w:rPr>
          <w:rFonts w:hint="eastAsia"/>
          <w:snapToGrid w:val="0"/>
          <w:color w:val="auto"/>
          <w:highlight w:val="none"/>
        </w:rPr>
      </w:pPr>
      <w:r>
        <w:rPr>
          <w:rFonts w:hint="eastAsia"/>
          <w:snapToGrid w:val="0"/>
          <w:color w:val="auto"/>
          <w:highlight w:val="none"/>
        </w:rPr>
        <w:t>3、设计图纸含初步设计图、报建图</w:t>
      </w:r>
      <w:r>
        <w:rPr>
          <w:rFonts w:hint="eastAsia"/>
          <w:snapToGrid w:val="0"/>
          <w:color w:val="auto"/>
          <w:highlight w:val="none"/>
          <w:lang w:eastAsia="zh-CN"/>
        </w:rPr>
        <w:t>（</w:t>
      </w:r>
      <w:r>
        <w:rPr>
          <w:rFonts w:hint="eastAsia"/>
          <w:snapToGrid w:val="0"/>
          <w:color w:val="auto"/>
          <w:highlight w:val="none"/>
          <w:lang w:val="en-US" w:eastAsia="zh-CN"/>
        </w:rPr>
        <w:t>如需）</w:t>
      </w:r>
      <w:r>
        <w:rPr>
          <w:rFonts w:hint="eastAsia"/>
          <w:snapToGrid w:val="0"/>
          <w:color w:val="auto"/>
          <w:highlight w:val="none"/>
        </w:rPr>
        <w:t>，各类图纸应包括但不限于纸质版图纸、PDF和CAD版本图纸以及Word版本文件和Excel清单；概算文件包含方案设计估算及初步设计概算，其中包括甲方及政府有关部门要求提供的上述相关设计文件的电子文件（含甲方营运管理所需的设计电子文件）。设计图纸应根据甲方招标项目的划分独立成套，具体划分在施工设计阶段确定。</w:t>
      </w:r>
    </w:p>
    <w:p w14:paraId="2F79CB91">
      <w:pPr>
        <w:pStyle w:val="13"/>
        <w:spacing w:before="0" w:beforeAutospacing="0" w:after="0" w:afterAutospacing="0" w:line="360" w:lineRule="auto"/>
        <w:ind w:firstLine="360" w:firstLineChars="150"/>
        <w:rPr>
          <w:rFonts w:hint="eastAsia"/>
          <w:color w:val="auto"/>
          <w:highlight w:val="none"/>
        </w:rPr>
      </w:pPr>
      <w:r>
        <w:rPr>
          <w:rFonts w:hint="eastAsia"/>
          <w:color w:val="auto"/>
          <w:highlight w:val="none"/>
        </w:rPr>
        <w:t>4、按甲方要求的时间免费提供进行招标工作所需的本合同工程各标段（按甲方划分的施工管理标段）各项目的工程概况及所需的技术规范。</w:t>
      </w:r>
    </w:p>
    <w:p w14:paraId="7D82F1B3">
      <w:pPr>
        <w:pStyle w:val="13"/>
        <w:snapToGrid w:val="0"/>
        <w:spacing w:before="0" w:beforeAutospacing="0" w:after="0" w:afterAutospacing="0" w:line="360" w:lineRule="auto"/>
        <w:rPr>
          <w:rFonts w:hint="eastAsia"/>
          <w:b/>
          <w:color w:val="auto"/>
          <w:highlight w:val="none"/>
        </w:rPr>
      </w:pPr>
      <w:r>
        <w:rPr>
          <w:rFonts w:hint="eastAsia"/>
          <w:b/>
          <w:color w:val="auto"/>
          <w:highlight w:val="none"/>
        </w:rPr>
        <w:t>八、收费</w:t>
      </w:r>
    </w:p>
    <w:p w14:paraId="78E0C300">
      <w:pPr>
        <w:pStyle w:val="4"/>
        <w:spacing w:line="360" w:lineRule="auto"/>
        <w:rPr>
          <w:rFonts w:hint="eastAsia" w:ascii="宋体" w:hAnsi="宋体" w:eastAsia="宋体"/>
          <w:snapToGrid w:val="0"/>
          <w:color w:val="auto"/>
          <w:sz w:val="24"/>
          <w:szCs w:val="24"/>
          <w:highlight w:val="none"/>
        </w:rPr>
      </w:pPr>
      <w:r>
        <w:rPr>
          <w:rFonts w:hint="eastAsia" w:ascii="宋体" w:hAnsi="宋体" w:eastAsia="宋体"/>
          <w:snapToGrid w:val="0"/>
          <w:color w:val="auto"/>
          <w:sz w:val="24"/>
          <w:szCs w:val="24"/>
          <w:highlight w:val="none"/>
        </w:rPr>
        <w:t>1、本项目设计费采取固定总价包干，合同总价为￥（人民币元)。其中，不含税金额为元；增值税税率【6】%，增值税税额为元。</w:t>
      </w:r>
    </w:p>
    <w:p w14:paraId="5D56A8C5">
      <w:pPr>
        <w:pStyle w:val="4"/>
        <w:spacing w:line="360" w:lineRule="auto"/>
        <w:rPr>
          <w:rFonts w:hint="eastAsia" w:ascii="宋体" w:hAnsi="宋体" w:eastAsia="宋体"/>
          <w:snapToGrid w:val="0"/>
          <w:color w:val="auto"/>
          <w:sz w:val="24"/>
          <w:szCs w:val="24"/>
          <w:highlight w:val="none"/>
        </w:rPr>
      </w:pPr>
      <w:r>
        <w:rPr>
          <w:rFonts w:hint="eastAsia" w:ascii="宋体" w:hAnsi="宋体" w:eastAsia="宋体"/>
          <w:snapToGrid w:val="0"/>
          <w:color w:val="auto"/>
          <w:sz w:val="24"/>
          <w:szCs w:val="24"/>
          <w:highlight w:val="none"/>
        </w:rPr>
        <w:t>2、上述合同总价为乙方完成本合同约定工作内容的全部费用，包括但不限于完成该设计项目的成本、利润、税金、图纸资料文印费、分包费、专家评审费、施工图设计技术指导等完成本项目一切费用。</w:t>
      </w:r>
    </w:p>
    <w:p w14:paraId="49260DF9">
      <w:pPr>
        <w:pStyle w:val="2"/>
        <w:spacing w:line="360" w:lineRule="auto"/>
        <w:rPr>
          <w:rFonts w:hint="eastAsia"/>
          <w:color w:val="auto"/>
          <w:highlight w:val="none"/>
        </w:rPr>
      </w:pPr>
      <w:r>
        <w:rPr>
          <w:rFonts w:hint="eastAsia"/>
          <w:color w:val="auto"/>
          <w:highlight w:val="none"/>
        </w:rPr>
        <w:t>九  付款条件及方式</w:t>
      </w:r>
    </w:p>
    <w:p w14:paraId="2A0E67C5">
      <w:pPr>
        <w:numPr>
          <w:ilvl w:val="0"/>
          <w:numId w:val="0"/>
        </w:numPr>
        <w:adjustRightInd w:val="0"/>
        <w:spacing w:before="0" w:beforeLines="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设计费用支付进度如下：</w:t>
      </w:r>
    </w:p>
    <w:p w14:paraId="6F293836">
      <w:pPr>
        <w:numPr>
          <w:ilvl w:val="0"/>
          <w:numId w:val="3"/>
        </w:numPr>
        <w:adjustRightInd w:val="0"/>
        <w:spacing w:before="0" w:beforeLines="0"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初步设计及概算</w:t>
      </w:r>
      <w:r>
        <w:rPr>
          <w:rFonts w:hint="eastAsia" w:ascii="宋体" w:hAnsi="宋体" w:eastAsia="宋体" w:cs="宋体"/>
          <w:color w:val="auto"/>
          <w:kern w:val="0"/>
          <w:sz w:val="24"/>
          <w:szCs w:val="24"/>
          <w:highlight w:val="none"/>
          <w:lang w:val="en-US" w:eastAsia="zh-CN"/>
        </w:rPr>
        <w:t>完成，提交相应合格成果</w:t>
      </w:r>
      <w:r>
        <w:rPr>
          <w:rFonts w:hint="eastAsia" w:ascii="宋体" w:hAnsi="宋体" w:eastAsia="宋体" w:cs="宋体"/>
          <w:color w:val="auto"/>
          <w:kern w:val="0"/>
          <w:sz w:val="24"/>
          <w:szCs w:val="24"/>
          <w:highlight w:val="none"/>
          <w:lang w:eastAsia="zh-CN"/>
        </w:rPr>
        <w:t>后</w:t>
      </w:r>
      <w:r>
        <w:rPr>
          <w:rFonts w:hint="eastAsia" w:ascii="宋体" w:hAnsi="宋体" w:eastAsia="宋体" w:cs="宋体"/>
          <w:color w:val="auto"/>
          <w:kern w:val="0"/>
          <w:sz w:val="24"/>
          <w:szCs w:val="24"/>
          <w:highlight w:val="none"/>
          <w:lang w:val="en-US" w:eastAsia="zh-CN"/>
        </w:rPr>
        <w:t>10个工作日</w:t>
      </w:r>
      <w:r>
        <w:rPr>
          <w:rFonts w:hint="eastAsia" w:ascii="宋体" w:hAnsi="宋体" w:eastAsia="宋体" w:cs="宋体"/>
          <w:color w:val="auto"/>
          <w:kern w:val="0"/>
          <w:sz w:val="24"/>
          <w:szCs w:val="24"/>
          <w:highlight w:val="none"/>
          <w:lang w:eastAsia="zh-CN"/>
        </w:rPr>
        <w:t>内</w:t>
      </w:r>
      <w:r>
        <w:rPr>
          <w:rFonts w:hint="eastAsia" w:ascii="宋体" w:hAnsi="宋体" w:eastAsia="宋体" w:cs="宋体"/>
          <w:color w:val="auto"/>
          <w:kern w:val="0"/>
          <w:sz w:val="24"/>
          <w:szCs w:val="24"/>
          <w:highlight w:val="none"/>
          <w:lang w:val="en-US" w:eastAsia="zh-CN"/>
        </w:rPr>
        <w:t>支付</w:t>
      </w:r>
      <w:r>
        <w:rPr>
          <w:rFonts w:hint="eastAsia" w:ascii="宋体" w:hAnsi="宋体" w:eastAsia="宋体" w:cs="宋体"/>
          <w:color w:val="auto"/>
          <w:kern w:val="0"/>
          <w:sz w:val="24"/>
          <w:szCs w:val="24"/>
          <w:highlight w:val="none"/>
          <w:lang w:eastAsia="zh-CN"/>
        </w:rPr>
        <w:t>设计费合同价的</w:t>
      </w: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lang w:eastAsia="zh-CN"/>
        </w:rPr>
        <w:t>%；</w:t>
      </w:r>
    </w:p>
    <w:p w14:paraId="75B06B19">
      <w:pPr>
        <w:pStyle w:val="12"/>
        <w:widowControl/>
        <w:pBdr>
          <w:top w:val="none" w:color="auto" w:sz="0" w:space="0"/>
          <w:left w:val="none" w:color="auto" w:sz="0" w:space="0"/>
          <w:bottom w:val="none" w:color="auto" w:sz="0" w:space="0"/>
          <w:right w:val="none" w:color="auto" w:sz="0" w:space="0"/>
        </w:pBdr>
        <w:shd w:val="clear" w:color="auto" w:fill="FFFFFF"/>
        <w:spacing w:before="0"/>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lang w:val="en-US" w:eastAsia="zh-CN" w:bidi="ar-SA"/>
        </w:rPr>
        <w:t>2、</w:t>
      </w:r>
      <w:r>
        <w:rPr>
          <w:rFonts w:hint="eastAsia" w:ascii="宋体" w:hAnsi="宋体" w:eastAsia="宋体" w:cs="宋体"/>
          <w:i w:val="0"/>
          <w:iCs w:val="0"/>
          <w:caps w:val="0"/>
          <w:color w:val="auto"/>
          <w:spacing w:val="0"/>
          <w:kern w:val="0"/>
          <w:sz w:val="24"/>
          <w:szCs w:val="24"/>
          <w:highlight w:val="none"/>
          <w:shd w:val="clear" w:color="auto" w:fill="auto"/>
          <w:lang w:eastAsia="zh-CN" w:bidi="ar-SA"/>
        </w:rPr>
        <w:t>配合施工图设计</w:t>
      </w:r>
      <w:r>
        <w:rPr>
          <w:rFonts w:hint="eastAsia" w:cs="宋体"/>
          <w:i w:val="0"/>
          <w:iCs w:val="0"/>
          <w:caps w:val="0"/>
          <w:color w:val="auto"/>
          <w:spacing w:val="0"/>
          <w:kern w:val="0"/>
          <w:sz w:val="24"/>
          <w:szCs w:val="24"/>
          <w:highlight w:val="none"/>
          <w:shd w:val="clear" w:color="auto" w:fill="auto"/>
          <w:lang w:eastAsia="zh-CN" w:bidi="ar-SA"/>
        </w:rPr>
        <w:t>，</w:t>
      </w:r>
      <w:r>
        <w:rPr>
          <w:rFonts w:hint="eastAsia" w:ascii="宋体" w:hAnsi="宋体" w:eastAsia="宋体" w:cs="宋体"/>
          <w:i w:val="0"/>
          <w:iCs w:val="0"/>
          <w:caps w:val="0"/>
          <w:color w:val="auto"/>
          <w:spacing w:val="0"/>
          <w:kern w:val="0"/>
          <w:sz w:val="24"/>
          <w:szCs w:val="24"/>
          <w:highlight w:val="none"/>
          <w:shd w:val="clear" w:color="auto" w:fill="auto"/>
          <w:lang w:val="en-US" w:eastAsia="zh-CN" w:bidi="ar-SA"/>
        </w:rPr>
        <w:t>设计费结算</w:t>
      </w:r>
      <w:r>
        <w:rPr>
          <w:rFonts w:hint="eastAsia" w:ascii="宋体" w:hAnsi="宋体" w:eastAsia="宋体" w:cs="宋体"/>
          <w:color w:val="auto"/>
          <w:kern w:val="0"/>
          <w:sz w:val="24"/>
          <w:szCs w:val="24"/>
          <w:highlight w:val="none"/>
          <w:lang w:eastAsia="zh-CN"/>
        </w:rPr>
        <w:t>后</w:t>
      </w:r>
      <w:r>
        <w:rPr>
          <w:rFonts w:hint="eastAsia" w:ascii="宋体" w:hAnsi="宋体" w:eastAsia="宋体" w:cs="宋体"/>
          <w:color w:val="auto"/>
          <w:kern w:val="0"/>
          <w:sz w:val="24"/>
          <w:szCs w:val="24"/>
          <w:highlight w:val="none"/>
          <w:lang w:val="en-US" w:eastAsia="zh-CN"/>
        </w:rPr>
        <w:t>10个工作日</w:t>
      </w:r>
      <w:r>
        <w:rPr>
          <w:rFonts w:hint="eastAsia" w:ascii="宋体" w:hAnsi="宋体" w:eastAsia="宋体" w:cs="宋体"/>
          <w:color w:val="auto"/>
          <w:kern w:val="0"/>
          <w:sz w:val="24"/>
          <w:szCs w:val="24"/>
          <w:highlight w:val="none"/>
          <w:lang w:eastAsia="zh-CN"/>
        </w:rPr>
        <w:t>内</w:t>
      </w:r>
      <w:r>
        <w:rPr>
          <w:rFonts w:hint="eastAsia" w:ascii="宋体" w:hAnsi="宋体" w:eastAsia="宋体" w:cs="宋体"/>
          <w:color w:val="auto"/>
          <w:kern w:val="0"/>
          <w:sz w:val="24"/>
          <w:szCs w:val="24"/>
          <w:highlight w:val="none"/>
          <w:lang w:val="en-US" w:eastAsia="zh-CN"/>
        </w:rPr>
        <w:t>按</w:t>
      </w:r>
      <w:r>
        <w:rPr>
          <w:rFonts w:hint="eastAsia" w:ascii="宋体" w:hAnsi="宋体" w:eastAsia="宋体" w:cs="宋体"/>
          <w:color w:val="auto"/>
          <w:kern w:val="0"/>
          <w:sz w:val="24"/>
          <w:szCs w:val="24"/>
          <w:highlight w:val="none"/>
          <w:lang w:eastAsia="zh-CN"/>
        </w:rPr>
        <w:t>设计费</w:t>
      </w:r>
      <w:r>
        <w:rPr>
          <w:rFonts w:hint="eastAsia" w:ascii="宋体" w:hAnsi="宋体" w:eastAsia="宋体" w:cs="宋体"/>
          <w:color w:val="auto"/>
          <w:kern w:val="0"/>
          <w:sz w:val="24"/>
          <w:szCs w:val="24"/>
          <w:highlight w:val="none"/>
          <w:lang w:val="en-US" w:eastAsia="zh-CN"/>
        </w:rPr>
        <w:t>结算</w:t>
      </w:r>
      <w:r>
        <w:rPr>
          <w:rFonts w:hint="eastAsia" w:ascii="宋体" w:hAnsi="宋体" w:eastAsia="宋体" w:cs="宋体"/>
          <w:color w:val="auto"/>
          <w:kern w:val="0"/>
          <w:sz w:val="24"/>
          <w:szCs w:val="24"/>
          <w:highlight w:val="none"/>
          <w:lang w:eastAsia="zh-CN"/>
        </w:rPr>
        <w:t>价</w:t>
      </w:r>
      <w:r>
        <w:rPr>
          <w:rFonts w:hint="eastAsia" w:ascii="宋体" w:hAnsi="宋体" w:eastAsia="宋体" w:cs="宋体"/>
          <w:color w:val="auto"/>
          <w:kern w:val="0"/>
          <w:sz w:val="24"/>
          <w:szCs w:val="24"/>
          <w:highlight w:val="none"/>
          <w:lang w:val="en-US" w:eastAsia="zh-CN"/>
        </w:rPr>
        <w:t>付清余款</w:t>
      </w:r>
      <w:r>
        <w:rPr>
          <w:rFonts w:hint="eastAsia" w:ascii="宋体" w:hAnsi="宋体" w:eastAsia="宋体" w:cs="宋体"/>
          <w:color w:val="auto"/>
          <w:kern w:val="0"/>
          <w:sz w:val="24"/>
          <w:szCs w:val="24"/>
          <w:highlight w:val="none"/>
          <w:lang w:eastAsia="zh-CN"/>
        </w:rPr>
        <w:t>。</w:t>
      </w:r>
    </w:p>
    <w:p w14:paraId="3035F19B">
      <w:pPr>
        <w:snapToGrid w:val="0"/>
        <w:spacing w:line="360" w:lineRule="auto"/>
        <w:ind w:right="0"/>
        <w:rPr>
          <w:rFonts w:hint="eastAsia"/>
          <w:b/>
          <w:bCs/>
          <w:color w:val="auto"/>
          <w:sz w:val="24"/>
          <w:highlight w:val="none"/>
        </w:rPr>
      </w:pPr>
    </w:p>
    <w:p w14:paraId="0E04E98E">
      <w:pPr>
        <w:snapToGrid w:val="0"/>
        <w:spacing w:line="360" w:lineRule="auto"/>
        <w:ind w:right="0"/>
        <w:rPr>
          <w:rFonts w:hint="eastAsia"/>
          <w:color w:val="auto"/>
          <w:sz w:val="24"/>
          <w:highlight w:val="none"/>
        </w:rPr>
      </w:pPr>
      <w:r>
        <w:rPr>
          <w:rFonts w:hint="eastAsia"/>
          <w:b/>
          <w:bCs/>
          <w:color w:val="auto"/>
          <w:sz w:val="24"/>
          <w:highlight w:val="none"/>
        </w:rPr>
        <w:t>说明：</w:t>
      </w:r>
    </w:p>
    <w:p w14:paraId="553FA59A">
      <w:pPr>
        <w:pStyle w:val="13"/>
        <w:snapToGrid w:val="0"/>
        <w:spacing w:before="0" w:beforeAutospacing="0" w:after="0" w:afterAutospacing="0" w:line="360" w:lineRule="auto"/>
        <w:ind w:firstLine="480" w:firstLineChars="200"/>
        <w:rPr>
          <w:color w:val="auto"/>
          <w:highlight w:val="none"/>
        </w:rPr>
      </w:pPr>
      <w:r>
        <w:rPr>
          <w:rFonts w:hint="eastAsia"/>
          <w:color w:val="auto"/>
          <w:highlight w:val="none"/>
        </w:rPr>
        <w:t>1）</w:t>
      </w:r>
      <w:r>
        <w:rPr>
          <w:rFonts w:hint="eastAsia" w:ascii="Calibri" w:hAnsi="Calibri"/>
          <w:color w:val="auto"/>
          <w:highlight w:val="none"/>
        </w:rPr>
        <w:t>根据设计不同阶段</w:t>
      </w:r>
      <w:r>
        <w:rPr>
          <w:rFonts w:hint="eastAsia" w:ascii="Calibri" w:hAnsi="Calibri"/>
          <w:color w:val="auto"/>
          <w:kern w:val="2"/>
          <w:szCs w:val="22"/>
          <w:highlight w:val="none"/>
        </w:rPr>
        <w:t>，根据合同规定，</w:t>
      </w:r>
      <w:r>
        <w:rPr>
          <w:rFonts w:hint="eastAsia"/>
          <w:color w:val="auto"/>
          <w:highlight w:val="none"/>
        </w:rPr>
        <w:t>以上</w:t>
      </w:r>
      <w:r>
        <w:rPr>
          <w:rFonts w:hint="eastAsia" w:ascii="Calibri" w:hAnsi="Calibri"/>
          <w:color w:val="auto"/>
          <w:kern w:val="2"/>
          <w:szCs w:val="22"/>
          <w:highlight w:val="none"/>
        </w:rPr>
        <w:t>设计费每次支付前，一并计算乙方的违约金及</w:t>
      </w:r>
      <w:r>
        <w:rPr>
          <w:rFonts w:hint="eastAsia" w:ascii="Calibri" w:hAnsi="Calibri"/>
          <w:color w:val="auto"/>
          <w:highlight w:val="none"/>
        </w:rPr>
        <w:t>赔偿金。</w:t>
      </w:r>
    </w:p>
    <w:p w14:paraId="5C146CAB">
      <w:pPr>
        <w:snapToGrid w:val="0"/>
        <w:spacing w:line="360" w:lineRule="auto"/>
        <w:ind w:right="0" w:firstLine="480" w:firstLineChars="200"/>
        <w:rPr>
          <w:rFonts w:hint="eastAsia" w:ascii="Times New Roman" w:hAnsi="Times New Roman"/>
          <w:color w:val="auto"/>
          <w:sz w:val="24"/>
          <w:szCs w:val="20"/>
          <w:highlight w:val="none"/>
        </w:rPr>
      </w:pPr>
      <w:r>
        <w:rPr>
          <w:rFonts w:hint="eastAsia"/>
          <w:color w:val="auto"/>
          <w:sz w:val="24"/>
          <w:szCs w:val="20"/>
          <w:highlight w:val="none"/>
          <w:lang w:val="en-US" w:eastAsia="zh-CN"/>
        </w:rPr>
        <w:t>2</w:t>
      </w:r>
      <w:r>
        <w:rPr>
          <w:rFonts w:hint="eastAsia" w:ascii="Times New Roman" w:hAnsi="Times New Roman"/>
          <w:color w:val="auto"/>
          <w:sz w:val="24"/>
          <w:szCs w:val="20"/>
          <w:highlight w:val="none"/>
        </w:rPr>
        <w:t>）合同签订时的银行账户及账号为</w:t>
      </w:r>
      <w:r>
        <w:rPr>
          <w:rFonts w:hint="eastAsia" w:ascii="Times New Roman" w:hAnsi="Times New Roman"/>
          <w:color w:val="auto"/>
          <w:sz w:val="24"/>
          <w:szCs w:val="20"/>
          <w:highlight w:val="none"/>
          <w:lang w:eastAsia="zh-CN"/>
        </w:rPr>
        <w:t>款项</w:t>
      </w:r>
      <w:r>
        <w:rPr>
          <w:rFonts w:hint="eastAsia" w:ascii="Times New Roman" w:hAnsi="Times New Roman"/>
          <w:color w:val="auto"/>
          <w:sz w:val="24"/>
          <w:szCs w:val="20"/>
          <w:highlight w:val="none"/>
        </w:rPr>
        <w:t>拨付的唯一账户及账号。</w:t>
      </w:r>
    </w:p>
    <w:p w14:paraId="31A5088F">
      <w:pPr>
        <w:snapToGrid w:val="0"/>
        <w:spacing w:line="360" w:lineRule="auto"/>
        <w:ind w:right="0" w:firstLine="480" w:firstLineChars="200"/>
        <w:rPr>
          <w:rFonts w:ascii="宋体" w:hAnsi="宋体"/>
          <w:color w:val="auto"/>
          <w:kern w:val="0"/>
          <w:sz w:val="24"/>
          <w:szCs w:val="24"/>
          <w:highlight w:val="none"/>
        </w:rPr>
      </w:pPr>
      <w:r>
        <w:rPr>
          <w:rFonts w:hint="eastAsia"/>
          <w:color w:val="auto"/>
          <w:sz w:val="24"/>
          <w:szCs w:val="20"/>
          <w:highlight w:val="none"/>
          <w:lang w:val="en-US" w:eastAsia="zh-CN"/>
        </w:rPr>
        <w:t>3</w:t>
      </w:r>
      <w:r>
        <w:rPr>
          <w:rFonts w:hint="eastAsia" w:ascii="Times New Roman" w:hAnsi="Times New Roman"/>
          <w:color w:val="auto"/>
          <w:sz w:val="24"/>
          <w:szCs w:val="20"/>
          <w:highlight w:val="none"/>
        </w:rPr>
        <w:t>）甲方每次付款前，乙方按甲方要求提供相关申请资料，并提供等额合法有效</w:t>
      </w:r>
      <w:r>
        <w:rPr>
          <w:rFonts w:hint="eastAsia" w:ascii="Times New Roman" w:hAnsi="Times New Roman"/>
          <w:color w:val="auto"/>
          <w:sz w:val="24"/>
          <w:szCs w:val="20"/>
          <w:highlight w:val="none"/>
          <w:lang w:eastAsia="zh-CN"/>
        </w:rPr>
        <w:t>增值税专用</w:t>
      </w:r>
      <w:r>
        <w:rPr>
          <w:rFonts w:hint="eastAsia" w:ascii="Times New Roman" w:hAnsi="Times New Roman"/>
          <w:color w:val="auto"/>
          <w:sz w:val="24"/>
          <w:szCs w:val="20"/>
          <w:highlight w:val="none"/>
        </w:rPr>
        <w:t>发票，否则甲方不予付款，因乙方未及时提供发</w:t>
      </w:r>
      <w:r>
        <w:rPr>
          <w:rFonts w:hint="eastAsia" w:ascii="宋体" w:hAnsi="宋体"/>
          <w:color w:val="auto"/>
          <w:sz w:val="24"/>
          <w:szCs w:val="24"/>
          <w:highlight w:val="none"/>
        </w:rPr>
        <w:t>票</w:t>
      </w:r>
      <w:r>
        <w:rPr>
          <w:rFonts w:hint="eastAsia" w:ascii="宋体" w:hAnsi="宋体"/>
          <w:color w:val="auto"/>
          <w:kern w:val="0"/>
          <w:sz w:val="24"/>
          <w:szCs w:val="24"/>
          <w:highlight w:val="none"/>
        </w:rPr>
        <w:t>等原因致使甲方逾期付款的，责任由乙方承担。</w:t>
      </w:r>
    </w:p>
    <w:p w14:paraId="16CBB93D">
      <w:pPr>
        <w:snapToGrid w:val="0"/>
        <w:spacing w:line="360" w:lineRule="auto"/>
        <w:ind w:right="0" w:firstLine="480" w:firstLineChars="200"/>
        <w:rPr>
          <w:rFonts w:ascii="Times New Roman" w:hAnsi="Times New Roman"/>
          <w:color w:val="auto"/>
          <w:sz w:val="24"/>
          <w:szCs w:val="20"/>
          <w:highlight w:val="none"/>
        </w:rPr>
      </w:pPr>
      <w:r>
        <w:rPr>
          <w:rFonts w:hint="eastAsia" w:ascii="宋体" w:hAnsi="宋体"/>
          <w:color w:val="auto"/>
          <w:kern w:val="0"/>
          <w:sz w:val="24"/>
          <w:szCs w:val="24"/>
          <w:highlight w:val="none"/>
          <w:lang w:val="en-US" w:eastAsia="zh-CN"/>
        </w:rPr>
        <w:t>4</w:t>
      </w:r>
      <w:r>
        <w:rPr>
          <w:rFonts w:hint="eastAsia" w:ascii="Times New Roman" w:hAnsi="Times New Roman"/>
          <w:color w:val="auto"/>
          <w:sz w:val="24"/>
          <w:szCs w:val="20"/>
          <w:highlight w:val="none"/>
        </w:rPr>
        <w:t>）乙方应提供驻场人员为甲方提供本合同约定的</w:t>
      </w:r>
      <w:r>
        <w:rPr>
          <w:rFonts w:hint="eastAsia" w:ascii="Times New Roman" w:hAnsi="Times New Roman"/>
          <w:color w:val="auto"/>
          <w:sz w:val="24"/>
          <w:szCs w:val="20"/>
          <w:highlight w:val="none"/>
          <w:lang w:eastAsia="zh-CN"/>
        </w:rPr>
        <w:t>设计</w:t>
      </w:r>
      <w:r>
        <w:rPr>
          <w:rFonts w:hint="eastAsia" w:ascii="Times New Roman" w:hAnsi="Times New Roman"/>
          <w:color w:val="auto"/>
          <w:sz w:val="24"/>
          <w:szCs w:val="20"/>
          <w:highlight w:val="none"/>
        </w:rPr>
        <w:t>服务，驻场人员的服务费包含在总服务费中，不再单独列出。</w:t>
      </w:r>
    </w:p>
    <w:p w14:paraId="37E4C850">
      <w:pPr>
        <w:snapToGrid w:val="0"/>
        <w:spacing w:line="360" w:lineRule="auto"/>
        <w:ind w:right="0" w:firstLine="480" w:firstLineChars="200"/>
        <w:rPr>
          <w:rFonts w:ascii="Times New Roman" w:hAnsi="Times New Roman"/>
          <w:color w:val="auto"/>
          <w:sz w:val="24"/>
          <w:szCs w:val="20"/>
          <w:highlight w:val="none"/>
        </w:rPr>
      </w:pPr>
      <w:r>
        <w:rPr>
          <w:rFonts w:hint="eastAsia"/>
          <w:color w:val="auto"/>
          <w:sz w:val="24"/>
          <w:szCs w:val="20"/>
          <w:highlight w:val="none"/>
          <w:lang w:val="en-US" w:eastAsia="zh-CN"/>
        </w:rPr>
        <w:t>（二）</w:t>
      </w:r>
      <w:r>
        <w:rPr>
          <w:rFonts w:hint="eastAsia" w:ascii="Times New Roman" w:hAnsi="Times New Roman"/>
          <w:color w:val="auto"/>
          <w:sz w:val="24"/>
          <w:szCs w:val="20"/>
          <w:highlight w:val="none"/>
        </w:rPr>
        <w:t>甲方每次付款前，乙方须提供与付款金额相对应的合法有效增值税(税率为</w:t>
      </w:r>
      <w:r>
        <w:rPr>
          <w:rFonts w:hint="eastAsia" w:ascii="Times New Roman" w:hAnsi="Times New Roman"/>
          <w:b/>
          <w:color w:val="auto"/>
          <w:sz w:val="24"/>
          <w:szCs w:val="20"/>
          <w:highlight w:val="none"/>
          <w:u w:val="single"/>
          <w:lang w:val="en-US" w:eastAsia="zh-CN"/>
        </w:rPr>
        <w:t xml:space="preserve">  </w:t>
      </w:r>
      <w:r>
        <w:rPr>
          <w:rFonts w:hint="eastAsia" w:ascii="Times New Roman" w:hAnsi="Times New Roman"/>
          <w:color w:val="auto"/>
          <w:sz w:val="24"/>
          <w:szCs w:val="20"/>
          <w:highlight w:val="none"/>
        </w:rPr>
        <w:t>)专用发票，</w:t>
      </w:r>
      <w:r>
        <w:rPr>
          <w:rFonts w:hint="eastAsia"/>
          <w:color w:val="auto"/>
          <w:sz w:val="24"/>
          <w:szCs w:val="20"/>
          <w:highlight w:val="none"/>
        </w:rPr>
        <w:t>甲方应支付的全部款项均为含税价。</w:t>
      </w:r>
      <w:r>
        <w:rPr>
          <w:rFonts w:hint="eastAsia" w:ascii="Times New Roman" w:hAnsi="Times New Roman"/>
          <w:color w:val="auto"/>
          <w:sz w:val="24"/>
          <w:szCs w:val="20"/>
          <w:highlight w:val="none"/>
        </w:rPr>
        <w:t>甲方在收齐乙方上述资料后在1</w:t>
      </w:r>
      <w:r>
        <w:rPr>
          <w:rFonts w:hint="eastAsia" w:ascii="Times New Roman" w:hAnsi="Times New Roman"/>
          <w:color w:val="auto"/>
          <w:sz w:val="24"/>
          <w:szCs w:val="20"/>
          <w:highlight w:val="none"/>
          <w:lang w:val="en-US" w:eastAsia="zh-CN"/>
        </w:rPr>
        <w:t>0</w:t>
      </w:r>
      <w:r>
        <w:rPr>
          <w:rFonts w:hint="eastAsia" w:ascii="Times New Roman" w:hAnsi="Times New Roman"/>
          <w:color w:val="auto"/>
          <w:sz w:val="24"/>
          <w:szCs w:val="20"/>
          <w:highlight w:val="none"/>
        </w:rPr>
        <w:t>个工作日内支付，否则甲方不予付款，因乙方未及时提供发</w:t>
      </w:r>
      <w:r>
        <w:rPr>
          <w:rFonts w:hint="eastAsia" w:ascii="宋体" w:hAnsi="宋体"/>
          <w:color w:val="auto"/>
          <w:sz w:val="24"/>
          <w:szCs w:val="24"/>
          <w:highlight w:val="none"/>
        </w:rPr>
        <w:t>票</w:t>
      </w:r>
      <w:r>
        <w:rPr>
          <w:rFonts w:hint="eastAsia" w:ascii="宋体" w:hAnsi="宋体"/>
          <w:color w:val="auto"/>
          <w:kern w:val="0"/>
          <w:sz w:val="24"/>
          <w:szCs w:val="24"/>
          <w:highlight w:val="none"/>
        </w:rPr>
        <w:t>等原因致使甲方逾期付款的责任由乙方承担。</w:t>
      </w:r>
    </w:p>
    <w:p w14:paraId="09ECFE3F">
      <w:pPr>
        <w:widowControl/>
        <w:spacing w:line="360" w:lineRule="auto"/>
        <w:ind w:firstLine="480" w:firstLineChars="200"/>
        <w:jc w:val="left"/>
        <w:rPr>
          <w:rFonts w:ascii="Times New Roman" w:hAnsi="Times New Roman"/>
          <w:color w:val="auto"/>
          <w:kern w:val="0"/>
          <w:sz w:val="24"/>
          <w:szCs w:val="20"/>
          <w:highlight w:val="none"/>
        </w:rPr>
      </w:pPr>
      <w:r>
        <w:rPr>
          <w:rFonts w:hint="eastAsia"/>
          <w:color w:val="auto"/>
          <w:kern w:val="0"/>
          <w:sz w:val="24"/>
          <w:szCs w:val="20"/>
          <w:highlight w:val="none"/>
          <w:lang w:val="en-US" w:eastAsia="zh-CN"/>
        </w:rPr>
        <w:t>（三）</w:t>
      </w:r>
      <w:r>
        <w:rPr>
          <w:rFonts w:hint="eastAsia" w:ascii="Times New Roman" w:hAnsi="Times New Roman"/>
          <w:color w:val="auto"/>
          <w:kern w:val="0"/>
          <w:sz w:val="24"/>
          <w:szCs w:val="20"/>
          <w:highlight w:val="none"/>
        </w:rPr>
        <w:t>本合同甲方付款采用转账方式，合同签订的以下乙方银行账户及账号为甲方付款的唯一账户及账号。</w:t>
      </w:r>
    </w:p>
    <w:p w14:paraId="6B5EF2ED">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乙方</w:t>
      </w:r>
      <w:r>
        <w:rPr>
          <w:rFonts w:ascii="宋体" w:hAnsi="宋体"/>
          <w:color w:val="auto"/>
          <w:kern w:val="0"/>
          <w:sz w:val="24"/>
          <w:szCs w:val="24"/>
          <w:highlight w:val="none"/>
        </w:rPr>
        <w:t>开户银行名称、地址和账号为：</w:t>
      </w:r>
    </w:p>
    <w:p w14:paraId="51E7F267">
      <w:pPr>
        <w:widowControl/>
        <w:spacing w:line="36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 xml:space="preserve"> 户    名：</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 xml:space="preserve"> </w:t>
      </w:r>
    </w:p>
    <w:p w14:paraId="70F66D75">
      <w:pPr>
        <w:widowControl/>
        <w:spacing w:line="36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 xml:space="preserve">         开户银行：</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 xml:space="preserve"> </w:t>
      </w:r>
    </w:p>
    <w:p w14:paraId="04EB8C59">
      <w:pPr>
        <w:widowControl/>
        <w:spacing w:line="360" w:lineRule="auto"/>
        <w:ind w:firstLine="480" w:firstLineChars="200"/>
        <w:jc w:val="left"/>
        <w:rPr>
          <w:rFonts w:hint="eastAsia" w:ascii="宋体" w:hAnsi="宋体"/>
          <w:color w:val="auto"/>
          <w:kern w:val="0"/>
          <w:sz w:val="24"/>
          <w:szCs w:val="24"/>
          <w:highlight w:val="none"/>
        </w:rPr>
      </w:pPr>
      <w:r>
        <w:rPr>
          <w:rFonts w:ascii="宋体" w:hAnsi="宋体"/>
          <w:color w:val="auto"/>
          <w:kern w:val="0"/>
          <w:sz w:val="24"/>
          <w:szCs w:val="24"/>
          <w:highlight w:val="none"/>
        </w:rPr>
        <w:t xml:space="preserve">         帐    号：</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 xml:space="preserve"> </w:t>
      </w:r>
    </w:p>
    <w:p w14:paraId="3DFCA38D">
      <w:pPr>
        <w:widowControl/>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lang w:eastAsia="zh-CN"/>
        </w:rPr>
        <w:t>（四）</w:t>
      </w:r>
      <w:r>
        <w:rPr>
          <w:rFonts w:hint="eastAsia" w:ascii="宋体" w:hAnsi="宋体"/>
          <w:color w:val="auto"/>
          <w:kern w:val="0"/>
          <w:sz w:val="24"/>
          <w:szCs w:val="24"/>
          <w:highlight w:val="none"/>
        </w:rPr>
        <w:t>合同价款结算</w:t>
      </w:r>
    </w:p>
    <w:p w14:paraId="388584D4">
      <w:pPr>
        <w:widowControl/>
        <w:spacing w:line="360" w:lineRule="auto"/>
        <w:ind w:firstLine="480" w:firstLineChars="200"/>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最终合同价款支付的约定:项目设计费采取固定总价包干，结算按相关结算工作指引及甲方有关结算管理制度执行。乙方提交结算资料经甲方审核后，按照相关程序完成结算，最终结算价以甲方审定的金额为准。如本合同签订之日起两年内仍无需乙方配合施工图设计技术支持，视为本合同乙方工作已完成，进行合同结算。</w:t>
      </w:r>
    </w:p>
    <w:p w14:paraId="06A13590">
      <w:pPr>
        <w:pStyle w:val="13"/>
        <w:spacing w:before="0" w:beforeAutospacing="0" w:after="0" w:afterAutospacing="0" w:line="360" w:lineRule="auto"/>
        <w:rPr>
          <w:rFonts w:hint="eastAsia"/>
          <w:b/>
          <w:color w:val="auto"/>
          <w:kern w:val="2"/>
          <w:highlight w:val="none"/>
        </w:rPr>
      </w:pPr>
      <w:r>
        <w:rPr>
          <w:rFonts w:hint="eastAsia"/>
          <w:b/>
          <w:color w:val="auto"/>
          <w:kern w:val="2"/>
          <w:highlight w:val="none"/>
        </w:rPr>
        <w:t>十  双方责任</w:t>
      </w:r>
    </w:p>
    <w:p w14:paraId="5692F78A">
      <w:pPr>
        <w:pStyle w:val="13"/>
        <w:snapToGrid w:val="0"/>
        <w:spacing w:before="0" w:beforeAutospacing="0" w:after="0" w:afterAutospacing="0" w:line="360" w:lineRule="auto"/>
        <w:ind w:firstLine="527"/>
        <w:outlineLvl w:val="0"/>
        <w:rPr>
          <w:rFonts w:hint="eastAsia"/>
          <w:b/>
          <w:color w:val="auto"/>
          <w:kern w:val="2"/>
          <w:highlight w:val="none"/>
        </w:rPr>
      </w:pPr>
      <w:r>
        <w:rPr>
          <w:rFonts w:hint="eastAsia"/>
          <w:b/>
          <w:color w:val="auto"/>
          <w:kern w:val="2"/>
          <w:highlight w:val="none"/>
        </w:rPr>
        <w:t>(一)、甲方责任</w:t>
      </w:r>
    </w:p>
    <w:p w14:paraId="3066DC67">
      <w:pPr>
        <w:pStyle w:val="13"/>
        <w:spacing w:before="0" w:beforeAutospacing="0" w:after="0" w:afterAutospacing="0" w:line="360" w:lineRule="auto"/>
        <w:ind w:firstLine="480"/>
        <w:rPr>
          <w:rFonts w:hint="eastAsia"/>
          <w:color w:val="auto"/>
          <w:highlight w:val="none"/>
        </w:rPr>
      </w:pPr>
      <w:r>
        <w:rPr>
          <w:rFonts w:hint="eastAsia"/>
          <w:color w:val="auto"/>
          <w:highlight w:val="none"/>
        </w:rPr>
        <w:t>1、甲方应按合同规定向乙方提交基础资料及文件，并对其完整性、正确性真实性、合法性及时限负责，甲方不得要求乙方违反国家、地方及行业有关标准进行设计等工作，若甲方没有按时提交设计所需的资料文件,则双方另行友好协商解决办法及确定设计进度。</w:t>
      </w:r>
    </w:p>
    <w:p w14:paraId="43010C90">
      <w:pPr>
        <w:pStyle w:val="13"/>
        <w:spacing w:before="0" w:beforeAutospacing="0" w:after="0" w:afterAutospacing="0" w:line="360" w:lineRule="auto"/>
        <w:ind w:firstLine="480"/>
        <w:rPr>
          <w:rFonts w:hint="eastAsia"/>
          <w:color w:val="auto"/>
          <w:highlight w:val="none"/>
        </w:rPr>
      </w:pPr>
      <w:r>
        <w:rPr>
          <w:rFonts w:hint="eastAsia"/>
          <w:color w:val="auto"/>
          <w:highlight w:val="none"/>
        </w:rPr>
        <w:t>2、甲方变更委托设计内容、规模、条件、范围或因提交的资料错误，或所提交资料作较大修改，或提出新的想法、要求，或应相关部门要求等原因而进行修改，或设计文件经甲方确认后等的，以致造成乙方设计返工时，双方签订补充协议，有关费用计算及支付按照本合同规定。</w:t>
      </w:r>
    </w:p>
    <w:p w14:paraId="17D76806">
      <w:pPr>
        <w:pStyle w:val="13"/>
        <w:spacing w:before="0" w:beforeAutospacing="0" w:after="0" w:afterAutospacing="0" w:line="360" w:lineRule="auto"/>
        <w:ind w:firstLine="480"/>
        <w:rPr>
          <w:rFonts w:hint="eastAsia"/>
          <w:color w:val="auto"/>
          <w:highlight w:val="none"/>
        </w:rPr>
      </w:pPr>
      <w:r>
        <w:rPr>
          <w:rFonts w:hint="eastAsia"/>
          <w:color w:val="auto"/>
          <w:highlight w:val="none"/>
        </w:rPr>
        <w:t>3、甲方要求乙方比合同规定时间提前交付设计文件时，不得背离合理设计周期，且甲方应根据提前的天数及时向乙方支付赶工费（赶工费另行协商），否则，乙方亦有权拒绝甲方该要求，并按本合同约定的时间执行。</w:t>
      </w:r>
    </w:p>
    <w:p w14:paraId="6B9A0EB6">
      <w:pPr>
        <w:pStyle w:val="13"/>
        <w:spacing w:before="0" w:beforeAutospacing="0" w:after="0" w:afterAutospacing="0" w:line="360" w:lineRule="auto"/>
        <w:ind w:firstLine="480"/>
        <w:rPr>
          <w:rFonts w:hint="eastAsia"/>
          <w:color w:val="auto"/>
          <w:highlight w:val="none"/>
        </w:rPr>
      </w:pPr>
      <w:r>
        <w:rPr>
          <w:rFonts w:hint="eastAsia"/>
          <w:color w:val="auto"/>
          <w:highlight w:val="none"/>
        </w:rPr>
        <w:t>4、本合同有关条款和补充协议中规定甲方应负的其它责任。</w:t>
      </w:r>
    </w:p>
    <w:p w14:paraId="6F9ECBBF">
      <w:pPr>
        <w:pStyle w:val="13"/>
        <w:spacing w:before="0" w:beforeAutospacing="0" w:after="0" w:afterAutospacing="0" w:line="360" w:lineRule="auto"/>
        <w:ind w:firstLine="480"/>
        <w:rPr>
          <w:rFonts w:hint="eastAsia"/>
          <w:color w:val="auto"/>
          <w:highlight w:val="none"/>
        </w:rPr>
      </w:pPr>
      <w:r>
        <w:rPr>
          <w:rFonts w:hint="eastAsia"/>
          <w:color w:val="auto"/>
          <w:highlight w:val="none"/>
        </w:rPr>
        <w:t>(二)、乙方责任</w:t>
      </w:r>
    </w:p>
    <w:p w14:paraId="2D525240">
      <w:pPr>
        <w:pStyle w:val="13"/>
        <w:spacing w:before="0" w:beforeAutospacing="0" w:after="0" w:afterAutospacing="0" w:line="360" w:lineRule="auto"/>
        <w:ind w:firstLine="480"/>
        <w:rPr>
          <w:rFonts w:hint="eastAsia"/>
          <w:color w:val="auto"/>
          <w:highlight w:val="none"/>
        </w:rPr>
      </w:pPr>
      <w:r>
        <w:rPr>
          <w:rFonts w:hint="eastAsia"/>
          <w:color w:val="auto"/>
          <w:highlight w:val="none"/>
        </w:rPr>
        <w:t>1、乙方应按国家规定和合同约定的技术规范、标准进行设计，按本合同第5条规定的内容、时间及份数向甲方交付合格的设计文件（除按合同规定可以顺延的情况外），并对提交的设计文件的质量负责。</w:t>
      </w:r>
    </w:p>
    <w:p w14:paraId="6CA5707C">
      <w:pPr>
        <w:pStyle w:val="13"/>
        <w:spacing w:before="0" w:beforeAutospacing="0" w:after="0" w:afterAutospacing="0" w:line="360" w:lineRule="auto"/>
        <w:ind w:firstLine="480"/>
        <w:rPr>
          <w:rFonts w:hint="eastAsia"/>
          <w:color w:val="auto"/>
          <w:highlight w:val="none"/>
        </w:rPr>
      </w:pPr>
      <w:r>
        <w:rPr>
          <w:rFonts w:hint="eastAsia"/>
          <w:color w:val="auto"/>
          <w:highlight w:val="none"/>
        </w:rPr>
        <w:t>2、负责该合同项目的设计联络工作。积极组织、协调有关双方按照甲方要求及时提交符合本合同要求深度的各阶段设计文件，阐明设计意图，进行设计问题答疑，并提供其他必要的协助。</w:t>
      </w:r>
    </w:p>
    <w:p w14:paraId="5A876E06">
      <w:pPr>
        <w:pStyle w:val="13"/>
        <w:spacing w:before="0" w:beforeAutospacing="0" w:after="0" w:afterAutospacing="0" w:line="360" w:lineRule="auto"/>
        <w:ind w:firstLine="480"/>
        <w:rPr>
          <w:rFonts w:hint="eastAsia"/>
          <w:color w:val="auto"/>
          <w:highlight w:val="none"/>
        </w:rPr>
      </w:pPr>
      <w:r>
        <w:rPr>
          <w:rFonts w:hint="eastAsia"/>
          <w:color w:val="auto"/>
          <w:highlight w:val="none"/>
        </w:rPr>
        <w:t>4、乙方按甲方合理要求，对投标文件进行调整并对设计文件出现的遗漏或错误负责修改或补充。由于乙方自身过错原因导致设计失误、错漏造成工程质量事故损失，乙方负责采取补救措施。</w:t>
      </w:r>
    </w:p>
    <w:p w14:paraId="45799435">
      <w:pPr>
        <w:pStyle w:val="13"/>
        <w:spacing w:before="0" w:beforeAutospacing="0" w:after="0" w:afterAutospacing="0" w:line="360" w:lineRule="auto"/>
        <w:ind w:firstLine="480"/>
        <w:rPr>
          <w:rFonts w:hint="eastAsia"/>
          <w:color w:val="auto"/>
          <w:highlight w:val="none"/>
        </w:rPr>
      </w:pPr>
      <w:r>
        <w:rPr>
          <w:rFonts w:hint="eastAsia"/>
          <w:color w:val="auto"/>
          <w:highlight w:val="none"/>
        </w:rPr>
        <w:t>5、由于乙方自身过错原因导致不能按本合同约定提交相关设计文件资料的，除非甲方书面同意，否则视为违约。由于乙方原因，延误了设计文件交付时间，逾期违约金每天</w:t>
      </w:r>
      <w:r>
        <w:rPr>
          <w:rFonts w:hint="eastAsia"/>
          <w:color w:val="auto"/>
          <w:highlight w:val="none"/>
          <w:lang w:eastAsia="zh-CN"/>
        </w:rPr>
        <w:t>1</w:t>
      </w:r>
      <w:r>
        <w:rPr>
          <w:rFonts w:hint="eastAsia"/>
          <w:color w:val="auto"/>
          <w:highlight w:val="none"/>
        </w:rPr>
        <w:t>000元，逾期违约金最多不超过合同价款的5%；若因自身原因延期提交设计文件超过30天，则甲方有权单方解除合同，以保证整个工程的顺利实施。</w:t>
      </w:r>
    </w:p>
    <w:p w14:paraId="11571D29">
      <w:pPr>
        <w:pStyle w:val="13"/>
        <w:spacing w:before="0" w:beforeAutospacing="0" w:after="0" w:afterAutospacing="0" w:line="360" w:lineRule="auto"/>
        <w:ind w:firstLine="480"/>
        <w:rPr>
          <w:rFonts w:hint="eastAsia"/>
          <w:color w:val="auto"/>
          <w:highlight w:val="none"/>
        </w:rPr>
      </w:pPr>
      <w:r>
        <w:rPr>
          <w:rFonts w:hint="eastAsia"/>
          <w:color w:val="auto"/>
          <w:highlight w:val="none"/>
        </w:rPr>
        <w:t>6、由于乙方自身过错原因，合同签定生效后7天内，乙方自行无故终止或解除合同的，乙方除须返还甲方已支付的款项外，由此给甲方造成经济损失的，乙方须按实际损失赔偿，赔偿金额不超过该合同设计费总额的20%；超过7天解除合同的，乙方须按实际损失赔偿外，还承担合同金额20％的违约金。</w:t>
      </w:r>
    </w:p>
    <w:p w14:paraId="23395A44">
      <w:pPr>
        <w:pStyle w:val="13"/>
        <w:spacing w:before="0" w:beforeAutospacing="0" w:after="0" w:afterAutospacing="0" w:line="360" w:lineRule="auto"/>
        <w:ind w:firstLine="480"/>
        <w:rPr>
          <w:rFonts w:hint="eastAsia"/>
          <w:color w:val="auto"/>
          <w:highlight w:val="none"/>
        </w:rPr>
      </w:pPr>
      <w:r>
        <w:rPr>
          <w:rFonts w:hint="eastAsia"/>
          <w:color w:val="auto"/>
          <w:highlight w:val="none"/>
        </w:rPr>
        <w:t>7、各阶段设计文件应达到国家、省、市规定的工程设计标准和工程设计应有的深度要求，并应是合理、优化的设计（按通过设计审查、咨询单位及政府行政主管部门或其授权单位组织专家的审核确认为标准）。否则，因乙方自身过错原因导致的，乙方应无条件进行修正、改进，其费用甲方不再另行计量支付。各阶段设计文件所有的评审会议及专题会议的相关费用均由承包人承担，甲方不另行支付。</w:t>
      </w:r>
    </w:p>
    <w:p w14:paraId="23D81980">
      <w:pPr>
        <w:pStyle w:val="13"/>
        <w:spacing w:before="0" w:beforeAutospacing="0" w:after="0" w:afterAutospacing="0" w:line="360" w:lineRule="auto"/>
        <w:ind w:firstLine="480"/>
        <w:rPr>
          <w:rFonts w:hint="eastAsia"/>
          <w:color w:val="auto"/>
          <w:highlight w:val="none"/>
        </w:rPr>
      </w:pPr>
      <w:r>
        <w:rPr>
          <w:rFonts w:hint="eastAsia"/>
          <w:color w:val="auto"/>
          <w:highlight w:val="none"/>
        </w:rPr>
        <w:t>8、乙方交付合格的设计文件后，按规定参加设计审查，并根据审查结论负责不超出原定范围的内容做必要调整、补充及修正。乙方按合同规定时限交付设计文件后两年内项目施工的，负责向甲方及施工单位进行设计交底、处理有关设计问题和参加竣工验收。在交付设计文件或审查通过后两年内项目尚未开始施工，乙方仍负责上述工作，乙方有权按所需工作量向甲方适当收取咨询服务费，收费额由双方商定，甲方拒绝支付的，乙方有权拒绝上述工作。</w:t>
      </w:r>
    </w:p>
    <w:p w14:paraId="49561055">
      <w:pPr>
        <w:pStyle w:val="13"/>
        <w:spacing w:before="0" w:beforeAutospacing="0" w:after="0" w:afterAutospacing="0" w:line="360" w:lineRule="auto"/>
        <w:ind w:firstLine="480"/>
        <w:rPr>
          <w:rFonts w:hint="eastAsia"/>
          <w:color w:val="auto"/>
          <w:highlight w:val="none"/>
        </w:rPr>
      </w:pPr>
      <w:r>
        <w:rPr>
          <w:rFonts w:hint="eastAsia"/>
          <w:color w:val="auto"/>
          <w:highlight w:val="none"/>
        </w:rPr>
        <w:t>9、乙方提交设计资料及文件后，对设计审查提出的补充、修改、调整，应按合同规定时限交付设计资料及文件。</w:t>
      </w:r>
    </w:p>
    <w:p w14:paraId="65EA31D8">
      <w:pPr>
        <w:pStyle w:val="13"/>
        <w:spacing w:before="0" w:beforeAutospacing="0" w:after="0" w:afterAutospacing="0" w:line="360" w:lineRule="auto"/>
        <w:ind w:firstLine="480"/>
        <w:rPr>
          <w:rFonts w:hint="eastAsia"/>
          <w:color w:val="auto"/>
          <w:highlight w:val="none"/>
        </w:rPr>
      </w:pPr>
      <w:r>
        <w:rPr>
          <w:rFonts w:hint="eastAsia"/>
          <w:color w:val="auto"/>
          <w:highlight w:val="none"/>
        </w:rPr>
        <w:t>10、乙方应负责分阶段向甲方汇报设计情况。</w:t>
      </w:r>
    </w:p>
    <w:p w14:paraId="54AD56F9">
      <w:pPr>
        <w:pStyle w:val="13"/>
        <w:spacing w:before="0" w:beforeAutospacing="0" w:after="0" w:afterAutospacing="0" w:line="360" w:lineRule="auto"/>
        <w:ind w:firstLine="480"/>
        <w:rPr>
          <w:rFonts w:hint="eastAsia"/>
          <w:color w:val="auto"/>
          <w:highlight w:val="none"/>
        </w:rPr>
      </w:pPr>
      <w:r>
        <w:rPr>
          <w:rFonts w:hint="eastAsia"/>
          <w:color w:val="auto"/>
          <w:highlight w:val="none"/>
        </w:rPr>
        <w:t>11、对甲方委托其他单位所作的专项设计，审核是否符合主体设计要求。</w:t>
      </w:r>
    </w:p>
    <w:p w14:paraId="7B087F03">
      <w:pPr>
        <w:pStyle w:val="13"/>
        <w:spacing w:before="0" w:beforeAutospacing="0" w:after="0" w:afterAutospacing="0" w:line="360" w:lineRule="auto"/>
        <w:ind w:firstLine="480"/>
        <w:rPr>
          <w:rFonts w:hint="eastAsia"/>
          <w:color w:val="auto"/>
          <w:highlight w:val="none"/>
        </w:rPr>
      </w:pPr>
      <w:r>
        <w:rPr>
          <w:rFonts w:hint="eastAsia"/>
          <w:color w:val="auto"/>
          <w:highlight w:val="none"/>
        </w:rPr>
        <w:t>12、在甲方按照本合同约定按时足额支付全部费用后，本项目的所有设计文件、资料归甲方所有，但乙方享有发表权、署名权、修改权、保护作品完整权、其他法定的知识产权及对外宣传权等权利权益。乙方在合理的宣传资料中，有权使用本项目的设计资料，但需提前征得甲方同意。</w:t>
      </w:r>
    </w:p>
    <w:p w14:paraId="06F25004">
      <w:pPr>
        <w:pStyle w:val="13"/>
        <w:spacing w:before="0" w:beforeAutospacing="0" w:after="0" w:afterAutospacing="0" w:line="360" w:lineRule="auto"/>
        <w:ind w:firstLine="480"/>
        <w:rPr>
          <w:rFonts w:hint="eastAsia"/>
          <w:color w:val="auto"/>
          <w:highlight w:val="none"/>
        </w:rPr>
      </w:pPr>
      <w:r>
        <w:rPr>
          <w:rFonts w:hint="eastAsia"/>
          <w:color w:val="auto"/>
          <w:highlight w:val="none"/>
        </w:rPr>
        <w:t>13、甲方要求乙方加晒图纸工本费：详见附件三。</w:t>
      </w:r>
    </w:p>
    <w:p w14:paraId="00D76993">
      <w:pPr>
        <w:pStyle w:val="13"/>
        <w:spacing w:before="0" w:beforeAutospacing="0" w:after="0" w:afterAutospacing="0" w:line="360" w:lineRule="auto"/>
        <w:ind w:firstLine="480"/>
        <w:rPr>
          <w:rFonts w:hint="eastAsia"/>
          <w:color w:val="auto"/>
          <w:highlight w:val="none"/>
        </w:rPr>
      </w:pPr>
      <w:r>
        <w:rPr>
          <w:rFonts w:hint="eastAsia"/>
          <w:color w:val="auto"/>
          <w:highlight w:val="none"/>
        </w:rPr>
        <w:t>14、凡是未经甲方书面同意，若乙方私自分包、转包设计任务的，均视为违约，需承担由此造成的甲方工期、技术及其它一切损失。</w:t>
      </w:r>
    </w:p>
    <w:p w14:paraId="62A65C53">
      <w:pPr>
        <w:pStyle w:val="13"/>
        <w:spacing w:before="0" w:beforeAutospacing="0" w:after="0" w:afterAutospacing="0" w:line="360" w:lineRule="auto"/>
        <w:ind w:firstLine="480"/>
        <w:rPr>
          <w:rFonts w:hint="eastAsia"/>
          <w:color w:val="auto"/>
          <w:highlight w:val="none"/>
        </w:rPr>
      </w:pPr>
      <w:r>
        <w:rPr>
          <w:rFonts w:hint="eastAsia"/>
          <w:color w:val="auto"/>
          <w:highlight w:val="none"/>
        </w:rPr>
        <w:t>15、本工程项目中，乙方不得指定建筑材料、设备的生产厂或供货商，不得在图纸中标明或注明具体厂家产品的品牌、型号，否则视为图纸不合格，乙方须无条件返工，设计文件交付时间不予顺延。</w:t>
      </w:r>
    </w:p>
    <w:p w14:paraId="60AAB506">
      <w:pPr>
        <w:pStyle w:val="13"/>
        <w:spacing w:before="0" w:beforeAutospacing="0" w:after="0" w:afterAutospacing="0" w:line="360" w:lineRule="auto"/>
        <w:ind w:firstLine="480"/>
        <w:rPr>
          <w:rFonts w:hint="eastAsia"/>
          <w:color w:val="auto"/>
          <w:highlight w:val="none"/>
        </w:rPr>
      </w:pPr>
      <w:r>
        <w:rPr>
          <w:rFonts w:hint="eastAsia"/>
          <w:color w:val="auto"/>
          <w:highlight w:val="none"/>
        </w:rPr>
        <w:t>16、设计文件中选用的国家标准图、部标准图、地方标准图及各类相关数据、资料由乙方负责解决。</w:t>
      </w:r>
    </w:p>
    <w:p w14:paraId="69ED8022">
      <w:pPr>
        <w:pStyle w:val="13"/>
        <w:spacing w:before="0" w:beforeAutospacing="0" w:after="0" w:afterAutospacing="0" w:line="360" w:lineRule="auto"/>
        <w:ind w:firstLine="480"/>
        <w:rPr>
          <w:rFonts w:hint="eastAsia"/>
          <w:color w:val="auto"/>
          <w:highlight w:val="none"/>
        </w:rPr>
      </w:pPr>
      <w:r>
        <w:rPr>
          <w:rFonts w:hint="eastAsia"/>
          <w:color w:val="auto"/>
          <w:highlight w:val="none"/>
        </w:rPr>
        <w:t>17、乙方按设计要求中的约定进行限额设计，造价应控制在经济、合理的范围之内。</w:t>
      </w:r>
    </w:p>
    <w:p w14:paraId="0D72686D">
      <w:pPr>
        <w:pStyle w:val="13"/>
        <w:spacing w:before="0" w:beforeAutospacing="0" w:after="0" w:afterAutospacing="0" w:line="360" w:lineRule="auto"/>
        <w:ind w:firstLine="480"/>
        <w:rPr>
          <w:rFonts w:hint="eastAsia"/>
          <w:color w:val="auto"/>
          <w:highlight w:val="none"/>
        </w:rPr>
      </w:pPr>
      <w:r>
        <w:rPr>
          <w:rFonts w:hint="eastAsia"/>
          <w:color w:val="auto"/>
          <w:highlight w:val="none"/>
        </w:rPr>
        <w:t>18、甲方可以委托造价咨询公司，对概算进行计算复核，如有异议，乙方有义务与甲方一起对设计计算有关的原始数据、重要参数、计算书进行认真的研究复核。共同找出问题的原因。当依据合理时，乙方应对相应设计进行修改优化。乙方应当在接到甲方征询文件3个工作日内回复。</w:t>
      </w:r>
    </w:p>
    <w:p w14:paraId="6FDEB019">
      <w:pPr>
        <w:pStyle w:val="13"/>
        <w:spacing w:before="0" w:beforeAutospacing="0" w:after="0" w:afterAutospacing="0" w:line="360" w:lineRule="auto"/>
        <w:ind w:firstLine="480"/>
        <w:rPr>
          <w:rFonts w:hint="eastAsia"/>
          <w:color w:val="auto"/>
          <w:highlight w:val="none"/>
        </w:rPr>
      </w:pPr>
      <w:r>
        <w:rPr>
          <w:rFonts w:hint="eastAsia"/>
          <w:color w:val="auto"/>
          <w:highlight w:val="none"/>
        </w:rPr>
        <w:t>19、乙方在进行设计文件编制过程中，为完成合同内的设计内容而进行的咨询、对外洽谈、国内外技术考察及各类科研课题研究而发生的费用，由乙方承担，甲方不予支付。</w:t>
      </w:r>
    </w:p>
    <w:p w14:paraId="4DF0C20E">
      <w:pPr>
        <w:pStyle w:val="13"/>
        <w:spacing w:before="0" w:beforeAutospacing="0" w:after="0" w:afterAutospacing="0" w:line="360" w:lineRule="auto"/>
        <w:ind w:firstLine="480"/>
        <w:rPr>
          <w:rFonts w:hint="eastAsia"/>
          <w:color w:val="auto"/>
          <w:highlight w:val="none"/>
        </w:rPr>
      </w:pPr>
      <w:r>
        <w:rPr>
          <w:rFonts w:hint="eastAsia"/>
          <w:color w:val="auto"/>
          <w:highlight w:val="none"/>
        </w:rPr>
        <w:t>20、乙方必须有足够的措施保证及时提交甲方所需的招标资料，以保证甲方招标工作的顺利进行。</w:t>
      </w:r>
    </w:p>
    <w:p w14:paraId="3DC2AC8D">
      <w:pPr>
        <w:pStyle w:val="13"/>
        <w:spacing w:before="0" w:beforeAutospacing="0" w:after="0" w:afterAutospacing="0" w:line="360" w:lineRule="auto"/>
        <w:ind w:firstLine="480"/>
        <w:rPr>
          <w:rFonts w:hint="eastAsia"/>
          <w:color w:val="auto"/>
          <w:highlight w:val="none"/>
        </w:rPr>
      </w:pPr>
      <w:r>
        <w:rPr>
          <w:rFonts w:hint="eastAsia"/>
          <w:color w:val="auto"/>
          <w:highlight w:val="none"/>
        </w:rPr>
        <w:t>21、乙方的设计必须以保证质量、节约投资为原则开展工作，必须满足合同对于限额设计要求的标准，工程设计文件经甲方严格审查后，如果发现无正当理由超出限额设计要求的标准10％以上的，因乙方自身过错原因导致的，视为设计方案和设计图纸的深度优化不合格,乙方须无条件返工以达到要求为准。若属于乙方肆意调高工程造价，因乙方自身过错原因导致的，视情节的严重程度乙方须按本合同设计费用的2%～10%承担违约金。</w:t>
      </w:r>
    </w:p>
    <w:p w14:paraId="61F32010">
      <w:pPr>
        <w:pStyle w:val="13"/>
        <w:spacing w:before="0" w:beforeAutospacing="0" w:after="0" w:afterAutospacing="0" w:line="360" w:lineRule="auto"/>
        <w:ind w:firstLine="480"/>
        <w:rPr>
          <w:rFonts w:hint="eastAsia"/>
          <w:color w:val="auto"/>
          <w:highlight w:val="none"/>
        </w:rPr>
      </w:pPr>
      <w:r>
        <w:rPr>
          <w:rFonts w:hint="eastAsia"/>
          <w:color w:val="auto"/>
          <w:highlight w:val="none"/>
        </w:rPr>
        <w:t>22、本合同有关条款和补充协议中规定乙方应负的其它责任。</w:t>
      </w:r>
    </w:p>
    <w:p w14:paraId="50854083">
      <w:pPr>
        <w:pStyle w:val="13"/>
        <w:spacing w:before="0" w:beforeAutospacing="0" w:after="0" w:afterAutospacing="0" w:line="360" w:lineRule="auto"/>
        <w:rPr>
          <w:rFonts w:hint="default" w:eastAsia="宋体"/>
          <w:b/>
          <w:color w:val="auto"/>
          <w:highlight w:val="none"/>
          <w:lang w:val="en-US" w:eastAsia="zh-CN"/>
        </w:rPr>
      </w:pPr>
      <w:r>
        <w:rPr>
          <w:rFonts w:hint="eastAsia"/>
          <w:b/>
          <w:color w:val="auto"/>
          <w:highlight w:val="none"/>
        </w:rPr>
        <w:t>十</w:t>
      </w:r>
      <w:r>
        <w:rPr>
          <w:rFonts w:hint="eastAsia"/>
          <w:b/>
          <w:color w:val="auto"/>
          <w:highlight w:val="none"/>
          <w:lang w:eastAsia="zh-CN"/>
        </w:rPr>
        <w:t>一</w:t>
      </w:r>
      <w:r>
        <w:rPr>
          <w:rFonts w:hint="eastAsia"/>
          <w:b/>
          <w:color w:val="auto"/>
          <w:highlight w:val="none"/>
        </w:rPr>
        <w:t xml:space="preserve"> 保密条款</w:t>
      </w:r>
      <w:r>
        <w:rPr>
          <w:rFonts w:hint="eastAsia"/>
          <w:b/>
          <w:color w:val="auto"/>
          <w:highlight w:val="none"/>
          <w:lang w:val="en-US" w:eastAsia="zh-CN"/>
        </w:rPr>
        <w:t>与知识产权</w:t>
      </w:r>
    </w:p>
    <w:p w14:paraId="1440C146">
      <w:pPr>
        <w:spacing w:line="360" w:lineRule="auto"/>
        <w:ind w:firstLine="480" w:firstLineChars="200"/>
        <w:rPr>
          <w:rFonts w:hint="eastAsia"/>
          <w:color w:val="auto"/>
          <w:kern w:val="0"/>
          <w:sz w:val="24"/>
          <w:highlight w:val="none"/>
        </w:rPr>
      </w:pPr>
      <w:r>
        <w:rPr>
          <w:rFonts w:hint="eastAsia"/>
          <w:color w:val="auto"/>
          <w:kern w:val="0"/>
          <w:sz w:val="24"/>
          <w:highlight w:val="none"/>
        </w:rPr>
        <w:t>同各方均应保护对方的知识产权，未经对方同意，任何一方均不得对对方的资料及文件用于本合同项目外的项目。如发生以上情况，泄密方承担一切由此引起的后果并承担赔偿责任。</w:t>
      </w:r>
    </w:p>
    <w:p w14:paraId="73B8746F">
      <w:pPr>
        <w:spacing w:line="360" w:lineRule="auto"/>
        <w:ind w:firstLine="480" w:firstLineChars="200"/>
        <w:rPr>
          <w:rFonts w:hint="eastAsia"/>
          <w:color w:val="auto"/>
          <w:kern w:val="0"/>
          <w:sz w:val="24"/>
          <w:highlight w:val="none"/>
        </w:rPr>
      </w:pPr>
      <w:r>
        <w:rPr>
          <w:rFonts w:hint="eastAsia"/>
          <w:color w:val="auto"/>
          <w:kern w:val="0"/>
          <w:sz w:val="24"/>
          <w:highlight w:val="none"/>
        </w:rPr>
        <w:t>双方对在履行本合同过程中获取的对方信息均有保密义务并且不得用于履行本合同无关的活动中，或者用来进行不正当交易。</w:t>
      </w:r>
    </w:p>
    <w:p w14:paraId="3737426A">
      <w:pPr>
        <w:spacing w:line="360" w:lineRule="auto"/>
        <w:ind w:firstLine="480" w:firstLineChars="200"/>
        <w:rPr>
          <w:rFonts w:hint="eastAsia"/>
          <w:color w:val="auto"/>
          <w:kern w:val="0"/>
          <w:sz w:val="24"/>
          <w:highlight w:val="none"/>
        </w:rPr>
      </w:pPr>
      <w:r>
        <w:rPr>
          <w:rFonts w:hint="eastAsia"/>
          <w:color w:val="auto"/>
          <w:kern w:val="0"/>
          <w:sz w:val="24"/>
          <w:highlight w:val="none"/>
        </w:rPr>
        <w:t>乙方因履行本合同所形成的设计文件，包括但不限于电子版或以其他形式存在的设计成果归属于甲方。未经过甲方同意，乙方不得对设计的资料及相关文件擅自修改、复制或向第三人转让或于用本项目以外的项目。</w:t>
      </w:r>
    </w:p>
    <w:p w14:paraId="0AC0548E">
      <w:pPr>
        <w:spacing w:line="360" w:lineRule="auto"/>
        <w:ind w:firstLine="480" w:firstLineChars="200"/>
        <w:rPr>
          <w:rFonts w:hint="eastAsia"/>
          <w:color w:val="auto"/>
          <w:kern w:val="0"/>
          <w:sz w:val="24"/>
          <w:highlight w:val="none"/>
        </w:rPr>
      </w:pPr>
      <w:r>
        <w:rPr>
          <w:rFonts w:hint="eastAsia"/>
          <w:color w:val="auto"/>
          <w:kern w:val="0"/>
          <w:sz w:val="24"/>
          <w:highlight w:val="none"/>
        </w:rPr>
        <w:t>如果甲方因乙方在设计过程中侵犯他人知识产权而索赔、诉讼或受到其他损害，乙方要承担一切责任，且甲方有权在支付乙方设计费时将该部分损失扣除和对超出设计费的部分向乙方继续提出索赔</w:t>
      </w:r>
    </w:p>
    <w:p w14:paraId="3D76B42C">
      <w:pPr>
        <w:spacing w:line="360" w:lineRule="auto"/>
        <w:ind w:firstLine="480" w:firstLineChars="200"/>
        <w:rPr>
          <w:rFonts w:hint="eastAsia"/>
          <w:color w:val="auto"/>
          <w:kern w:val="0"/>
          <w:sz w:val="24"/>
          <w:highlight w:val="none"/>
        </w:rPr>
      </w:pPr>
      <w:r>
        <w:rPr>
          <w:rFonts w:hint="eastAsia"/>
          <w:color w:val="auto"/>
          <w:kern w:val="0"/>
          <w:sz w:val="24"/>
          <w:highlight w:val="none"/>
        </w:rPr>
        <w:t>双方有权在本项目对外宣传时互相使用对方标识。</w:t>
      </w:r>
    </w:p>
    <w:p w14:paraId="6D55F7E3">
      <w:pPr>
        <w:spacing w:line="360" w:lineRule="auto"/>
        <w:ind w:firstLine="480" w:firstLineChars="200"/>
        <w:rPr>
          <w:rFonts w:hint="eastAsia"/>
          <w:color w:val="auto"/>
          <w:kern w:val="0"/>
          <w:sz w:val="24"/>
          <w:highlight w:val="none"/>
        </w:rPr>
      </w:pPr>
      <w:r>
        <w:rPr>
          <w:rFonts w:hint="eastAsia"/>
          <w:color w:val="auto"/>
          <w:kern w:val="0"/>
          <w:sz w:val="24"/>
          <w:highlight w:val="none"/>
        </w:rPr>
        <w:t>方案成果终稿经甲方审核确认后，成果的知识产权归甲方所有。</w:t>
      </w:r>
    </w:p>
    <w:p w14:paraId="616AE056">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color w:val="auto"/>
          <w:kern w:val="0"/>
          <w:sz w:val="24"/>
          <w:highlight w:val="none"/>
        </w:rPr>
        <w:t>乙方因合理使用知识产权和工业产权衍生的相关费用，均已包含在本合同价款中，甲方无需再向乙方额外支付其他费用</w:t>
      </w:r>
    </w:p>
    <w:p w14:paraId="1E373EBC">
      <w:pPr>
        <w:numPr>
          <w:ilvl w:val="0"/>
          <w:numId w:val="0"/>
        </w:numPr>
        <w:tabs>
          <w:tab w:val="left" w:pos="600"/>
        </w:tabs>
        <w:spacing w:before="156" w:beforeLines="50" w:after="156" w:afterLines="50" w:line="288" w:lineRule="auto"/>
        <w:rPr>
          <w:rFonts w:ascii="宋体" w:hAnsi="宋体"/>
          <w:b/>
          <w:bCs/>
          <w:color w:val="auto"/>
          <w:sz w:val="24"/>
          <w:szCs w:val="24"/>
          <w:highlight w:val="none"/>
        </w:rPr>
      </w:pPr>
      <w:r>
        <w:rPr>
          <w:rFonts w:hint="eastAsia"/>
          <w:b/>
          <w:color w:val="auto"/>
          <w:highlight w:val="none"/>
        </w:rPr>
        <w:t>十</w:t>
      </w:r>
      <w:r>
        <w:rPr>
          <w:rFonts w:hint="eastAsia"/>
          <w:b/>
          <w:color w:val="auto"/>
          <w:highlight w:val="none"/>
          <w:lang w:val="en-US" w:eastAsia="zh-CN"/>
        </w:rPr>
        <w:t>二、</w:t>
      </w:r>
      <w:r>
        <w:rPr>
          <w:rFonts w:hint="eastAsia" w:ascii="宋体" w:hAnsi="宋体"/>
          <w:b/>
          <w:bCs/>
          <w:color w:val="auto"/>
          <w:sz w:val="24"/>
          <w:szCs w:val="24"/>
          <w:highlight w:val="none"/>
        </w:rPr>
        <w:t>合同解除</w:t>
      </w:r>
    </w:p>
    <w:p w14:paraId="0F6B9CBB">
      <w:pPr>
        <w:spacing w:line="360" w:lineRule="auto"/>
        <w:ind w:firstLine="480" w:firstLineChars="200"/>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lang w:val="en-US" w:eastAsia="zh-CN"/>
        </w:rPr>
        <w:t>1、</w:t>
      </w:r>
      <w:r>
        <w:rPr>
          <w:rFonts w:hint="eastAsia" w:ascii="Times New Roman" w:hAnsi="Times New Roman" w:eastAsia="宋体" w:cs="Times New Roman"/>
          <w:color w:val="auto"/>
          <w:kern w:val="0"/>
          <w:sz w:val="24"/>
          <w:highlight w:val="none"/>
        </w:rPr>
        <w:t>因建设方案未通过审批等客观原因，使合同无法继续履行的</w:t>
      </w:r>
      <w:r>
        <w:rPr>
          <w:rFonts w:hint="eastAsia" w:ascii="Times New Roman" w:hAnsi="Times New Roman" w:eastAsia="宋体" w:cs="Times New Roman"/>
          <w:color w:val="auto"/>
          <w:kern w:val="0"/>
          <w:sz w:val="24"/>
          <w:highlight w:val="none"/>
          <w:lang w:eastAsia="zh-CN"/>
        </w:rPr>
        <w:t>，</w:t>
      </w:r>
      <w:r>
        <w:rPr>
          <w:rFonts w:hint="eastAsia" w:cs="Times New Roman"/>
          <w:color w:val="auto"/>
          <w:kern w:val="0"/>
          <w:sz w:val="24"/>
          <w:highlight w:val="none"/>
          <w:lang w:val="en-US" w:eastAsia="zh-CN"/>
        </w:rPr>
        <w:t>甲方无需向乙方支付设计费</w:t>
      </w:r>
      <w:r>
        <w:rPr>
          <w:rFonts w:hint="eastAsia" w:ascii="Times New Roman" w:hAnsi="Times New Roman" w:eastAsia="宋体" w:cs="Times New Roman"/>
          <w:color w:val="auto"/>
          <w:kern w:val="0"/>
          <w:sz w:val="24"/>
          <w:highlight w:val="none"/>
          <w:lang w:eastAsia="zh-CN"/>
        </w:rPr>
        <w:t>；</w:t>
      </w:r>
    </w:p>
    <w:p w14:paraId="0D221D20">
      <w:pPr>
        <w:spacing w:line="360" w:lineRule="auto"/>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rPr>
        <w:t>若本</w:t>
      </w:r>
      <w:r>
        <w:rPr>
          <w:rFonts w:hint="eastAsia" w:ascii="Times New Roman" w:hAnsi="Times New Roman" w:eastAsia="宋体" w:cs="Times New Roman"/>
          <w:color w:val="auto"/>
          <w:kern w:val="0"/>
          <w:sz w:val="24"/>
          <w:highlight w:val="none"/>
          <w:lang w:val="en-US" w:eastAsia="zh-CN"/>
        </w:rPr>
        <w:t>合同履约中途</w:t>
      </w:r>
      <w:r>
        <w:rPr>
          <w:rFonts w:hint="eastAsia" w:ascii="Times New Roman" w:hAnsi="Times New Roman" w:eastAsia="宋体" w:cs="Times New Roman"/>
          <w:color w:val="auto"/>
          <w:kern w:val="0"/>
          <w:sz w:val="24"/>
          <w:highlight w:val="none"/>
        </w:rPr>
        <w:t>出现停滞、停建、缓建等须解除、终止，</w:t>
      </w:r>
      <w:r>
        <w:rPr>
          <w:rFonts w:hint="eastAsia" w:ascii="Times New Roman" w:hAnsi="Times New Roman" w:eastAsia="宋体" w:cs="Times New Roman"/>
          <w:color w:val="auto"/>
          <w:kern w:val="0"/>
          <w:sz w:val="24"/>
          <w:highlight w:val="none"/>
          <w:lang w:val="en-US" w:eastAsia="zh-CN"/>
        </w:rPr>
        <w:t>按以下原则进行结算：</w:t>
      </w:r>
    </w:p>
    <w:p w14:paraId="54E0A79D">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lang w:val="en-US" w:eastAsia="zh-CN"/>
        </w:rPr>
        <w:t>（1）如</w:t>
      </w:r>
      <w:r>
        <w:rPr>
          <w:rFonts w:hint="eastAsia" w:ascii="Times New Roman" w:hAnsi="Times New Roman" w:eastAsia="宋体" w:cs="Times New Roman"/>
          <w:color w:val="auto"/>
          <w:kern w:val="0"/>
          <w:sz w:val="24"/>
          <w:highlight w:val="none"/>
        </w:rPr>
        <w:t>完成</w:t>
      </w:r>
      <w:r>
        <w:rPr>
          <w:rFonts w:hint="eastAsia" w:cs="Times New Roman"/>
          <w:color w:val="auto"/>
          <w:kern w:val="0"/>
          <w:sz w:val="24"/>
          <w:highlight w:val="none"/>
          <w:lang w:val="en-US" w:eastAsia="zh-CN"/>
        </w:rPr>
        <w:t>方案设计</w:t>
      </w:r>
      <w:r>
        <w:rPr>
          <w:rFonts w:hint="eastAsia" w:ascii="Times New Roman" w:hAnsi="Times New Roman" w:eastAsia="宋体" w:cs="Times New Roman"/>
          <w:color w:val="auto"/>
          <w:kern w:val="0"/>
          <w:sz w:val="24"/>
          <w:highlight w:val="none"/>
        </w:rPr>
        <w:t>，并通过甲方确认的按合同价的</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0</w:t>
      </w:r>
      <w:r>
        <w:rPr>
          <w:rFonts w:hint="eastAsia"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进行</w:t>
      </w:r>
      <w:r>
        <w:rPr>
          <w:rFonts w:hint="eastAsia" w:ascii="Times New Roman" w:hAnsi="Times New Roman" w:eastAsia="宋体" w:cs="Times New Roman"/>
          <w:color w:val="auto"/>
          <w:kern w:val="0"/>
          <w:sz w:val="24"/>
          <w:highlight w:val="none"/>
        </w:rPr>
        <w:t>结算；</w:t>
      </w:r>
    </w:p>
    <w:p w14:paraId="75964CCE">
      <w:pPr>
        <w:spacing w:line="360" w:lineRule="auto"/>
        <w:ind w:firstLine="480" w:firstLineChars="200"/>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2</w:t>
      </w:r>
      <w:r>
        <w:rPr>
          <w:rFonts w:hint="eastAsia" w:ascii="Times New Roman" w:hAnsi="Times New Roman" w:eastAsia="宋体" w:cs="Times New Roman"/>
          <w:color w:val="auto"/>
          <w:kern w:val="0"/>
          <w:sz w:val="24"/>
          <w:highlight w:val="none"/>
          <w:lang w:val="en-US" w:eastAsia="zh-CN"/>
        </w:rPr>
        <w:t>）如</w:t>
      </w:r>
      <w:r>
        <w:rPr>
          <w:rFonts w:hint="eastAsia" w:ascii="Times New Roman" w:hAnsi="Times New Roman" w:eastAsia="宋体" w:cs="Times New Roman"/>
          <w:color w:val="auto"/>
          <w:kern w:val="0"/>
          <w:sz w:val="24"/>
          <w:highlight w:val="none"/>
        </w:rPr>
        <w:t>完成初步设计</w:t>
      </w:r>
      <w:r>
        <w:rPr>
          <w:rFonts w:hint="eastAsia" w:ascii="Times New Roman" w:hAnsi="Times New Roman" w:eastAsia="宋体" w:cs="Times New Roman"/>
          <w:color w:val="auto"/>
          <w:kern w:val="0"/>
          <w:sz w:val="24"/>
          <w:highlight w:val="none"/>
          <w:lang w:val="en-US" w:eastAsia="zh-CN"/>
        </w:rPr>
        <w:t>及概算文件</w:t>
      </w:r>
      <w:r>
        <w:rPr>
          <w:rFonts w:hint="eastAsia" w:ascii="Times New Roman" w:hAnsi="Times New Roman" w:eastAsia="宋体" w:cs="Times New Roman"/>
          <w:color w:val="auto"/>
          <w:kern w:val="0"/>
          <w:sz w:val="24"/>
          <w:highlight w:val="none"/>
        </w:rPr>
        <w:t>，并通过甲方确认的按合同价的</w:t>
      </w:r>
      <w:r>
        <w:rPr>
          <w:rFonts w:hint="eastAsia" w:ascii="Times New Roman" w:hAnsi="Times New Roman" w:eastAsia="宋体" w:cs="Times New Roman"/>
          <w:color w:val="auto"/>
          <w:kern w:val="0"/>
          <w:sz w:val="24"/>
          <w:highlight w:val="none"/>
          <w:lang w:eastAsia="zh-CN"/>
        </w:rPr>
        <w:t>8</w:t>
      </w:r>
      <w:r>
        <w:rPr>
          <w:rFonts w:hint="eastAsia" w:ascii="Times New Roman" w:hAnsi="Times New Roman" w:eastAsia="宋体" w:cs="Times New Roman"/>
          <w:color w:val="auto"/>
          <w:kern w:val="0"/>
          <w:sz w:val="24"/>
          <w:highlight w:val="none"/>
          <w:lang w:val="en-US" w:eastAsia="zh-CN"/>
        </w:rPr>
        <w:t>0</w:t>
      </w:r>
      <w:r>
        <w:rPr>
          <w:rFonts w:hint="eastAsia"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val="en-US" w:eastAsia="zh-CN"/>
        </w:rPr>
        <w:t>进行</w:t>
      </w:r>
      <w:r>
        <w:rPr>
          <w:rFonts w:hint="eastAsia" w:ascii="Times New Roman" w:hAnsi="Times New Roman" w:eastAsia="宋体" w:cs="Times New Roman"/>
          <w:color w:val="auto"/>
          <w:kern w:val="0"/>
          <w:sz w:val="24"/>
          <w:highlight w:val="none"/>
        </w:rPr>
        <w:t>结算；</w:t>
      </w:r>
    </w:p>
    <w:p w14:paraId="59FCDD94">
      <w:pPr>
        <w:numPr>
          <w:ilvl w:val="0"/>
          <w:numId w:val="0"/>
        </w:numPr>
        <w:tabs>
          <w:tab w:val="left" w:pos="1200"/>
        </w:tabs>
        <w:spacing w:before="156" w:beforeLines="50" w:after="156" w:afterLines="50" w:line="288" w:lineRule="auto"/>
        <w:ind w:firstLine="480" w:firstLineChars="200"/>
        <w:rPr>
          <w:rFonts w:hint="eastAsia"/>
          <w:color w:val="auto"/>
          <w:kern w:val="0"/>
          <w:sz w:val="24"/>
          <w:highlight w:val="none"/>
        </w:rPr>
      </w:pPr>
      <w:r>
        <w:rPr>
          <w:rFonts w:hint="eastAsia" w:ascii="宋体" w:hAnsi="宋体" w:eastAsia="宋体" w:cs="Times New Roman"/>
          <w:color w:val="auto"/>
          <w:sz w:val="24"/>
          <w:szCs w:val="24"/>
          <w:highlight w:val="none"/>
          <w:lang w:val="en-US" w:eastAsia="zh-CN"/>
        </w:rPr>
        <w:t>注：以上结算节点以甲方确认的结果为依据进行结算，如未完成阶段设计全部内容的，该阶段的相应费用比例由双方按实际完成情况另行协商确定。</w:t>
      </w:r>
    </w:p>
    <w:p w14:paraId="4BC27EC5">
      <w:pPr>
        <w:spacing w:line="360" w:lineRule="auto"/>
        <w:rPr>
          <w:rFonts w:hint="eastAsia" w:ascii="宋体" w:hAnsi="宋体"/>
          <w:color w:val="auto"/>
          <w:kern w:val="0"/>
          <w:sz w:val="24"/>
          <w:highlight w:val="none"/>
        </w:rPr>
      </w:pPr>
      <w:r>
        <w:rPr>
          <w:rFonts w:hint="eastAsia"/>
          <w:b/>
          <w:color w:val="auto"/>
          <w:sz w:val="24"/>
          <w:highlight w:val="none"/>
        </w:rPr>
        <w:t>十</w:t>
      </w:r>
      <w:r>
        <w:rPr>
          <w:rFonts w:hint="eastAsia"/>
          <w:b/>
          <w:color w:val="auto"/>
          <w:sz w:val="24"/>
          <w:highlight w:val="none"/>
          <w:lang w:val="en-US" w:eastAsia="zh-CN"/>
        </w:rPr>
        <w:t>三</w:t>
      </w:r>
      <w:r>
        <w:rPr>
          <w:rFonts w:hint="eastAsia"/>
          <w:b/>
          <w:color w:val="auto"/>
          <w:sz w:val="24"/>
          <w:highlight w:val="none"/>
        </w:rPr>
        <w:t>　仲裁、起诉</w:t>
      </w:r>
    </w:p>
    <w:p w14:paraId="42942B38">
      <w:pPr>
        <w:spacing w:line="360" w:lineRule="auto"/>
        <w:ind w:firstLine="480" w:firstLineChars="200"/>
        <w:rPr>
          <w:rFonts w:hint="eastAsia"/>
          <w:color w:val="auto"/>
          <w:kern w:val="0"/>
          <w:sz w:val="24"/>
          <w:highlight w:val="none"/>
        </w:rPr>
      </w:pPr>
      <w:r>
        <w:rPr>
          <w:rFonts w:hint="eastAsia"/>
          <w:color w:val="auto"/>
          <w:kern w:val="0"/>
          <w:sz w:val="24"/>
          <w:highlight w:val="none"/>
        </w:rPr>
        <w:t>本合同在履行过程中发生的争议，由合同当事人协商解决，协商不成的向工程所在地人民法院提起诉讼。</w:t>
      </w:r>
    </w:p>
    <w:p w14:paraId="339499B4">
      <w:pPr>
        <w:pStyle w:val="13"/>
        <w:spacing w:before="0" w:beforeAutospacing="0" w:after="0" w:afterAutospacing="0" w:line="360" w:lineRule="auto"/>
        <w:rPr>
          <w:rFonts w:hint="eastAsia"/>
          <w:color w:val="auto"/>
          <w:highlight w:val="none"/>
        </w:rPr>
      </w:pPr>
      <w:r>
        <w:rPr>
          <w:rFonts w:hint="eastAsia"/>
          <w:b/>
          <w:color w:val="auto"/>
          <w:highlight w:val="none"/>
        </w:rPr>
        <w:t>十</w:t>
      </w:r>
      <w:r>
        <w:rPr>
          <w:rFonts w:hint="eastAsia"/>
          <w:b/>
          <w:color w:val="auto"/>
          <w:highlight w:val="none"/>
          <w:lang w:val="en-US" w:eastAsia="zh-CN"/>
        </w:rPr>
        <w:t>四</w:t>
      </w:r>
      <w:r>
        <w:rPr>
          <w:rFonts w:hint="eastAsia"/>
          <w:b/>
          <w:color w:val="auto"/>
          <w:highlight w:val="none"/>
        </w:rPr>
        <w:t>　</w:t>
      </w:r>
      <w:r>
        <w:rPr>
          <w:rFonts w:hint="eastAsia" w:ascii="Times New Roman" w:hAnsi="Times New Roman"/>
          <w:b/>
          <w:color w:val="auto"/>
          <w:kern w:val="2"/>
          <w:szCs w:val="22"/>
          <w:highlight w:val="none"/>
        </w:rPr>
        <w:t>合同生效及其他</w:t>
      </w:r>
    </w:p>
    <w:p w14:paraId="42C726B7">
      <w:pPr>
        <w:pStyle w:val="13"/>
        <w:spacing w:before="0" w:beforeAutospacing="0" w:after="0" w:afterAutospacing="0" w:line="360" w:lineRule="auto"/>
        <w:ind w:firstLine="540" w:firstLineChars="225"/>
        <w:rPr>
          <w:rFonts w:hint="eastAsia"/>
          <w:color w:val="auto"/>
          <w:highlight w:val="none"/>
        </w:rPr>
      </w:pPr>
      <w:r>
        <w:rPr>
          <w:rFonts w:hint="eastAsia"/>
          <w:color w:val="auto"/>
          <w:highlight w:val="none"/>
        </w:rPr>
        <w:t>1、乙方的服务期为本项目施工至竣工验收合格</w:t>
      </w:r>
      <w:r>
        <w:rPr>
          <w:rFonts w:hint="eastAsia"/>
          <w:color w:val="auto"/>
          <w:highlight w:val="none"/>
          <w:lang w:eastAsia="zh-CN"/>
        </w:rPr>
        <w:t>并通过结算</w:t>
      </w:r>
      <w:r>
        <w:rPr>
          <w:rFonts w:hint="eastAsia"/>
          <w:color w:val="auto"/>
          <w:highlight w:val="none"/>
        </w:rPr>
        <w:t>后为止。</w:t>
      </w:r>
    </w:p>
    <w:p w14:paraId="69F82094">
      <w:pPr>
        <w:pStyle w:val="13"/>
        <w:snapToGrid w:val="0"/>
        <w:spacing w:before="0" w:beforeAutospacing="0" w:after="0" w:afterAutospacing="0" w:line="360" w:lineRule="auto"/>
        <w:ind w:firstLine="540" w:firstLineChars="225"/>
        <w:rPr>
          <w:rFonts w:hint="eastAsia"/>
          <w:color w:val="auto"/>
          <w:highlight w:val="none"/>
        </w:rPr>
      </w:pPr>
      <w:r>
        <w:rPr>
          <w:rFonts w:hint="eastAsia"/>
          <w:color w:val="auto"/>
          <w:highlight w:val="none"/>
        </w:rPr>
        <w:t xml:space="preserve">2、由于不可抗力因素致使合同无法履行时，合同各方应及时协商解决。 </w:t>
      </w:r>
    </w:p>
    <w:p w14:paraId="7E2813C0">
      <w:pPr>
        <w:pStyle w:val="13"/>
        <w:snapToGrid w:val="0"/>
        <w:spacing w:before="0" w:beforeAutospacing="0" w:after="0" w:afterAutospacing="0" w:line="360" w:lineRule="auto"/>
        <w:ind w:firstLine="516" w:firstLineChars="215"/>
        <w:rPr>
          <w:rFonts w:hint="eastAsia"/>
          <w:color w:val="auto"/>
          <w:highlight w:val="none"/>
        </w:rPr>
      </w:pPr>
      <w:r>
        <w:rPr>
          <w:rFonts w:hint="eastAsia"/>
          <w:color w:val="auto"/>
          <w:highlight w:val="none"/>
        </w:rPr>
        <w:t>3、本合同自双方签字盖章后即生效，正本三份，各方各执一份，副本九份，各方各执三份,具有同等法律效力。</w:t>
      </w:r>
    </w:p>
    <w:p w14:paraId="7C68CEF8">
      <w:pPr>
        <w:pStyle w:val="13"/>
        <w:snapToGrid w:val="0"/>
        <w:spacing w:before="0" w:beforeAutospacing="0" w:after="0" w:afterAutospacing="0" w:line="360" w:lineRule="auto"/>
        <w:ind w:firstLine="516" w:firstLineChars="215"/>
        <w:rPr>
          <w:rFonts w:hint="eastAsia"/>
          <w:color w:val="auto"/>
          <w:highlight w:val="none"/>
        </w:rPr>
      </w:pPr>
      <w:r>
        <w:rPr>
          <w:rFonts w:hint="eastAsia"/>
          <w:color w:val="auto"/>
          <w:highlight w:val="none"/>
        </w:rPr>
        <w:t>4、本合同生效后，合同当事人认为必要时，到工商行政管理部门鉴证。各方履行完合同规定的义务后，本合同即行终止。</w:t>
      </w:r>
    </w:p>
    <w:p w14:paraId="21FB93D6">
      <w:pPr>
        <w:pStyle w:val="13"/>
        <w:snapToGrid w:val="0"/>
        <w:spacing w:before="0" w:beforeAutospacing="0" w:after="0" w:afterAutospacing="0" w:line="360" w:lineRule="auto"/>
        <w:ind w:firstLine="516" w:firstLineChars="215"/>
        <w:rPr>
          <w:rFonts w:hint="eastAsia"/>
          <w:color w:val="auto"/>
          <w:highlight w:val="none"/>
        </w:rPr>
      </w:pPr>
      <w:r>
        <w:rPr>
          <w:rFonts w:hint="eastAsia"/>
          <w:color w:val="auto"/>
          <w:highlight w:val="none"/>
        </w:rPr>
        <w:t>5、合同各方认可的来往书面文件（盖章件）、传真（盖章件）、会议纪要（盖章件）、邮件（企业邮箱）等，均为合同的组成部分，与本合同具有同等法律效力。</w:t>
      </w:r>
    </w:p>
    <w:p w14:paraId="000FC72E">
      <w:pPr>
        <w:pStyle w:val="13"/>
        <w:snapToGrid w:val="0"/>
        <w:spacing w:before="0" w:beforeAutospacing="0" w:after="0" w:afterAutospacing="0" w:line="360" w:lineRule="auto"/>
        <w:ind w:firstLine="516" w:firstLineChars="215"/>
        <w:rPr>
          <w:rFonts w:hint="eastAsia"/>
          <w:color w:val="auto"/>
          <w:highlight w:val="none"/>
        </w:rPr>
      </w:pPr>
      <w:r>
        <w:rPr>
          <w:rFonts w:hint="eastAsia"/>
          <w:color w:val="auto"/>
          <w:highlight w:val="none"/>
        </w:rPr>
        <w:t>6、未尽事宜，经合同当事人协商一致，签订补充协议，补充协议与本合同具有同等效力。</w:t>
      </w:r>
    </w:p>
    <w:p w14:paraId="621E5F1B">
      <w:pPr>
        <w:pStyle w:val="13"/>
        <w:spacing w:before="0" w:beforeAutospacing="0" w:after="0" w:afterAutospacing="0" w:line="360" w:lineRule="auto"/>
        <w:rPr>
          <w:rFonts w:hint="eastAsia"/>
          <w:color w:val="auto"/>
          <w:sz w:val="22"/>
          <w:szCs w:val="22"/>
          <w:highlight w:val="none"/>
        </w:rPr>
      </w:pPr>
    </w:p>
    <w:p w14:paraId="71B7BAC9">
      <w:pPr>
        <w:pStyle w:val="13"/>
        <w:spacing w:before="0" w:beforeAutospacing="0" w:after="0" w:afterAutospacing="0" w:line="360" w:lineRule="auto"/>
        <w:rPr>
          <w:rFonts w:hint="eastAsia"/>
          <w:color w:val="auto"/>
          <w:sz w:val="22"/>
          <w:szCs w:val="22"/>
          <w:highlight w:val="none"/>
          <w:lang w:eastAsia="zh-CN"/>
        </w:rPr>
      </w:pPr>
      <w:r>
        <w:rPr>
          <w:rFonts w:hint="eastAsia"/>
          <w:color w:val="auto"/>
          <w:sz w:val="22"/>
          <w:szCs w:val="22"/>
          <w:highlight w:val="none"/>
        </w:rPr>
        <w:t>附件</w:t>
      </w:r>
      <w:r>
        <w:rPr>
          <w:rFonts w:hint="eastAsia"/>
          <w:color w:val="auto"/>
          <w:sz w:val="22"/>
          <w:szCs w:val="22"/>
          <w:highlight w:val="none"/>
          <w:lang w:eastAsia="zh-CN"/>
        </w:rPr>
        <w:t>：</w:t>
      </w:r>
    </w:p>
    <w:p w14:paraId="572C9CB4">
      <w:pPr>
        <w:pStyle w:val="13"/>
        <w:spacing w:before="0" w:beforeAutospacing="0" w:after="0" w:afterAutospacing="0" w:line="360" w:lineRule="auto"/>
        <w:rPr>
          <w:rFonts w:hint="eastAsia"/>
          <w:color w:val="auto"/>
          <w:sz w:val="22"/>
          <w:szCs w:val="22"/>
          <w:highlight w:val="none"/>
        </w:rPr>
      </w:pPr>
      <w:r>
        <w:rPr>
          <w:rFonts w:hint="eastAsia" w:ascii="宋体" w:hAnsi="宋体" w:eastAsia="宋体" w:cs="Times New Roman"/>
          <w:color w:val="auto"/>
          <w:sz w:val="22"/>
          <w:szCs w:val="22"/>
          <w:highlight w:val="none"/>
          <w:lang w:val="en-US" w:eastAsia="zh-CN"/>
        </w:rPr>
        <w:t>1、</w:t>
      </w:r>
      <w:r>
        <w:rPr>
          <w:rFonts w:hint="eastAsia" w:ascii="宋体" w:hAnsi="宋体" w:eastAsia="宋体" w:cs="Times New Roman"/>
          <w:b w:val="0"/>
          <w:color w:val="auto"/>
          <w:sz w:val="22"/>
          <w:szCs w:val="22"/>
          <w:highlight w:val="none"/>
        </w:rPr>
        <w:t>南沙区建设工程项目廉洁责任合同</w:t>
      </w:r>
    </w:p>
    <w:p w14:paraId="5A565029">
      <w:pPr>
        <w:pStyle w:val="13"/>
        <w:spacing w:before="0" w:beforeAutospacing="0" w:after="0" w:afterAutospacing="0" w:line="360" w:lineRule="auto"/>
        <w:rPr>
          <w:rFonts w:hint="eastAsia"/>
          <w:color w:val="auto"/>
          <w:sz w:val="22"/>
          <w:szCs w:val="22"/>
          <w:highlight w:val="none"/>
        </w:rPr>
      </w:pPr>
      <w:r>
        <w:rPr>
          <w:rFonts w:hint="eastAsia"/>
          <w:color w:val="auto"/>
          <w:sz w:val="22"/>
          <w:szCs w:val="22"/>
          <w:highlight w:val="none"/>
          <w:lang w:val="en-US" w:eastAsia="zh-CN"/>
        </w:rPr>
        <w:t>2、</w:t>
      </w:r>
      <w:r>
        <w:rPr>
          <w:rFonts w:hint="eastAsia"/>
          <w:color w:val="auto"/>
          <w:sz w:val="22"/>
          <w:szCs w:val="22"/>
          <w:highlight w:val="none"/>
        </w:rPr>
        <w:t>增晒图纸收费一览表</w:t>
      </w:r>
    </w:p>
    <w:p w14:paraId="6C52101E">
      <w:pPr>
        <w:pStyle w:val="13"/>
        <w:spacing w:before="0" w:beforeAutospacing="0" w:after="0" w:afterAutospacing="0" w:line="360" w:lineRule="auto"/>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lang w:eastAsia="zh-CN"/>
        </w:rPr>
        <w:t>、</w:t>
      </w:r>
      <w:r>
        <w:rPr>
          <w:rFonts w:hint="eastAsia"/>
          <w:color w:val="auto"/>
          <w:sz w:val="22"/>
          <w:szCs w:val="22"/>
          <w:highlight w:val="none"/>
        </w:rPr>
        <w:t xml:space="preserve"> 主要设计人员名单</w:t>
      </w:r>
    </w:p>
    <w:p w14:paraId="65D14C62">
      <w:pPr>
        <w:spacing w:line="360" w:lineRule="auto"/>
        <w:rPr>
          <w:rFonts w:hint="eastAsia" w:ascii="宋体" w:hAnsi="宋体"/>
          <w:color w:val="auto"/>
          <w:sz w:val="24"/>
          <w:highlight w:val="none"/>
        </w:rPr>
      </w:pPr>
    </w:p>
    <w:p w14:paraId="4D7C5BC8">
      <w:pPr>
        <w:spacing w:line="360" w:lineRule="auto"/>
        <w:rPr>
          <w:rFonts w:hint="eastAsia" w:ascii="宋体" w:hAnsi="宋体"/>
          <w:color w:val="auto"/>
          <w:sz w:val="24"/>
          <w:highlight w:val="none"/>
        </w:rPr>
      </w:pPr>
      <w:r>
        <w:rPr>
          <w:rFonts w:hint="eastAsia" w:ascii="宋体" w:hAnsi="宋体"/>
          <w:color w:val="auto"/>
          <w:sz w:val="24"/>
          <w:highlight w:val="none"/>
        </w:rPr>
        <w:t>(本页以下无正文)</w:t>
      </w:r>
    </w:p>
    <w:p w14:paraId="527F5F67">
      <w:pPr>
        <w:rPr>
          <w:rFonts w:hint="eastAsia" w:ascii="宋体" w:hAnsi="宋体"/>
          <w:b/>
          <w:bCs/>
          <w:color w:val="auto"/>
          <w:sz w:val="24"/>
          <w:highlight w:val="none"/>
        </w:rPr>
      </w:pPr>
    </w:p>
    <w:p w14:paraId="57223166">
      <w:pPr>
        <w:rPr>
          <w:rFonts w:ascii="宋体" w:hAnsi="宋体"/>
          <w:b/>
          <w:color w:val="auto"/>
          <w:sz w:val="24"/>
          <w:highlight w:val="none"/>
        </w:rPr>
      </w:pPr>
      <w:r>
        <w:rPr>
          <w:color w:val="auto"/>
          <w:highlight w:val="none"/>
        </w:rPr>
        <w:br w:type="page"/>
      </w:r>
      <w:r>
        <w:rPr>
          <w:rFonts w:hint="eastAsia"/>
          <w:color w:val="auto"/>
          <w:highlight w:val="none"/>
        </w:rPr>
        <w:t xml:space="preserve"> </w:t>
      </w:r>
      <w:bookmarkStart w:id="0" w:name="_Toc422296341"/>
      <w:r>
        <w:rPr>
          <w:rFonts w:hint="eastAsia" w:ascii="宋体" w:hAnsi="宋体"/>
          <w:b/>
          <w:color w:val="auto"/>
          <w:sz w:val="24"/>
          <w:highlight w:val="none"/>
        </w:rPr>
        <w:t>附件</w:t>
      </w:r>
      <w:r>
        <w:rPr>
          <w:rFonts w:hint="eastAsia" w:ascii="宋体" w:hAnsi="宋体"/>
          <w:b/>
          <w:color w:val="auto"/>
          <w:sz w:val="24"/>
          <w:highlight w:val="none"/>
          <w:lang w:val="en-US" w:eastAsia="zh-CN"/>
        </w:rPr>
        <w:t>1：</w:t>
      </w:r>
      <w:r>
        <w:rPr>
          <w:rFonts w:hint="eastAsia" w:ascii="宋体" w:hAnsi="宋体"/>
          <w:b/>
          <w:color w:val="auto"/>
          <w:sz w:val="24"/>
          <w:highlight w:val="none"/>
        </w:rPr>
        <w:t xml:space="preserve">  </w:t>
      </w:r>
      <w:bookmarkEnd w:id="0"/>
    </w:p>
    <w:p w14:paraId="33C7C3B6">
      <w:pPr>
        <w:spacing w:line="360" w:lineRule="auto"/>
        <w:jc w:val="center"/>
        <w:rPr>
          <w:rFonts w:eastAsia="方正小标宋简体"/>
          <w:b/>
          <w:color w:val="auto"/>
          <w:sz w:val="44"/>
          <w:szCs w:val="44"/>
          <w:highlight w:val="none"/>
        </w:rPr>
      </w:pPr>
      <w:r>
        <w:rPr>
          <w:rFonts w:eastAsia="方正小标宋简体"/>
          <w:b/>
          <w:color w:val="auto"/>
          <w:sz w:val="44"/>
          <w:szCs w:val="44"/>
          <w:highlight w:val="none"/>
        </w:rPr>
        <w:t>南沙区建设工程项目廉</w:t>
      </w:r>
      <w:r>
        <w:rPr>
          <w:rFonts w:hint="eastAsia" w:eastAsia="方正小标宋简体"/>
          <w:b/>
          <w:color w:val="auto"/>
          <w:sz w:val="44"/>
          <w:szCs w:val="44"/>
          <w:highlight w:val="none"/>
        </w:rPr>
        <w:t>洁责任</w:t>
      </w:r>
      <w:r>
        <w:rPr>
          <w:rFonts w:eastAsia="方正小标宋简体"/>
          <w:b/>
          <w:color w:val="auto"/>
          <w:sz w:val="44"/>
          <w:szCs w:val="44"/>
          <w:highlight w:val="none"/>
        </w:rPr>
        <w:t>合同</w:t>
      </w:r>
    </w:p>
    <w:p w14:paraId="50287385">
      <w:pPr>
        <w:spacing w:line="360" w:lineRule="auto"/>
        <w:rPr>
          <w:color w:val="auto"/>
          <w:szCs w:val="32"/>
          <w:highlight w:val="none"/>
        </w:rPr>
      </w:pPr>
    </w:p>
    <w:p w14:paraId="614AF387">
      <w:pPr>
        <w:spacing w:line="360" w:lineRule="auto"/>
        <w:rPr>
          <w:color w:val="auto"/>
          <w:szCs w:val="32"/>
          <w:highlight w:val="none"/>
        </w:rPr>
      </w:pPr>
      <w:r>
        <w:rPr>
          <w:color w:val="auto"/>
          <w:szCs w:val="32"/>
          <w:highlight w:val="none"/>
        </w:rPr>
        <w:t>发包人（委托人</w:t>
      </w:r>
      <w:r>
        <w:rPr>
          <w:rFonts w:ascii="Times New Roman" w:hAnsi="Times New Roman"/>
          <w:color w:val="auto"/>
          <w:szCs w:val="32"/>
          <w:highlight w:val="none"/>
        </w:rPr>
        <w:t>）：</w:t>
      </w:r>
      <w:r>
        <w:rPr>
          <w:rFonts w:hint="eastAsia" w:ascii="Times New Roman" w:hAnsi="Times New Roman"/>
          <w:color w:val="auto"/>
          <w:szCs w:val="32"/>
          <w:highlight w:val="none"/>
          <w:lang w:eastAsia="zh-CN"/>
        </w:rPr>
        <w:t>广州南沙工化投资有限公司</w:t>
      </w:r>
      <w:r>
        <w:rPr>
          <w:rFonts w:ascii="Times New Roman" w:hAnsi="Times New Roman"/>
          <w:color w:val="auto"/>
          <w:szCs w:val="32"/>
          <w:highlight w:val="none"/>
        </w:rPr>
        <w:t>（</w:t>
      </w:r>
      <w:r>
        <w:rPr>
          <w:rFonts w:hint="eastAsia" w:ascii="Times New Roman" w:hAnsi="Times New Roman"/>
          <w:color w:val="auto"/>
          <w:szCs w:val="32"/>
          <w:highlight w:val="none"/>
          <w:lang w:eastAsia="zh-CN"/>
        </w:rPr>
        <w:t>建设单位</w:t>
      </w:r>
      <w:r>
        <w:rPr>
          <w:color w:val="auto"/>
          <w:szCs w:val="32"/>
          <w:highlight w:val="none"/>
        </w:rPr>
        <w:t>）</w:t>
      </w:r>
    </w:p>
    <w:p w14:paraId="6F5208CB">
      <w:pPr>
        <w:spacing w:line="360" w:lineRule="auto"/>
        <w:ind w:firstLine="1890" w:firstLineChars="900"/>
        <w:rPr>
          <w:color w:val="auto"/>
          <w:szCs w:val="32"/>
          <w:highlight w:val="none"/>
        </w:rPr>
      </w:pPr>
      <w:r>
        <w:rPr>
          <w:color w:val="auto"/>
          <w:szCs w:val="32"/>
          <w:highlight w:val="none"/>
        </w:rPr>
        <w:t>广州南沙建设维护管理有限公司（建设管理单位）</w:t>
      </w:r>
    </w:p>
    <w:p w14:paraId="79D7662C">
      <w:pPr>
        <w:spacing w:line="360" w:lineRule="auto"/>
        <w:rPr>
          <w:color w:val="auto"/>
          <w:szCs w:val="32"/>
          <w:highlight w:val="none"/>
        </w:rPr>
      </w:pPr>
      <w:r>
        <w:rPr>
          <w:color w:val="auto"/>
          <w:szCs w:val="32"/>
          <w:highlight w:val="none"/>
        </w:rPr>
        <w:t>承包人（受托人）：</w:t>
      </w:r>
      <w:r>
        <w:rPr>
          <w:rFonts w:hint="eastAsia" w:ascii="Times New Roman" w:hAnsi="Times New Roman"/>
          <w:color w:val="auto"/>
          <w:szCs w:val="32"/>
          <w:highlight w:val="none"/>
        </w:rPr>
        <w:t xml:space="preserve"> </w:t>
      </w:r>
    </w:p>
    <w:p w14:paraId="755F32CA">
      <w:pPr>
        <w:spacing w:line="360" w:lineRule="auto"/>
        <w:rPr>
          <w:rFonts w:hint="eastAsia" w:ascii="Times New Roman" w:hAnsi="Times New Roman" w:eastAsia="宋体"/>
          <w:color w:val="auto"/>
          <w:szCs w:val="32"/>
          <w:highlight w:val="none"/>
          <w:lang w:eastAsia="zh-CN"/>
        </w:rPr>
      </w:pPr>
      <w:r>
        <w:rPr>
          <w:color w:val="auto"/>
          <w:szCs w:val="32"/>
          <w:highlight w:val="none"/>
        </w:rPr>
        <w:t>建设工</w:t>
      </w:r>
      <w:r>
        <w:rPr>
          <w:rFonts w:ascii="Times New Roman" w:hAnsi="Times New Roman"/>
          <w:color w:val="auto"/>
          <w:szCs w:val="32"/>
          <w:highlight w:val="none"/>
        </w:rPr>
        <w:t>程项目：</w:t>
      </w:r>
      <w:r>
        <w:rPr>
          <w:rFonts w:hint="eastAsia" w:ascii="Times New Roman" w:hAnsi="Times New Roman"/>
          <w:color w:val="auto"/>
          <w:szCs w:val="32"/>
          <w:highlight w:val="none"/>
          <w:lang w:eastAsia="zh-CN"/>
        </w:rPr>
        <w:t>南沙湾先行启动区国际科创融合发展综合开发项目--南沙湾港前大道周边配套道路新建及提升工程（首期）初步设计</w:t>
      </w:r>
    </w:p>
    <w:p w14:paraId="2B63F9A6">
      <w:pPr>
        <w:spacing w:line="360" w:lineRule="auto"/>
        <w:rPr>
          <w:color w:val="auto"/>
          <w:szCs w:val="32"/>
          <w:highlight w:val="none"/>
        </w:rPr>
      </w:pPr>
      <w:r>
        <w:rPr>
          <w:color w:val="auto"/>
          <w:szCs w:val="32"/>
          <w:highlight w:val="none"/>
        </w:rPr>
        <w:t>建设工程地点：广州市南沙区</w:t>
      </w:r>
    </w:p>
    <w:p w14:paraId="4ADE984B">
      <w:pPr>
        <w:spacing w:line="360" w:lineRule="auto"/>
        <w:ind w:firstLine="525" w:firstLineChars="250"/>
        <w:rPr>
          <w:color w:val="auto"/>
          <w:szCs w:val="32"/>
          <w:highlight w:val="none"/>
        </w:rPr>
      </w:pPr>
    </w:p>
    <w:p w14:paraId="2DB27454">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14:paraId="752F6BBE">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14:paraId="3C6A6373">
      <w:pPr>
        <w:spacing w:line="360" w:lineRule="auto"/>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14:paraId="2CF74550">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14:paraId="71A26ABF">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14:paraId="0335C57E">
      <w:pPr>
        <w:spacing w:line="360" w:lineRule="auto"/>
        <w:ind w:firstLine="420" w:firstLineChars="200"/>
        <w:rPr>
          <w:color w:val="auto"/>
          <w:szCs w:val="32"/>
          <w:highlight w:val="none"/>
        </w:rPr>
      </w:pPr>
      <w:r>
        <w:rPr>
          <w:color w:val="auto"/>
          <w:szCs w:val="32"/>
          <w:highlight w:val="none"/>
        </w:rPr>
        <w:t>2.3  向承包人报销任何应由自身承担、支付的费用；</w:t>
      </w:r>
    </w:p>
    <w:p w14:paraId="4F1E7CB5">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14:paraId="39EDB04A">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14:paraId="70192693">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14:paraId="75A4CD72">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14:paraId="44AD1E80">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14:paraId="5A160D9E">
      <w:pPr>
        <w:spacing w:line="360" w:lineRule="auto"/>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14:paraId="547342E7">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14:paraId="44B7E77E">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14:paraId="773A03A0">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14:paraId="0B17D2B7">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14:paraId="1E932744">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14:paraId="446A38C0">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14:paraId="4CA39134">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14:paraId="3B396128">
      <w:pPr>
        <w:spacing w:line="360" w:lineRule="auto"/>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14:paraId="0023A4BD">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14:paraId="02CCCCD2">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14:paraId="7B0284EF">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14:paraId="4E50794F">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14:paraId="701541C9">
      <w:pPr>
        <w:spacing w:line="360" w:lineRule="auto"/>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14:paraId="2116B706">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14:paraId="59C5C137">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14:paraId="7697896B">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14:paraId="4042730A">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Fonts w:hint="eastAsia"/>
          <w:color w:val="auto"/>
          <w:szCs w:val="32"/>
          <w:highlight w:val="none"/>
        </w:rPr>
        <w:t>http://guangdong.12388.gov.cn；</w:t>
      </w:r>
      <w:r>
        <w:rPr>
          <w:rFonts w:hint="eastAsia"/>
          <w:color w:val="auto"/>
          <w:szCs w:val="32"/>
          <w:highlight w:val="none"/>
        </w:rPr>
        <w:fldChar w:fldCharType="end"/>
      </w:r>
    </w:p>
    <w:p w14:paraId="6BC5402A">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5080" b="1270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5"/>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14:paraId="5DBE86E4">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14:paraId="439EBB07">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14:paraId="7154A389">
      <w:pPr>
        <w:spacing w:line="360" w:lineRule="auto"/>
        <w:ind w:firstLine="420" w:firstLineChars="200"/>
        <w:rPr>
          <w:color w:val="auto"/>
          <w:szCs w:val="32"/>
          <w:highlight w:val="none"/>
        </w:rPr>
      </w:pPr>
      <w:r>
        <w:rPr>
          <w:color w:val="auto"/>
          <w:szCs w:val="32"/>
          <w:highlight w:val="none"/>
        </w:rPr>
        <w:t>本合同</w:t>
      </w:r>
      <w:r>
        <w:rPr>
          <w:rFonts w:hint="eastAsia"/>
          <w:color w:val="auto"/>
          <w:szCs w:val="32"/>
          <w:highlight w:val="none"/>
        </w:rPr>
        <w:t>一式拾贰份，发包人执捌份，承包人执肆份，经双方签署后生效。</w:t>
      </w:r>
    </w:p>
    <w:p w14:paraId="7F81A98A">
      <w:pPr>
        <w:spacing w:line="360" w:lineRule="auto"/>
        <w:ind w:firstLine="420"/>
        <w:rPr>
          <w:rFonts w:hint="eastAsia"/>
          <w:color w:val="auto"/>
          <w:szCs w:val="32"/>
          <w:highlight w:val="none"/>
        </w:rPr>
      </w:pPr>
      <w:r>
        <w:rPr>
          <w:rFonts w:hint="eastAsia"/>
          <w:color w:val="auto"/>
          <w:szCs w:val="32"/>
          <w:highlight w:val="none"/>
        </w:rPr>
        <w:t>本合同签订日期为：</w:t>
      </w:r>
      <w:r>
        <w:rPr>
          <w:rFonts w:hint="eastAsia"/>
          <w:color w:val="auto"/>
          <w:szCs w:val="32"/>
          <w:highlight w:val="none"/>
          <w:lang w:eastAsia="zh-CN"/>
        </w:rPr>
        <w:t>2025</w:t>
      </w:r>
      <w:r>
        <w:rPr>
          <w:rFonts w:hint="eastAsia"/>
          <w:color w:val="auto"/>
          <w:szCs w:val="32"/>
          <w:highlight w:val="none"/>
        </w:rPr>
        <w:t>年    月    日。</w:t>
      </w:r>
    </w:p>
    <w:p w14:paraId="5938FD51">
      <w:pPr>
        <w:spacing w:line="360" w:lineRule="auto"/>
        <w:ind w:firstLine="420"/>
        <w:rPr>
          <w:rFonts w:hint="eastAsia"/>
          <w:color w:val="auto"/>
          <w:szCs w:val="32"/>
          <w:highlight w:val="none"/>
        </w:rPr>
      </w:pPr>
      <w:r>
        <w:rPr>
          <w:rFonts w:hint="eastAsia"/>
          <w:color w:val="auto"/>
          <w:szCs w:val="32"/>
          <w:highlight w:val="none"/>
        </w:rPr>
        <w:br w:type="page"/>
      </w:r>
    </w:p>
    <w:tbl>
      <w:tblPr>
        <w:tblStyle w:val="15"/>
        <w:tblW w:w="0" w:type="auto"/>
        <w:tblInd w:w="0" w:type="dxa"/>
        <w:tblLayout w:type="fixed"/>
        <w:tblCellMar>
          <w:top w:w="0" w:type="dxa"/>
          <w:left w:w="108" w:type="dxa"/>
          <w:bottom w:w="0" w:type="dxa"/>
          <w:right w:w="108" w:type="dxa"/>
        </w:tblCellMar>
      </w:tblPr>
      <w:tblGrid>
        <w:gridCol w:w="4530"/>
        <w:gridCol w:w="4530"/>
      </w:tblGrid>
      <w:tr w14:paraId="38F17150">
        <w:tc>
          <w:tcPr>
            <w:tcW w:w="4530" w:type="dxa"/>
            <w:noWrap w:val="0"/>
            <w:vAlign w:val="top"/>
          </w:tcPr>
          <w:p w14:paraId="4796F0C6">
            <w:pPr>
              <w:spacing w:line="360" w:lineRule="auto"/>
              <w:rPr>
                <w:rFonts w:hint="eastAsia" w:eastAsia="宋体"/>
                <w:color w:val="auto"/>
                <w:szCs w:val="32"/>
                <w:highlight w:val="none"/>
                <w:lang w:eastAsia="zh-CN"/>
              </w:rPr>
            </w:pPr>
            <w:r>
              <w:rPr>
                <w:color w:val="auto"/>
                <w:szCs w:val="32"/>
                <w:highlight w:val="none"/>
              </w:rPr>
              <w:t>发包人（公章）：</w:t>
            </w:r>
            <w:r>
              <w:rPr>
                <w:rFonts w:hint="eastAsia" w:ascii="Times New Roman" w:hAnsi="Times New Roman"/>
                <w:color w:val="auto"/>
                <w:szCs w:val="32"/>
                <w:highlight w:val="none"/>
                <w:lang w:eastAsia="zh-CN"/>
              </w:rPr>
              <w:t>广州南沙工化投资有限公司</w:t>
            </w:r>
          </w:p>
          <w:p w14:paraId="747A07F2">
            <w:pPr>
              <w:spacing w:line="360" w:lineRule="auto"/>
              <w:rPr>
                <w:color w:val="auto"/>
                <w:szCs w:val="32"/>
                <w:highlight w:val="none"/>
              </w:rPr>
            </w:pPr>
          </w:p>
          <w:p w14:paraId="549C8B14">
            <w:pPr>
              <w:spacing w:line="360" w:lineRule="auto"/>
              <w:rPr>
                <w:color w:val="auto"/>
                <w:szCs w:val="32"/>
                <w:highlight w:val="none"/>
              </w:rPr>
            </w:pPr>
          </w:p>
          <w:p w14:paraId="1A21A408">
            <w:pPr>
              <w:spacing w:line="360" w:lineRule="auto"/>
              <w:rPr>
                <w:color w:val="auto"/>
                <w:szCs w:val="32"/>
                <w:highlight w:val="none"/>
              </w:rPr>
            </w:pPr>
            <w:r>
              <w:rPr>
                <w:color w:val="auto"/>
                <w:szCs w:val="32"/>
                <w:highlight w:val="none"/>
              </w:rPr>
              <w:t>法定代表人/授权代理人</w:t>
            </w:r>
          </w:p>
          <w:p w14:paraId="327069F1">
            <w:pPr>
              <w:spacing w:line="360" w:lineRule="auto"/>
              <w:rPr>
                <w:color w:val="auto"/>
                <w:szCs w:val="32"/>
                <w:highlight w:val="none"/>
              </w:rPr>
            </w:pPr>
            <w:r>
              <w:rPr>
                <w:color w:val="auto"/>
                <w:szCs w:val="32"/>
                <w:highlight w:val="none"/>
              </w:rPr>
              <w:t>（</w:t>
            </w:r>
            <w:r>
              <w:rPr>
                <w:rFonts w:hint="eastAsia"/>
                <w:color w:val="auto"/>
                <w:szCs w:val="32"/>
                <w:highlight w:val="none"/>
              </w:rPr>
              <w:t>签字/签章</w:t>
            </w:r>
            <w:r>
              <w:rPr>
                <w:color w:val="auto"/>
                <w:szCs w:val="32"/>
                <w:highlight w:val="none"/>
              </w:rPr>
              <w:t>）：</w:t>
            </w:r>
          </w:p>
          <w:p w14:paraId="105DC624">
            <w:pPr>
              <w:spacing w:line="360" w:lineRule="auto"/>
              <w:rPr>
                <w:color w:val="auto"/>
                <w:szCs w:val="32"/>
                <w:highlight w:val="none"/>
              </w:rPr>
            </w:pPr>
          </w:p>
          <w:p w14:paraId="2E023BA6">
            <w:pPr>
              <w:spacing w:line="360" w:lineRule="auto"/>
              <w:rPr>
                <w:color w:val="auto"/>
                <w:szCs w:val="32"/>
                <w:highlight w:val="none"/>
              </w:rPr>
            </w:pPr>
            <w:r>
              <w:rPr>
                <w:color w:val="auto"/>
                <w:szCs w:val="32"/>
                <w:highlight w:val="none"/>
              </w:rPr>
              <w:t>或党委书记/纪委书记</w:t>
            </w:r>
          </w:p>
          <w:p w14:paraId="4FD7889F">
            <w:pPr>
              <w:spacing w:line="360" w:lineRule="auto"/>
              <w:rPr>
                <w:color w:val="auto"/>
                <w:szCs w:val="32"/>
                <w:highlight w:val="none"/>
              </w:rPr>
            </w:pPr>
            <w:r>
              <w:rPr>
                <w:color w:val="auto"/>
                <w:szCs w:val="32"/>
                <w:highlight w:val="none"/>
              </w:rPr>
              <w:t>（</w:t>
            </w:r>
            <w:r>
              <w:rPr>
                <w:rFonts w:hint="eastAsia"/>
                <w:color w:val="auto"/>
                <w:szCs w:val="32"/>
                <w:highlight w:val="none"/>
              </w:rPr>
              <w:t>签字/签章</w:t>
            </w:r>
            <w:r>
              <w:rPr>
                <w:color w:val="auto"/>
                <w:szCs w:val="32"/>
                <w:highlight w:val="none"/>
              </w:rPr>
              <w:t>）</w:t>
            </w:r>
          </w:p>
        </w:tc>
        <w:tc>
          <w:tcPr>
            <w:tcW w:w="4530" w:type="dxa"/>
            <w:noWrap w:val="0"/>
            <w:vAlign w:val="top"/>
          </w:tcPr>
          <w:p w14:paraId="19FAF3DE">
            <w:pPr>
              <w:spacing w:line="360" w:lineRule="auto"/>
              <w:rPr>
                <w:color w:val="auto"/>
                <w:szCs w:val="32"/>
                <w:highlight w:val="none"/>
              </w:rPr>
            </w:pPr>
            <w:r>
              <w:rPr>
                <w:rFonts w:hint="eastAsia"/>
                <w:color w:val="auto"/>
                <w:szCs w:val="32"/>
                <w:highlight w:val="none"/>
              </w:rPr>
              <w:t>发包</w:t>
            </w:r>
            <w:r>
              <w:rPr>
                <w:color w:val="auto"/>
                <w:szCs w:val="32"/>
                <w:highlight w:val="none"/>
              </w:rPr>
              <w:t>人（公章）：</w:t>
            </w:r>
            <w:r>
              <w:rPr>
                <w:rFonts w:hint="eastAsia"/>
                <w:color w:val="auto"/>
                <w:szCs w:val="32"/>
                <w:highlight w:val="none"/>
              </w:rPr>
              <w:t>广州南沙建设维护管理有限公司</w:t>
            </w:r>
          </w:p>
          <w:p w14:paraId="1FF8CF5B">
            <w:pPr>
              <w:spacing w:line="360" w:lineRule="auto"/>
              <w:rPr>
                <w:color w:val="auto"/>
                <w:szCs w:val="32"/>
                <w:highlight w:val="none"/>
              </w:rPr>
            </w:pPr>
          </w:p>
          <w:p w14:paraId="69BB59C3">
            <w:pPr>
              <w:spacing w:line="360" w:lineRule="auto"/>
              <w:rPr>
                <w:color w:val="auto"/>
                <w:szCs w:val="32"/>
                <w:highlight w:val="none"/>
              </w:rPr>
            </w:pPr>
            <w:r>
              <w:rPr>
                <w:color w:val="auto"/>
                <w:szCs w:val="32"/>
                <w:highlight w:val="none"/>
              </w:rPr>
              <w:t>法定代表人/授权代理人</w:t>
            </w:r>
          </w:p>
          <w:p w14:paraId="3758E164">
            <w:pPr>
              <w:spacing w:line="360" w:lineRule="auto"/>
              <w:rPr>
                <w:color w:val="auto"/>
                <w:szCs w:val="32"/>
                <w:highlight w:val="none"/>
              </w:rPr>
            </w:pPr>
            <w:r>
              <w:rPr>
                <w:color w:val="auto"/>
                <w:szCs w:val="32"/>
                <w:highlight w:val="none"/>
              </w:rPr>
              <w:t>（</w:t>
            </w:r>
            <w:r>
              <w:rPr>
                <w:rFonts w:hint="eastAsia"/>
                <w:color w:val="auto"/>
                <w:szCs w:val="32"/>
                <w:highlight w:val="none"/>
              </w:rPr>
              <w:t>签字/签章</w:t>
            </w:r>
            <w:r>
              <w:rPr>
                <w:color w:val="auto"/>
                <w:szCs w:val="32"/>
                <w:highlight w:val="none"/>
              </w:rPr>
              <w:t>）：</w:t>
            </w:r>
          </w:p>
          <w:p w14:paraId="404EE5BF">
            <w:pPr>
              <w:spacing w:line="360" w:lineRule="auto"/>
              <w:rPr>
                <w:color w:val="auto"/>
                <w:szCs w:val="32"/>
                <w:highlight w:val="none"/>
              </w:rPr>
            </w:pPr>
          </w:p>
          <w:p w14:paraId="29BF5647">
            <w:pPr>
              <w:spacing w:line="360" w:lineRule="auto"/>
              <w:rPr>
                <w:color w:val="auto"/>
                <w:szCs w:val="32"/>
                <w:highlight w:val="none"/>
              </w:rPr>
            </w:pPr>
            <w:r>
              <w:rPr>
                <w:color w:val="auto"/>
                <w:szCs w:val="32"/>
                <w:highlight w:val="none"/>
              </w:rPr>
              <w:t>或党委书记/纪委书记</w:t>
            </w:r>
          </w:p>
          <w:p w14:paraId="4670F3C5">
            <w:pPr>
              <w:spacing w:line="360" w:lineRule="auto"/>
              <w:rPr>
                <w:color w:val="auto"/>
                <w:szCs w:val="32"/>
                <w:highlight w:val="none"/>
              </w:rPr>
            </w:pPr>
            <w:r>
              <w:rPr>
                <w:color w:val="auto"/>
                <w:szCs w:val="32"/>
                <w:highlight w:val="none"/>
              </w:rPr>
              <w:t>（</w:t>
            </w:r>
            <w:r>
              <w:rPr>
                <w:rFonts w:hint="eastAsia"/>
                <w:color w:val="auto"/>
                <w:szCs w:val="32"/>
                <w:highlight w:val="none"/>
              </w:rPr>
              <w:t>签字/签章</w:t>
            </w:r>
            <w:r>
              <w:rPr>
                <w:color w:val="auto"/>
                <w:szCs w:val="32"/>
                <w:highlight w:val="none"/>
              </w:rPr>
              <w:t>）</w:t>
            </w:r>
          </w:p>
        </w:tc>
      </w:tr>
      <w:tr w14:paraId="75493848">
        <w:tblPrEx>
          <w:tblCellMar>
            <w:top w:w="0" w:type="dxa"/>
            <w:left w:w="108" w:type="dxa"/>
            <w:bottom w:w="0" w:type="dxa"/>
            <w:right w:w="108" w:type="dxa"/>
          </w:tblCellMar>
        </w:tblPrEx>
        <w:trPr>
          <w:gridAfter w:val="1"/>
          <w:wAfter w:w="4530" w:type="dxa"/>
        </w:trPr>
        <w:tc>
          <w:tcPr>
            <w:tcW w:w="4530" w:type="dxa"/>
            <w:noWrap w:val="0"/>
            <w:vAlign w:val="top"/>
          </w:tcPr>
          <w:p w14:paraId="48D984F5">
            <w:pPr>
              <w:spacing w:line="360" w:lineRule="auto"/>
              <w:rPr>
                <w:color w:val="auto"/>
                <w:szCs w:val="32"/>
                <w:highlight w:val="none"/>
              </w:rPr>
            </w:pPr>
            <w:r>
              <w:rPr>
                <w:rFonts w:hint="eastAsia"/>
                <w:color w:val="auto"/>
                <w:szCs w:val="32"/>
                <w:highlight w:val="none"/>
              </w:rPr>
              <w:t>承包</w:t>
            </w:r>
            <w:r>
              <w:rPr>
                <w:color w:val="auto"/>
                <w:szCs w:val="32"/>
                <w:highlight w:val="none"/>
              </w:rPr>
              <w:t>人（公章）：</w:t>
            </w:r>
          </w:p>
          <w:p w14:paraId="4C9AA16F">
            <w:pPr>
              <w:spacing w:line="360" w:lineRule="auto"/>
              <w:rPr>
                <w:color w:val="auto"/>
                <w:szCs w:val="32"/>
                <w:highlight w:val="none"/>
              </w:rPr>
            </w:pPr>
          </w:p>
          <w:p w14:paraId="7BB1D8A8">
            <w:pPr>
              <w:spacing w:line="360" w:lineRule="auto"/>
              <w:rPr>
                <w:color w:val="auto"/>
                <w:szCs w:val="32"/>
                <w:highlight w:val="none"/>
              </w:rPr>
            </w:pPr>
          </w:p>
          <w:p w14:paraId="5F921651">
            <w:pPr>
              <w:spacing w:line="360" w:lineRule="auto"/>
              <w:rPr>
                <w:color w:val="auto"/>
                <w:szCs w:val="32"/>
                <w:highlight w:val="none"/>
              </w:rPr>
            </w:pPr>
            <w:r>
              <w:rPr>
                <w:color w:val="auto"/>
                <w:szCs w:val="32"/>
                <w:highlight w:val="none"/>
              </w:rPr>
              <w:t>法定代表人/授权代理人</w:t>
            </w:r>
          </w:p>
          <w:p w14:paraId="2D9F5397">
            <w:pPr>
              <w:spacing w:line="360" w:lineRule="auto"/>
              <w:rPr>
                <w:color w:val="auto"/>
                <w:szCs w:val="32"/>
                <w:highlight w:val="none"/>
              </w:rPr>
            </w:pPr>
            <w:r>
              <w:rPr>
                <w:color w:val="auto"/>
                <w:szCs w:val="32"/>
                <w:highlight w:val="none"/>
              </w:rPr>
              <w:t>（</w:t>
            </w:r>
            <w:r>
              <w:rPr>
                <w:rFonts w:hint="eastAsia"/>
                <w:color w:val="auto"/>
                <w:szCs w:val="32"/>
                <w:highlight w:val="none"/>
              </w:rPr>
              <w:t>签字/签章</w:t>
            </w:r>
            <w:r>
              <w:rPr>
                <w:color w:val="auto"/>
                <w:szCs w:val="32"/>
                <w:highlight w:val="none"/>
              </w:rPr>
              <w:t>）：</w:t>
            </w:r>
          </w:p>
          <w:p w14:paraId="7A55B788">
            <w:pPr>
              <w:spacing w:line="360" w:lineRule="auto"/>
              <w:rPr>
                <w:color w:val="auto"/>
                <w:szCs w:val="32"/>
                <w:highlight w:val="none"/>
              </w:rPr>
            </w:pPr>
          </w:p>
          <w:p w14:paraId="521C0CE7">
            <w:pPr>
              <w:spacing w:line="360" w:lineRule="auto"/>
              <w:rPr>
                <w:color w:val="auto"/>
                <w:szCs w:val="32"/>
                <w:highlight w:val="none"/>
              </w:rPr>
            </w:pPr>
            <w:r>
              <w:rPr>
                <w:color w:val="auto"/>
                <w:szCs w:val="32"/>
                <w:highlight w:val="none"/>
              </w:rPr>
              <w:t>或党委书记/纪委书记</w:t>
            </w:r>
          </w:p>
          <w:p w14:paraId="3EF51BD4">
            <w:pPr>
              <w:spacing w:line="360" w:lineRule="auto"/>
              <w:rPr>
                <w:color w:val="auto"/>
                <w:szCs w:val="32"/>
                <w:highlight w:val="none"/>
              </w:rPr>
            </w:pPr>
            <w:r>
              <w:rPr>
                <w:color w:val="auto"/>
                <w:szCs w:val="32"/>
                <w:highlight w:val="none"/>
              </w:rPr>
              <w:t>（</w:t>
            </w:r>
            <w:r>
              <w:rPr>
                <w:rFonts w:hint="eastAsia"/>
                <w:color w:val="auto"/>
                <w:szCs w:val="32"/>
                <w:highlight w:val="none"/>
              </w:rPr>
              <w:t>签字/签章</w:t>
            </w:r>
            <w:r>
              <w:rPr>
                <w:color w:val="auto"/>
                <w:szCs w:val="32"/>
                <w:highlight w:val="none"/>
              </w:rPr>
              <w:t>）</w:t>
            </w:r>
          </w:p>
        </w:tc>
      </w:tr>
    </w:tbl>
    <w:p w14:paraId="59437295">
      <w:pPr>
        <w:spacing w:line="480" w:lineRule="auto"/>
        <w:jc w:val="left"/>
        <w:rPr>
          <w:rFonts w:hint="eastAsia" w:eastAsia="宋体"/>
          <w:color w:val="auto"/>
          <w:highlight w:val="none"/>
          <w:lang w:eastAsia="zh-CN"/>
        </w:rPr>
      </w:pPr>
      <w:r>
        <w:rPr>
          <w:rFonts w:hint="eastAsia"/>
          <w:color w:val="auto"/>
          <w:highlight w:val="none"/>
        </w:rPr>
        <w:br w:type="page"/>
      </w:r>
      <w:r>
        <w:rPr>
          <w:rFonts w:hint="eastAsia"/>
          <w:color w:val="auto"/>
          <w:highlight w:val="none"/>
        </w:rPr>
        <w:t>附件</w:t>
      </w:r>
      <w:r>
        <w:rPr>
          <w:rFonts w:hint="eastAsia"/>
          <w:color w:val="auto"/>
          <w:highlight w:val="none"/>
          <w:lang w:val="en-US" w:eastAsia="zh-CN"/>
        </w:rPr>
        <w:t>2：</w:t>
      </w:r>
    </w:p>
    <w:p w14:paraId="1DCC1769">
      <w:pPr>
        <w:ind w:firstLine="2880" w:firstLineChars="1200"/>
        <w:rPr>
          <w:rFonts w:hint="eastAsia" w:ascii="黑体" w:eastAsia="黑体"/>
          <w:color w:val="auto"/>
          <w:sz w:val="24"/>
          <w:highlight w:val="none"/>
        </w:rPr>
      </w:pPr>
      <w:r>
        <w:rPr>
          <w:rFonts w:hint="eastAsia" w:ascii="黑体" w:eastAsia="黑体"/>
          <w:color w:val="auto"/>
          <w:sz w:val="24"/>
          <w:highlight w:val="none"/>
        </w:rPr>
        <w:t>增晒图纸收费一览表</w:t>
      </w:r>
    </w:p>
    <w:p w14:paraId="52FD4045">
      <w:pPr>
        <w:ind w:firstLine="1200" w:firstLineChars="500"/>
        <w:rPr>
          <w:rFonts w:hint="eastAsia" w:ascii="黑体" w:eastAsia="黑体"/>
          <w:color w:val="auto"/>
          <w:sz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645"/>
        <w:gridCol w:w="3451"/>
      </w:tblGrid>
      <w:tr w14:paraId="1526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noWrap w:val="0"/>
            <w:vAlign w:val="center"/>
          </w:tcPr>
          <w:p w14:paraId="0FE28A19">
            <w:pPr>
              <w:jc w:val="center"/>
              <w:rPr>
                <w:rFonts w:hint="eastAsia" w:ascii="黑体" w:eastAsia="黑体"/>
                <w:color w:val="auto"/>
                <w:sz w:val="24"/>
                <w:highlight w:val="none"/>
              </w:rPr>
            </w:pPr>
          </w:p>
          <w:p w14:paraId="1E2306A5">
            <w:pPr>
              <w:jc w:val="center"/>
              <w:rPr>
                <w:rFonts w:hint="eastAsia" w:ascii="黑体" w:eastAsia="黑体"/>
                <w:color w:val="auto"/>
                <w:sz w:val="24"/>
                <w:highlight w:val="none"/>
              </w:rPr>
            </w:pPr>
            <w:r>
              <w:rPr>
                <w:rFonts w:hint="eastAsia" w:ascii="黑体" w:eastAsia="黑体"/>
                <w:color w:val="auto"/>
                <w:sz w:val="24"/>
                <w:highlight w:val="none"/>
              </w:rPr>
              <w:t>序号</w:t>
            </w:r>
          </w:p>
        </w:tc>
        <w:tc>
          <w:tcPr>
            <w:tcW w:w="3645" w:type="dxa"/>
            <w:noWrap w:val="0"/>
            <w:vAlign w:val="center"/>
          </w:tcPr>
          <w:p w14:paraId="4340097B">
            <w:pPr>
              <w:jc w:val="center"/>
              <w:rPr>
                <w:rFonts w:hint="eastAsia" w:ascii="黑体" w:eastAsia="黑体"/>
                <w:color w:val="auto"/>
                <w:sz w:val="24"/>
                <w:highlight w:val="none"/>
              </w:rPr>
            </w:pPr>
          </w:p>
          <w:p w14:paraId="73109938">
            <w:pPr>
              <w:jc w:val="center"/>
              <w:rPr>
                <w:rFonts w:hint="eastAsia" w:ascii="黑体" w:eastAsia="黑体"/>
                <w:color w:val="auto"/>
                <w:sz w:val="24"/>
                <w:highlight w:val="none"/>
              </w:rPr>
            </w:pPr>
            <w:r>
              <w:rPr>
                <w:rFonts w:hint="eastAsia" w:ascii="黑体" w:eastAsia="黑体"/>
                <w:color w:val="auto"/>
                <w:sz w:val="24"/>
                <w:highlight w:val="none"/>
              </w:rPr>
              <w:t>图纸规格</w:t>
            </w:r>
          </w:p>
        </w:tc>
        <w:tc>
          <w:tcPr>
            <w:tcW w:w="3451" w:type="dxa"/>
            <w:noWrap w:val="0"/>
            <w:vAlign w:val="center"/>
          </w:tcPr>
          <w:p w14:paraId="2EB82681">
            <w:pPr>
              <w:jc w:val="center"/>
              <w:rPr>
                <w:rFonts w:hint="eastAsia" w:ascii="黑体" w:eastAsia="黑体"/>
                <w:color w:val="auto"/>
                <w:sz w:val="24"/>
                <w:highlight w:val="none"/>
              </w:rPr>
            </w:pPr>
          </w:p>
          <w:p w14:paraId="156711DE">
            <w:pPr>
              <w:jc w:val="center"/>
              <w:rPr>
                <w:rFonts w:hint="eastAsia" w:ascii="黑体" w:eastAsia="黑体"/>
                <w:color w:val="auto"/>
                <w:sz w:val="24"/>
                <w:highlight w:val="none"/>
              </w:rPr>
            </w:pPr>
            <w:r>
              <w:rPr>
                <w:rFonts w:hint="eastAsia" w:ascii="黑体" w:eastAsia="黑体"/>
                <w:color w:val="auto"/>
                <w:sz w:val="24"/>
                <w:highlight w:val="none"/>
              </w:rPr>
              <w:t>收费（元/张）</w:t>
            </w:r>
          </w:p>
        </w:tc>
      </w:tr>
      <w:tr w14:paraId="03AA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527" w:type="dxa"/>
            <w:noWrap w:val="0"/>
            <w:vAlign w:val="center"/>
          </w:tcPr>
          <w:p w14:paraId="18227243">
            <w:pPr>
              <w:jc w:val="center"/>
              <w:rPr>
                <w:rFonts w:hint="eastAsia" w:ascii="黑体" w:eastAsia="黑体"/>
                <w:color w:val="auto"/>
                <w:sz w:val="24"/>
                <w:highlight w:val="none"/>
              </w:rPr>
            </w:pPr>
          </w:p>
          <w:p w14:paraId="371F0A48">
            <w:pPr>
              <w:jc w:val="center"/>
              <w:rPr>
                <w:rFonts w:hint="eastAsia" w:ascii="黑体" w:eastAsia="黑体"/>
                <w:color w:val="auto"/>
                <w:sz w:val="24"/>
                <w:highlight w:val="none"/>
              </w:rPr>
            </w:pPr>
            <w:r>
              <w:rPr>
                <w:rFonts w:hint="eastAsia" w:ascii="黑体" w:eastAsia="黑体"/>
                <w:color w:val="auto"/>
                <w:sz w:val="24"/>
                <w:highlight w:val="none"/>
              </w:rPr>
              <w:t>1</w:t>
            </w:r>
          </w:p>
        </w:tc>
        <w:tc>
          <w:tcPr>
            <w:tcW w:w="3645" w:type="dxa"/>
            <w:noWrap w:val="0"/>
            <w:vAlign w:val="center"/>
          </w:tcPr>
          <w:p w14:paraId="4692AEAA">
            <w:pPr>
              <w:jc w:val="center"/>
              <w:rPr>
                <w:rFonts w:hint="eastAsia" w:ascii="黑体" w:eastAsia="黑体"/>
                <w:color w:val="auto"/>
                <w:sz w:val="24"/>
                <w:highlight w:val="none"/>
              </w:rPr>
            </w:pPr>
          </w:p>
          <w:p w14:paraId="7D83FD1C">
            <w:pPr>
              <w:jc w:val="center"/>
              <w:rPr>
                <w:rFonts w:hint="eastAsia" w:ascii="黑体" w:eastAsia="黑体"/>
                <w:color w:val="auto"/>
                <w:sz w:val="24"/>
                <w:highlight w:val="none"/>
              </w:rPr>
            </w:pPr>
            <w:r>
              <w:rPr>
                <w:rFonts w:hint="eastAsia" w:ascii="黑体" w:eastAsia="黑体"/>
                <w:color w:val="auto"/>
                <w:sz w:val="24"/>
                <w:highlight w:val="none"/>
              </w:rPr>
              <w:t>AO+</w:t>
            </w:r>
          </w:p>
        </w:tc>
        <w:tc>
          <w:tcPr>
            <w:tcW w:w="3451" w:type="dxa"/>
            <w:noWrap w:val="0"/>
            <w:vAlign w:val="center"/>
          </w:tcPr>
          <w:p w14:paraId="7105312F">
            <w:pPr>
              <w:jc w:val="center"/>
              <w:rPr>
                <w:rFonts w:ascii="黑体" w:eastAsia="黑体"/>
                <w:color w:val="auto"/>
                <w:sz w:val="24"/>
                <w:highlight w:val="none"/>
              </w:rPr>
            </w:pPr>
            <w:r>
              <w:rPr>
                <w:rFonts w:hint="eastAsia" w:ascii="黑体" w:eastAsia="黑体"/>
                <w:color w:val="auto"/>
                <w:sz w:val="24"/>
                <w:highlight w:val="none"/>
              </w:rPr>
              <w:t>10</w:t>
            </w:r>
          </w:p>
        </w:tc>
      </w:tr>
      <w:tr w14:paraId="2723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527" w:type="dxa"/>
            <w:noWrap w:val="0"/>
            <w:vAlign w:val="center"/>
          </w:tcPr>
          <w:p w14:paraId="4B20058F">
            <w:pPr>
              <w:jc w:val="center"/>
              <w:rPr>
                <w:rFonts w:hint="eastAsia" w:ascii="黑体" w:eastAsia="黑体"/>
                <w:color w:val="auto"/>
                <w:sz w:val="24"/>
                <w:highlight w:val="none"/>
              </w:rPr>
            </w:pPr>
          </w:p>
          <w:p w14:paraId="1E56CF25">
            <w:pPr>
              <w:jc w:val="center"/>
              <w:rPr>
                <w:rFonts w:hint="eastAsia" w:ascii="黑体" w:eastAsia="黑体"/>
                <w:color w:val="auto"/>
                <w:sz w:val="24"/>
                <w:highlight w:val="none"/>
              </w:rPr>
            </w:pPr>
            <w:r>
              <w:rPr>
                <w:rFonts w:hint="eastAsia" w:ascii="黑体" w:eastAsia="黑体"/>
                <w:color w:val="auto"/>
                <w:sz w:val="24"/>
                <w:highlight w:val="none"/>
              </w:rPr>
              <w:t>2</w:t>
            </w:r>
          </w:p>
        </w:tc>
        <w:tc>
          <w:tcPr>
            <w:tcW w:w="3645" w:type="dxa"/>
            <w:noWrap w:val="0"/>
            <w:vAlign w:val="center"/>
          </w:tcPr>
          <w:p w14:paraId="767F6A70">
            <w:pPr>
              <w:jc w:val="center"/>
              <w:rPr>
                <w:rFonts w:hint="eastAsia" w:ascii="黑体" w:eastAsia="黑体"/>
                <w:color w:val="auto"/>
                <w:sz w:val="24"/>
                <w:highlight w:val="none"/>
              </w:rPr>
            </w:pPr>
          </w:p>
          <w:p w14:paraId="2816B1BF">
            <w:pPr>
              <w:jc w:val="center"/>
              <w:rPr>
                <w:rFonts w:hint="eastAsia" w:ascii="黑体" w:eastAsia="黑体"/>
                <w:color w:val="auto"/>
                <w:sz w:val="24"/>
                <w:highlight w:val="none"/>
              </w:rPr>
            </w:pPr>
            <w:r>
              <w:rPr>
                <w:rFonts w:hint="eastAsia" w:ascii="黑体" w:eastAsia="黑体"/>
                <w:color w:val="auto"/>
                <w:sz w:val="24"/>
                <w:highlight w:val="none"/>
              </w:rPr>
              <w:t>AO</w:t>
            </w:r>
          </w:p>
        </w:tc>
        <w:tc>
          <w:tcPr>
            <w:tcW w:w="3451" w:type="dxa"/>
            <w:noWrap w:val="0"/>
            <w:vAlign w:val="center"/>
          </w:tcPr>
          <w:p w14:paraId="788E0D89">
            <w:pPr>
              <w:jc w:val="center"/>
              <w:rPr>
                <w:rFonts w:hint="eastAsia" w:ascii="黑体" w:eastAsia="黑体"/>
                <w:color w:val="auto"/>
                <w:sz w:val="24"/>
                <w:highlight w:val="none"/>
              </w:rPr>
            </w:pPr>
            <w:r>
              <w:rPr>
                <w:rFonts w:hint="eastAsia" w:ascii="黑体" w:eastAsia="黑体"/>
                <w:color w:val="auto"/>
                <w:sz w:val="24"/>
                <w:highlight w:val="none"/>
              </w:rPr>
              <w:t>7</w:t>
            </w:r>
          </w:p>
        </w:tc>
      </w:tr>
      <w:tr w14:paraId="1AE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noWrap w:val="0"/>
            <w:vAlign w:val="center"/>
          </w:tcPr>
          <w:p w14:paraId="50FCF8A6">
            <w:pPr>
              <w:jc w:val="center"/>
              <w:rPr>
                <w:rFonts w:hint="eastAsia" w:ascii="黑体" w:eastAsia="黑体"/>
                <w:color w:val="auto"/>
                <w:sz w:val="24"/>
                <w:highlight w:val="none"/>
              </w:rPr>
            </w:pPr>
          </w:p>
          <w:p w14:paraId="16F79A03">
            <w:pPr>
              <w:jc w:val="center"/>
              <w:rPr>
                <w:rFonts w:hint="eastAsia" w:ascii="黑体" w:eastAsia="黑体"/>
                <w:color w:val="auto"/>
                <w:sz w:val="24"/>
                <w:highlight w:val="none"/>
              </w:rPr>
            </w:pPr>
            <w:r>
              <w:rPr>
                <w:rFonts w:hint="eastAsia" w:ascii="黑体" w:eastAsia="黑体"/>
                <w:color w:val="auto"/>
                <w:sz w:val="24"/>
                <w:highlight w:val="none"/>
              </w:rPr>
              <w:t>3</w:t>
            </w:r>
          </w:p>
        </w:tc>
        <w:tc>
          <w:tcPr>
            <w:tcW w:w="3645" w:type="dxa"/>
            <w:noWrap w:val="0"/>
            <w:vAlign w:val="center"/>
          </w:tcPr>
          <w:p w14:paraId="797B7827">
            <w:pPr>
              <w:jc w:val="center"/>
              <w:rPr>
                <w:rFonts w:hint="eastAsia" w:ascii="黑体" w:eastAsia="黑体"/>
                <w:color w:val="auto"/>
                <w:sz w:val="24"/>
                <w:highlight w:val="none"/>
              </w:rPr>
            </w:pPr>
          </w:p>
          <w:p w14:paraId="3D9D76BE">
            <w:pPr>
              <w:jc w:val="center"/>
              <w:rPr>
                <w:rFonts w:hint="eastAsia" w:ascii="黑体" w:eastAsia="黑体"/>
                <w:color w:val="auto"/>
                <w:sz w:val="24"/>
                <w:highlight w:val="none"/>
              </w:rPr>
            </w:pPr>
            <w:r>
              <w:rPr>
                <w:rFonts w:hint="eastAsia" w:ascii="黑体" w:eastAsia="黑体"/>
                <w:color w:val="auto"/>
                <w:sz w:val="24"/>
                <w:highlight w:val="none"/>
              </w:rPr>
              <w:t>A1</w:t>
            </w:r>
          </w:p>
        </w:tc>
        <w:tc>
          <w:tcPr>
            <w:tcW w:w="3451" w:type="dxa"/>
            <w:noWrap w:val="0"/>
            <w:vAlign w:val="center"/>
          </w:tcPr>
          <w:p w14:paraId="0874609D">
            <w:pPr>
              <w:jc w:val="center"/>
              <w:rPr>
                <w:rFonts w:hint="eastAsia" w:ascii="黑体" w:eastAsia="黑体"/>
                <w:color w:val="auto"/>
                <w:sz w:val="24"/>
                <w:highlight w:val="none"/>
              </w:rPr>
            </w:pPr>
            <w:r>
              <w:rPr>
                <w:rFonts w:hint="eastAsia" w:ascii="黑体" w:eastAsia="黑体"/>
                <w:color w:val="auto"/>
                <w:sz w:val="24"/>
                <w:highlight w:val="none"/>
              </w:rPr>
              <w:t>4</w:t>
            </w:r>
          </w:p>
        </w:tc>
      </w:tr>
      <w:tr w14:paraId="1FE3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527" w:type="dxa"/>
            <w:noWrap w:val="0"/>
            <w:vAlign w:val="center"/>
          </w:tcPr>
          <w:p w14:paraId="33303CD5">
            <w:pPr>
              <w:jc w:val="center"/>
              <w:rPr>
                <w:rFonts w:hint="eastAsia" w:ascii="黑体" w:eastAsia="黑体"/>
                <w:color w:val="auto"/>
                <w:sz w:val="24"/>
                <w:highlight w:val="none"/>
              </w:rPr>
            </w:pPr>
          </w:p>
          <w:p w14:paraId="08845EFB">
            <w:pPr>
              <w:jc w:val="center"/>
              <w:rPr>
                <w:rFonts w:hint="eastAsia" w:ascii="黑体" w:eastAsia="黑体"/>
                <w:color w:val="auto"/>
                <w:sz w:val="24"/>
                <w:highlight w:val="none"/>
              </w:rPr>
            </w:pPr>
            <w:r>
              <w:rPr>
                <w:rFonts w:hint="eastAsia" w:ascii="黑体" w:eastAsia="黑体"/>
                <w:color w:val="auto"/>
                <w:sz w:val="24"/>
                <w:highlight w:val="none"/>
              </w:rPr>
              <w:t>4</w:t>
            </w:r>
          </w:p>
        </w:tc>
        <w:tc>
          <w:tcPr>
            <w:tcW w:w="3645" w:type="dxa"/>
            <w:noWrap w:val="0"/>
            <w:vAlign w:val="center"/>
          </w:tcPr>
          <w:p w14:paraId="687D2E91">
            <w:pPr>
              <w:jc w:val="center"/>
              <w:rPr>
                <w:rFonts w:hint="eastAsia" w:ascii="黑体" w:eastAsia="黑体"/>
                <w:color w:val="auto"/>
                <w:sz w:val="24"/>
                <w:highlight w:val="none"/>
              </w:rPr>
            </w:pPr>
          </w:p>
          <w:p w14:paraId="39D4E74F">
            <w:pPr>
              <w:jc w:val="center"/>
              <w:rPr>
                <w:rFonts w:hint="eastAsia" w:ascii="黑体" w:eastAsia="黑体"/>
                <w:color w:val="auto"/>
                <w:sz w:val="24"/>
                <w:highlight w:val="none"/>
              </w:rPr>
            </w:pPr>
            <w:r>
              <w:rPr>
                <w:rFonts w:hint="eastAsia" w:ascii="黑体" w:eastAsia="黑体"/>
                <w:color w:val="auto"/>
                <w:sz w:val="24"/>
                <w:highlight w:val="none"/>
              </w:rPr>
              <w:t>A2</w:t>
            </w:r>
          </w:p>
        </w:tc>
        <w:tc>
          <w:tcPr>
            <w:tcW w:w="3451" w:type="dxa"/>
            <w:noWrap w:val="0"/>
            <w:vAlign w:val="center"/>
          </w:tcPr>
          <w:p w14:paraId="445F8588">
            <w:pPr>
              <w:jc w:val="center"/>
              <w:rPr>
                <w:rFonts w:hint="eastAsia" w:ascii="黑体" w:eastAsia="黑体"/>
                <w:color w:val="auto"/>
                <w:sz w:val="24"/>
                <w:highlight w:val="none"/>
              </w:rPr>
            </w:pPr>
            <w:r>
              <w:rPr>
                <w:rFonts w:hint="eastAsia" w:ascii="黑体" w:eastAsia="黑体"/>
                <w:color w:val="auto"/>
                <w:sz w:val="24"/>
                <w:highlight w:val="none"/>
              </w:rPr>
              <w:t>2</w:t>
            </w:r>
          </w:p>
        </w:tc>
      </w:tr>
      <w:tr w14:paraId="182F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27" w:type="dxa"/>
            <w:noWrap w:val="0"/>
            <w:vAlign w:val="center"/>
          </w:tcPr>
          <w:p w14:paraId="1BC782C5">
            <w:pPr>
              <w:jc w:val="center"/>
              <w:rPr>
                <w:rFonts w:hint="eastAsia" w:ascii="黑体" w:eastAsia="黑体"/>
                <w:color w:val="auto"/>
                <w:sz w:val="24"/>
                <w:highlight w:val="none"/>
              </w:rPr>
            </w:pPr>
          </w:p>
          <w:p w14:paraId="18990997">
            <w:pPr>
              <w:jc w:val="center"/>
              <w:rPr>
                <w:rFonts w:hint="eastAsia" w:ascii="黑体" w:eastAsia="黑体"/>
                <w:color w:val="auto"/>
                <w:sz w:val="24"/>
                <w:highlight w:val="none"/>
              </w:rPr>
            </w:pPr>
            <w:r>
              <w:rPr>
                <w:rFonts w:hint="eastAsia" w:ascii="黑体" w:eastAsia="黑体"/>
                <w:color w:val="auto"/>
                <w:sz w:val="24"/>
                <w:highlight w:val="none"/>
              </w:rPr>
              <w:t>5</w:t>
            </w:r>
          </w:p>
        </w:tc>
        <w:tc>
          <w:tcPr>
            <w:tcW w:w="3645" w:type="dxa"/>
            <w:noWrap w:val="0"/>
            <w:vAlign w:val="center"/>
          </w:tcPr>
          <w:p w14:paraId="4370A6B4">
            <w:pPr>
              <w:jc w:val="center"/>
              <w:rPr>
                <w:rFonts w:hint="eastAsia" w:ascii="黑体" w:eastAsia="黑体"/>
                <w:color w:val="auto"/>
                <w:sz w:val="24"/>
                <w:highlight w:val="none"/>
              </w:rPr>
            </w:pPr>
          </w:p>
          <w:p w14:paraId="616EEAAD">
            <w:pPr>
              <w:jc w:val="center"/>
              <w:rPr>
                <w:rFonts w:hint="eastAsia" w:ascii="黑体" w:eastAsia="黑体"/>
                <w:color w:val="auto"/>
                <w:sz w:val="24"/>
                <w:highlight w:val="none"/>
              </w:rPr>
            </w:pPr>
            <w:r>
              <w:rPr>
                <w:rFonts w:hint="eastAsia" w:ascii="黑体" w:eastAsia="黑体"/>
                <w:color w:val="auto"/>
                <w:sz w:val="24"/>
                <w:highlight w:val="none"/>
              </w:rPr>
              <w:t>A3</w:t>
            </w:r>
          </w:p>
        </w:tc>
        <w:tc>
          <w:tcPr>
            <w:tcW w:w="3451" w:type="dxa"/>
            <w:noWrap w:val="0"/>
            <w:vAlign w:val="center"/>
          </w:tcPr>
          <w:p w14:paraId="2CCB5B15">
            <w:pPr>
              <w:jc w:val="center"/>
              <w:rPr>
                <w:rFonts w:hint="eastAsia" w:ascii="黑体" w:eastAsia="黑体"/>
                <w:color w:val="auto"/>
                <w:sz w:val="24"/>
                <w:highlight w:val="none"/>
              </w:rPr>
            </w:pPr>
            <w:r>
              <w:rPr>
                <w:rFonts w:hint="eastAsia" w:ascii="黑体" w:eastAsia="黑体"/>
                <w:color w:val="auto"/>
                <w:sz w:val="24"/>
                <w:highlight w:val="none"/>
              </w:rPr>
              <w:t>1</w:t>
            </w:r>
          </w:p>
        </w:tc>
      </w:tr>
      <w:tr w14:paraId="2C3E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27" w:type="dxa"/>
            <w:noWrap w:val="0"/>
            <w:vAlign w:val="center"/>
          </w:tcPr>
          <w:p w14:paraId="6D5CB67D">
            <w:pPr>
              <w:jc w:val="center"/>
              <w:rPr>
                <w:rFonts w:hint="eastAsia" w:ascii="黑体" w:eastAsia="黑体"/>
                <w:color w:val="auto"/>
                <w:sz w:val="24"/>
                <w:highlight w:val="none"/>
              </w:rPr>
            </w:pPr>
          </w:p>
          <w:p w14:paraId="10477C57">
            <w:pPr>
              <w:jc w:val="center"/>
              <w:rPr>
                <w:rFonts w:hint="eastAsia" w:ascii="黑体" w:eastAsia="黑体"/>
                <w:color w:val="auto"/>
                <w:sz w:val="24"/>
                <w:highlight w:val="none"/>
              </w:rPr>
            </w:pPr>
            <w:r>
              <w:rPr>
                <w:rFonts w:hint="eastAsia" w:ascii="黑体" w:eastAsia="黑体"/>
                <w:color w:val="auto"/>
                <w:sz w:val="24"/>
                <w:highlight w:val="none"/>
              </w:rPr>
              <w:t>6</w:t>
            </w:r>
          </w:p>
        </w:tc>
        <w:tc>
          <w:tcPr>
            <w:tcW w:w="3645" w:type="dxa"/>
            <w:noWrap w:val="0"/>
            <w:vAlign w:val="center"/>
          </w:tcPr>
          <w:p w14:paraId="4AD436A3">
            <w:pPr>
              <w:jc w:val="center"/>
              <w:rPr>
                <w:rFonts w:hint="eastAsia" w:ascii="黑体" w:eastAsia="黑体"/>
                <w:color w:val="auto"/>
                <w:sz w:val="24"/>
                <w:highlight w:val="none"/>
              </w:rPr>
            </w:pPr>
          </w:p>
          <w:p w14:paraId="04B42B28">
            <w:pPr>
              <w:jc w:val="center"/>
              <w:rPr>
                <w:rFonts w:hint="eastAsia" w:ascii="黑体" w:eastAsia="黑体"/>
                <w:color w:val="auto"/>
                <w:sz w:val="24"/>
                <w:highlight w:val="none"/>
              </w:rPr>
            </w:pPr>
            <w:r>
              <w:rPr>
                <w:rFonts w:hint="eastAsia" w:ascii="黑体" w:eastAsia="黑体"/>
                <w:color w:val="auto"/>
                <w:sz w:val="24"/>
                <w:highlight w:val="none"/>
              </w:rPr>
              <w:t>A4</w:t>
            </w:r>
          </w:p>
        </w:tc>
        <w:tc>
          <w:tcPr>
            <w:tcW w:w="3451" w:type="dxa"/>
            <w:noWrap w:val="0"/>
            <w:vAlign w:val="center"/>
          </w:tcPr>
          <w:p w14:paraId="19DFB876">
            <w:pPr>
              <w:jc w:val="center"/>
              <w:rPr>
                <w:rFonts w:ascii="黑体" w:eastAsia="黑体"/>
                <w:color w:val="auto"/>
                <w:sz w:val="24"/>
                <w:highlight w:val="none"/>
              </w:rPr>
            </w:pPr>
            <w:r>
              <w:rPr>
                <w:rFonts w:hint="eastAsia" w:ascii="黑体" w:eastAsia="黑体"/>
                <w:color w:val="auto"/>
                <w:sz w:val="24"/>
                <w:highlight w:val="none"/>
              </w:rPr>
              <w:t>0.4</w:t>
            </w:r>
          </w:p>
        </w:tc>
      </w:tr>
    </w:tbl>
    <w:p w14:paraId="352B30B3">
      <w:pPr>
        <w:rPr>
          <w:color w:val="auto"/>
          <w:highlight w:val="none"/>
        </w:rPr>
      </w:pPr>
    </w:p>
    <w:p w14:paraId="685982CA">
      <w:pPr>
        <w:rPr>
          <w:rFonts w:hint="eastAsia"/>
          <w:color w:val="auto"/>
          <w:highlight w:val="none"/>
        </w:rPr>
      </w:pPr>
    </w:p>
    <w:p w14:paraId="49606CEA">
      <w:pPr>
        <w:rPr>
          <w:rFonts w:hint="eastAsia"/>
          <w:color w:val="auto"/>
          <w:highlight w:val="none"/>
        </w:rPr>
      </w:pPr>
    </w:p>
    <w:p w14:paraId="35B4B0B4">
      <w:pPr>
        <w:rPr>
          <w:rFonts w:hint="eastAsia"/>
          <w:color w:val="auto"/>
          <w:highlight w:val="none"/>
        </w:rPr>
      </w:pPr>
    </w:p>
    <w:p w14:paraId="284E46A8">
      <w:pPr>
        <w:rPr>
          <w:rFonts w:hint="eastAsia"/>
          <w:color w:val="auto"/>
          <w:highlight w:val="none"/>
        </w:rPr>
      </w:pPr>
    </w:p>
    <w:p w14:paraId="4589E63C">
      <w:pPr>
        <w:rPr>
          <w:rFonts w:hint="eastAsia"/>
          <w:color w:val="auto"/>
          <w:highlight w:val="none"/>
        </w:rPr>
      </w:pPr>
    </w:p>
    <w:p w14:paraId="17669D35">
      <w:pPr>
        <w:rPr>
          <w:rFonts w:hint="eastAsia"/>
          <w:color w:val="auto"/>
          <w:highlight w:val="none"/>
        </w:rPr>
      </w:pPr>
    </w:p>
    <w:p w14:paraId="65AFCEF3">
      <w:pPr>
        <w:rPr>
          <w:rFonts w:hint="eastAsia"/>
          <w:color w:val="auto"/>
          <w:highlight w:val="none"/>
        </w:rPr>
      </w:pPr>
    </w:p>
    <w:p w14:paraId="7D4D07EA">
      <w:pPr>
        <w:rPr>
          <w:rFonts w:hint="eastAsia"/>
          <w:color w:val="auto"/>
          <w:highlight w:val="none"/>
        </w:rPr>
      </w:pPr>
    </w:p>
    <w:p w14:paraId="53F1253D">
      <w:pPr>
        <w:rPr>
          <w:rFonts w:hint="eastAsia"/>
          <w:color w:val="auto"/>
          <w:highlight w:val="none"/>
        </w:rPr>
      </w:pPr>
    </w:p>
    <w:p w14:paraId="2093E94D">
      <w:pPr>
        <w:rPr>
          <w:rFonts w:hint="eastAsia"/>
          <w:color w:val="auto"/>
          <w:highlight w:val="none"/>
        </w:rPr>
      </w:pPr>
    </w:p>
    <w:p w14:paraId="7698A691">
      <w:pPr>
        <w:rPr>
          <w:rFonts w:hint="eastAsia"/>
          <w:color w:val="auto"/>
          <w:highlight w:val="none"/>
        </w:rPr>
      </w:pPr>
    </w:p>
    <w:p w14:paraId="1B0EF6AF">
      <w:pPr>
        <w:rPr>
          <w:rFonts w:hint="eastAsia"/>
          <w:color w:val="auto"/>
          <w:highlight w:val="none"/>
        </w:rPr>
      </w:pPr>
    </w:p>
    <w:p w14:paraId="25F1B111">
      <w:pPr>
        <w:rPr>
          <w:rFonts w:hint="eastAsia"/>
          <w:color w:val="auto"/>
          <w:highlight w:val="none"/>
        </w:rPr>
      </w:pPr>
    </w:p>
    <w:p w14:paraId="14199C68">
      <w:pPr>
        <w:rPr>
          <w:rFonts w:hint="eastAsia"/>
          <w:color w:val="auto"/>
          <w:highlight w:val="none"/>
        </w:rPr>
      </w:pPr>
    </w:p>
    <w:p w14:paraId="301DB71D">
      <w:pPr>
        <w:rPr>
          <w:rFonts w:hint="eastAsia"/>
          <w:color w:val="auto"/>
          <w:highlight w:val="none"/>
        </w:rPr>
      </w:pPr>
    </w:p>
    <w:p w14:paraId="66BB5586">
      <w:pPr>
        <w:rPr>
          <w:rFonts w:hint="eastAsia"/>
          <w:color w:val="auto"/>
          <w:highlight w:val="none"/>
        </w:rPr>
      </w:pPr>
    </w:p>
    <w:p w14:paraId="23D793AE">
      <w:pPr>
        <w:rPr>
          <w:rFonts w:hint="eastAsia"/>
          <w:color w:val="auto"/>
          <w:highlight w:val="none"/>
        </w:rPr>
      </w:pPr>
    </w:p>
    <w:p w14:paraId="1E426FA6">
      <w:pPr>
        <w:rPr>
          <w:rFonts w:hint="eastAsia"/>
          <w:color w:val="auto"/>
          <w:highlight w:val="none"/>
        </w:rPr>
      </w:pPr>
    </w:p>
    <w:p w14:paraId="6E23A5E2">
      <w:pPr>
        <w:rPr>
          <w:rFonts w:hint="eastAsia"/>
          <w:color w:val="auto"/>
          <w:highlight w:val="none"/>
        </w:rPr>
      </w:pPr>
    </w:p>
    <w:p w14:paraId="6315BDC6">
      <w:pPr>
        <w:rPr>
          <w:rFonts w:hint="eastAsia"/>
          <w:color w:val="auto"/>
          <w:highlight w:val="none"/>
        </w:rPr>
      </w:pPr>
    </w:p>
    <w:p w14:paraId="06B18879">
      <w:pPr>
        <w:rPr>
          <w:rFonts w:hint="eastAsia"/>
          <w:color w:val="auto"/>
          <w:highlight w:val="none"/>
        </w:rPr>
      </w:pPr>
    </w:p>
    <w:p w14:paraId="6F4AF1DB">
      <w:pPr>
        <w:rPr>
          <w:rFonts w:hint="eastAsia"/>
          <w:color w:val="auto"/>
          <w:highlight w:val="none"/>
        </w:rPr>
      </w:pPr>
    </w:p>
    <w:p w14:paraId="3BC90F85">
      <w:pPr>
        <w:rPr>
          <w:rFonts w:hint="eastAsia"/>
          <w:color w:val="auto"/>
          <w:highlight w:val="none"/>
        </w:rPr>
      </w:pPr>
    </w:p>
    <w:p w14:paraId="1228131C">
      <w:pPr>
        <w:rPr>
          <w:rFonts w:hint="eastAsia"/>
          <w:color w:val="auto"/>
          <w:highlight w:val="none"/>
        </w:rPr>
      </w:pPr>
    </w:p>
    <w:p w14:paraId="0BF645CA">
      <w:pPr>
        <w:spacing w:line="480" w:lineRule="auto"/>
        <w:jc w:val="left"/>
        <w:rPr>
          <w:rFonts w:hint="eastAsia"/>
          <w:color w:val="auto"/>
          <w:sz w:val="28"/>
          <w:szCs w:val="28"/>
          <w:highlight w:val="none"/>
        </w:rPr>
      </w:pPr>
      <w:r>
        <w:rPr>
          <w:rFonts w:hint="eastAsia"/>
          <w:color w:val="auto"/>
          <w:highlight w:val="none"/>
        </w:rPr>
        <w:t>附件</w:t>
      </w:r>
      <w:r>
        <w:rPr>
          <w:rFonts w:hint="eastAsia"/>
          <w:color w:val="auto"/>
          <w:highlight w:val="none"/>
          <w:lang w:val="en-US" w:eastAsia="zh-CN"/>
        </w:rPr>
        <w:t>3</w:t>
      </w:r>
      <w:r>
        <w:rPr>
          <w:rFonts w:hint="eastAsia"/>
          <w:color w:val="auto"/>
          <w:highlight w:val="none"/>
        </w:rPr>
        <w:t>：</w:t>
      </w:r>
    </w:p>
    <w:p w14:paraId="091F077B">
      <w:pPr>
        <w:spacing w:line="480" w:lineRule="auto"/>
        <w:jc w:val="center"/>
        <w:rPr>
          <w:rFonts w:hint="eastAsia"/>
          <w:b/>
          <w:color w:val="auto"/>
          <w:sz w:val="28"/>
          <w:szCs w:val="28"/>
          <w:highlight w:val="none"/>
        </w:rPr>
      </w:pPr>
      <w:r>
        <w:rPr>
          <w:rFonts w:hint="eastAsia"/>
          <w:b/>
          <w:color w:val="auto"/>
          <w:sz w:val="28"/>
          <w:szCs w:val="28"/>
          <w:highlight w:val="none"/>
        </w:rPr>
        <w:t>主要设计人员名单</w:t>
      </w:r>
    </w:p>
    <w:p w14:paraId="046137B8">
      <w:pPr>
        <w:rPr>
          <w:rFonts w:hint="eastAsia"/>
          <w:color w:val="auto"/>
          <w:highlight w:val="none"/>
        </w:rPr>
      </w:pPr>
    </w:p>
    <w:p w14:paraId="0FFF2000">
      <w:pPr>
        <w:rPr>
          <w:rFonts w:hint="eastAsia"/>
          <w:color w:val="auto"/>
          <w:highlight w:val="none"/>
        </w:rPr>
      </w:pPr>
    </w:p>
    <w:p w14:paraId="288A0235">
      <w:pPr>
        <w:rPr>
          <w:rFonts w:hint="eastAsia"/>
          <w:color w:val="auto"/>
          <w:highlight w:val="none"/>
        </w:rPr>
      </w:pPr>
    </w:p>
    <w:p w14:paraId="5F7F3EE0">
      <w:pPr>
        <w:widowControl/>
        <w:adjustRightInd w:val="0"/>
        <w:snapToGrid w:val="0"/>
        <w:spacing w:line="360" w:lineRule="auto"/>
        <w:ind w:firstLine="540" w:firstLineChars="225"/>
        <w:rPr>
          <w:rFonts w:ascii="宋体" w:cs="宋体"/>
          <w:color w:val="auto"/>
          <w:sz w:val="24"/>
          <w:highlight w:val="none"/>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ZXiDengXian-Z06S">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ZHei-B01S">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E89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第%1章"/>
      <w:lvlJc w:val="left"/>
      <w:pPr>
        <w:ind w:left="425" w:firstLine="0"/>
      </w:pPr>
      <w:rPr>
        <w:rFonts w:hint="eastAsia"/>
      </w:rPr>
    </w:lvl>
    <w:lvl w:ilvl="1" w:tentative="0">
      <w:start w:val="1"/>
      <w:numFmt w:val="decimal"/>
      <w:pStyle w:val="3"/>
      <w:isLgl/>
      <w:lvlText w:val="%1.%2"/>
      <w:lvlJc w:val="left"/>
      <w:pPr>
        <w:ind w:left="142" w:hanging="142"/>
      </w:pPr>
      <w:rPr>
        <w:rFonts w:hint="eastAsia" w:ascii="宋体" w:hAnsi="宋体" w:eastAsia="宋体"/>
      </w:rPr>
    </w:lvl>
    <w:lvl w:ilvl="2" w:tentative="0">
      <w:start w:val="1"/>
      <w:numFmt w:val="decimal"/>
      <w:isLgl/>
      <w:lvlText w:val="%1.%2.%3"/>
      <w:lvlJc w:val="left"/>
      <w:pPr>
        <w:ind w:left="425" w:hanging="425"/>
      </w:pPr>
      <w:rPr>
        <w:rFonts w:hint="eastAsia" w:ascii="宋体" w:hAnsi="宋体" w:eastAsia="宋体"/>
      </w:rPr>
    </w:lvl>
    <w:lvl w:ilvl="3" w:tentative="0">
      <w:start w:val="1"/>
      <w:numFmt w:val="decimal"/>
      <w:isLgl/>
      <w:lvlText w:val="%1.%2.%3.%4"/>
      <w:lvlJc w:val="left"/>
      <w:pPr>
        <w:ind w:left="425" w:firstLine="0"/>
      </w:pPr>
      <w:rPr>
        <w:rFonts w:hint="eastAsia"/>
      </w:rPr>
    </w:lvl>
    <w:lvl w:ilvl="4" w:tentative="0">
      <w:start w:val="1"/>
      <w:numFmt w:val="decimal"/>
      <w:isLgl/>
      <w:lvlText w:val="%1.%2.%3.%4.%5"/>
      <w:lvlJc w:val="left"/>
      <w:pPr>
        <w:ind w:left="425"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425" w:firstLine="0"/>
      </w:pPr>
      <w:rPr>
        <w:rFonts w:hint="eastAsia"/>
      </w:rPr>
    </w:lvl>
    <w:lvl w:ilvl="7" w:tentative="0">
      <w:start w:val="1"/>
      <w:numFmt w:val="decimal"/>
      <w:lvlText w:val="%1.%2.%3.%4.%5.%6.%7.%8"/>
      <w:lvlJc w:val="left"/>
      <w:pPr>
        <w:ind w:left="425" w:firstLine="0"/>
      </w:pPr>
      <w:rPr>
        <w:rFonts w:hint="eastAsia"/>
      </w:rPr>
    </w:lvl>
    <w:lvl w:ilvl="8" w:tentative="0">
      <w:start w:val="1"/>
      <w:numFmt w:val="decimal"/>
      <w:lvlText w:val="%1.%2.%3.%4.%5.%6.%7.%8.%9"/>
      <w:lvlJc w:val="left"/>
      <w:pPr>
        <w:ind w:left="425" w:firstLine="0"/>
      </w:pPr>
      <w:rPr>
        <w:rFonts w:hint="eastAsia"/>
      </w:rPr>
    </w:lvl>
  </w:abstractNum>
  <w:abstractNum w:abstractNumId="1">
    <w:nsid w:val="0000000A"/>
    <w:multiLevelType w:val="multilevel"/>
    <w:tmpl w:val="0000000A"/>
    <w:lvl w:ilvl="0" w:tentative="0">
      <w:start w:val="2"/>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EB40B2C"/>
    <w:multiLevelType w:val="singleLevel"/>
    <w:tmpl w:val="6EB40B2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00292B36"/>
    <w:rsid w:val="0000138D"/>
    <w:rsid w:val="00001477"/>
    <w:rsid w:val="00001BDC"/>
    <w:rsid w:val="00004922"/>
    <w:rsid w:val="00010A92"/>
    <w:rsid w:val="00011B4F"/>
    <w:rsid w:val="000136ED"/>
    <w:rsid w:val="0002247D"/>
    <w:rsid w:val="00024BED"/>
    <w:rsid w:val="00033918"/>
    <w:rsid w:val="0004706E"/>
    <w:rsid w:val="000529F1"/>
    <w:rsid w:val="00054918"/>
    <w:rsid w:val="00054949"/>
    <w:rsid w:val="000575CA"/>
    <w:rsid w:val="00063000"/>
    <w:rsid w:val="000643DD"/>
    <w:rsid w:val="00066709"/>
    <w:rsid w:val="000707C0"/>
    <w:rsid w:val="00074637"/>
    <w:rsid w:val="00075F59"/>
    <w:rsid w:val="000826C0"/>
    <w:rsid w:val="000848CE"/>
    <w:rsid w:val="0009420F"/>
    <w:rsid w:val="00094399"/>
    <w:rsid w:val="00096647"/>
    <w:rsid w:val="00096881"/>
    <w:rsid w:val="000975AB"/>
    <w:rsid w:val="000A4886"/>
    <w:rsid w:val="000B1D7A"/>
    <w:rsid w:val="000B30D3"/>
    <w:rsid w:val="000B31BE"/>
    <w:rsid w:val="000B39B9"/>
    <w:rsid w:val="000C0082"/>
    <w:rsid w:val="000C0937"/>
    <w:rsid w:val="000C38DC"/>
    <w:rsid w:val="000C6464"/>
    <w:rsid w:val="000C689B"/>
    <w:rsid w:val="000C6FB5"/>
    <w:rsid w:val="000C77CB"/>
    <w:rsid w:val="000C7D33"/>
    <w:rsid w:val="000D1610"/>
    <w:rsid w:val="000D35AE"/>
    <w:rsid w:val="000D572E"/>
    <w:rsid w:val="000D74A8"/>
    <w:rsid w:val="000E0720"/>
    <w:rsid w:val="000E4492"/>
    <w:rsid w:val="000E5E49"/>
    <w:rsid w:val="000F1AA1"/>
    <w:rsid w:val="000F315B"/>
    <w:rsid w:val="000F676C"/>
    <w:rsid w:val="001008B5"/>
    <w:rsid w:val="00102530"/>
    <w:rsid w:val="00107848"/>
    <w:rsid w:val="0011035E"/>
    <w:rsid w:val="00112B9D"/>
    <w:rsid w:val="00113A77"/>
    <w:rsid w:val="0011619B"/>
    <w:rsid w:val="00122487"/>
    <w:rsid w:val="0012653F"/>
    <w:rsid w:val="001273E9"/>
    <w:rsid w:val="00127D46"/>
    <w:rsid w:val="001326FF"/>
    <w:rsid w:val="00135660"/>
    <w:rsid w:val="00137649"/>
    <w:rsid w:val="00142653"/>
    <w:rsid w:val="00142A06"/>
    <w:rsid w:val="001478C6"/>
    <w:rsid w:val="00152286"/>
    <w:rsid w:val="00153272"/>
    <w:rsid w:val="00156A3D"/>
    <w:rsid w:val="00162A13"/>
    <w:rsid w:val="00170D3C"/>
    <w:rsid w:val="001715BA"/>
    <w:rsid w:val="001729BE"/>
    <w:rsid w:val="001763DD"/>
    <w:rsid w:val="00176C45"/>
    <w:rsid w:val="0017792B"/>
    <w:rsid w:val="00186C08"/>
    <w:rsid w:val="00186E63"/>
    <w:rsid w:val="00192933"/>
    <w:rsid w:val="00194DF2"/>
    <w:rsid w:val="001A3DC4"/>
    <w:rsid w:val="001A61C3"/>
    <w:rsid w:val="001B1A35"/>
    <w:rsid w:val="001B6ADC"/>
    <w:rsid w:val="001B7DCC"/>
    <w:rsid w:val="001C0685"/>
    <w:rsid w:val="001C2EDA"/>
    <w:rsid w:val="001C38F9"/>
    <w:rsid w:val="001C4A2C"/>
    <w:rsid w:val="001C7523"/>
    <w:rsid w:val="001C7B8C"/>
    <w:rsid w:val="001D40DD"/>
    <w:rsid w:val="001D4366"/>
    <w:rsid w:val="001D46D8"/>
    <w:rsid w:val="001D4815"/>
    <w:rsid w:val="001D7A26"/>
    <w:rsid w:val="001E15AF"/>
    <w:rsid w:val="001E363B"/>
    <w:rsid w:val="001E59BA"/>
    <w:rsid w:val="001F09ED"/>
    <w:rsid w:val="001F406C"/>
    <w:rsid w:val="001F437A"/>
    <w:rsid w:val="001F4DBF"/>
    <w:rsid w:val="00203EAB"/>
    <w:rsid w:val="00204155"/>
    <w:rsid w:val="0021167B"/>
    <w:rsid w:val="00216FE6"/>
    <w:rsid w:val="00220084"/>
    <w:rsid w:val="00220B2D"/>
    <w:rsid w:val="00222518"/>
    <w:rsid w:val="0022305D"/>
    <w:rsid w:val="0022387C"/>
    <w:rsid w:val="00226226"/>
    <w:rsid w:val="002305F7"/>
    <w:rsid w:val="00231170"/>
    <w:rsid w:val="00233CE8"/>
    <w:rsid w:val="00237D31"/>
    <w:rsid w:val="00242DF1"/>
    <w:rsid w:val="00243BF9"/>
    <w:rsid w:val="0024631E"/>
    <w:rsid w:val="002549DA"/>
    <w:rsid w:val="00254CD6"/>
    <w:rsid w:val="0026044F"/>
    <w:rsid w:val="00261076"/>
    <w:rsid w:val="00262471"/>
    <w:rsid w:val="00266834"/>
    <w:rsid w:val="00266B05"/>
    <w:rsid w:val="00266C4C"/>
    <w:rsid w:val="00267420"/>
    <w:rsid w:val="00267C5E"/>
    <w:rsid w:val="0027401D"/>
    <w:rsid w:val="00274C72"/>
    <w:rsid w:val="00274D45"/>
    <w:rsid w:val="00280CB1"/>
    <w:rsid w:val="00284483"/>
    <w:rsid w:val="0028717B"/>
    <w:rsid w:val="00292B36"/>
    <w:rsid w:val="00294BBC"/>
    <w:rsid w:val="0029574A"/>
    <w:rsid w:val="00297608"/>
    <w:rsid w:val="00297AAF"/>
    <w:rsid w:val="002A0BD2"/>
    <w:rsid w:val="002A2426"/>
    <w:rsid w:val="002A4DC7"/>
    <w:rsid w:val="002A6597"/>
    <w:rsid w:val="002B4E3F"/>
    <w:rsid w:val="002C0EF6"/>
    <w:rsid w:val="002D115A"/>
    <w:rsid w:val="002D1C23"/>
    <w:rsid w:val="002D366C"/>
    <w:rsid w:val="002E58F6"/>
    <w:rsid w:val="002E6778"/>
    <w:rsid w:val="002E758D"/>
    <w:rsid w:val="002F3315"/>
    <w:rsid w:val="002F442A"/>
    <w:rsid w:val="003001EA"/>
    <w:rsid w:val="003064F6"/>
    <w:rsid w:val="00311341"/>
    <w:rsid w:val="00312C09"/>
    <w:rsid w:val="00313142"/>
    <w:rsid w:val="00313219"/>
    <w:rsid w:val="00326252"/>
    <w:rsid w:val="00333214"/>
    <w:rsid w:val="00335A4D"/>
    <w:rsid w:val="00336702"/>
    <w:rsid w:val="0034133F"/>
    <w:rsid w:val="00341961"/>
    <w:rsid w:val="003456D2"/>
    <w:rsid w:val="00345FFF"/>
    <w:rsid w:val="003501E6"/>
    <w:rsid w:val="00350603"/>
    <w:rsid w:val="003513A4"/>
    <w:rsid w:val="0035459D"/>
    <w:rsid w:val="00356A20"/>
    <w:rsid w:val="0036031E"/>
    <w:rsid w:val="00362AAE"/>
    <w:rsid w:val="00372CEC"/>
    <w:rsid w:val="0037323E"/>
    <w:rsid w:val="00380B96"/>
    <w:rsid w:val="0038144C"/>
    <w:rsid w:val="00382009"/>
    <w:rsid w:val="00383594"/>
    <w:rsid w:val="0038440B"/>
    <w:rsid w:val="003856C7"/>
    <w:rsid w:val="00385F78"/>
    <w:rsid w:val="0039226F"/>
    <w:rsid w:val="00392B6B"/>
    <w:rsid w:val="00393690"/>
    <w:rsid w:val="00393700"/>
    <w:rsid w:val="00396DDF"/>
    <w:rsid w:val="00397C10"/>
    <w:rsid w:val="00397D21"/>
    <w:rsid w:val="003A56D5"/>
    <w:rsid w:val="003A6045"/>
    <w:rsid w:val="003B07CD"/>
    <w:rsid w:val="003C15FF"/>
    <w:rsid w:val="003C4115"/>
    <w:rsid w:val="003C49ED"/>
    <w:rsid w:val="003D0225"/>
    <w:rsid w:val="003D6F17"/>
    <w:rsid w:val="003E1C3C"/>
    <w:rsid w:val="003E28E5"/>
    <w:rsid w:val="003E429E"/>
    <w:rsid w:val="003E6104"/>
    <w:rsid w:val="003F4731"/>
    <w:rsid w:val="003F4B22"/>
    <w:rsid w:val="003F57D1"/>
    <w:rsid w:val="003F6543"/>
    <w:rsid w:val="003F6A0E"/>
    <w:rsid w:val="003F7C10"/>
    <w:rsid w:val="00400A4E"/>
    <w:rsid w:val="004026D2"/>
    <w:rsid w:val="00402D2D"/>
    <w:rsid w:val="00402E67"/>
    <w:rsid w:val="00404818"/>
    <w:rsid w:val="004113D2"/>
    <w:rsid w:val="00411974"/>
    <w:rsid w:val="00413479"/>
    <w:rsid w:val="004172AA"/>
    <w:rsid w:val="00422346"/>
    <w:rsid w:val="00430CC4"/>
    <w:rsid w:val="00431188"/>
    <w:rsid w:val="004312F2"/>
    <w:rsid w:val="00434065"/>
    <w:rsid w:val="004344B1"/>
    <w:rsid w:val="00436CDE"/>
    <w:rsid w:val="00443E66"/>
    <w:rsid w:val="00444875"/>
    <w:rsid w:val="004449A6"/>
    <w:rsid w:val="00450325"/>
    <w:rsid w:val="004579F2"/>
    <w:rsid w:val="00460739"/>
    <w:rsid w:val="00461B7A"/>
    <w:rsid w:val="004649E0"/>
    <w:rsid w:val="0046578F"/>
    <w:rsid w:val="00472238"/>
    <w:rsid w:val="00472664"/>
    <w:rsid w:val="004752A3"/>
    <w:rsid w:val="00480B30"/>
    <w:rsid w:val="0048686D"/>
    <w:rsid w:val="00490816"/>
    <w:rsid w:val="00490E66"/>
    <w:rsid w:val="004922B0"/>
    <w:rsid w:val="00492617"/>
    <w:rsid w:val="00492E22"/>
    <w:rsid w:val="00494F9B"/>
    <w:rsid w:val="00496044"/>
    <w:rsid w:val="004A35E5"/>
    <w:rsid w:val="004A5953"/>
    <w:rsid w:val="004A7857"/>
    <w:rsid w:val="004B12A3"/>
    <w:rsid w:val="004B2192"/>
    <w:rsid w:val="004B34BF"/>
    <w:rsid w:val="004C25FD"/>
    <w:rsid w:val="004C2FCC"/>
    <w:rsid w:val="004C5BD2"/>
    <w:rsid w:val="004C604E"/>
    <w:rsid w:val="004C7A43"/>
    <w:rsid w:val="004D1AF8"/>
    <w:rsid w:val="004D23C8"/>
    <w:rsid w:val="004D44A6"/>
    <w:rsid w:val="004D6F92"/>
    <w:rsid w:val="004E45BD"/>
    <w:rsid w:val="004E5886"/>
    <w:rsid w:val="004E6D2C"/>
    <w:rsid w:val="004F028A"/>
    <w:rsid w:val="004F0C2C"/>
    <w:rsid w:val="004F1056"/>
    <w:rsid w:val="004F15DD"/>
    <w:rsid w:val="004F5000"/>
    <w:rsid w:val="004F5011"/>
    <w:rsid w:val="004F71BA"/>
    <w:rsid w:val="0050282C"/>
    <w:rsid w:val="005052B3"/>
    <w:rsid w:val="00506DCA"/>
    <w:rsid w:val="00510516"/>
    <w:rsid w:val="00513998"/>
    <w:rsid w:val="00514392"/>
    <w:rsid w:val="00520604"/>
    <w:rsid w:val="005248F6"/>
    <w:rsid w:val="00525B9F"/>
    <w:rsid w:val="00526B93"/>
    <w:rsid w:val="00527D3A"/>
    <w:rsid w:val="00530572"/>
    <w:rsid w:val="00535D40"/>
    <w:rsid w:val="005370DC"/>
    <w:rsid w:val="0054271A"/>
    <w:rsid w:val="00545744"/>
    <w:rsid w:val="005463B7"/>
    <w:rsid w:val="00550B87"/>
    <w:rsid w:val="00553E6D"/>
    <w:rsid w:val="0055518E"/>
    <w:rsid w:val="00557D5B"/>
    <w:rsid w:val="00562505"/>
    <w:rsid w:val="0056385E"/>
    <w:rsid w:val="00563D28"/>
    <w:rsid w:val="00564233"/>
    <w:rsid w:val="00566F48"/>
    <w:rsid w:val="00567379"/>
    <w:rsid w:val="005705C1"/>
    <w:rsid w:val="00575EF0"/>
    <w:rsid w:val="00576E7D"/>
    <w:rsid w:val="00576F73"/>
    <w:rsid w:val="00583B48"/>
    <w:rsid w:val="005937E6"/>
    <w:rsid w:val="00596C45"/>
    <w:rsid w:val="0059795C"/>
    <w:rsid w:val="005A1AAB"/>
    <w:rsid w:val="005A78DD"/>
    <w:rsid w:val="005A7B35"/>
    <w:rsid w:val="005B1223"/>
    <w:rsid w:val="005B1E21"/>
    <w:rsid w:val="005B22B6"/>
    <w:rsid w:val="005B4214"/>
    <w:rsid w:val="005C3745"/>
    <w:rsid w:val="005C7E9A"/>
    <w:rsid w:val="005D4233"/>
    <w:rsid w:val="005D7DF7"/>
    <w:rsid w:val="005E3B62"/>
    <w:rsid w:val="005F0CB6"/>
    <w:rsid w:val="005F1384"/>
    <w:rsid w:val="005F1E49"/>
    <w:rsid w:val="005F2D7F"/>
    <w:rsid w:val="005F6136"/>
    <w:rsid w:val="005F7E24"/>
    <w:rsid w:val="00602E0D"/>
    <w:rsid w:val="00610EC4"/>
    <w:rsid w:val="00622055"/>
    <w:rsid w:val="006272D5"/>
    <w:rsid w:val="006327B0"/>
    <w:rsid w:val="006401FE"/>
    <w:rsid w:val="006406B2"/>
    <w:rsid w:val="00646321"/>
    <w:rsid w:val="00647572"/>
    <w:rsid w:val="006478FD"/>
    <w:rsid w:val="006479E8"/>
    <w:rsid w:val="006500AB"/>
    <w:rsid w:val="006575AB"/>
    <w:rsid w:val="00662B06"/>
    <w:rsid w:val="00663ADB"/>
    <w:rsid w:val="00664398"/>
    <w:rsid w:val="006663F8"/>
    <w:rsid w:val="00682110"/>
    <w:rsid w:val="00682610"/>
    <w:rsid w:val="00683726"/>
    <w:rsid w:val="00683B4E"/>
    <w:rsid w:val="006B023E"/>
    <w:rsid w:val="006B0B4E"/>
    <w:rsid w:val="006B0F93"/>
    <w:rsid w:val="006B3490"/>
    <w:rsid w:val="006B458C"/>
    <w:rsid w:val="006B7CF4"/>
    <w:rsid w:val="006B7E91"/>
    <w:rsid w:val="006C480F"/>
    <w:rsid w:val="006C7127"/>
    <w:rsid w:val="006D4E34"/>
    <w:rsid w:val="006E14F8"/>
    <w:rsid w:val="006E64E4"/>
    <w:rsid w:val="006F541B"/>
    <w:rsid w:val="006F55F6"/>
    <w:rsid w:val="007023D7"/>
    <w:rsid w:val="00705338"/>
    <w:rsid w:val="007065B9"/>
    <w:rsid w:val="00706840"/>
    <w:rsid w:val="00706B30"/>
    <w:rsid w:val="00707411"/>
    <w:rsid w:val="00713272"/>
    <w:rsid w:val="00716433"/>
    <w:rsid w:val="00723438"/>
    <w:rsid w:val="0072475C"/>
    <w:rsid w:val="007259D7"/>
    <w:rsid w:val="00726036"/>
    <w:rsid w:val="0073411E"/>
    <w:rsid w:val="0073647F"/>
    <w:rsid w:val="00742525"/>
    <w:rsid w:val="007425D4"/>
    <w:rsid w:val="00742D42"/>
    <w:rsid w:val="00745986"/>
    <w:rsid w:val="0074722D"/>
    <w:rsid w:val="00752A9F"/>
    <w:rsid w:val="00752F88"/>
    <w:rsid w:val="00767B28"/>
    <w:rsid w:val="007713C1"/>
    <w:rsid w:val="00771BAA"/>
    <w:rsid w:val="00772925"/>
    <w:rsid w:val="00772DE9"/>
    <w:rsid w:val="00773186"/>
    <w:rsid w:val="00774815"/>
    <w:rsid w:val="00774ED8"/>
    <w:rsid w:val="00774FAA"/>
    <w:rsid w:val="00775B88"/>
    <w:rsid w:val="0077639D"/>
    <w:rsid w:val="007807A9"/>
    <w:rsid w:val="00780947"/>
    <w:rsid w:val="007826B4"/>
    <w:rsid w:val="00790892"/>
    <w:rsid w:val="00791F04"/>
    <w:rsid w:val="00793E60"/>
    <w:rsid w:val="00795F3F"/>
    <w:rsid w:val="007A0CF9"/>
    <w:rsid w:val="007B187A"/>
    <w:rsid w:val="007B1ECA"/>
    <w:rsid w:val="007B2851"/>
    <w:rsid w:val="007B4EC9"/>
    <w:rsid w:val="007C42B9"/>
    <w:rsid w:val="007C673C"/>
    <w:rsid w:val="007D2776"/>
    <w:rsid w:val="007D2FDB"/>
    <w:rsid w:val="007D4CC2"/>
    <w:rsid w:val="007F08DB"/>
    <w:rsid w:val="007F1212"/>
    <w:rsid w:val="007F1E0E"/>
    <w:rsid w:val="007F2537"/>
    <w:rsid w:val="007F25CC"/>
    <w:rsid w:val="007F4B77"/>
    <w:rsid w:val="007F5493"/>
    <w:rsid w:val="007F56E2"/>
    <w:rsid w:val="007F7177"/>
    <w:rsid w:val="00803992"/>
    <w:rsid w:val="00803EF8"/>
    <w:rsid w:val="00804ABC"/>
    <w:rsid w:val="0080515B"/>
    <w:rsid w:val="00810ADC"/>
    <w:rsid w:val="008113AE"/>
    <w:rsid w:val="00811451"/>
    <w:rsid w:val="00816FE4"/>
    <w:rsid w:val="00820D59"/>
    <w:rsid w:val="00835038"/>
    <w:rsid w:val="00836D23"/>
    <w:rsid w:val="008371E7"/>
    <w:rsid w:val="0084371B"/>
    <w:rsid w:val="00846BE3"/>
    <w:rsid w:val="00847C37"/>
    <w:rsid w:val="00852F78"/>
    <w:rsid w:val="00853668"/>
    <w:rsid w:val="008574F2"/>
    <w:rsid w:val="00860626"/>
    <w:rsid w:val="00864013"/>
    <w:rsid w:val="0086409D"/>
    <w:rsid w:val="008709FA"/>
    <w:rsid w:val="00872F63"/>
    <w:rsid w:val="00874199"/>
    <w:rsid w:val="008773DB"/>
    <w:rsid w:val="008804C8"/>
    <w:rsid w:val="00881128"/>
    <w:rsid w:val="008900D4"/>
    <w:rsid w:val="0089605F"/>
    <w:rsid w:val="00896EE3"/>
    <w:rsid w:val="008A59EE"/>
    <w:rsid w:val="008A6C7C"/>
    <w:rsid w:val="008B0C98"/>
    <w:rsid w:val="008B3317"/>
    <w:rsid w:val="008C2C2D"/>
    <w:rsid w:val="008C727D"/>
    <w:rsid w:val="008D32C3"/>
    <w:rsid w:val="008D3EB5"/>
    <w:rsid w:val="008D3F01"/>
    <w:rsid w:val="008D5E6B"/>
    <w:rsid w:val="008D779D"/>
    <w:rsid w:val="008E2036"/>
    <w:rsid w:val="008E3184"/>
    <w:rsid w:val="008E487C"/>
    <w:rsid w:val="008E4BC8"/>
    <w:rsid w:val="008E54D0"/>
    <w:rsid w:val="008E68BF"/>
    <w:rsid w:val="008F66EE"/>
    <w:rsid w:val="008F7BE9"/>
    <w:rsid w:val="0090684E"/>
    <w:rsid w:val="009103F8"/>
    <w:rsid w:val="00912677"/>
    <w:rsid w:val="00912FA3"/>
    <w:rsid w:val="009147A5"/>
    <w:rsid w:val="00914ECA"/>
    <w:rsid w:val="00916EFD"/>
    <w:rsid w:val="00920D94"/>
    <w:rsid w:val="0092251B"/>
    <w:rsid w:val="00922BCD"/>
    <w:rsid w:val="00923F7E"/>
    <w:rsid w:val="0092553B"/>
    <w:rsid w:val="0093397A"/>
    <w:rsid w:val="009342BD"/>
    <w:rsid w:val="00940861"/>
    <w:rsid w:val="00940CCC"/>
    <w:rsid w:val="0094546E"/>
    <w:rsid w:val="009473B6"/>
    <w:rsid w:val="009525B2"/>
    <w:rsid w:val="009550B5"/>
    <w:rsid w:val="0097134D"/>
    <w:rsid w:val="00971A71"/>
    <w:rsid w:val="00971FDF"/>
    <w:rsid w:val="00973196"/>
    <w:rsid w:val="00975549"/>
    <w:rsid w:val="009772BD"/>
    <w:rsid w:val="00980106"/>
    <w:rsid w:val="00980455"/>
    <w:rsid w:val="00986544"/>
    <w:rsid w:val="009868E0"/>
    <w:rsid w:val="00987EFE"/>
    <w:rsid w:val="00990071"/>
    <w:rsid w:val="00990A7A"/>
    <w:rsid w:val="0099242F"/>
    <w:rsid w:val="00992760"/>
    <w:rsid w:val="00992C91"/>
    <w:rsid w:val="009A2470"/>
    <w:rsid w:val="009A3E8F"/>
    <w:rsid w:val="009A3EB4"/>
    <w:rsid w:val="009A69D7"/>
    <w:rsid w:val="009A7F6A"/>
    <w:rsid w:val="009B1CE6"/>
    <w:rsid w:val="009B3BEA"/>
    <w:rsid w:val="009B3D1B"/>
    <w:rsid w:val="009B660F"/>
    <w:rsid w:val="009C149C"/>
    <w:rsid w:val="009D4DC8"/>
    <w:rsid w:val="009E1427"/>
    <w:rsid w:val="009E577A"/>
    <w:rsid w:val="009E5D90"/>
    <w:rsid w:val="009F032A"/>
    <w:rsid w:val="009F08F0"/>
    <w:rsid w:val="009F481F"/>
    <w:rsid w:val="00A02743"/>
    <w:rsid w:val="00A043A9"/>
    <w:rsid w:val="00A14EA3"/>
    <w:rsid w:val="00A24307"/>
    <w:rsid w:val="00A30FCC"/>
    <w:rsid w:val="00A37264"/>
    <w:rsid w:val="00A40D34"/>
    <w:rsid w:val="00A43826"/>
    <w:rsid w:val="00A447F6"/>
    <w:rsid w:val="00A54539"/>
    <w:rsid w:val="00A56149"/>
    <w:rsid w:val="00A60717"/>
    <w:rsid w:val="00A62988"/>
    <w:rsid w:val="00A62D38"/>
    <w:rsid w:val="00A70943"/>
    <w:rsid w:val="00A71BFC"/>
    <w:rsid w:val="00A75B8D"/>
    <w:rsid w:val="00A77134"/>
    <w:rsid w:val="00A8078F"/>
    <w:rsid w:val="00A83A91"/>
    <w:rsid w:val="00A85918"/>
    <w:rsid w:val="00A90D33"/>
    <w:rsid w:val="00A950B6"/>
    <w:rsid w:val="00AA2B88"/>
    <w:rsid w:val="00AA6240"/>
    <w:rsid w:val="00AA6952"/>
    <w:rsid w:val="00AB0956"/>
    <w:rsid w:val="00AB143A"/>
    <w:rsid w:val="00AB2F0F"/>
    <w:rsid w:val="00AB316C"/>
    <w:rsid w:val="00AB3328"/>
    <w:rsid w:val="00AB78D7"/>
    <w:rsid w:val="00AC5070"/>
    <w:rsid w:val="00AC66E0"/>
    <w:rsid w:val="00AC6E4C"/>
    <w:rsid w:val="00AC7272"/>
    <w:rsid w:val="00AC760A"/>
    <w:rsid w:val="00AD093A"/>
    <w:rsid w:val="00AD2482"/>
    <w:rsid w:val="00AD2FF4"/>
    <w:rsid w:val="00AD44CE"/>
    <w:rsid w:val="00AD48BE"/>
    <w:rsid w:val="00AD5F51"/>
    <w:rsid w:val="00AD666E"/>
    <w:rsid w:val="00AE27FB"/>
    <w:rsid w:val="00AE4CFB"/>
    <w:rsid w:val="00AE731A"/>
    <w:rsid w:val="00AF1942"/>
    <w:rsid w:val="00AF37AF"/>
    <w:rsid w:val="00AF6BC2"/>
    <w:rsid w:val="00AF7A9F"/>
    <w:rsid w:val="00B032A3"/>
    <w:rsid w:val="00B06634"/>
    <w:rsid w:val="00B102DB"/>
    <w:rsid w:val="00B10F63"/>
    <w:rsid w:val="00B11058"/>
    <w:rsid w:val="00B11420"/>
    <w:rsid w:val="00B12C39"/>
    <w:rsid w:val="00B14957"/>
    <w:rsid w:val="00B16038"/>
    <w:rsid w:val="00B1613F"/>
    <w:rsid w:val="00B166E3"/>
    <w:rsid w:val="00B16C4A"/>
    <w:rsid w:val="00B2164F"/>
    <w:rsid w:val="00B456BC"/>
    <w:rsid w:val="00B464C4"/>
    <w:rsid w:val="00B51D0C"/>
    <w:rsid w:val="00B552A5"/>
    <w:rsid w:val="00B55D10"/>
    <w:rsid w:val="00B62987"/>
    <w:rsid w:val="00B660B1"/>
    <w:rsid w:val="00B667B4"/>
    <w:rsid w:val="00B70895"/>
    <w:rsid w:val="00B77090"/>
    <w:rsid w:val="00B77D03"/>
    <w:rsid w:val="00B82154"/>
    <w:rsid w:val="00B836D7"/>
    <w:rsid w:val="00B91411"/>
    <w:rsid w:val="00BA0B46"/>
    <w:rsid w:val="00BA38C8"/>
    <w:rsid w:val="00BB3660"/>
    <w:rsid w:val="00BB41EC"/>
    <w:rsid w:val="00BB4E8C"/>
    <w:rsid w:val="00BB55C1"/>
    <w:rsid w:val="00BB7060"/>
    <w:rsid w:val="00BC0619"/>
    <w:rsid w:val="00BC07B3"/>
    <w:rsid w:val="00BC24E6"/>
    <w:rsid w:val="00BC4250"/>
    <w:rsid w:val="00BD4742"/>
    <w:rsid w:val="00BD5E8F"/>
    <w:rsid w:val="00BE40F8"/>
    <w:rsid w:val="00BE47EF"/>
    <w:rsid w:val="00BE5B1B"/>
    <w:rsid w:val="00BE603F"/>
    <w:rsid w:val="00BE6E5C"/>
    <w:rsid w:val="00BE742B"/>
    <w:rsid w:val="00BE797C"/>
    <w:rsid w:val="00BF1856"/>
    <w:rsid w:val="00BF4420"/>
    <w:rsid w:val="00C005F3"/>
    <w:rsid w:val="00C04052"/>
    <w:rsid w:val="00C04424"/>
    <w:rsid w:val="00C057DE"/>
    <w:rsid w:val="00C10CA0"/>
    <w:rsid w:val="00C13BB4"/>
    <w:rsid w:val="00C13D76"/>
    <w:rsid w:val="00C17D1C"/>
    <w:rsid w:val="00C22676"/>
    <w:rsid w:val="00C25B01"/>
    <w:rsid w:val="00C26389"/>
    <w:rsid w:val="00C277FE"/>
    <w:rsid w:val="00C277FF"/>
    <w:rsid w:val="00C32B4D"/>
    <w:rsid w:val="00C34641"/>
    <w:rsid w:val="00C34A66"/>
    <w:rsid w:val="00C35A05"/>
    <w:rsid w:val="00C35D6E"/>
    <w:rsid w:val="00C363B4"/>
    <w:rsid w:val="00C3649C"/>
    <w:rsid w:val="00C40C4A"/>
    <w:rsid w:val="00C41842"/>
    <w:rsid w:val="00C41B01"/>
    <w:rsid w:val="00C43452"/>
    <w:rsid w:val="00C4380C"/>
    <w:rsid w:val="00C44B05"/>
    <w:rsid w:val="00C459D0"/>
    <w:rsid w:val="00C51D4B"/>
    <w:rsid w:val="00C52F38"/>
    <w:rsid w:val="00C5368A"/>
    <w:rsid w:val="00C5501F"/>
    <w:rsid w:val="00C56825"/>
    <w:rsid w:val="00C577F2"/>
    <w:rsid w:val="00C655C9"/>
    <w:rsid w:val="00C67764"/>
    <w:rsid w:val="00C70483"/>
    <w:rsid w:val="00C72064"/>
    <w:rsid w:val="00C74182"/>
    <w:rsid w:val="00C853A6"/>
    <w:rsid w:val="00C92054"/>
    <w:rsid w:val="00C92B28"/>
    <w:rsid w:val="00C96662"/>
    <w:rsid w:val="00CA4C79"/>
    <w:rsid w:val="00CB199D"/>
    <w:rsid w:val="00CB6DE9"/>
    <w:rsid w:val="00CB7797"/>
    <w:rsid w:val="00CB7F69"/>
    <w:rsid w:val="00CC091D"/>
    <w:rsid w:val="00CC10C7"/>
    <w:rsid w:val="00CC1A8D"/>
    <w:rsid w:val="00CC2655"/>
    <w:rsid w:val="00CC5F8A"/>
    <w:rsid w:val="00CC6084"/>
    <w:rsid w:val="00CD199B"/>
    <w:rsid w:val="00CD572D"/>
    <w:rsid w:val="00CE1D84"/>
    <w:rsid w:val="00CE49E4"/>
    <w:rsid w:val="00CE6191"/>
    <w:rsid w:val="00CF0A10"/>
    <w:rsid w:val="00CF4F10"/>
    <w:rsid w:val="00D02489"/>
    <w:rsid w:val="00D027B1"/>
    <w:rsid w:val="00D22450"/>
    <w:rsid w:val="00D2504E"/>
    <w:rsid w:val="00D30AEE"/>
    <w:rsid w:val="00D32E49"/>
    <w:rsid w:val="00D364C5"/>
    <w:rsid w:val="00D376C7"/>
    <w:rsid w:val="00D416E9"/>
    <w:rsid w:val="00D41CF6"/>
    <w:rsid w:val="00D42762"/>
    <w:rsid w:val="00D46177"/>
    <w:rsid w:val="00D54592"/>
    <w:rsid w:val="00D55711"/>
    <w:rsid w:val="00D55C99"/>
    <w:rsid w:val="00D60E6F"/>
    <w:rsid w:val="00D645B2"/>
    <w:rsid w:val="00D64D29"/>
    <w:rsid w:val="00D657C7"/>
    <w:rsid w:val="00D70F30"/>
    <w:rsid w:val="00D72683"/>
    <w:rsid w:val="00D80DAB"/>
    <w:rsid w:val="00D814A4"/>
    <w:rsid w:val="00D82534"/>
    <w:rsid w:val="00D82F60"/>
    <w:rsid w:val="00D83841"/>
    <w:rsid w:val="00D86BAD"/>
    <w:rsid w:val="00D93325"/>
    <w:rsid w:val="00D94F99"/>
    <w:rsid w:val="00D96543"/>
    <w:rsid w:val="00D975D5"/>
    <w:rsid w:val="00D97F77"/>
    <w:rsid w:val="00DB42A1"/>
    <w:rsid w:val="00DC0622"/>
    <w:rsid w:val="00DC0CAA"/>
    <w:rsid w:val="00DC3291"/>
    <w:rsid w:val="00DC40E1"/>
    <w:rsid w:val="00DC4C2C"/>
    <w:rsid w:val="00DC6663"/>
    <w:rsid w:val="00DD2F07"/>
    <w:rsid w:val="00DD3682"/>
    <w:rsid w:val="00DD6BE4"/>
    <w:rsid w:val="00DE3F57"/>
    <w:rsid w:val="00DE57A4"/>
    <w:rsid w:val="00DE6F22"/>
    <w:rsid w:val="00DF4A96"/>
    <w:rsid w:val="00DF6DA6"/>
    <w:rsid w:val="00E01259"/>
    <w:rsid w:val="00E0730C"/>
    <w:rsid w:val="00E1170E"/>
    <w:rsid w:val="00E12C72"/>
    <w:rsid w:val="00E13C64"/>
    <w:rsid w:val="00E15CBD"/>
    <w:rsid w:val="00E16B73"/>
    <w:rsid w:val="00E2045E"/>
    <w:rsid w:val="00E22787"/>
    <w:rsid w:val="00E249A4"/>
    <w:rsid w:val="00E27C24"/>
    <w:rsid w:val="00E3688A"/>
    <w:rsid w:val="00E37625"/>
    <w:rsid w:val="00E41A3F"/>
    <w:rsid w:val="00E44D00"/>
    <w:rsid w:val="00E45111"/>
    <w:rsid w:val="00E4771E"/>
    <w:rsid w:val="00E50C5A"/>
    <w:rsid w:val="00E52C43"/>
    <w:rsid w:val="00E52E82"/>
    <w:rsid w:val="00E53B61"/>
    <w:rsid w:val="00E53C22"/>
    <w:rsid w:val="00E6102B"/>
    <w:rsid w:val="00E61DBA"/>
    <w:rsid w:val="00E61FB1"/>
    <w:rsid w:val="00E64116"/>
    <w:rsid w:val="00E65B71"/>
    <w:rsid w:val="00E66427"/>
    <w:rsid w:val="00E673F8"/>
    <w:rsid w:val="00E724CE"/>
    <w:rsid w:val="00E72B71"/>
    <w:rsid w:val="00E76AAA"/>
    <w:rsid w:val="00E76FC5"/>
    <w:rsid w:val="00E81D76"/>
    <w:rsid w:val="00E91B6E"/>
    <w:rsid w:val="00E92F39"/>
    <w:rsid w:val="00E9421F"/>
    <w:rsid w:val="00E95822"/>
    <w:rsid w:val="00E9733E"/>
    <w:rsid w:val="00EA0476"/>
    <w:rsid w:val="00EA17D1"/>
    <w:rsid w:val="00EA27EC"/>
    <w:rsid w:val="00EA33B2"/>
    <w:rsid w:val="00EA4200"/>
    <w:rsid w:val="00EA5C9E"/>
    <w:rsid w:val="00EA689C"/>
    <w:rsid w:val="00EB6AE7"/>
    <w:rsid w:val="00EB785B"/>
    <w:rsid w:val="00EC11D3"/>
    <w:rsid w:val="00EC2738"/>
    <w:rsid w:val="00EC314F"/>
    <w:rsid w:val="00ED079F"/>
    <w:rsid w:val="00ED320A"/>
    <w:rsid w:val="00ED38CE"/>
    <w:rsid w:val="00ED6694"/>
    <w:rsid w:val="00ED70CC"/>
    <w:rsid w:val="00EE2EAD"/>
    <w:rsid w:val="00EE3551"/>
    <w:rsid w:val="00EE5E9E"/>
    <w:rsid w:val="00EF46F3"/>
    <w:rsid w:val="00EF71AC"/>
    <w:rsid w:val="00F0331E"/>
    <w:rsid w:val="00F03782"/>
    <w:rsid w:val="00F05168"/>
    <w:rsid w:val="00F1306F"/>
    <w:rsid w:val="00F134E5"/>
    <w:rsid w:val="00F20274"/>
    <w:rsid w:val="00F25493"/>
    <w:rsid w:val="00F27040"/>
    <w:rsid w:val="00F32A4E"/>
    <w:rsid w:val="00F32A50"/>
    <w:rsid w:val="00F32BF6"/>
    <w:rsid w:val="00F32E4B"/>
    <w:rsid w:val="00F42870"/>
    <w:rsid w:val="00F43AE2"/>
    <w:rsid w:val="00F44AB6"/>
    <w:rsid w:val="00F450F3"/>
    <w:rsid w:val="00F46645"/>
    <w:rsid w:val="00F52B22"/>
    <w:rsid w:val="00F543A5"/>
    <w:rsid w:val="00F5461F"/>
    <w:rsid w:val="00F5718B"/>
    <w:rsid w:val="00F57B7D"/>
    <w:rsid w:val="00F60562"/>
    <w:rsid w:val="00F60C0B"/>
    <w:rsid w:val="00F60DDC"/>
    <w:rsid w:val="00F678CA"/>
    <w:rsid w:val="00F67DCA"/>
    <w:rsid w:val="00F71337"/>
    <w:rsid w:val="00F74424"/>
    <w:rsid w:val="00F7475B"/>
    <w:rsid w:val="00F74B67"/>
    <w:rsid w:val="00F7770B"/>
    <w:rsid w:val="00F80496"/>
    <w:rsid w:val="00F820DC"/>
    <w:rsid w:val="00F82A05"/>
    <w:rsid w:val="00F84588"/>
    <w:rsid w:val="00F86CB1"/>
    <w:rsid w:val="00F90BCD"/>
    <w:rsid w:val="00F9742C"/>
    <w:rsid w:val="00FA00FC"/>
    <w:rsid w:val="00FA467B"/>
    <w:rsid w:val="00FA6C4E"/>
    <w:rsid w:val="00FB731E"/>
    <w:rsid w:val="00FC4461"/>
    <w:rsid w:val="00FC4567"/>
    <w:rsid w:val="00FC565E"/>
    <w:rsid w:val="00FC73E0"/>
    <w:rsid w:val="00FD3469"/>
    <w:rsid w:val="00FD3D44"/>
    <w:rsid w:val="00FD410F"/>
    <w:rsid w:val="00FE0173"/>
    <w:rsid w:val="00FE2423"/>
    <w:rsid w:val="00FE4A75"/>
    <w:rsid w:val="00FF40B0"/>
    <w:rsid w:val="00FF5F22"/>
    <w:rsid w:val="018A387B"/>
    <w:rsid w:val="04AC3A2F"/>
    <w:rsid w:val="05CA37C3"/>
    <w:rsid w:val="0620735F"/>
    <w:rsid w:val="064A35D0"/>
    <w:rsid w:val="06B331CE"/>
    <w:rsid w:val="07313152"/>
    <w:rsid w:val="074B3583"/>
    <w:rsid w:val="07740BAF"/>
    <w:rsid w:val="08691A9C"/>
    <w:rsid w:val="08C53A4F"/>
    <w:rsid w:val="0A3C0033"/>
    <w:rsid w:val="0AD31D79"/>
    <w:rsid w:val="0AEE0358"/>
    <w:rsid w:val="0AF6247E"/>
    <w:rsid w:val="0AF62D36"/>
    <w:rsid w:val="0B74483E"/>
    <w:rsid w:val="0BAD4690"/>
    <w:rsid w:val="0BDF7A5E"/>
    <w:rsid w:val="0CE63E8E"/>
    <w:rsid w:val="0D751718"/>
    <w:rsid w:val="0DD95C10"/>
    <w:rsid w:val="0E295A91"/>
    <w:rsid w:val="0E4E0296"/>
    <w:rsid w:val="0E741DA3"/>
    <w:rsid w:val="0F4A0428"/>
    <w:rsid w:val="0FC1070A"/>
    <w:rsid w:val="10026261"/>
    <w:rsid w:val="102D0BD5"/>
    <w:rsid w:val="11955BD6"/>
    <w:rsid w:val="11B04A3C"/>
    <w:rsid w:val="11D81D1F"/>
    <w:rsid w:val="12583183"/>
    <w:rsid w:val="130702AD"/>
    <w:rsid w:val="1321478E"/>
    <w:rsid w:val="13574DEA"/>
    <w:rsid w:val="13801E90"/>
    <w:rsid w:val="138F125A"/>
    <w:rsid w:val="148C4AB0"/>
    <w:rsid w:val="14AC04EA"/>
    <w:rsid w:val="14D67023"/>
    <w:rsid w:val="15451203"/>
    <w:rsid w:val="154C1139"/>
    <w:rsid w:val="15C50FAD"/>
    <w:rsid w:val="1627134C"/>
    <w:rsid w:val="165C56E4"/>
    <w:rsid w:val="169178FB"/>
    <w:rsid w:val="169F3978"/>
    <w:rsid w:val="16B50798"/>
    <w:rsid w:val="178E12BD"/>
    <w:rsid w:val="17BC1234"/>
    <w:rsid w:val="17EB2919"/>
    <w:rsid w:val="185E72E1"/>
    <w:rsid w:val="18AF00C6"/>
    <w:rsid w:val="18CA2C3F"/>
    <w:rsid w:val="18F40256"/>
    <w:rsid w:val="19506788"/>
    <w:rsid w:val="19DB40C1"/>
    <w:rsid w:val="1A294A84"/>
    <w:rsid w:val="1A9F4E8D"/>
    <w:rsid w:val="1AD83BB4"/>
    <w:rsid w:val="1BE82039"/>
    <w:rsid w:val="1C152045"/>
    <w:rsid w:val="1D8D207A"/>
    <w:rsid w:val="1E362E2E"/>
    <w:rsid w:val="1E5134B3"/>
    <w:rsid w:val="1EB1637C"/>
    <w:rsid w:val="1F493F56"/>
    <w:rsid w:val="1FC1354D"/>
    <w:rsid w:val="1FD05B6B"/>
    <w:rsid w:val="20523DA1"/>
    <w:rsid w:val="20787135"/>
    <w:rsid w:val="20A91472"/>
    <w:rsid w:val="20F5337F"/>
    <w:rsid w:val="2273151D"/>
    <w:rsid w:val="22DD3DC4"/>
    <w:rsid w:val="23DC0ACD"/>
    <w:rsid w:val="240849C1"/>
    <w:rsid w:val="24416BC1"/>
    <w:rsid w:val="246B3D9B"/>
    <w:rsid w:val="2487394C"/>
    <w:rsid w:val="250E3147"/>
    <w:rsid w:val="258E53EE"/>
    <w:rsid w:val="262D4DFA"/>
    <w:rsid w:val="262E57DE"/>
    <w:rsid w:val="26F274AC"/>
    <w:rsid w:val="274506CC"/>
    <w:rsid w:val="27BD3A55"/>
    <w:rsid w:val="27E8465B"/>
    <w:rsid w:val="280B6962"/>
    <w:rsid w:val="281645FE"/>
    <w:rsid w:val="285D2B42"/>
    <w:rsid w:val="28A363FE"/>
    <w:rsid w:val="28E152FF"/>
    <w:rsid w:val="292F2731"/>
    <w:rsid w:val="29430577"/>
    <w:rsid w:val="297C7E72"/>
    <w:rsid w:val="2A720A94"/>
    <w:rsid w:val="2B003F45"/>
    <w:rsid w:val="2B164F3E"/>
    <w:rsid w:val="2B8723B0"/>
    <w:rsid w:val="2BAD50A9"/>
    <w:rsid w:val="2C0224CC"/>
    <w:rsid w:val="2C820DC9"/>
    <w:rsid w:val="2CD77D84"/>
    <w:rsid w:val="2D0B7011"/>
    <w:rsid w:val="2DC57C4C"/>
    <w:rsid w:val="2E0145C1"/>
    <w:rsid w:val="2E244806"/>
    <w:rsid w:val="2E4933CD"/>
    <w:rsid w:val="2EB52A65"/>
    <w:rsid w:val="2F9533D9"/>
    <w:rsid w:val="305F76D3"/>
    <w:rsid w:val="316A6C46"/>
    <w:rsid w:val="31A724CD"/>
    <w:rsid w:val="322425B2"/>
    <w:rsid w:val="324C210B"/>
    <w:rsid w:val="32904240"/>
    <w:rsid w:val="32D732FF"/>
    <w:rsid w:val="33AF0B5C"/>
    <w:rsid w:val="33F627C9"/>
    <w:rsid w:val="344804C8"/>
    <w:rsid w:val="346F4329"/>
    <w:rsid w:val="35204F44"/>
    <w:rsid w:val="35D703D8"/>
    <w:rsid w:val="361E1B63"/>
    <w:rsid w:val="36572AE0"/>
    <w:rsid w:val="372238D5"/>
    <w:rsid w:val="376B2AFD"/>
    <w:rsid w:val="38497634"/>
    <w:rsid w:val="384D2BD3"/>
    <w:rsid w:val="38FF26CD"/>
    <w:rsid w:val="39746154"/>
    <w:rsid w:val="39BC723A"/>
    <w:rsid w:val="3A091116"/>
    <w:rsid w:val="3B1C0B73"/>
    <w:rsid w:val="3BB611F2"/>
    <w:rsid w:val="3BDD7DCA"/>
    <w:rsid w:val="3CA87807"/>
    <w:rsid w:val="3D633DB8"/>
    <w:rsid w:val="3D844A8B"/>
    <w:rsid w:val="3DAB5C0A"/>
    <w:rsid w:val="3E130A13"/>
    <w:rsid w:val="3E33607C"/>
    <w:rsid w:val="3ECC2608"/>
    <w:rsid w:val="3F925239"/>
    <w:rsid w:val="40662BD9"/>
    <w:rsid w:val="411F0E39"/>
    <w:rsid w:val="412D70FE"/>
    <w:rsid w:val="4152189A"/>
    <w:rsid w:val="41931657"/>
    <w:rsid w:val="423128FB"/>
    <w:rsid w:val="43122A4F"/>
    <w:rsid w:val="431E694A"/>
    <w:rsid w:val="43F87AE8"/>
    <w:rsid w:val="443B162F"/>
    <w:rsid w:val="445A590A"/>
    <w:rsid w:val="4491363E"/>
    <w:rsid w:val="459E761B"/>
    <w:rsid w:val="45D73E57"/>
    <w:rsid w:val="469E6E2A"/>
    <w:rsid w:val="46DC6152"/>
    <w:rsid w:val="473D6D0F"/>
    <w:rsid w:val="474642D8"/>
    <w:rsid w:val="47AD43F9"/>
    <w:rsid w:val="47B31474"/>
    <w:rsid w:val="48005016"/>
    <w:rsid w:val="49BB2F72"/>
    <w:rsid w:val="4A7777B7"/>
    <w:rsid w:val="4AE76C20"/>
    <w:rsid w:val="4C3D28DC"/>
    <w:rsid w:val="4CCE6DDD"/>
    <w:rsid w:val="4D5E7ED3"/>
    <w:rsid w:val="4E5466E1"/>
    <w:rsid w:val="4E9B1E12"/>
    <w:rsid w:val="4ECD0A8A"/>
    <w:rsid w:val="4ED2319C"/>
    <w:rsid w:val="4F1F0671"/>
    <w:rsid w:val="4FC357FD"/>
    <w:rsid w:val="4FDC3C1E"/>
    <w:rsid w:val="50065F4A"/>
    <w:rsid w:val="50A469F0"/>
    <w:rsid w:val="50B16CFA"/>
    <w:rsid w:val="51136310"/>
    <w:rsid w:val="51F65EB8"/>
    <w:rsid w:val="52573C2B"/>
    <w:rsid w:val="525A0210"/>
    <w:rsid w:val="52810346"/>
    <w:rsid w:val="53191BD8"/>
    <w:rsid w:val="531A059E"/>
    <w:rsid w:val="537F1798"/>
    <w:rsid w:val="53A336F8"/>
    <w:rsid w:val="54604111"/>
    <w:rsid w:val="54D05818"/>
    <w:rsid w:val="56693DE2"/>
    <w:rsid w:val="56BF2829"/>
    <w:rsid w:val="56E66275"/>
    <w:rsid w:val="56F81545"/>
    <w:rsid w:val="579A07C1"/>
    <w:rsid w:val="59DD570D"/>
    <w:rsid w:val="5A2348DD"/>
    <w:rsid w:val="5A643739"/>
    <w:rsid w:val="5ACB7C5C"/>
    <w:rsid w:val="5B4F263B"/>
    <w:rsid w:val="5B4F27F9"/>
    <w:rsid w:val="5C332536"/>
    <w:rsid w:val="5D2E002E"/>
    <w:rsid w:val="5E137399"/>
    <w:rsid w:val="5EE242FD"/>
    <w:rsid w:val="5F415EFE"/>
    <w:rsid w:val="5F5A02D7"/>
    <w:rsid w:val="6006798E"/>
    <w:rsid w:val="605026D5"/>
    <w:rsid w:val="60AB4392"/>
    <w:rsid w:val="60D4713E"/>
    <w:rsid w:val="611D6D37"/>
    <w:rsid w:val="61D8132E"/>
    <w:rsid w:val="61F5602D"/>
    <w:rsid w:val="62053529"/>
    <w:rsid w:val="6256596F"/>
    <w:rsid w:val="630012B4"/>
    <w:rsid w:val="631877B6"/>
    <w:rsid w:val="63EC3D8D"/>
    <w:rsid w:val="6401192F"/>
    <w:rsid w:val="64243775"/>
    <w:rsid w:val="64346D94"/>
    <w:rsid w:val="669F3287"/>
    <w:rsid w:val="680B4763"/>
    <w:rsid w:val="69085BD7"/>
    <w:rsid w:val="69E95240"/>
    <w:rsid w:val="6A010FA4"/>
    <w:rsid w:val="6B28350F"/>
    <w:rsid w:val="6B836894"/>
    <w:rsid w:val="6C3C3CD1"/>
    <w:rsid w:val="6C8E1D4F"/>
    <w:rsid w:val="6D0E5786"/>
    <w:rsid w:val="6D311A88"/>
    <w:rsid w:val="6DB46A0A"/>
    <w:rsid w:val="6DE43021"/>
    <w:rsid w:val="6ECA6008"/>
    <w:rsid w:val="702A26D0"/>
    <w:rsid w:val="705362FD"/>
    <w:rsid w:val="709955AA"/>
    <w:rsid w:val="70E33416"/>
    <w:rsid w:val="719649F7"/>
    <w:rsid w:val="71C134CE"/>
    <w:rsid w:val="71E16C00"/>
    <w:rsid w:val="72927BA0"/>
    <w:rsid w:val="72A97923"/>
    <w:rsid w:val="72D76FB6"/>
    <w:rsid w:val="733E3FD5"/>
    <w:rsid w:val="73B50FD9"/>
    <w:rsid w:val="73F36CC9"/>
    <w:rsid w:val="74275FB1"/>
    <w:rsid w:val="74372D50"/>
    <w:rsid w:val="74AE79DE"/>
    <w:rsid w:val="76377AFB"/>
    <w:rsid w:val="763E0E8A"/>
    <w:rsid w:val="76654BE5"/>
    <w:rsid w:val="76A63782"/>
    <w:rsid w:val="7767236A"/>
    <w:rsid w:val="77F70A68"/>
    <w:rsid w:val="7867124C"/>
    <w:rsid w:val="78C23FF4"/>
    <w:rsid w:val="78CF0875"/>
    <w:rsid w:val="78EF0B61"/>
    <w:rsid w:val="79024344"/>
    <w:rsid w:val="79852533"/>
    <w:rsid w:val="79CB7048"/>
    <w:rsid w:val="79E3019B"/>
    <w:rsid w:val="7AD902A9"/>
    <w:rsid w:val="7AE522B9"/>
    <w:rsid w:val="7B2A5CF7"/>
    <w:rsid w:val="7B4D0BD7"/>
    <w:rsid w:val="7B7D6EF4"/>
    <w:rsid w:val="7D6620C2"/>
    <w:rsid w:val="7EF169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0"/>
    <w:pPr>
      <w:keepNext/>
      <w:outlineLvl w:val="0"/>
    </w:pPr>
    <w:rPr>
      <w:rFonts w:ascii="Times New Roman" w:hAnsi="Times New Roman"/>
      <w:b/>
      <w:kern w:val="0"/>
      <w:sz w:val="24"/>
      <w:szCs w:val="20"/>
    </w:rPr>
  </w:style>
  <w:style w:type="paragraph" w:styleId="3">
    <w:name w:val="heading 2"/>
    <w:basedOn w:val="1"/>
    <w:next w:val="1"/>
    <w:qFormat/>
    <w:uiPriority w:val="0"/>
    <w:pPr>
      <w:keepNext/>
      <w:keepLines/>
      <w:numPr>
        <w:ilvl w:val="1"/>
        <w:numId w:val="1"/>
      </w:numPr>
      <w:spacing w:line="413" w:lineRule="auto"/>
      <w:jc w:val="left"/>
      <w:outlineLvl w:val="1"/>
    </w:pPr>
    <w:rPr>
      <w:rFonts w:ascii="Arial" w:hAnsi="Arial" w:eastAsia="宋体" w:cs="Times New Roman"/>
      <w:b/>
      <w:kern w:val="0"/>
      <w:sz w:val="32"/>
      <w:szCs w:val="20"/>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5">
    <w:name w:val="annotation text"/>
    <w:basedOn w:val="1"/>
    <w:link w:val="22"/>
    <w:unhideWhenUsed/>
    <w:qFormat/>
    <w:uiPriority w:val="99"/>
    <w:pPr>
      <w:jc w:val="left"/>
    </w:pPr>
  </w:style>
  <w:style w:type="paragraph" w:styleId="6">
    <w:name w:val="Body Text Indent"/>
    <w:basedOn w:val="1"/>
    <w:link w:val="23"/>
    <w:qFormat/>
    <w:uiPriority w:val="99"/>
    <w:pPr>
      <w:ind w:firstLine="630"/>
    </w:pPr>
    <w:rPr>
      <w:rFonts w:ascii="宋体" w:hAnsi="Times New Roman"/>
      <w:kern w:val="0"/>
      <w:sz w:val="32"/>
      <w:szCs w:val="20"/>
    </w:rPr>
  </w:style>
  <w:style w:type="paragraph" w:styleId="7">
    <w:name w:val="Plain Text"/>
    <w:basedOn w:val="1"/>
    <w:next w:val="1"/>
    <w:link w:val="24"/>
    <w:qFormat/>
    <w:uiPriority w:val="0"/>
    <w:rPr>
      <w:rFonts w:ascii="宋体" w:hAnsi="Courier New"/>
      <w:kern w:val="0"/>
      <w:sz w:val="20"/>
      <w:szCs w:val="20"/>
    </w:rPr>
  </w:style>
  <w:style w:type="paragraph" w:styleId="8">
    <w:name w:val="Date"/>
    <w:basedOn w:val="1"/>
    <w:next w:val="1"/>
    <w:link w:val="25"/>
    <w:unhideWhenUsed/>
    <w:qFormat/>
    <w:uiPriority w:val="99"/>
    <w:pPr>
      <w:ind w:left="100" w:leftChars="2500"/>
    </w:pPr>
  </w:style>
  <w:style w:type="paragraph" w:styleId="9">
    <w:name w:val="Balloon Text"/>
    <w:basedOn w:val="1"/>
    <w:link w:val="26"/>
    <w:unhideWhenUsed/>
    <w:qFormat/>
    <w:uiPriority w:val="99"/>
    <w:rPr>
      <w:kern w:val="0"/>
      <w:sz w:val="18"/>
      <w:szCs w:val="18"/>
    </w:rPr>
  </w:style>
  <w:style w:type="paragraph" w:styleId="10">
    <w:name w:val="footer"/>
    <w:basedOn w:val="1"/>
    <w:link w:val="27"/>
    <w:unhideWhenUsed/>
    <w:qFormat/>
    <w:uiPriority w:val="0"/>
    <w:pPr>
      <w:tabs>
        <w:tab w:val="center" w:pos="4153"/>
        <w:tab w:val="right" w:pos="8306"/>
      </w:tabs>
      <w:snapToGrid w:val="0"/>
      <w:jc w:val="left"/>
    </w:pPr>
    <w:rPr>
      <w:sz w:val="18"/>
      <w:szCs w:val="18"/>
    </w:rPr>
  </w:style>
  <w:style w:type="paragraph" w:styleId="11">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annotation subject"/>
    <w:basedOn w:val="5"/>
    <w:next w:val="5"/>
    <w:link w:val="29"/>
    <w:unhideWhenUsed/>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annotation reference"/>
    <w:unhideWhenUsed/>
    <w:qFormat/>
    <w:uiPriority w:val="99"/>
    <w:rPr>
      <w:sz w:val="21"/>
      <w:szCs w:val="21"/>
    </w:rPr>
  </w:style>
  <w:style w:type="paragraph" w:customStyle="1" w:styleId="20">
    <w:name w:val="样式 小四 行距: 1.5 倍行距"/>
    <w:basedOn w:val="1"/>
    <w:qFormat/>
    <w:uiPriority w:val="0"/>
    <w:pPr>
      <w:ind w:firstLine="480"/>
    </w:pPr>
    <w:rPr>
      <w:rFonts w:cs="宋体"/>
    </w:rPr>
  </w:style>
  <w:style w:type="character" w:customStyle="1" w:styleId="21">
    <w:name w:val="标题 1 Char"/>
    <w:link w:val="2"/>
    <w:qFormat/>
    <w:uiPriority w:val="0"/>
    <w:rPr>
      <w:rFonts w:ascii="Times New Roman" w:hAnsi="Times New Roman" w:eastAsia="宋体" w:cs="Times New Roman"/>
      <w:b/>
      <w:sz w:val="24"/>
      <w:szCs w:val="20"/>
    </w:rPr>
  </w:style>
  <w:style w:type="character" w:customStyle="1" w:styleId="22">
    <w:name w:val="批注文字 Char"/>
    <w:link w:val="5"/>
    <w:semiHidden/>
    <w:qFormat/>
    <w:uiPriority w:val="99"/>
    <w:rPr>
      <w:kern w:val="2"/>
      <w:sz w:val="21"/>
      <w:szCs w:val="22"/>
    </w:rPr>
  </w:style>
  <w:style w:type="character" w:customStyle="1" w:styleId="23">
    <w:name w:val="正文文本缩进 Char"/>
    <w:link w:val="6"/>
    <w:qFormat/>
    <w:uiPriority w:val="99"/>
    <w:rPr>
      <w:rFonts w:ascii="宋体" w:hAnsi="Times New Roman"/>
      <w:sz w:val="32"/>
    </w:rPr>
  </w:style>
  <w:style w:type="character" w:customStyle="1" w:styleId="24">
    <w:name w:val="纯文本 Char"/>
    <w:link w:val="7"/>
    <w:qFormat/>
    <w:uiPriority w:val="0"/>
    <w:rPr>
      <w:rFonts w:ascii="宋体" w:hAnsi="Courier New"/>
    </w:rPr>
  </w:style>
  <w:style w:type="character" w:customStyle="1" w:styleId="25">
    <w:name w:val="日期 Char"/>
    <w:link w:val="8"/>
    <w:semiHidden/>
    <w:qFormat/>
    <w:uiPriority w:val="99"/>
    <w:rPr>
      <w:kern w:val="2"/>
      <w:sz w:val="21"/>
      <w:szCs w:val="22"/>
    </w:rPr>
  </w:style>
  <w:style w:type="character" w:customStyle="1" w:styleId="26">
    <w:name w:val="批注框文本 Char"/>
    <w:link w:val="9"/>
    <w:semiHidden/>
    <w:qFormat/>
    <w:uiPriority w:val="99"/>
    <w:rPr>
      <w:rFonts w:ascii="Calibri" w:hAnsi="Calibri" w:eastAsia="宋体" w:cs="Times New Roman"/>
      <w:sz w:val="18"/>
      <w:szCs w:val="18"/>
    </w:rPr>
  </w:style>
  <w:style w:type="character" w:customStyle="1" w:styleId="27">
    <w:name w:val="页脚 Char"/>
    <w:link w:val="10"/>
    <w:qFormat/>
    <w:uiPriority w:val="0"/>
    <w:rPr>
      <w:kern w:val="2"/>
      <w:sz w:val="18"/>
      <w:szCs w:val="18"/>
    </w:rPr>
  </w:style>
  <w:style w:type="character" w:customStyle="1" w:styleId="28">
    <w:name w:val="页眉 Char"/>
    <w:link w:val="11"/>
    <w:qFormat/>
    <w:uiPriority w:val="0"/>
    <w:rPr>
      <w:kern w:val="2"/>
      <w:sz w:val="18"/>
      <w:szCs w:val="18"/>
    </w:rPr>
  </w:style>
  <w:style w:type="character" w:customStyle="1" w:styleId="29">
    <w:name w:val="批注主题 Char"/>
    <w:link w:val="14"/>
    <w:semiHidden/>
    <w:qFormat/>
    <w:uiPriority w:val="99"/>
    <w:rPr>
      <w:b/>
      <w:bCs/>
      <w:kern w:val="2"/>
      <w:sz w:val="21"/>
      <w:szCs w:val="22"/>
    </w:rPr>
  </w:style>
  <w:style w:type="character" w:customStyle="1" w:styleId="30">
    <w:name w:val="A5+3"/>
    <w:qFormat/>
    <w:uiPriority w:val="0"/>
    <w:rPr>
      <w:rFonts w:ascii="FZXiDengXian-Z06S" w:eastAsia="FZXiDengXian-Z06S" w:cs="FZXiDengXian-Z06S"/>
      <w:color w:val="000000"/>
      <w:sz w:val="20"/>
      <w:szCs w:val="20"/>
    </w:rPr>
  </w:style>
  <w:style w:type="character" w:customStyle="1" w:styleId="31">
    <w:name w:val="纯文本 Char1"/>
    <w:semiHidden/>
    <w:qFormat/>
    <w:uiPriority w:val="99"/>
    <w:rPr>
      <w:rFonts w:ascii="宋体" w:hAnsi="Courier New" w:eastAsia="宋体" w:cs="Courier New"/>
      <w:szCs w:val="21"/>
    </w:rPr>
  </w:style>
  <w:style w:type="paragraph" w:customStyle="1" w:styleId="32">
    <w:name w:val="BodyText"/>
    <w:basedOn w:val="1"/>
    <w:qFormat/>
    <w:uiPriority w:val="0"/>
    <w:pPr>
      <w:spacing w:after="120"/>
    </w:pPr>
    <w:rPr>
      <w:kern w:val="0"/>
      <w:sz w:val="20"/>
      <w:szCs w:val="20"/>
    </w:rPr>
  </w:style>
  <w:style w:type="paragraph" w:styleId="33">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Pa2+3"/>
    <w:basedOn w:val="1"/>
    <w:next w:val="1"/>
    <w:qFormat/>
    <w:uiPriority w:val="0"/>
    <w:pPr>
      <w:autoSpaceDE w:val="0"/>
      <w:autoSpaceDN w:val="0"/>
      <w:adjustRightInd w:val="0"/>
      <w:spacing w:line="185" w:lineRule="atLeast"/>
      <w:jc w:val="left"/>
    </w:pPr>
    <w:rPr>
      <w:rFonts w:ascii="FZHei-B01S" w:hAnsi="Times New Roman" w:eastAsia="FZHei-B01S"/>
      <w:kern w:val="0"/>
      <w:sz w:val="24"/>
      <w:szCs w:val="24"/>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17</Pages>
  <Words>9021</Words>
  <Characters>9262</Characters>
  <Lines>207</Lines>
  <Paragraphs>58</Paragraphs>
  <TotalTime>1</TotalTime>
  <ScaleCrop>false</ScaleCrop>
  <LinksUpToDate>false</LinksUpToDate>
  <CharactersWithSpaces>9591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2022-07-22T06:33:00Z</dcterms:created>
  <dc:creator>王鸿志</dc:creator>
  <cp:lastModifiedBy>广州南沙经发建筑有限公司[广州南沙经发建筑有限公司]</cp:lastModifiedBy>
  <cp:lastPrinted>2019-07-05T02:28:00Z</cp:lastPrinted>
  <dcterms:modified xsi:type="dcterms:W3CDTF">2025-08-21T05:49:17Z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4D99D2659C4949A0935A753C9DE1DD23_13</vt:lpwstr>
  </property>
  <property fmtid="{D5CDD505-2E9C-101B-9397-08002B2CF9AE}" pid="4" name="KSOTemplateDocerSaveRecord">
    <vt:lpwstr>eyJoZGlkIjoiNWY1ZjliYzFmMGUxYjBmY2U5ZDZlZjE2ZGI3ZDYxMzUiLCJ1c2VySWQiOiI0MzI4Mjc0MDcifQ==</vt:lpwstr>
  </property>
</Properties>
</file>