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7"/>
      <w:bookmarkStart w:id="1" w:name="OLE_LINK8"/>
      <w:r>
        <w:rPr>
          <w:rFonts w:hint="eastAsia" w:ascii="宋体" w:hAnsi="宋体" w:cs="宋体"/>
          <w:b/>
          <w:bCs w:val="0"/>
          <w:color w:val="auto"/>
          <w:sz w:val="44"/>
          <w:szCs w:val="44"/>
          <w:highlight w:val="none"/>
          <w:lang w:val="en-US" w:eastAsia="zh-CN"/>
        </w:rPr>
        <w:t>南沙区环市大道西115号101、102、104、106、106-1室、115号旁空地招租公告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南沙区环市大道西115号101、102、104、106、106-1室、115号旁空地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868.83</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664.83</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224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3</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859"/>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cs="宋体"/>
                <w:b w:val="0"/>
                <w:bCs w:val="0"/>
                <w:color w:val="auto"/>
                <w:kern w:val="0"/>
                <w:sz w:val="24"/>
                <w:szCs w:val="24"/>
                <w:highlight w:val="none"/>
                <w:u w:val="none"/>
                <w:lang w:val="en-US" w:eastAsia="zh-CN" w:bidi="ar-SA"/>
              </w:rPr>
              <w:t>115号主楼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p>
            <w:pPr>
              <w:keepLines w:val="0"/>
              <w:pageBreakBefore w:val="0"/>
              <w:widowControl/>
              <w:kinsoku/>
              <w:wordWrap/>
              <w:overflowPunct/>
              <w:topLinePunct w:val="0"/>
              <w:autoSpaceDE/>
              <w:autoSpaceDN/>
              <w:bidi w:val="0"/>
              <w:spacing w:line="240" w:lineRule="auto"/>
              <w:jc w:val="both"/>
              <w:textAlignment w:val="auto"/>
              <w:rPr>
                <w:rFonts w:hint="default"/>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cs="宋体"/>
                <w:b w:val="0"/>
                <w:bCs w:val="0"/>
                <w:color w:val="auto"/>
                <w:kern w:val="0"/>
                <w:sz w:val="24"/>
                <w:szCs w:val="24"/>
                <w:highlight w:val="none"/>
                <w:u w:val="none"/>
                <w:lang w:val="en-US" w:eastAsia="zh-CN" w:bidi="ar-SA"/>
              </w:rPr>
              <w:t>115号旁空地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bookmarkStart w:id="4" w:name="_GoBack"/>
            <w:bookmarkEnd w:id="4"/>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lang w:val="en-US" w:eastAsia="zh-CN"/>
              </w:rPr>
            </w:pPr>
            <w:r>
              <w:rPr>
                <w:rFonts w:hint="eastAsia"/>
                <w:lang w:val="en-US" w:eastAsia="zh-CN"/>
              </w:rPr>
              <w:t>递增率</w:t>
            </w:r>
            <w:r>
              <w:rPr>
                <w:rFonts w:hint="eastAsia"/>
                <w:u w:val="single"/>
                <w:lang w:val="en-US" w:eastAsia="zh-CN"/>
              </w:rPr>
              <w:t>第三年递增3%。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1989"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638"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b/>
                <w:bCs/>
                <w:color w:val="auto"/>
                <w:sz w:val="28"/>
                <w:szCs w:val="28"/>
                <w:highlight w:val="none"/>
                <w:u w:val="single"/>
                <w:lang w:val="en-US" w:eastAsia="zh-CN"/>
              </w:rPr>
              <w:t>32822.18</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2025年9月4日</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*转账需备注“南沙区环市大道西115号101、102、104、106、106-1室、115号旁空地竞租交易保证金”。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w:t>
            </w:r>
            <w:r>
              <w:rPr>
                <w:rFonts w:hint="eastAsia" w:ascii="宋体" w:hAnsi="宋体" w:eastAsia="宋体" w:cs="宋体"/>
                <w:b/>
                <w:bCs w:val="0"/>
                <w:color w:val="auto"/>
                <w:sz w:val="24"/>
                <w:szCs w:val="24"/>
                <w:highlight w:val="none"/>
                <w:lang w:eastAsia="zh-CN"/>
              </w:rPr>
              <w:t>其交纳的交易保证金本金</w:t>
            </w:r>
            <w:r>
              <w:rPr>
                <w:rFonts w:hint="eastAsia" w:ascii="宋体" w:hAnsi="宋体" w:cs="宋体"/>
                <w:b/>
                <w:bCs w:val="0"/>
                <w:color w:val="auto"/>
                <w:sz w:val="24"/>
                <w:szCs w:val="24"/>
                <w:highlight w:val="none"/>
                <w:lang w:val="en-US" w:eastAsia="zh-CN"/>
              </w:rPr>
              <w:t>转为合同履约保证金</w:t>
            </w:r>
            <w:r>
              <w:rPr>
                <w:rFonts w:hint="eastAsia" w:ascii="宋体" w:hAnsi="宋体" w:cs="宋体"/>
                <w:bCs/>
                <w:color w:val="auto"/>
                <w:sz w:val="24"/>
                <w:szCs w:val="24"/>
                <w:highlight w:val="none"/>
                <w:lang w:val="en-US" w:eastAsia="zh-CN"/>
              </w:rPr>
              <w:t>，不足部分按履约保证金要求缴纳的日期前补足。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：2025年9月4日</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default" w:ascii="宋体" w:hAnsi="宋体" w:eastAsia="宋体" w:cs="宋体"/>
                <w:color w:val="auto"/>
                <w:sz w:val="24"/>
                <w:szCs w:val="24"/>
                <w:highlight w:val="none"/>
                <w:lang w:val="en-US"/>
              </w:rPr>
            </w:pPr>
            <w:r>
              <w:rPr>
                <w:rFonts w:hint="eastAsia" w:ascii="宋体" w:hAnsi="宋体" w:eastAsia="宋体" w:cs="宋体"/>
                <w:color w:val="auto"/>
                <w:spacing w:val="-1"/>
                <w:sz w:val="24"/>
                <w:szCs w:val="24"/>
                <w:highlight w:val="none"/>
              </w:rPr>
              <w:t>物业名称：</w:t>
            </w:r>
            <w:r>
              <w:rPr>
                <w:rFonts w:hint="eastAsia" w:ascii="宋体" w:hAnsi="宋体" w:cs="宋体"/>
                <w:color w:val="auto"/>
                <w:sz w:val="24"/>
                <w:szCs w:val="24"/>
                <w:highlight w:val="none"/>
                <w:lang w:val="en-US" w:eastAsia="zh-CN"/>
              </w:rPr>
              <w:t>南沙区环市大道西115号101、102、104、106、106-1室、115号旁空地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115号主楼</w:t>
            </w: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spacing w:before="101" w:line="218" w:lineRule="auto"/>
              <w:ind w:left="565"/>
              <w:rPr>
                <w:rFonts w:hint="eastAsia" w:ascii="宋体" w:hAnsi="宋体" w:cs="宋体"/>
                <w:color w:val="auto"/>
                <w:spacing w:val="2"/>
                <w:sz w:val="24"/>
                <w:szCs w:val="24"/>
                <w:highlight w:val="none"/>
                <w:lang w:val="en-US" w:eastAsia="zh-CN"/>
              </w:rPr>
            </w:pPr>
          </w:p>
          <w:p>
            <w:pPr>
              <w:spacing w:before="101" w:line="218" w:lineRule="auto"/>
              <w:ind w:left="565"/>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115号旁空地</w:t>
            </w:r>
            <w:r>
              <w:rPr>
                <w:rFonts w:hint="eastAsia" w:ascii="宋体" w:hAnsi="宋体" w:eastAsia="宋体" w:cs="宋体"/>
                <w:color w:val="auto"/>
                <w:spacing w:val="2"/>
                <w:sz w:val="24"/>
                <w:szCs w:val="24"/>
                <w:highlight w:val="none"/>
              </w:rPr>
              <w:t>首月租金报价</w:t>
            </w:r>
          </w:p>
        </w:tc>
        <w:tc>
          <w:tcPr>
            <w:tcW w:w="3245" w:type="pct"/>
            <w:vAlign w:val="top"/>
          </w:tcPr>
          <w:p>
            <w:pPr>
              <w:tabs>
                <w:tab w:val="left" w:pos="3013"/>
              </w:tabs>
              <w:spacing w:before="101" w:line="219" w:lineRule="auto"/>
              <w:ind w:left="1394"/>
              <w:rPr>
                <w:rFonts w:hint="eastAsia" w:ascii="宋体" w:hAnsi="宋体" w:eastAsia="宋体" w:cs="宋体"/>
                <w:color w:val="auto"/>
                <w:sz w:val="24"/>
                <w:szCs w:val="24"/>
                <w:highlight w:val="none"/>
                <w:u w:val="single" w:color="auto"/>
              </w:rPr>
            </w:pPr>
          </w:p>
          <w:p>
            <w:pPr>
              <w:tabs>
                <w:tab w:val="left" w:pos="3013"/>
              </w:tabs>
              <w:spacing w:before="101" w:line="219" w:lineRule="auto"/>
              <w:ind w:left="1394"/>
              <w:rPr>
                <w:rFonts w:hint="eastAsia"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jc w:val="center"/>
              <w:rPr>
                <w:rFonts w:hint="eastAsia" w:ascii="宋体" w:hAnsi="宋体" w:eastAsia="宋体" w:cs="宋体"/>
                <w:color w:val="auto"/>
                <w:sz w:val="24"/>
                <w:szCs w:val="24"/>
                <w:highlight w:val="none"/>
              </w:rPr>
            </w:pPr>
          </w:p>
          <w:p>
            <w:pPr>
              <w:pStyle w:val="1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第三年起租金递增3%</w:t>
            </w: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15177E5"/>
    <w:rsid w:val="0B717FB9"/>
    <w:rsid w:val="0EA74B75"/>
    <w:rsid w:val="10284C2D"/>
    <w:rsid w:val="14BA48A3"/>
    <w:rsid w:val="1A6E1278"/>
    <w:rsid w:val="1A8B64E4"/>
    <w:rsid w:val="1D5C4168"/>
    <w:rsid w:val="1E34032F"/>
    <w:rsid w:val="21872E83"/>
    <w:rsid w:val="22FF7A6F"/>
    <w:rsid w:val="23696C97"/>
    <w:rsid w:val="28563FFA"/>
    <w:rsid w:val="28C83C1D"/>
    <w:rsid w:val="2C8C5D24"/>
    <w:rsid w:val="2D1C2BAE"/>
    <w:rsid w:val="2D86506C"/>
    <w:rsid w:val="2EBE19E3"/>
    <w:rsid w:val="2F7910B9"/>
    <w:rsid w:val="31B51375"/>
    <w:rsid w:val="364B5864"/>
    <w:rsid w:val="3DCB6242"/>
    <w:rsid w:val="417F766B"/>
    <w:rsid w:val="41AA074E"/>
    <w:rsid w:val="489E100F"/>
    <w:rsid w:val="49437E06"/>
    <w:rsid w:val="50E60A58"/>
    <w:rsid w:val="51F64806"/>
    <w:rsid w:val="5342015F"/>
    <w:rsid w:val="55C73B6D"/>
    <w:rsid w:val="5C007491"/>
    <w:rsid w:val="5C7D32A5"/>
    <w:rsid w:val="5FE4791F"/>
    <w:rsid w:val="633B7582"/>
    <w:rsid w:val="657022D4"/>
    <w:rsid w:val="69DB19DD"/>
    <w:rsid w:val="6AAF5875"/>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0</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叶泽钪</cp:lastModifiedBy>
  <dcterms:modified xsi:type="dcterms:W3CDTF">2025-08-28T08:21:37Z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