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852DC">
      <w:pPr>
        <w:keepLines w:val="0"/>
        <w:pageBreakBefore w:val="0"/>
        <w:widowControl/>
        <w:kinsoku/>
        <w:wordWrap/>
        <w:overflowPunct/>
        <w:topLinePunct w:val="0"/>
        <w:autoSpaceDE/>
        <w:autoSpaceDN/>
        <w:bidi w:val="0"/>
        <w:adjustRightInd w:val="0"/>
        <w:snapToGrid w:val="0"/>
        <w:spacing w:before="360" w:after="360" w:line="240" w:lineRule="auto"/>
        <w:jc w:val="center"/>
        <w:textAlignment w:val="auto"/>
        <w:rPr>
          <w:rFonts w:hint="eastAsia" w:ascii="Times New Roman" w:hAnsi="Times New Roman" w:eastAsia="宋体" w:cs="宋体"/>
          <w:color w:val="auto"/>
          <w:sz w:val="44"/>
          <w:szCs w:val="44"/>
          <w:highlight w:val="none"/>
          <w:lang w:eastAsia="zh-CN"/>
        </w:rPr>
      </w:pPr>
      <w:r>
        <w:rPr>
          <w:rFonts w:hint="eastAsia" w:ascii="Times New Roman" w:hAnsi="Times New Roman" w:cs="宋体"/>
          <w:b/>
          <w:color w:val="auto"/>
          <w:sz w:val="44"/>
          <w:szCs w:val="44"/>
          <w:highlight w:val="none"/>
          <w:lang w:val="en-US" w:eastAsia="zh-CN"/>
        </w:rPr>
        <w:t>（南沙金融大厦11楼1101之J30房）</w:t>
      </w:r>
      <w:r>
        <w:rPr>
          <w:rFonts w:hint="eastAsia" w:ascii="Times New Roman" w:hAnsi="Times New Roman" w:eastAsia="宋体" w:cs="宋体"/>
          <w:b/>
          <w:color w:val="auto"/>
          <w:sz w:val="44"/>
          <w:szCs w:val="44"/>
          <w:highlight w:val="none"/>
          <w:lang w:val="en-US" w:eastAsia="zh-CN"/>
        </w:rPr>
        <w:t>招租公告</w:t>
      </w:r>
    </w:p>
    <w:p w14:paraId="4B609879">
      <w:pPr>
        <w:keepLines w:val="0"/>
        <w:pageBreakBefore w:val="0"/>
        <w:widowControl/>
        <w:kinsoku/>
        <w:wordWrap/>
        <w:overflowPunct/>
        <w:topLinePunct w:val="0"/>
        <w:autoSpaceDE/>
        <w:autoSpaceDN/>
        <w:bidi w:val="0"/>
        <w:adjustRightInd w:val="0"/>
        <w:snapToGrid w:val="0"/>
        <w:spacing w:before="360" w:after="360" w:line="240" w:lineRule="auto"/>
        <w:ind w:firstLine="480" w:firstLineChars="200"/>
        <w:jc w:val="left"/>
        <w:textAlignment w:val="auto"/>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为进一步规范</w:t>
      </w:r>
      <w:r>
        <w:rPr>
          <w:rFonts w:hint="eastAsia" w:ascii="Times New Roman" w:hAnsi="Times New Roman" w:eastAsia="宋体" w:cs="宋体"/>
          <w:b w:val="0"/>
          <w:bCs w:val="0"/>
          <w:color w:val="auto"/>
          <w:sz w:val="24"/>
          <w:szCs w:val="24"/>
          <w:highlight w:val="none"/>
          <w:lang w:val="en-US" w:eastAsia="zh-CN"/>
        </w:rPr>
        <w:t>我司</w:t>
      </w:r>
      <w:r>
        <w:rPr>
          <w:rFonts w:hint="eastAsia" w:ascii="Times New Roman" w:hAnsi="Times New Roman" w:eastAsia="宋体" w:cs="宋体"/>
          <w:b w:val="0"/>
          <w:bCs w:val="0"/>
          <w:color w:val="auto"/>
          <w:sz w:val="24"/>
          <w:szCs w:val="24"/>
          <w:highlight w:val="none"/>
          <w:lang w:eastAsia="zh-CN"/>
        </w:rPr>
        <w:t>的物业出租工作，按照“公开、公平、公正”的原则，通过公开信息，以及公平、公正的竞争程序确定承租人。现将我司拟出租物业公告如下：</w:t>
      </w:r>
      <w:bookmarkStart w:id="0" w:name="OLE_LINK8"/>
      <w:bookmarkStart w:id="1" w:name="OLE_LINK7"/>
    </w:p>
    <w:p w14:paraId="0104BE84">
      <w:pPr>
        <w:keepLines w:val="0"/>
        <w:pageBreakBefore w:val="0"/>
        <w:widowControl/>
        <w:kinsoku/>
        <w:wordWrap/>
        <w:overflowPunct/>
        <w:topLinePunct w:val="0"/>
        <w:autoSpaceDE/>
        <w:autoSpaceDN/>
        <w:bidi w:val="0"/>
        <w:adjustRightInd w:val="0"/>
        <w:snapToGrid w:val="0"/>
        <w:spacing w:before="360" w:after="360" w:line="240" w:lineRule="auto"/>
        <w:jc w:val="both"/>
        <w:textAlignment w:val="auto"/>
        <w:rPr>
          <w:rFonts w:hint="eastAsia" w:ascii="Times New Roman" w:hAnsi="Times New Roman" w:eastAsia="宋体" w:cs="宋体"/>
          <w:b/>
          <w:color w:val="auto"/>
          <w:sz w:val="24"/>
          <w:szCs w:val="24"/>
          <w:highlight w:val="none"/>
          <w:lang w:eastAsia="zh-CN"/>
        </w:rPr>
      </w:pPr>
      <w:r>
        <w:rPr>
          <w:rFonts w:hint="eastAsia" w:ascii="Times New Roman" w:hAnsi="Times New Roman" w:eastAsia="宋体" w:cs="宋体"/>
          <w:b/>
          <w:color w:val="auto"/>
          <w:sz w:val="24"/>
          <w:szCs w:val="24"/>
          <w:highlight w:val="none"/>
          <w:lang w:val="en-US" w:eastAsia="zh-CN"/>
        </w:rPr>
        <w:t>一</w:t>
      </w:r>
      <w:r>
        <w:rPr>
          <w:rFonts w:hint="eastAsia" w:ascii="Times New Roman" w:hAnsi="Times New Roman" w:eastAsia="宋体" w:cs="宋体"/>
          <w:b/>
          <w:color w:val="auto"/>
          <w:sz w:val="24"/>
          <w:szCs w:val="24"/>
          <w:highlight w:val="none"/>
        </w:rPr>
        <w:t>、标的</w:t>
      </w:r>
      <w:r>
        <w:rPr>
          <w:rFonts w:hint="eastAsia" w:ascii="Times New Roman" w:hAnsi="Times New Roman" w:eastAsia="宋体" w:cs="宋体"/>
          <w:b/>
          <w:color w:val="auto"/>
          <w:sz w:val="24"/>
          <w:szCs w:val="24"/>
          <w:highlight w:val="none"/>
          <w:lang w:eastAsia="zh-CN"/>
        </w:rPr>
        <w:t>信息</w:t>
      </w:r>
    </w:p>
    <w:bookmarkEnd w:id="0"/>
    <w:bookmarkEnd w:id="1"/>
    <w:tbl>
      <w:tblPr>
        <w:tblStyle w:val="8"/>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6"/>
        <w:gridCol w:w="958"/>
        <w:gridCol w:w="429"/>
        <w:gridCol w:w="6129"/>
      </w:tblGrid>
      <w:tr w14:paraId="24969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9962" w:type="dxa"/>
            <w:gridSpan w:val="4"/>
            <w:shd w:val="clear" w:color="auto" w:fill="D9D9D9"/>
            <w:vAlign w:val="center"/>
          </w:tcPr>
          <w:p w14:paraId="2C2FBC59">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b/>
                <w:color w:val="auto"/>
                <w:sz w:val="24"/>
                <w:szCs w:val="24"/>
                <w:highlight w:val="none"/>
                <w:lang w:eastAsia="zh-CN"/>
              </w:rPr>
            </w:pPr>
            <w:bookmarkStart w:id="2" w:name="OLE_LINK9"/>
            <w:bookmarkStart w:id="3" w:name="OLE_LINK10"/>
            <w:r>
              <w:rPr>
                <w:rFonts w:hint="eastAsia" w:ascii="Times New Roman" w:hAnsi="Times New Roman" w:eastAsia="宋体" w:cs="宋体"/>
                <w:b/>
                <w:color w:val="auto"/>
                <w:sz w:val="24"/>
                <w:szCs w:val="24"/>
                <w:highlight w:val="none"/>
                <w:lang w:eastAsia="zh-CN"/>
              </w:rPr>
              <w:t>标 的 详 细 信 息</w:t>
            </w:r>
          </w:p>
        </w:tc>
      </w:tr>
      <w:tr w14:paraId="44DF4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446" w:type="dxa"/>
            <w:vAlign w:val="center"/>
          </w:tcPr>
          <w:p w14:paraId="1F3FC92E">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标的所在</w:t>
            </w:r>
            <w:r>
              <w:rPr>
                <w:rFonts w:hint="eastAsia" w:ascii="Times New Roman" w:hAnsi="Times New Roman" w:eastAsia="宋体" w:cs="宋体"/>
                <w:color w:val="auto"/>
                <w:sz w:val="24"/>
                <w:szCs w:val="24"/>
                <w:highlight w:val="none"/>
              </w:rPr>
              <w:t>地址</w:t>
            </w:r>
          </w:p>
        </w:tc>
        <w:tc>
          <w:tcPr>
            <w:tcW w:w="7516" w:type="dxa"/>
            <w:gridSpan w:val="3"/>
            <w:vAlign w:val="center"/>
          </w:tcPr>
          <w:p w14:paraId="56860C5A">
            <w:pPr>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宋体"/>
                <w:color w:val="auto"/>
                <w:sz w:val="24"/>
                <w:szCs w:val="24"/>
                <w:highlight w:val="none"/>
                <w:lang w:val="en-US" w:eastAsia="zh-CN"/>
              </w:rPr>
            </w:pPr>
            <w:r>
              <w:rPr>
                <w:rFonts w:hint="eastAsia" w:ascii="宋体" w:eastAsia="宋体"/>
                <w:bCs/>
                <w:color w:val="auto"/>
                <w:sz w:val="24"/>
                <w:szCs w:val="28"/>
                <w:highlight w:val="none"/>
              </w:rPr>
              <w:t>广州</w:t>
            </w:r>
            <w:r>
              <w:rPr>
                <w:rFonts w:hint="eastAsia" w:ascii="宋体" w:eastAsia="宋体"/>
                <w:bCs/>
                <w:color w:val="auto"/>
                <w:sz w:val="24"/>
                <w:szCs w:val="28"/>
                <w:highlight w:val="none"/>
                <w:lang w:eastAsia="zh-CN"/>
              </w:rPr>
              <w:t>市</w:t>
            </w:r>
            <w:r>
              <w:rPr>
                <w:rFonts w:hint="eastAsia" w:ascii="宋体" w:eastAsia="宋体"/>
                <w:bCs/>
                <w:color w:val="auto"/>
                <w:sz w:val="24"/>
                <w:szCs w:val="28"/>
                <w:highlight w:val="none"/>
              </w:rPr>
              <w:t>南沙区海滨路</w:t>
            </w:r>
            <w:r>
              <w:rPr>
                <w:rFonts w:ascii="宋体" w:eastAsia="宋体"/>
                <w:bCs/>
                <w:color w:val="auto"/>
                <w:sz w:val="24"/>
                <w:szCs w:val="28"/>
                <w:highlight w:val="none"/>
              </w:rPr>
              <w:t>171号</w:t>
            </w:r>
            <w:r>
              <w:rPr>
                <w:rFonts w:hint="eastAsia"/>
                <w:bCs/>
                <w:color w:val="auto"/>
                <w:sz w:val="24"/>
                <w:szCs w:val="28"/>
                <w:highlight w:val="none"/>
                <w:lang w:val="en-US" w:eastAsia="zh-CN"/>
              </w:rPr>
              <w:t>南沙</w:t>
            </w:r>
            <w:r>
              <w:rPr>
                <w:rFonts w:hint="eastAsia"/>
                <w:bCs/>
                <w:color w:val="auto"/>
                <w:sz w:val="24"/>
                <w:szCs w:val="28"/>
                <w:highlight w:val="none"/>
                <w:u w:val="none"/>
                <w:lang w:val="en-US" w:eastAsia="zh-CN"/>
              </w:rPr>
              <w:t>金融大厦11楼1101之J30房</w:t>
            </w:r>
          </w:p>
        </w:tc>
      </w:tr>
      <w:tr w14:paraId="5E033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446" w:type="dxa"/>
            <w:vAlign w:val="center"/>
          </w:tcPr>
          <w:p w14:paraId="59F06A3B">
            <w:pPr>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出租方</w:t>
            </w:r>
          </w:p>
        </w:tc>
        <w:tc>
          <w:tcPr>
            <w:tcW w:w="7516" w:type="dxa"/>
            <w:gridSpan w:val="3"/>
            <w:vAlign w:val="center"/>
          </w:tcPr>
          <w:p w14:paraId="448A21E1">
            <w:pPr>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广州南沙资产经营集团有限公司</w:t>
            </w:r>
          </w:p>
        </w:tc>
      </w:tr>
      <w:tr w14:paraId="31F44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446" w:type="dxa"/>
            <w:vAlign w:val="center"/>
          </w:tcPr>
          <w:p w14:paraId="27F27AC6">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出租类别</w:t>
            </w:r>
          </w:p>
        </w:tc>
        <w:tc>
          <w:tcPr>
            <w:tcW w:w="7516" w:type="dxa"/>
            <w:gridSpan w:val="3"/>
            <w:vAlign w:val="center"/>
          </w:tcPr>
          <w:p w14:paraId="01EC193B">
            <w:pPr>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auto"/>
                <w:sz w:val="24"/>
                <w:szCs w:val="24"/>
                <w:highlight w:val="none"/>
                <w:u w:val="single"/>
                <w:lang w:eastAsia="zh-CN"/>
              </w:rPr>
            </w:pPr>
            <w:r>
              <w:rPr>
                <w:rFonts w:hint="eastAsia" w:ascii="Times New Roman" w:hAnsi="Times New Roman" w:eastAsia="宋体" w:cs="宋体"/>
                <w:color w:val="auto"/>
                <w:sz w:val="24"/>
                <w:szCs w:val="24"/>
                <w:highlight w:val="none"/>
                <w:lang w:eastAsia="zh-CN"/>
              </w:rPr>
              <w:t>□土地  ☑房屋  □其他</w:t>
            </w:r>
            <w:r>
              <w:rPr>
                <w:rFonts w:hint="eastAsia" w:ascii="Times New Roman" w:hAnsi="Times New Roman" w:eastAsia="宋体" w:cs="宋体"/>
                <w:color w:val="auto"/>
                <w:sz w:val="24"/>
                <w:szCs w:val="24"/>
                <w:highlight w:val="none"/>
                <w:u w:val="single"/>
                <w:lang w:eastAsia="zh-CN"/>
              </w:rPr>
              <w:t xml:space="preserve">        </w:t>
            </w:r>
          </w:p>
        </w:tc>
      </w:tr>
      <w:tr w14:paraId="67D11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446" w:type="dxa"/>
            <w:vAlign w:val="center"/>
          </w:tcPr>
          <w:p w14:paraId="47F97A3D">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出租用途</w:t>
            </w:r>
          </w:p>
        </w:tc>
        <w:tc>
          <w:tcPr>
            <w:tcW w:w="7516" w:type="dxa"/>
            <w:gridSpan w:val="3"/>
            <w:vAlign w:val="center"/>
          </w:tcPr>
          <w:p w14:paraId="28EE35A7">
            <w:pPr>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 xml:space="preserve">□住宅  □商业  </w:t>
            </w: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办公  □工业  ☑其他</w:t>
            </w:r>
            <w:r>
              <w:rPr>
                <w:rFonts w:hint="eastAsia" w:ascii="Times New Roman" w:hAnsi="Times New Roman" w:eastAsia="宋体" w:cs="宋体"/>
                <w:color w:val="auto"/>
                <w:sz w:val="24"/>
                <w:szCs w:val="24"/>
                <w:highlight w:val="none"/>
                <w:u w:val="single"/>
                <w:lang w:eastAsia="zh-CN"/>
              </w:rPr>
              <w:t xml:space="preserve">        </w:t>
            </w:r>
          </w:p>
        </w:tc>
      </w:tr>
      <w:tr w14:paraId="17C80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8" w:hRule="exact"/>
        </w:trPr>
        <w:tc>
          <w:tcPr>
            <w:tcW w:w="2446" w:type="dxa"/>
            <w:vAlign w:val="center"/>
          </w:tcPr>
          <w:p w14:paraId="62BA270D">
            <w:pPr>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出租面积（总面积）</w:t>
            </w:r>
          </w:p>
        </w:tc>
        <w:tc>
          <w:tcPr>
            <w:tcW w:w="7516" w:type="dxa"/>
            <w:gridSpan w:val="3"/>
            <w:vAlign w:val="center"/>
          </w:tcPr>
          <w:p w14:paraId="2FBECD89">
            <w:pPr>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u w:val="single"/>
                <w:lang w:val="en-US" w:eastAsia="zh-CN"/>
              </w:rPr>
              <w:t xml:space="preserve">137.5 </w:t>
            </w:r>
            <w:r>
              <w:rPr>
                <w:rFonts w:hint="eastAsia" w:ascii="Times New Roman" w:hAnsi="Times New Roman" w:eastAsia="宋体" w:cs="宋体"/>
                <w:color w:val="auto"/>
                <w:sz w:val="24"/>
                <w:szCs w:val="24"/>
                <w:highlight w:val="none"/>
                <w:u w:val="single"/>
                <w:lang w:eastAsia="zh-CN"/>
              </w:rPr>
              <w:t xml:space="preserve"> </w:t>
            </w:r>
            <w:r>
              <w:rPr>
                <w:rFonts w:hint="eastAsia" w:ascii="Times New Roman" w:hAnsi="Times New Roman" w:eastAsia="宋体" w:cs="宋体"/>
                <w:color w:val="auto"/>
                <w:sz w:val="24"/>
                <w:szCs w:val="24"/>
                <w:highlight w:val="none"/>
                <w:lang w:eastAsia="zh-CN"/>
              </w:rPr>
              <w:t>平方米</w:t>
            </w:r>
          </w:p>
          <w:p w14:paraId="0F54D510">
            <w:pPr>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房产出租面积：</w:t>
            </w:r>
            <w:r>
              <w:rPr>
                <w:rFonts w:hint="eastAsia" w:ascii="Times New Roman" w:hAnsi="Times New Roman" w:eastAsia="宋体" w:cs="宋体"/>
                <w:color w:val="auto"/>
                <w:sz w:val="22"/>
                <w:szCs w:val="22"/>
                <w:highlight w:val="none"/>
                <w:u w:val="single"/>
                <w:lang w:val="en-US" w:eastAsia="zh-CN"/>
              </w:rPr>
              <w:t xml:space="preserve">          </w:t>
            </w:r>
            <w:r>
              <w:rPr>
                <w:rFonts w:hint="eastAsia" w:ascii="Times New Roman" w:hAnsi="Times New Roman" w:eastAsia="宋体" w:cs="宋体"/>
                <w:color w:val="auto"/>
                <w:sz w:val="22"/>
                <w:szCs w:val="22"/>
                <w:highlight w:val="none"/>
                <w:lang w:val="en-US" w:eastAsia="zh-CN"/>
              </w:rPr>
              <w:t>平方米，土地出租面积：</w:t>
            </w:r>
            <w:r>
              <w:rPr>
                <w:rFonts w:hint="eastAsia" w:ascii="Times New Roman" w:hAnsi="Times New Roman" w:eastAsia="宋体" w:cs="宋体"/>
                <w:color w:val="auto"/>
                <w:sz w:val="22"/>
                <w:szCs w:val="22"/>
                <w:highlight w:val="none"/>
                <w:u w:val="single"/>
                <w:lang w:val="en-US" w:eastAsia="zh-CN"/>
              </w:rPr>
              <w:t xml:space="preserve">           </w:t>
            </w:r>
            <w:r>
              <w:rPr>
                <w:rFonts w:hint="eastAsia" w:ascii="Times New Roman" w:hAnsi="Times New Roman" w:eastAsia="宋体" w:cs="宋体"/>
                <w:color w:val="auto"/>
                <w:sz w:val="22"/>
                <w:szCs w:val="22"/>
                <w:highlight w:val="none"/>
                <w:lang w:val="en-US" w:eastAsia="zh-CN"/>
              </w:rPr>
              <w:t>平方米，</w:t>
            </w:r>
          </w:p>
          <w:p w14:paraId="1667304E">
            <w:pPr>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其他，详见招租物业明细表</w:t>
            </w:r>
          </w:p>
        </w:tc>
      </w:tr>
      <w:tr w14:paraId="1FFC3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exact"/>
        </w:trPr>
        <w:tc>
          <w:tcPr>
            <w:tcW w:w="2446" w:type="dxa"/>
            <w:vAlign w:val="center"/>
          </w:tcPr>
          <w:p w14:paraId="4C5CB186">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出租面积描述</w:t>
            </w:r>
          </w:p>
        </w:tc>
        <w:tc>
          <w:tcPr>
            <w:tcW w:w="7516" w:type="dxa"/>
            <w:gridSpan w:val="3"/>
            <w:vAlign w:val="center"/>
          </w:tcPr>
          <w:p w14:paraId="5D7AAA58">
            <w:pPr>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房产出租面积：</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lang w:val="en-US" w:eastAsia="zh-CN"/>
              </w:rPr>
              <w:t xml:space="preserve">137.5  </w:t>
            </w:r>
            <w:r>
              <w:rPr>
                <w:rFonts w:hint="eastAsia" w:ascii="Times New Roman" w:hAnsi="Times New Roman" w:eastAsia="宋体" w:cs="宋体"/>
                <w:color w:val="auto"/>
                <w:sz w:val="24"/>
                <w:szCs w:val="24"/>
                <w:highlight w:val="none"/>
                <w:lang w:val="en-US" w:eastAsia="zh-CN"/>
              </w:rPr>
              <w:t>平方米，非必填 </w:t>
            </w:r>
          </w:p>
          <w:p w14:paraId="2CA35BFE">
            <w:pPr>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土地出租面积：</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lang w:val="en-US" w:eastAsia="zh-CN"/>
              </w:rPr>
              <w:t>平方米，非必填</w:t>
            </w:r>
          </w:p>
        </w:tc>
      </w:tr>
      <w:tr w14:paraId="5CBD5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8" w:hRule="exact"/>
        </w:trPr>
        <w:tc>
          <w:tcPr>
            <w:tcW w:w="2446" w:type="dxa"/>
            <w:vAlign w:val="center"/>
          </w:tcPr>
          <w:p w14:paraId="487843FF">
            <w:pPr>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eastAsia="zh-CN"/>
              </w:rPr>
              <w:t>免租期</w:t>
            </w:r>
            <w:r>
              <w:rPr>
                <w:rFonts w:hint="eastAsia" w:ascii="Times New Roman" w:hAnsi="Times New Roman" w:cs="宋体"/>
                <w:color w:val="auto"/>
                <w:sz w:val="24"/>
                <w:szCs w:val="24"/>
                <w:highlight w:val="none"/>
                <w:lang w:val="en-US" w:eastAsia="zh-CN"/>
              </w:rPr>
              <w:t>说明</w:t>
            </w:r>
          </w:p>
        </w:tc>
        <w:tc>
          <w:tcPr>
            <w:tcW w:w="7516" w:type="dxa"/>
            <w:gridSpan w:val="3"/>
            <w:vAlign w:val="center"/>
          </w:tcPr>
          <w:p w14:paraId="45FCB08E">
            <w:pPr>
              <w:keepLines w:val="0"/>
              <w:pageBreakBefore w:val="0"/>
              <w:widowControl/>
              <w:kinsoku/>
              <w:wordWrap/>
              <w:overflowPunct/>
              <w:topLinePunct w:val="0"/>
              <w:autoSpaceDE/>
              <w:autoSpaceDN/>
              <w:bidi w:val="0"/>
              <w:spacing w:line="240" w:lineRule="auto"/>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u w:val="none"/>
                <w:lang w:eastAsia="zh-CN"/>
              </w:rPr>
              <w:t>装修期（免租期）共</w:t>
            </w:r>
            <w:r>
              <w:rPr>
                <w:rFonts w:hint="eastAsia" w:ascii="Times New Roman" w:hAnsi="Times New Roman" w:cs="宋体"/>
                <w:color w:val="auto"/>
                <w:sz w:val="24"/>
                <w:szCs w:val="24"/>
                <w:highlight w:val="none"/>
                <w:u w:val="single"/>
                <w:lang w:val="en-US" w:eastAsia="zh-CN"/>
              </w:rPr>
              <w:t xml:space="preserve">  / </w:t>
            </w:r>
            <w:r>
              <w:rPr>
                <w:rFonts w:hint="eastAsia" w:ascii="Times New Roman" w:hAnsi="Times New Roman" w:eastAsia="宋体" w:cs="宋体"/>
                <w:color w:val="auto"/>
                <w:sz w:val="24"/>
                <w:szCs w:val="24"/>
                <w:highlight w:val="none"/>
                <w:u w:val="none"/>
                <w:lang w:eastAsia="zh-CN"/>
              </w:rPr>
              <w:t>个月，装修期期间除租金以外的各类费用不在免除范围。</w:t>
            </w:r>
          </w:p>
        </w:tc>
      </w:tr>
      <w:tr w14:paraId="29A25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7" w:hRule="atLeast"/>
        </w:trPr>
        <w:tc>
          <w:tcPr>
            <w:tcW w:w="2446" w:type="dxa"/>
          </w:tcPr>
          <w:p w14:paraId="40CF3BF9">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*租赁期限/</w:t>
            </w:r>
          </w:p>
          <w:p w14:paraId="78C87292">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租期到期时间</w:t>
            </w:r>
          </w:p>
        </w:tc>
        <w:tc>
          <w:tcPr>
            <w:tcW w:w="7516" w:type="dxa"/>
            <w:gridSpan w:val="3"/>
            <w:vAlign w:val="center"/>
          </w:tcPr>
          <w:p w14:paraId="1CC8FBAD">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 xml:space="preserve">□租赁期限  </w:t>
            </w:r>
            <w:r>
              <w:rPr>
                <w:rFonts w:hint="eastAsia" w:ascii="Times New Roman" w:hAnsi="Times New Roman" w:eastAsia="宋体" w:cs="宋体"/>
                <w:color w:val="auto"/>
                <w:sz w:val="24"/>
                <w:szCs w:val="24"/>
                <w:highlight w:val="none"/>
                <w:u w:val="single"/>
                <w:lang w:eastAsia="zh-CN"/>
              </w:rPr>
              <w:t xml:space="preserve">   </w:t>
            </w:r>
            <w:r>
              <w:rPr>
                <w:rFonts w:hint="eastAsia" w:ascii="Times New Roman" w:hAnsi="Times New Roman" w:cs="宋体"/>
                <w:color w:val="auto"/>
                <w:sz w:val="24"/>
                <w:szCs w:val="24"/>
                <w:highlight w:val="none"/>
                <w:u w:val="single"/>
                <w:lang w:val="en-US" w:eastAsia="zh-CN"/>
              </w:rPr>
              <w:t>1</w:t>
            </w:r>
            <w:r>
              <w:rPr>
                <w:rFonts w:hint="eastAsia" w:ascii="Times New Roman" w:hAnsi="Times New Roman" w:eastAsia="宋体" w:cs="宋体"/>
                <w:color w:val="auto"/>
                <w:sz w:val="24"/>
                <w:szCs w:val="24"/>
                <w:highlight w:val="none"/>
                <w:u w:val="single"/>
                <w:lang w:eastAsia="zh-CN"/>
              </w:rPr>
              <w:t xml:space="preserve">    </w:t>
            </w: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日</w:t>
            </w: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月</w:t>
            </w: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年</w:t>
            </w:r>
          </w:p>
        </w:tc>
      </w:tr>
      <w:tr w14:paraId="31895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exact"/>
        </w:trPr>
        <w:tc>
          <w:tcPr>
            <w:tcW w:w="2446" w:type="dxa"/>
            <w:vMerge w:val="restart"/>
            <w:vAlign w:val="center"/>
          </w:tcPr>
          <w:p w14:paraId="4E606B16">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标的使用情况</w:t>
            </w:r>
          </w:p>
        </w:tc>
        <w:tc>
          <w:tcPr>
            <w:tcW w:w="7516" w:type="dxa"/>
            <w:gridSpan w:val="3"/>
            <w:vAlign w:val="center"/>
          </w:tcPr>
          <w:p w14:paraId="2F1DD981">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 xml:space="preserve">空置 </w:t>
            </w:r>
          </w:p>
        </w:tc>
      </w:tr>
      <w:tr w14:paraId="78E8F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exact"/>
        </w:trPr>
        <w:tc>
          <w:tcPr>
            <w:tcW w:w="2446" w:type="dxa"/>
            <w:vMerge w:val="continue"/>
            <w:vAlign w:val="center"/>
          </w:tcPr>
          <w:p w14:paraId="24C8CA89">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rPr>
            </w:pPr>
          </w:p>
        </w:tc>
        <w:tc>
          <w:tcPr>
            <w:tcW w:w="1387" w:type="dxa"/>
            <w:gridSpan w:val="2"/>
            <w:vAlign w:val="center"/>
          </w:tcPr>
          <w:p w14:paraId="2AA5F80C">
            <w:pPr>
              <w:keepLines w:val="0"/>
              <w:pageBreakBefore w:val="0"/>
              <w:widowControl/>
              <w:kinsoku/>
              <w:wordWrap/>
              <w:overflowPunct/>
              <w:topLinePunct w:val="0"/>
              <w:autoSpaceDE/>
              <w:autoSpaceDN/>
              <w:bidi w:val="0"/>
              <w:spacing w:line="240" w:lineRule="auto"/>
              <w:jc w:val="both"/>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占用</w:t>
            </w:r>
          </w:p>
        </w:tc>
        <w:tc>
          <w:tcPr>
            <w:tcW w:w="6129" w:type="dxa"/>
            <w:vAlign w:val="center"/>
          </w:tcPr>
          <w:p w14:paraId="3E8E3F88">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2"/>
                <w:szCs w:val="22"/>
                <w:highlight w:val="none"/>
                <w:lang w:val="en-US" w:eastAsia="zh-CN"/>
              </w:rPr>
              <w:t>原合同承租有效期至</w:t>
            </w:r>
            <w:r>
              <w:rPr>
                <w:rFonts w:hint="eastAsia" w:ascii="Times New Roman" w:hAnsi="Times New Roman" w:eastAsia="宋体" w:cs="宋体"/>
                <w:color w:val="auto"/>
                <w:sz w:val="22"/>
                <w:szCs w:val="22"/>
                <w:highlight w:val="none"/>
                <w:u w:val="single"/>
                <w:lang w:val="en-US" w:eastAsia="zh-CN"/>
              </w:rPr>
              <w:t xml:space="preserve"> </w:t>
            </w:r>
            <w:r>
              <w:rPr>
                <w:rFonts w:hint="eastAsia" w:ascii="Times New Roman" w:hAnsi="Times New Roman" w:cs="宋体"/>
                <w:color w:val="auto"/>
                <w:sz w:val="22"/>
                <w:szCs w:val="22"/>
                <w:highlight w:val="none"/>
                <w:u w:val="single"/>
                <w:lang w:val="en-US" w:eastAsia="zh-CN"/>
              </w:rPr>
              <w:t>2025</w:t>
            </w:r>
            <w:r>
              <w:rPr>
                <w:rFonts w:hint="eastAsia" w:ascii="Times New Roman" w:hAnsi="Times New Roman" w:eastAsia="宋体" w:cs="宋体"/>
                <w:color w:val="auto"/>
                <w:sz w:val="22"/>
                <w:szCs w:val="22"/>
                <w:highlight w:val="none"/>
                <w:u w:val="single"/>
                <w:lang w:val="en-US" w:eastAsia="zh-CN"/>
              </w:rPr>
              <w:t xml:space="preserve"> </w:t>
            </w:r>
            <w:r>
              <w:rPr>
                <w:rFonts w:hint="eastAsia" w:ascii="Times New Roman" w:hAnsi="Times New Roman" w:eastAsia="宋体" w:cs="宋体"/>
                <w:color w:val="auto"/>
                <w:sz w:val="22"/>
                <w:szCs w:val="22"/>
                <w:highlight w:val="none"/>
                <w:u w:val="none"/>
                <w:lang w:val="en-US" w:eastAsia="zh-CN"/>
              </w:rPr>
              <w:t>年</w:t>
            </w:r>
            <w:r>
              <w:rPr>
                <w:rFonts w:hint="eastAsia" w:ascii="Times New Roman" w:hAnsi="Times New Roman" w:eastAsia="宋体" w:cs="宋体"/>
                <w:color w:val="auto"/>
                <w:sz w:val="22"/>
                <w:szCs w:val="22"/>
                <w:highlight w:val="none"/>
                <w:u w:val="single"/>
                <w:lang w:val="en-US" w:eastAsia="zh-CN"/>
              </w:rPr>
              <w:t xml:space="preserve"> </w:t>
            </w:r>
            <w:r>
              <w:rPr>
                <w:rFonts w:hint="eastAsia" w:ascii="Times New Roman" w:hAnsi="Times New Roman" w:cs="宋体"/>
                <w:color w:val="auto"/>
                <w:sz w:val="22"/>
                <w:szCs w:val="22"/>
                <w:highlight w:val="none"/>
                <w:u w:val="single"/>
                <w:lang w:val="en-US" w:eastAsia="zh-CN"/>
              </w:rPr>
              <w:t>12</w:t>
            </w:r>
            <w:r>
              <w:rPr>
                <w:rFonts w:hint="eastAsia" w:ascii="Times New Roman" w:hAnsi="Times New Roman" w:eastAsia="宋体" w:cs="宋体"/>
                <w:color w:val="auto"/>
                <w:sz w:val="22"/>
                <w:szCs w:val="22"/>
                <w:highlight w:val="none"/>
                <w:u w:val="single"/>
                <w:lang w:val="en-US" w:eastAsia="zh-CN"/>
              </w:rPr>
              <w:t xml:space="preserve"> </w:t>
            </w:r>
            <w:r>
              <w:rPr>
                <w:rFonts w:hint="eastAsia" w:ascii="Times New Roman" w:hAnsi="Times New Roman" w:eastAsia="宋体" w:cs="宋体"/>
                <w:color w:val="auto"/>
                <w:sz w:val="22"/>
                <w:szCs w:val="22"/>
                <w:highlight w:val="none"/>
                <w:u w:val="none"/>
                <w:lang w:val="en-US" w:eastAsia="zh-CN"/>
              </w:rPr>
              <w:t>月</w:t>
            </w:r>
            <w:r>
              <w:rPr>
                <w:rFonts w:hint="eastAsia" w:ascii="Times New Roman" w:hAnsi="Times New Roman" w:eastAsia="宋体" w:cs="宋体"/>
                <w:color w:val="auto"/>
                <w:sz w:val="22"/>
                <w:szCs w:val="22"/>
                <w:highlight w:val="none"/>
                <w:u w:val="single"/>
                <w:lang w:val="en-US" w:eastAsia="zh-CN"/>
              </w:rPr>
              <w:t xml:space="preserve"> </w:t>
            </w:r>
            <w:r>
              <w:rPr>
                <w:rFonts w:hint="eastAsia" w:ascii="Times New Roman" w:hAnsi="Times New Roman" w:cs="宋体"/>
                <w:color w:val="auto"/>
                <w:sz w:val="22"/>
                <w:szCs w:val="22"/>
                <w:highlight w:val="none"/>
                <w:u w:val="single"/>
                <w:lang w:val="en-US" w:eastAsia="zh-CN"/>
              </w:rPr>
              <w:t>31</w:t>
            </w:r>
            <w:r>
              <w:rPr>
                <w:rFonts w:hint="eastAsia" w:ascii="Times New Roman" w:hAnsi="Times New Roman" w:eastAsia="宋体" w:cs="宋体"/>
                <w:color w:val="auto"/>
                <w:sz w:val="22"/>
                <w:szCs w:val="22"/>
                <w:highlight w:val="none"/>
                <w:u w:val="single"/>
                <w:lang w:val="en-US" w:eastAsia="zh-CN"/>
              </w:rPr>
              <w:t xml:space="preserve"> </w:t>
            </w:r>
            <w:r>
              <w:rPr>
                <w:rFonts w:hint="eastAsia" w:ascii="Times New Roman" w:hAnsi="Times New Roman" w:eastAsia="宋体" w:cs="宋体"/>
                <w:color w:val="auto"/>
                <w:sz w:val="22"/>
                <w:szCs w:val="22"/>
                <w:highlight w:val="none"/>
                <w:u w:val="none"/>
                <w:lang w:val="en-US" w:eastAsia="zh-CN"/>
              </w:rPr>
              <w:t>日止。</w:t>
            </w:r>
            <w:r>
              <w:rPr>
                <w:rFonts w:hint="eastAsia" w:ascii="Times New Roman" w:hAnsi="Times New Roman" w:eastAsia="宋体" w:cs="宋体"/>
                <w:bCs/>
                <w:color w:val="auto"/>
                <w:sz w:val="22"/>
                <w:szCs w:val="22"/>
                <w:highlight w:val="none"/>
                <w:lang w:val="en-US" w:eastAsia="zh-CN"/>
              </w:rPr>
              <w:t>起租时间以交付日期为准，但不早于原承租期期满次日。</w:t>
            </w:r>
          </w:p>
        </w:tc>
      </w:tr>
      <w:tr w14:paraId="36D88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8" w:hRule="exact"/>
        </w:trPr>
        <w:tc>
          <w:tcPr>
            <w:tcW w:w="2446" w:type="dxa"/>
            <w:vMerge w:val="restart"/>
            <w:vAlign w:val="center"/>
          </w:tcPr>
          <w:p w14:paraId="20D094A2">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是否涉及优先权</w:t>
            </w:r>
          </w:p>
        </w:tc>
        <w:tc>
          <w:tcPr>
            <w:tcW w:w="958" w:type="dxa"/>
            <w:vAlign w:val="center"/>
          </w:tcPr>
          <w:p w14:paraId="3B0C197F">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lang w:eastAsia="zh-CN"/>
              </w:rPr>
              <w:t>是</w:t>
            </w:r>
          </w:p>
          <w:p w14:paraId="5239526C">
            <w:pPr>
              <w:keepLines w:val="0"/>
              <w:pageBreakBefore w:val="0"/>
              <w:widowControl/>
              <w:kinsoku/>
              <w:wordWrap/>
              <w:overflowPunct/>
              <w:topLinePunct w:val="0"/>
              <w:autoSpaceDE/>
              <w:autoSpaceDN/>
              <w:bidi w:val="0"/>
              <w:spacing w:line="240" w:lineRule="auto"/>
              <w:textAlignment w:val="auto"/>
              <w:rPr>
                <w:rFonts w:hint="default" w:ascii="Times New Roman" w:hAnsi="Times New Roman" w:eastAsia="宋体" w:cs="宋体"/>
                <w:color w:val="auto"/>
                <w:sz w:val="24"/>
                <w:szCs w:val="24"/>
                <w:highlight w:val="none"/>
                <w:u w:val="single"/>
                <w:lang w:val="en-US" w:eastAsia="zh-CN"/>
              </w:rPr>
            </w:pPr>
          </w:p>
        </w:tc>
        <w:tc>
          <w:tcPr>
            <w:tcW w:w="6558" w:type="dxa"/>
            <w:gridSpan w:val="2"/>
            <w:vAlign w:val="center"/>
          </w:tcPr>
          <w:p w14:paraId="572DCD8B">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2"/>
                <w:szCs w:val="22"/>
                <w:highlight w:val="none"/>
                <w:lang w:eastAsia="zh-CN"/>
              </w:rPr>
              <w:t>如优先权人不放弃优先权，须按照本公告要求交纳交易保证金并参与交易</w:t>
            </w:r>
            <w:r>
              <w:rPr>
                <w:rFonts w:hint="eastAsia" w:ascii="Times New Roman" w:hAnsi="Times New Roman" w:eastAsia="宋体" w:cs="宋体"/>
                <w:color w:val="auto"/>
                <w:sz w:val="24"/>
                <w:szCs w:val="24"/>
                <w:highlight w:val="none"/>
                <w:lang w:eastAsia="zh-CN"/>
              </w:rPr>
              <w:t>。</w:t>
            </w:r>
          </w:p>
          <w:p w14:paraId="7D2913DF">
            <w:pPr>
              <w:keepNext w:val="0"/>
              <w:keepLines w:val="0"/>
              <w:pageBreakBefore w:val="0"/>
              <w:widowControl w:val="0"/>
              <w:kinsoku/>
              <w:wordWrap/>
              <w:overflowPunct/>
              <w:topLinePunct w:val="0"/>
              <w:autoSpaceDE/>
              <w:autoSpaceDN/>
              <w:bidi w:val="0"/>
              <w:adjustRightInd/>
              <w:snapToGrid/>
              <w:spacing w:beforeAutospacing="0" w:afterAutospacing="0" w:line="300" w:lineRule="auto"/>
              <w:ind w:left="0" w:leftChars="0" w:right="0" w:rightChars="0" w:firstLine="482" w:firstLineChars="0"/>
              <w:jc w:val="left"/>
              <w:textAlignment w:val="auto"/>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eastAsia="zh-CN"/>
              </w:rPr>
              <w:t>优先权人名称</w:t>
            </w:r>
            <w:r>
              <w:rPr>
                <w:rStyle w:val="10"/>
                <w:rFonts w:hint="eastAsia" w:ascii="Times New Roman" w:hAnsi="Times New Roman" w:cs="宋体"/>
                <w:color w:val="auto"/>
                <w:sz w:val="22"/>
                <w:szCs w:val="22"/>
                <w:highlight w:val="none"/>
                <w:lang w:eastAsia="zh-CN"/>
              </w:rPr>
              <w:t>，中邮消费金融有限公司</w:t>
            </w:r>
          </w:p>
          <w:p w14:paraId="12E81083">
            <w:pPr>
              <w:keepLines w:val="0"/>
              <w:pageBreakBefore w:val="0"/>
              <w:widowControl/>
              <w:kinsoku/>
              <w:wordWrap/>
              <w:overflowPunct/>
              <w:topLinePunct w:val="0"/>
              <w:autoSpaceDE/>
              <w:autoSpaceDN/>
              <w:bidi w:val="0"/>
              <w:spacing w:line="240" w:lineRule="auto"/>
              <w:ind w:firstLine="440" w:firstLineChars="200"/>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2"/>
                <w:szCs w:val="22"/>
                <w:highlight w:val="none"/>
                <w:lang w:eastAsia="zh-CN"/>
              </w:rPr>
              <w:t>权人证件号码</w:t>
            </w:r>
            <w:r>
              <w:rPr>
                <w:rFonts w:hint="eastAsia" w:ascii="Times New Roman" w:hAnsi="Times New Roman" w:cs="宋体"/>
                <w:color w:val="auto"/>
                <w:sz w:val="22"/>
                <w:szCs w:val="22"/>
                <w:highlight w:val="none"/>
                <w:lang w:eastAsia="zh-CN"/>
              </w:rPr>
              <w:t>：91440115MA59ATXN6C</w:t>
            </w:r>
          </w:p>
        </w:tc>
      </w:tr>
      <w:tr w14:paraId="1BD16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exact"/>
        </w:trPr>
        <w:tc>
          <w:tcPr>
            <w:tcW w:w="2446" w:type="dxa"/>
            <w:vMerge w:val="continue"/>
            <w:vAlign w:val="center"/>
          </w:tcPr>
          <w:p w14:paraId="50974993">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p>
        </w:tc>
        <w:tc>
          <w:tcPr>
            <w:tcW w:w="7516" w:type="dxa"/>
            <w:gridSpan w:val="3"/>
            <w:vAlign w:val="center"/>
          </w:tcPr>
          <w:p w14:paraId="46118CD9">
            <w:pPr>
              <w:pStyle w:val="12"/>
              <w:bidi w:val="0"/>
              <w:ind w:left="0" w:leftChars="0" w:firstLine="0" w:firstLineChars="0"/>
              <w:rPr>
                <w:rFonts w:hint="eastAsia" w:ascii="Times New Roman" w:hAnsi="Times New Roman"/>
                <w:color w:val="auto"/>
                <w:highlight w:val="none"/>
                <w:lang w:eastAsia="zh-CN"/>
              </w:rPr>
            </w:pPr>
            <w:r>
              <w:rPr>
                <w:rFonts w:hint="eastAsia" w:ascii="Times New Roman" w:hAnsi="Times New Roman"/>
                <w:color w:val="auto"/>
                <w:highlight w:val="none"/>
                <w:lang w:eastAsia="zh-CN"/>
              </w:rPr>
              <w:t>☑否</w:t>
            </w:r>
          </w:p>
        </w:tc>
      </w:tr>
      <w:bookmarkEnd w:id="2"/>
      <w:bookmarkEnd w:id="3"/>
    </w:tbl>
    <w:p w14:paraId="5E0EB97C">
      <w:pPr>
        <w:keepLines w:val="0"/>
        <w:pageBreakBefore w:val="0"/>
        <w:widowControl/>
        <w:kinsoku/>
        <w:wordWrap/>
        <w:overflowPunct/>
        <w:topLinePunct w:val="0"/>
        <w:autoSpaceDE/>
        <w:autoSpaceDN/>
        <w:bidi w:val="0"/>
        <w:adjustRightInd w:val="0"/>
        <w:snapToGrid w:val="0"/>
        <w:spacing w:before="120" w:after="120" w:line="240" w:lineRule="auto"/>
        <w:jc w:val="both"/>
        <w:textAlignment w:val="auto"/>
        <w:rPr>
          <w:rFonts w:hint="eastAsia" w:ascii="Times New Roman" w:hAnsi="Times New Roman" w:eastAsia="宋体" w:cs="宋体"/>
          <w:b/>
          <w:color w:val="auto"/>
          <w:sz w:val="24"/>
          <w:szCs w:val="24"/>
          <w:highlight w:val="none"/>
          <w:lang w:eastAsia="zh-CN"/>
        </w:rPr>
      </w:pPr>
      <w:r>
        <w:rPr>
          <w:rFonts w:hint="eastAsia" w:ascii="Times New Roman" w:hAnsi="Times New Roman" w:eastAsia="宋体" w:cs="宋体"/>
          <w:b/>
          <w:color w:val="auto"/>
          <w:sz w:val="24"/>
          <w:szCs w:val="24"/>
          <w:highlight w:val="none"/>
          <w:lang w:val="en-US" w:eastAsia="zh-CN"/>
        </w:rPr>
        <w:t>二</w:t>
      </w:r>
      <w:r>
        <w:rPr>
          <w:rFonts w:hint="eastAsia" w:ascii="Times New Roman" w:hAnsi="Times New Roman" w:eastAsia="宋体" w:cs="宋体"/>
          <w:b/>
          <w:color w:val="auto"/>
          <w:sz w:val="24"/>
          <w:szCs w:val="24"/>
          <w:highlight w:val="none"/>
          <w:lang w:eastAsia="zh-CN"/>
        </w:rPr>
        <w:t>、挂牌信息与条件设置</w:t>
      </w:r>
    </w:p>
    <w:tbl>
      <w:tblPr>
        <w:tblStyle w:val="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124"/>
        <w:gridCol w:w="1130"/>
        <w:gridCol w:w="1028"/>
        <w:gridCol w:w="3469"/>
      </w:tblGrid>
      <w:tr w14:paraId="65E0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14:paraId="62B54CBA">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b/>
                <w:color w:val="auto"/>
                <w:sz w:val="24"/>
                <w:szCs w:val="24"/>
                <w:highlight w:val="none"/>
                <w:lang w:eastAsia="zh-CN"/>
              </w:rPr>
            </w:pPr>
            <w:r>
              <w:rPr>
                <w:rFonts w:hint="eastAsia" w:ascii="Times New Roman" w:hAnsi="Times New Roman" w:eastAsia="宋体" w:cs="宋体"/>
                <w:b/>
                <w:color w:val="auto"/>
                <w:sz w:val="24"/>
                <w:szCs w:val="24"/>
                <w:highlight w:val="none"/>
                <w:lang w:eastAsia="zh-CN"/>
              </w:rPr>
              <w:t>挂 牌 信 息</w:t>
            </w:r>
          </w:p>
        </w:tc>
      </w:tr>
      <w:tr w14:paraId="77CD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2211" w:type="dxa"/>
            <w:vMerge w:val="restart"/>
            <w:vAlign w:val="center"/>
          </w:tcPr>
          <w:p w14:paraId="3D4CD658">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color w:val="auto"/>
                <w:sz w:val="24"/>
                <w:szCs w:val="24"/>
                <w:highlight w:val="none"/>
                <w:lang w:eastAsia="zh-CN"/>
              </w:rPr>
            </w:pPr>
          </w:p>
          <w:p w14:paraId="38F4C36A">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bCs/>
                <w:color w:val="auto"/>
                <w:sz w:val="24"/>
                <w:szCs w:val="24"/>
                <w:highlight w:val="none"/>
                <w:lang w:eastAsia="zh-CN"/>
              </w:rPr>
              <w:t>挂牌价格</w:t>
            </w:r>
          </w:p>
          <w:p w14:paraId="234002C3">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rPr>
            </w:pPr>
          </w:p>
        </w:tc>
        <w:tc>
          <w:tcPr>
            <w:tcW w:w="2124" w:type="dxa"/>
            <w:vMerge w:val="restart"/>
            <w:vAlign w:val="center"/>
          </w:tcPr>
          <w:p w14:paraId="4E5265BD">
            <w:pPr>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招租底价（起价）</w:t>
            </w:r>
          </w:p>
        </w:tc>
        <w:tc>
          <w:tcPr>
            <w:tcW w:w="5627" w:type="dxa"/>
            <w:gridSpan w:val="3"/>
            <w:vAlign w:val="center"/>
          </w:tcPr>
          <w:p w14:paraId="3128CF04">
            <w:pPr>
              <w:keepLines w:val="0"/>
              <w:pageBreakBefore w:val="0"/>
              <w:widowControl/>
              <w:kinsoku/>
              <w:wordWrap/>
              <w:overflowPunct/>
              <w:topLinePunct w:val="0"/>
              <w:autoSpaceDE/>
              <w:autoSpaceDN/>
              <w:bidi w:val="0"/>
              <w:spacing w:line="240" w:lineRule="auto"/>
              <w:jc w:val="both"/>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b w:val="0"/>
                <w:bCs w:val="0"/>
                <w:color w:val="auto"/>
                <w:kern w:val="0"/>
                <w:sz w:val="24"/>
                <w:szCs w:val="24"/>
                <w:highlight w:val="none"/>
                <w:u w:val="none"/>
                <w:lang w:val="en-US" w:eastAsia="zh-CN" w:bidi="ar-SA"/>
              </w:rPr>
              <w:t>☑</w:t>
            </w:r>
            <w:r>
              <w:rPr>
                <w:rFonts w:hint="eastAsia" w:ascii="Times New Roman" w:hAnsi="Times New Roman" w:eastAsia="宋体" w:cs="宋体"/>
                <w:color w:val="auto"/>
                <w:sz w:val="24"/>
                <w:szCs w:val="24"/>
                <w:highlight w:val="none"/>
                <w:u w:val="single"/>
                <w:lang w:eastAsia="zh-CN"/>
              </w:rPr>
              <w:t xml:space="preserve"> </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lang w:val="en-US" w:eastAsia="zh-CN"/>
              </w:rPr>
              <w:t>68</w:t>
            </w:r>
            <w:r>
              <w:rPr>
                <w:rFonts w:hint="eastAsia" w:ascii="Times New Roman" w:hAnsi="Times New Roman" w:eastAsia="宋体" w:cs="宋体"/>
                <w:color w:val="auto"/>
                <w:sz w:val="24"/>
                <w:szCs w:val="24"/>
                <w:highlight w:val="none"/>
                <w:u w:val="single"/>
                <w:lang w:eastAsia="zh-CN"/>
              </w:rPr>
              <w:t xml:space="preserve"> </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u w:val="single"/>
                <w:lang w:eastAsia="zh-CN"/>
              </w:rPr>
              <w:t xml:space="preserve"> </w:t>
            </w:r>
            <w:r>
              <w:rPr>
                <w:rFonts w:hint="eastAsia" w:ascii="Times New Roman" w:hAnsi="Times New Roman" w:eastAsia="宋体" w:cs="宋体"/>
                <w:color w:val="auto"/>
                <w:sz w:val="24"/>
                <w:szCs w:val="24"/>
                <w:highlight w:val="none"/>
                <w:lang w:eastAsia="zh-CN"/>
              </w:rPr>
              <w:t xml:space="preserve">元/月（每平方米） </w:t>
            </w:r>
          </w:p>
        </w:tc>
      </w:tr>
      <w:tr w14:paraId="4D4B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211" w:type="dxa"/>
            <w:vMerge w:val="continue"/>
            <w:vAlign w:val="center"/>
          </w:tcPr>
          <w:p w14:paraId="53F506D3">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color w:val="auto"/>
                <w:sz w:val="24"/>
                <w:szCs w:val="24"/>
                <w:highlight w:val="none"/>
                <w:lang w:eastAsia="zh-CN"/>
              </w:rPr>
            </w:pPr>
          </w:p>
        </w:tc>
        <w:tc>
          <w:tcPr>
            <w:tcW w:w="2124" w:type="dxa"/>
            <w:vMerge w:val="continue"/>
            <w:vAlign w:val="center"/>
          </w:tcPr>
          <w:p w14:paraId="75D80A94">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p>
        </w:tc>
        <w:tc>
          <w:tcPr>
            <w:tcW w:w="5627" w:type="dxa"/>
            <w:gridSpan w:val="3"/>
            <w:vAlign w:val="center"/>
          </w:tcPr>
          <w:p w14:paraId="5A229936">
            <w:pPr>
              <w:pStyle w:val="2"/>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cs="宋体"/>
                <w:b w:val="0"/>
                <w:bCs w:val="0"/>
                <w:color w:val="auto"/>
                <w:kern w:val="0"/>
                <w:sz w:val="24"/>
                <w:szCs w:val="24"/>
                <w:highlight w:val="none"/>
                <w:u w:val="single"/>
                <w:lang w:val="en-US" w:eastAsia="zh-CN" w:bidi="ar-SA"/>
              </w:rPr>
              <w:t>□</w:t>
            </w:r>
            <w:r>
              <w:rPr>
                <w:rFonts w:hint="eastAsia" w:ascii="Times New Roman" w:hAnsi="Times New Roman" w:eastAsia="宋体" w:cs="宋体"/>
                <w:b w:val="0"/>
                <w:bCs w:val="0"/>
                <w:color w:val="auto"/>
                <w:kern w:val="0"/>
                <w:sz w:val="24"/>
                <w:szCs w:val="24"/>
                <w:highlight w:val="none"/>
                <w:u w:val="single"/>
                <w:lang w:val="en-US" w:eastAsia="zh-CN" w:bidi="ar-SA"/>
              </w:rPr>
              <w:t>其他，详见附件材料“招租物业明细表”</w:t>
            </w:r>
          </w:p>
        </w:tc>
      </w:tr>
      <w:tr w14:paraId="1CA0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211" w:type="dxa"/>
            <w:vMerge w:val="continue"/>
            <w:vAlign w:val="center"/>
          </w:tcPr>
          <w:p w14:paraId="00381D0B">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color w:val="auto"/>
                <w:sz w:val="24"/>
                <w:szCs w:val="24"/>
                <w:highlight w:val="none"/>
                <w:lang w:eastAsia="zh-CN"/>
              </w:rPr>
            </w:pPr>
          </w:p>
        </w:tc>
        <w:tc>
          <w:tcPr>
            <w:tcW w:w="2124" w:type="dxa"/>
            <w:vAlign w:val="center"/>
          </w:tcPr>
          <w:p w14:paraId="6A5E4D33">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价格说明</w:t>
            </w:r>
          </w:p>
        </w:tc>
        <w:tc>
          <w:tcPr>
            <w:tcW w:w="5627" w:type="dxa"/>
            <w:gridSpan w:val="3"/>
            <w:vAlign w:val="center"/>
          </w:tcPr>
          <w:p w14:paraId="0F6B177F">
            <w:pPr>
              <w:keepLines w:val="0"/>
              <w:pageBreakBefore w:val="0"/>
              <w:widowControl/>
              <w:numPr>
                <w:ilvl w:val="0"/>
                <w:numId w:val="0"/>
              </w:numPr>
              <w:kinsoku/>
              <w:wordWrap/>
              <w:overflowPunct/>
              <w:topLinePunct w:val="0"/>
              <w:autoSpaceDE/>
              <w:autoSpaceDN/>
              <w:bidi w:val="0"/>
              <w:spacing w:line="240" w:lineRule="auto"/>
              <w:jc w:val="left"/>
              <w:textAlignment w:val="auto"/>
              <w:rPr>
                <w:rFonts w:hint="default" w:ascii="Times New Roman" w:hAnsi="Times New Roman" w:eastAsia="宋体" w:cs="宋体"/>
                <w:color w:val="auto"/>
                <w:sz w:val="24"/>
                <w:szCs w:val="24"/>
                <w:highlight w:val="none"/>
                <w:u w:val="single"/>
                <w:lang w:val="en-US" w:eastAsia="zh-CN"/>
              </w:rPr>
            </w:pPr>
            <w:r>
              <w:rPr>
                <w:rFonts w:hint="eastAsia" w:ascii="Times New Roman" w:hAnsi="Times New Roman" w:eastAsia="宋体" w:cs="宋体"/>
                <w:color w:val="auto"/>
                <w:sz w:val="24"/>
                <w:szCs w:val="24"/>
                <w:highlight w:val="none"/>
                <w:u w:val="single"/>
                <w:lang w:eastAsia="zh-CN"/>
              </w:rPr>
              <w:t>租金不含管理费。</w:t>
            </w:r>
          </w:p>
        </w:tc>
      </w:tr>
      <w:tr w14:paraId="7A31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211" w:type="dxa"/>
            <w:vMerge w:val="continue"/>
            <w:vAlign w:val="center"/>
          </w:tcPr>
          <w:p w14:paraId="6DA060E2">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color w:val="auto"/>
                <w:sz w:val="24"/>
                <w:szCs w:val="24"/>
                <w:highlight w:val="none"/>
                <w:lang w:eastAsia="zh-CN"/>
              </w:rPr>
            </w:pPr>
          </w:p>
        </w:tc>
        <w:tc>
          <w:tcPr>
            <w:tcW w:w="2124" w:type="dxa"/>
            <w:vAlign w:val="center"/>
          </w:tcPr>
          <w:p w14:paraId="6280720D">
            <w:pPr>
              <w:pStyle w:val="12"/>
              <w:keepLines w:val="0"/>
              <w:pageBreakBefore w:val="0"/>
              <w:widowControl/>
              <w:kinsoku/>
              <w:wordWrap/>
              <w:overflowPunct/>
              <w:topLinePunct w:val="0"/>
              <w:autoSpaceDE/>
              <w:autoSpaceDN/>
              <w:bidi w:val="0"/>
              <w:spacing w:line="240" w:lineRule="auto"/>
              <w:ind w:firstLine="0"/>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支付方式</w:t>
            </w:r>
          </w:p>
        </w:tc>
        <w:tc>
          <w:tcPr>
            <w:tcW w:w="5627" w:type="dxa"/>
            <w:gridSpan w:val="3"/>
            <w:vAlign w:val="center"/>
          </w:tcPr>
          <w:p w14:paraId="6EFD184E">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租金按月度结算。承租方在每月10日前（遇节假日顺延至节后首个工作日）将当月租金存入出租方指定银行账户。</w:t>
            </w:r>
          </w:p>
        </w:tc>
      </w:tr>
      <w:tr w14:paraId="21FE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211" w:type="dxa"/>
            <w:vAlign w:val="center"/>
          </w:tcPr>
          <w:p w14:paraId="00CE6433">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*挂牌公告期</w:t>
            </w:r>
          </w:p>
        </w:tc>
        <w:tc>
          <w:tcPr>
            <w:tcW w:w="7751" w:type="dxa"/>
            <w:gridSpan w:val="4"/>
            <w:vAlign w:val="center"/>
          </w:tcPr>
          <w:p w14:paraId="1E0B47AD">
            <w:pPr>
              <w:pStyle w:val="12"/>
              <w:keepLines w:val="0"/>
              <w:pageBreakBefore w:val="0"/>
              <w:widowControl/>
              <w:kinsoku/>
              <w:wordWrap/>
              <w:overflowPunct/>
              <w:topLinePunct w:val="0"/>
              <w:autoSpaceDE/>
              <w:autoSpaceDN/>
              <w:bidi w:val="0"/>
              <w:spacing w:line="240" w:lineRule="auto"/>
              <w:ind w:left="82" w:leftChars="34" w:firstLine="47"/>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cs="宋体"/>
                <w:bCs/>
                <w:color w:val="auto"/>
                <w:sz w:val="24"/>
                <w:szCs w:val="24"/>
                <w:highlight w:val="none"/>
                <w:lang w:val="en-US" w:eastAsia="zh-CN"/>
              </w:rPr>
              <w:t>10</w:t>
            </w:r>
            <w:r>
              <w:rPr>
                <w:rFonts w:hint="eastAsia" w:ascii="Times New Roman" w:hAnsi="Times New Roman" w:eastAsia="宋体" w:cs="宋体"/>
                <w:bCs/>
                <w:color w:val="auto"/>
                <w:sz w:val="24"/>
                <w:szCs w:val="24"/>
                <w:highlight w:val="none"/>
                <w:lang w:eastAsia="zh-CN"/>
              </w:rPr>
              <w:t>个工作日</w:t>
            </w:r>
          </w:p>
        </w:tc>
      </w:tr>
      <w:tr w14:paraId="7B57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211" w:type="dxa"/>
            <w:vAlign w:val="center"/>
          </w:tcPr>
          <w:p w14:paraId="545B9580">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看样事项</w:t>
            </w:r>
          </w:p>
        </w:tc>
        <w:tc>
          <w:tcPr>
            <w:tcW w:w="7751" w:type="dxa"/>
            <w:gridSpan w:val="4"/>
            <w:vAlign w:val="center"/>
          </w:tcPr>
          <w:p w14:paraId="6D2C3481">
            <w:pPr>
              <w:pStyle w:val="3"/>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u w:val="single"/>
                <w:lang w:eastAsia="zh-CN"/>
              </w:rPr>
            </w:pPr>
            <w:r>
              <w:rPr>
                <w:rFonts w:hint="eastAsia" w:ascii="Times New Roman" w:hAnsi="Times New Roman" w:eastAsia="宋体" w:cs="宋体"/>
                <w:color w:val="auto"/>
                <w:sz w:val="24"/>
                <w:szCs w:val="24"/>
                <w:highlight w:val="none"/>
                <w:u w:val="none"/>
                <w:lang w:val="en-US" w:eastAsia="zh-CN"/>
              </w:rPr>
              <w:t>出租方联系人</w:t>
            </w:r>
            <w:r>
              <w:rPr>
                <w:rFonts w:hint="eastAsia" w:ascii="Times New Roman" w:hAnsi="Times New Roman" w:eastAsia="宋体" w:cs="宋体"/>
                <w:color w:val="auto"/>
                <w:sz w:val="24"/>
                <w:szCs w:val="24"/>
                <w:highlight w:val="none"/>
                <w:u w:val="none"/>
                <w:lang w:eastAsia="zh-CN"/>
              </w:rPr>
              <w:t>方式：</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lang w:val="en-US" w:eastAsia="zh-CN"/>
              </w:rPr>
              <w:t>罗小姐</w:t>
            </w:r>
            <w:r>
              <w:rPr>
                <w:rFonts w:hint="eastAsia" w:ascii="Times New Roman" w:hAnsi="Times New Roman" w:eastAsia="宋体" w:cs="宋体"/>
                <w:bCs/>
                <w:color w:val="auto"/>
                <w:sz w:val="24"/>
                <w:szCs w:val="24"/>
                <w:highlight w:val="none"/>
                <w:u w:val="single"/>
                <w:lang w:eastAsia="zh-CN"/>
              </w:rPr>
              <w:t xml:space="preserve">  </w:t>
            </w:r>
          </w:p>
          <w:p w14:paraId="30F90B2A">
            <w:pPr>
              <w:pStyle w:val="3"/>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u w:val="none"/>
                <w:lang w:val="en-US" w:eastAsia="zh-CN"/>
              </w:rPr>
              <w:t>联  系  方  式：</w:t>
            </w:r>
            <w:r>
              <w:rPr>
                <w:rFonts w:hint="eastAsia" w:ascii="Times New Roman" w:hAnsi="Times New Roman" w:eastAsia="宋体" w:cs="宋体"/>
                <w:bCs/>
                <w:color w:val="auto"/>
                <w:sz w:val="24"/>
                <w:szCs w:val="24"/>
                <w:highlight w:val="none"/>
                <w:u w:val="none"/>
                <w:lang w:eastAsia="zh-CN"/>
              </w:rPr>
              <w:t xml:space="preserve"> </w:t>
            </w:r>
            <w:r>
              <w:rPr>
                <w:rFonts w:hint="eastAsia" w:ascii="Times New Roman" w:hAnsi="Times New Roman" w:eastAsia="宋体" w:cs="宋体"/>
                <w:bCs/>
                <w:color w:val="auto"/>
                <w:sz w:val="24"/>
                <w:szCs w:val="24"/>
                <w:highlight w:val="none"/>
                <w:u w:val="none"/>
                <w:lang w:val="en-US" w:eastAsia="zh-CN"/>
              </w:rPr>
              <w:t xml:space="preserve"> </w:t>
            </w: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cs="宋体"/>
                <w:bCs/>
                <w:color w:val="auto"/>
                <w:sz w:val="24"/>
                <w:szCs w:val="24"/>
                <w:highlight w:val="none"/>
                <w:u w:val="single"/>
                <w:lang w:val="en-US" w:eastAsia="zh-CN"/>
              </w:rPr>
              <w:t>13360387001</w:t>
            </w:r>
            <w:r>
              <w:rPr>
                <w:rFonts w:hint="eastAsia" w:ascii="Times New Roman" w:hAnsi="Times New Roman" w:eastAsia="宋体" w:cs="宋体"/>
                <w:bCs/>
                <w:color w:val="auto"/>
                <w:sz w:val="24"/>
                <w:szCs w:val="24"/>
                <w:highlight w:val="none"/>
                <w:u w:val="single"/>
                <w:lang w:eastAsia="zh-CN"/>
              </w:rPr>
              <w:t xml:space="preserve"> </w:t>
            </w:r>
          </w:p>
        </w:tc>
      </w:tr>
      <w:tr w14:paraId="2996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2211" w:type="dxa"/>
            <w:vAlign w:val="center"/>
          </w:tcPr>
          <w:p w14:paraId="6577F609">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开标时间</w:t>
            </w:r>
          </w:p>
        </w:tc>
        <w:tc>
          <w:tcPr>
            <w:tcW w:w="7751" w:type="dxa"/>
            <w:gridSpan w:val="4"/>
            <w:vAlign w:val="center"/>
          </w:tcPr>
          <w:p w14:paraId="0DB2F572">
            <w:pPr>
              <w:pStyle w:val="3"/>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u w:val="single"/>
                <w:lang w:val="en-US" w:eastAsia="zh-CN"/>
              </w:rPr>
            </w:pP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cs="宋体"/>
                <w:bCs/>
                <w:color w:val="auto"/>
                <w:sz w:val="24"/>
                <w:szCs w:val="24"/>
                <w:highlight w:val="none"/>
                <w:u w:val="single"/>
                <w:lang w:val="en-US" w:eastAsia="zh-CN"/>
              </w:rPr>
              <w:t>2025</w:t>
            </w: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eastAsia="宋体" w:cs="宋体"/>
                <w:bCs/>
                <w:color w:val="auto"/>
                <w:sz w:val="24"/>
                <w:szCs w:val="24"/>
                <w:highlight w:val="none"/>
                <w:u w:val="none"/>
                <w:lang w:val="en-US" w:eastAsia="zh-CN"/>
              </w:rPr>
              <w:t>年</w:t>
            </w: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cs="宋体"/>
                <w:bCs/>
                <w:color w:val="auto"/>
                <w:sz w:val="24"/>
                <w:szCs w:val="24"/>
                <w:highlight w:val="none"/>
                <w:u w:val="single"/>
                <w:lang w:val="en-US" w:eastAsia="zh-CN"/>
              </w:rPr>
              <w:t>12</w:t>
            </w: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eastAsia="宋体" w:cs="宋体"/>
                <w:bCs/>
                <w:color w:val="auto"/>
                <w:sz w:val="24"/>
                <w:szCs w:val="24"/>
                <w:highlight w:val="none"/>
                <w:u w:val="none"/>
                <w:lang w:val="en-US" w:eastAsia="zh-CN"/>
              </w:rPr>
              <w:t>月</w:t>
            </w: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cs="宋体"/>
                <w:bCs/>
                <w:color w:val="auto"/>
                <w:sz w:val="24"/>
                <w:szCs w:val="24"/>
                <w:highlight w:val="none"/>
                <w:u w:val="single"/>
                <w:lang w:val="en-US" w:eastAsia="zh-CN"/>
              </w:rPr>
              <w:t>15</w:t>
            </w:r>
            <w:bookmarkStart w:id="4" w:name="_GoBack"/>
            <w:bookmarkEnd w:id="4"/>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eastAsia="宋体" w:cs="宋体"/>
                <w:bCs/>
                <w:color w:val="auto"/>
                <w:sz w:val="24"/>
                <w:szCs w:val="24"/>
                <w:highlight w:val="none"/>
                <w:u w:val="none"/>
                <w:lang w:val="en-US" w:eastAsia="zh-CN"/>
              </w:rPr>
              <w:t>日</w:t>
            </w: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cs="宋体"/>
                <w:bCs/>
                <w:color w:val="auto"/>
                <w:sz w:val="24"/>
                <w:szCs w:val="24"/>
                <w:highlight w:val="none"/>
                <w:u w:val="single"/>
                <w:lang w:val="en-US" w:eastAsia="zh-CN"/>
              </w:rPr>
              <w:t>10</w:t>
            </w: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eastAsia="宋体" w:cs="宋体"/>
                <w:bCs/>
                <w:color w:val="auto"/>
                <w:sz w:val="24"/>
                <w:szCs w:val="24"/>
                <w:highlight w:val="none"/>
                <w:u w:val="none"/>
                <w:lang w:val="en-US" w:eastAsia="zh-CN"/>
              </w:rPr>
              <w:t>时</w:t>
            </w:r>
          </w:p>
        </w:tc>
      </w:tr>
      <w:tr w14:paraId="6790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211" w:type="dxa"/>
            <w:vAlign w:val="center"/>
          </w:tcPr>
          <w:p w14:paraId="7B575AAC">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竟租资料递交地址</w:t>
            </w:r>
          </w:p>
        </w:tc>
        <w:tc>
          <w:tcPr>
            <w:tcW w:w="7751" w:type="dxa"/>
            <w:gridSpan w:val="4"/>
            <w:vAlign w:val="center"/>
          </w:tcPr>
          <w:p w14:paraId="17CF7B99">
            <w:pPr>
              <w:pStyle w:val="3"/>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广州市南沙区环市大道西115号乾信公司会议室</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可邮寄</w:t>
            </w:r>
            <w:r>
              <w:rPr>
                <w:rFonts w:hint="eastAsia" w:ascii="Times New Roman" w:hAnsi="Times New Roman" w:cs="宋体"/>
                <w:color w:val="auto"/>
                <w:sz w:val="24"/>
                <w:szCs w:val="24"/>
                <w:highlight w:val="none"/>
                <w:lang w:eastAsia="zh-CN"/>
              </w:rPr>
              <w:t>）</w:t>
            </w:r>
          </w:p>
        </w:tc>
      </w:tr>
      <w:tr w14:paraId="120F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211" w:type="dxa"/>
            <w:vAlign w:val="center"/>
          </w:tcPr>
          <w:p w14:paraId="1B345337">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开标地点</w:t>
            </w:r>
          </w:p>
        </w:tc>
        <w:tc>
          <w:tcPr>
            <w:tcW w:w="7751" w:type="dxa"/>
            <w:gridSpan w:val="4"/>
            <w:vAlign w:val="center"/>
          </w:tcPr>
          <w:p w14:paraId="62CF5A3A">
            <w:pPr>
              <w:pStyle w:val="3"/>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u w:val="none"/>
                <w:lang w:val="en-US" w:eastAsia="zh-CN"/>
              </w:rPr>
            </w:pPr>
            <w:r>
              <w:rPr>
                <w:rFonts w:hint="eastAsia" w:ascii="Times New Roman" w:hAnsi="Times New Roman" w:eastAsia="宋体" w:cs="宋体"/>
                <w:color w:val="auto"/>
                <w:sz w:val="24"/>
                <w:szCs w:val="24"/>
                <w:highlight w:val="none"/>
              </w:rPr>
              <w:t>广州市南沙区环市大道西115号乾信公司会议室</w:t>
            </w:r>
          </w:p>
        </w:tc>
      </w:tr>
      <w:tr w14:paraId="7749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211" w:type="dxa"/>
            <w:vAlign w:val="center"/>
          </w:tcPr>
          <w:p w14:paraId="72DF72E5">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开标注意事项</w:t>
            </w:r>
          </w:p>
        </w:tc>
        <w:tc>
          <w:tcPr>
            <w:tcW w:w="7751" w:type="dxa"/>
            <w:gridSpan w:val="4"/>
            <w:vAlign w:val="center"/>
          </w:tcPr>
          <w:p w14:paraId="1C5117E8">
            <w:pPr>
              <w:pStyle w:val="3"/>
              <w:keepLines w:val="0"/>
              <w:pageBreakBefore w:val="0"/>
              <w:widowControl/>
              <w:kinsoku/>
              <w:wordWrap/>
              <w:overflowPunct/>
              <w:topLinePunct w:val="0"/>
              <w:autoSpaceDE/>
              <w:autoSpaceDN/>
              <w:bidi w:val="0"/>
              <w:spacing w:line="240" w:lineRule="auto"/>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竞租人可将竟租资料密封后邮寄至指定地点或现场参与开标，现场开标的</w:t>
            </w:r>
            <w:r>
              <w:rPr>
                <w:rFonts w:hint="eastAsia" w:ascii="Times New Roman" w:hAnsi="Times New Roman" w:eastAsia="宋体" w:cs="宋体"/>
                <w:color w:val="auto"/>
                <w:sz w:val="24"/>
                <w:szCs w:val="24"/>
                <w:highlight w:val="none"/>
              </w:rPr>
              <w:t>竞</w:t>
            </w:r>
            <w:r>
              <w:rPr>
                <w:rFonts w:hint="eastAsia" w:ascii="Times New Roman" w:hAnsi="Times New Roman" w:eastAsia="宋体" w:cs="宋体"/>
                <w:color w:val="auto"/>
                <w:sz w:val="24"/>
                <w:szCs w:val="24"/>
                <w:highlight w:val="none"/>
                <w:lang w:val="en-US" w:eastAsia="zh-CN"/>
              </w:rPr>
              <w:t>租</w:t>
            </w:r>
            <w:r>
              <w:rPr>
                <w:rFonts w:hint="eastAsia" w:ascii="Times New Roman" w:hAnsi="Times New Roman" w:eastAsia="宋体" w:cs="宋体"/>
                <w:color w:val="auto"/>
                <w:sz w:val="24"/>
                <w:szCs w:val="24"/>
                <w:highlight w:val="none"/>
              </w:rPr>
              <w:t>人</w:t>
            </w:r>
            <w:r>
              <w:rPr>
                <w:rFonts w:hint="eastAsia" w:ascii="Times New Roman" w:hAnsi="Times New Roman" w:eastAsia="宋体"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受委托人参加开标须凭身份证入场。</w:t>
            </w:r>
          </w:p>
        </w:tc>
      </w:tr>
      <w:tr w14:paraId="69E7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2211" w:type="dxa"/>
            <w:vAlign w:val="center"/>
          </w:tcPr>
          <w:p w14:paraId="0515CF70">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*交易方式</w:t>
            </w:r>
          </w:p>
        </w:tc>
        <w:tc>
          <w:tcPr>
            <w:tcW w:w="7751" w:type="dxa"/>
            <w:gridSpan w:val="4"/>
            <w:vAlign w:val="center"/>
          </w:tcPr>
          <w:p w14:paraId="439C690D">
            <w:pPr>
              <w:keepLines w:val="0"/>
              <w:pageBreakBefore w:val="0"/>
              <w:widowControl/>
              <w:kinsoku/>
              <w:wordWrap/>
              <w:overflowPunct/>
              <w:topLinePunct w:val="0"/>
              <w:autoSpaceDE/>
              <w:autoSpaceDN/>
              <w:bidi w:val="0"/>
              <w:spacing w:line="240" w:lineRule="auto"/>
              <w:jc w:val="both"/>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1.公开竞价，由出租方评审小组</w:t>
            </w:r>
            <w:r>
              <w:rPr>
                <w:rFonts w:hint="eastAsia" w:ascii="Times New Roman" w:hAnsi="Times New Roman"/>
                <w:color w:val="auto"/>
                <w:highlight w:val="none"/>
              </w:rPr>
              <w:t>对意向方报价信息进行公开评审</w:t>
            </w:r>
            <w:r>
              <w:rPr>
                <w:rFonts w:hint="eastAsia" w:ascii="Times New Roman" w:hAnsi="Times New Roman"/>
                <w:color w:val="auto"/>
                <w:highlight w:val="none"/>
                <w:lang w:eastAsia="zh-CN"/>
              </w:rPr>
              <w:t>，</w:t>
            </w:r>
            <w:r>
              <w:rPr>
                <w:rFonts w:hint="eastAsia" w:ascii="Times New Roman" w:hAnsi="Times New Roman"/>
                <w:color w:val="auto"/>
                <w:highlight w:val="none"/>
              </w:rPr>
              <w:t>通过公开竞价、择优的原则确定承租方</w:t>
            </w:r>
            <w:r>
              <w:rPr>
                <w:rFonts w:hint="eastAsia" w:ascii="Times New Roman" w:hAnsi="Times New Roman"/>
                <w:color w:val="auto"/>
                <w:highlight w:val="none"/>
                <w:lang w:val="en-US" w:eastAsia="zh-CN"/>
              </w:rPr>
              <w:t>。</w:t>
            </w:r>
          </w:p>
          <w:p w14:paraId="1D8EBBA7">
            <w:pPr>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w:t>
            </w:r>
            <w:r>
              <w:rPr>
                <w:rFonts w:hint="eastAsia" w:ascii="Times New Roman" w:hAnsi="Times New Roman"/>
                <w:color w:val="auto"/>
                <w:highlight w:val="none"/>
                <w:lang w:eastAsia="zh-CN"/>
              </w:rPr>
              <w:t>如出现两个或以上有效且相同的最高报价时，最高报价各方现场再次进行密封报价</w:t>
            </w:r>
            <w:r>
              <w:rPr>
                <w:rFonts w:hint="eastAsia" w:ascii="Times New Roman" w:hAnsi="Times New Roman"/>
                <w:color w:val="auto"/>
                <w:highlight w:val="none"/>
                <w:lang w:val="en-US" w:eastAsia="zh-CN"/>
              </w:rPr>
              <w:t>或当场电话询问</w:t>
            </w:r>
            <w:r>
              <w:rPr>
                <w:rFonts w:hint="eastAsia" w:ascii="Times New Roman" w:hAnsi="Times New Roman"/>
                <w:color w:val="auto"/>
                <w:highlight w:val="none"/>
                <w:lang w:eastAsia="zh-CN"/>
              </w:rPr>
              <w:t>(报价不能低于第一次的最高报价)来确认报价最高的意向方。</w:t>
            </w:r>
          </w:p>
          <w:p w14:paraId="1AD79F72">
            <w:pPr>
              <w:pStyle w:val="12"/>
              <w:bidi w:val="0"/>
              <w:ind w:left="0" w:leftChars="0" w:firstLine="0" w:firstLineChars="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3.</w:t>
            </w:r>
            <w:r>
              <w:rPr>
                <w:rFonts w:hint="eastAsia" w:ascii="Times New Roman" w:hAnsi="Times New Roman"/>
                <w:color w:val="auto"/>
                <w:highlight w:val="none"/>
                <w:lang w:eastAsia="zh-CN"/>
              </w:rPr>
              <w:t>若出租项目有优先权人且优先权人有意行权的，当意向方报价有效，并产生最高报价后，招标工作人员将当场询问</w:t>
            </w:r>
            <w:r>
              <w:rPr>
                <w:rFonts w:hint="eastAsia" w:ascii="Times New Roman" w:hAnsi="Times New Roman"/>
                <w:color w:val="auto"/>
                <w:highlight w:val="none"/>
                <w:lang w:val="en-US" w:eastAsia="zh-CN"/>
              </w:rPr>
              <w:t>或当场电话询问</w:t>
            </w:r>
            <w:r>
              <w:rPr>
                <w:rFonts w:hint="eastAsia" w:ascii="Times New Roman" w:hAnsi="Times New Roman"/>
                <w:color w:val="auto"/>
                <w:highlight w:val="none"/>
                <w:lang w:eastAsia="zh-CN"/>
              </w:rPr>
              <w:t>优先权人是否以最高报价行使优先权。优先权人应即场表明是否以最高报价行使优先权，否则，视为其放弃行使优先权。</w:t>
            </w:r>
          </w:p>
          <w:p w14:paraId="6C82FE90">
            <w:pPr>
              <w:pStyle w:val="12"/>
              <w:bidi w:val="0"/>
              <w:ind w:left="0" w:leftChars="0" w:firstLine="0" w:firstLineChars="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4.</w:t>
            </w:r>
            <w:r>
              <w:rPr>
                <w:rFonts w:hint="eastAsia" w:ascii="Times New Roman" w:hAnsi="Times New Roman" w:cs="宋体"/>
                <w:bCs/>
                <w:color w:val="auto"/>
                <w:sz w:val="24"/>
                <w:szCs w:val="24"/>
                <w:highlight w:val="none"/>
                <w:lang w:val="en-US" w:eastAsia="zh-CN"/>
              </w:rPr>
              <w:t>电话询问确认结果以手机短信息内容为准。</w:t>
            </w:r>
          </w:p>
        </w:tc>
      </w:tr>
      <w:tr w14:paraId="6526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14:paraId="100BA588">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b/>
                <w:color w:val="auto"/>
                <w:sz w:val="24"/>
                <w:szCs w:val="24"/>
                <w:highlight w:val="none"/>
                <w:lang w:eastAsia="zh-CN"/>
              </w:rPr>
            </w:pPr>
            <w:r>
              <w:rPr>
                <w:rFonts w:hint="eastAsia" w:ascii="Times New Roman" w:hAnsi="Times New Roman" w:eastAsia="宋体" w:cs="宋体"/>
                <w:b/>
                <w:color w:val="auto"/>
                <w:sz w:val="24"/>
                <w:szCs w:val="24"/>
                <w:highlight w:val="none"/>
                <w:lang w:eastAsia="zh-CN"/>
              </w:rPr>
              <w:t>保 证 金 设 置 与 处 置 事 项</w:t>
            </w:r>
          </w:p>
        </w:tc>
      </w:tr>
      <w:tr w14:paraId="2F00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211" w:type="dxa"/>
            <w:vAlign w:val="center"/>
          </w:tcPr>
          <w:p w14:paraId="2472BBD1">
            <w:pPr>
              <w:pStyle w:val="11"/>
              <w:keepLines w:val="0"/>
              <w:pageBreakBefore w:val="0"/>
              <w:widowControl/>
              <w:kinsoku/>
              <w:wordWrap/>
              <w:overflowPunct/>
              <w:topLinePunct w:val="0"/>
              <w:autoSpaceDE/>
              <w:autoSpaceDN/>
              <w:bidi w:val="0"/>
              <w:spacing w:before="0" w:after="0" w:line="240" w:lineRule="auto"/>
              <w:ind w:left="-2" w:leftChars="-1"/>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是否收取交易保证金</w:t>
            </w:r>
          </w:p>
        </w:tc>
        <w:tc>
          <w:tcPr>
            <w:tcW w:w="2124" w:type="dxa"/>
            <w:vAlign w:val="center"/>
          </w:tcPr>
          <w:p w14:paraId="06320464">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☑是      □否</w:t>
            </w:r>
          </w:p>
        </w:tc>
        <w:tc>
          <w:tcPr>
            <w:tcW w:w="2158" w:type="dxa"/>
            <w:gridSpan w:val="2"/>
            <w:vAlign w:val="center"/>
          </w:tcPr>
          <w:p w14:paraId="4EC71673">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交易保证金（元）</w:t>
            </w:r>
          </w:p>
        </w:tc>
        <w:tc>
          <w:tcPr>
            <w:tcW w:w="3469" w:type="dxa"/>
            <w:vAlign w:val="center"/>
          </w:tcPr>
          <w:p w14:paraId="21D761A9">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交易</w:t>
            </w:r>
            <w:r>
              <w:rPr>
                <w:rFonts w:hint="eastAsia" w:ascii="Times New Roman" w:hAnsi="Times New Roman" w:eastAsia="宋体" w:cs="宋体"/>
                <w:color w:val="auto"/>
                <w:sz w:val="24"/>
                <w:szCs w:val="24"/>
                <w:highlight w:val="none"/>
                <w:lang w:eastAsia="zh-CN"/>
              </w:rPr>
              <w:t xml:space="preserve">保证金金额 </w:t>
            </w:r>
            <w:r>
              <w:rPr>
                <w:rFonts w:hint="eastAsia" w:ascii="Times New Roman" w:hAnsi="Times New Roman" w:cs="宋体"/>
                <w:color w:val="auto"/>
                <w:sz w:val="24"/>
                <w:szCs w:val="24"/>
                <w:highlight w:val="none"/>
                <w:u w:val="single"/>
                <w:lang w:val="en-US" w:eastAsia="zh-CN"/>
              </w:rPr>
              <w:t>18700</w:t>
            </w:r>
            <w:r>
              <w:rPr>
                <w:rFonts w:hint="eastAsia" w:ascii="Times New Roman" w:hAnsi="Times New Roman" w:eastAsia="宋体" w:cs="宋体"/>
                <w:color w:val="auto"/>
                <w:sz w:val="24"/>
                <w:szCs w:val="24"/>
                <w:highlight w:val="none"/>
                <w:u w:val="single"/>
                <w:lang w:val="en-US" w:eastAsia="zh-CN"/>
              </w:rPr>
              <w:t>元</w:t>
            </w:r>
            <w:r>
              <w:rPr>
                <w:rFonts w:hint="eastAsia" w:ascii="Times New Roman" w:hAnsi="Times New Roman" w:eastAsia="宋体" w:cs="宋体"/>
                <w:color w:val="auto"/>
                <w:sz w:val="24"/>
                <w:szCs w:val="24"/>
                <w:highlight w:val="none"/>
                <w:u w:val="single"/>
                <w:lang w:eastAsia="zh-CN"/>
              </w:rPr>
              <w:t xml:space="preserve">  </w:t>
            </w:r>
          </w:p>
        </w:tc>
      </w:tr>
      <w:tr w14:paraId="7E0F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11" w:type="dxa"/>
            <w:vAlign w:val="center"/>
          </w:tcPr>
          <w:p w14:paraId="7CFA7E87">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*交纳时间</w:t>
            </w:r>
          </w:p>
        </w:tc>
        <w:tc>
          <w:tcPr>
            <w:tcW w:w="7751" w:type="dxa"/>
            <w:gridSpan w:val="4"/>
            <w:vAlign w:val="center"/>
          </w:tcPr>
          <w:p w14:paraId="7C1C5041">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w:t>
            </w:r>
            <w:r>
              <w:rPr>
                <w:rFonts w:hint="eastAsia" w:ascii="Times New Roman" w:hAnsi="Times New Roman" w:cs="宋体"/>
                <w:bCs/>
                <w:color w:val="auto"/>
                <w:sz w:val="24"/>
                <w:szCs w:val="24"/>
                <w:highlight w:val="none"/>
                <w:lang w:val="en-US" w:eastAsia="zh-CN"/>
              </w:rPr>
              <w:t>意向方应于</w:t>
            </w:r>
            <w:r>
              <w:rPr>
                <w:rFonts w:hint="eastAsia" w:ascii="Times New Roman" w:hAnsi="Times New Roman" w:eastAsia="宋体" w:cs="宋体"/>
                <w:bCs/>
                <w:color w:val="auto"/>
                <w:sz w:val="24"/>
                <w:szCs w:val="24"/>
                <w:highlight w:val="none"/>
                <w:lang w:eastAsia="zh-CN"/>
              </w:rPr>
              <w:t>信息公告期截止日17:00前缴纳交易</w:t>
            </w:r>
            <w:r>
              <w:rPr>
                <w:rFonts w:hint="eastAsia" w:ascii="Times New Roman" w:hAnsi="Times New Roman" w:eastAsia="宋体" w:cs="宋体"/>
                <w:color w:val="auto"/>
                <w:sz w:val="24"/>
                <w:szCs w:val="24"/>
                <w:highlight w:val="none"/>
                <w:lang w:eastAsia="zh-CN"/>
              </w:rPr>
              <w:t xml:space="preserve">保证金金额 </w:t>
            </w:r>
            <w:r>
              <w:rPr>
                <w:rFonts w:hint="eastAsia" w:ascii="Times New Roman" w:hAnsi="Times New Roman" w:cs="宋体"/>
                <w:color w:val="auto"/>
                <w:sz w:val="24"/>
                <w:szCs w:val="24"/>
                <w:highlight w:val="none"/>
                <w:u w:val="single"/>
                <w:lang w:val="en-US" w:eastAsia="zh-CN"/>
              </w:rPr>
              <w:t>18700</w:t>
            </w:r>
            <w:r>
              <w:rPr>
                <w:rFonts w:hint="eastAsia" w:ascii="Times New Roman" w:hAnsi="Times New Roman" w:eastAsia="宋体" w:cs="宋体"/>
                <w:color w:val="auto"/>
                <w:sz w:val="24"/>
                <w:szCs w:val="24"/>
                <w:highlight w:val="none"/>
                <w:u w:val="single"/>
                <w:lang w:val="en-US" w:eastAsia="zh-CN"/>
              </w:rPr>
              <w:t>元</w:t>
            </w:r>
            <w:r>
              <w:rPr>
                <w:rFonts w:hint="eastAsia" w:ascii="Times New Roman" w:hAnsi="Times New Roman" w:eastAsia="宋体" w:cs="宋体"/>
                <w:bCs/>
                <w:color w:val="auto"/>
                <w:sz w:val="24"/>
                <w:szCs w:val="24"/>
                <w:highlight w:val="none"/>
                <w:lang w:eastAsia="zh-CN"/>
              </w:rPr>
              <w:t>(以银行到账时间为准)</w:t>
            </w:r>
          </w:p>
        </w:tc>
      </w:tr>
      <w:tr w14:paraId="6740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11" w:type="dxa"/>
            <w:vMerge w:val="restart"/>
            <w:vAlign w:val="center"/>
          </w:tcPr>
          <w:p w14:paraId="65F2CF3D">
            <w:pPr>
              <w:pStyle w:val="12"/>
              <w:keepLines w:val="0"/>
              <w:pageBreakBefore w:val="0"/>
              <w:widowControl/>
              <w:kinsoku/>
              <w:wordWrap/>
              <w:overflowPunct/>
              <w:topLinePunct w:val="0"/>
              <w:autoSpaceDE/>
              <w:autoSpaceDN/>
              <w:bidi w:val="0"/>
              <w:spacing w:line="240" w:lineRule="auto"/>
              <w:ind w:firstLine="0"/>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交纳方式</w:t>
            </w:r>
          </w:p>
        </w:tc>
        <w:tc>
          <w:tcPr>
            <w:tcW w:w="7751" w:type="dxa"/>
            <w:gridSpan w:val="4"/>
            <w:vAlign w:val="center"/>
          </w:tcPr>
          <w:p w14:paraId="7C4B38CC">
            <w:pPr>
              <w:pStyle w:val="12"/>
              <w:keepLines w:val="0"/>
              <w:pageBreakBefore w:val="0"/>
              <w:widowControl/>
              <w:kinsoku/>
              <w:wordWrap/>
              <w:overflowPunct/>
              <w:topLinePunct w:val="0"/>
              <w:autoSpaceDE/>
              <w:autoSpaceDN/>
              <w:bidi w:val="0"/>
              <w:spacing w:line="240" w:lineRule="auto"/>
              <w:ind w:firstLine="0"/>
              <w:textAlignment w:val="auto"/>
              <w:rPr>
                <w:rFonts w:hint="default" w:ascii="Times New Roman" w:hAnsi="Times New Roman"/>
                <w:color w:val="auto"/>
                <w:highlight w:val="none"/>
                <w:lang w:val="en-US" w:eastAsia="zh-CN"/>
              </w:rPr>
            </w:pPr>
            <w:r>
              <w:rPr>
                <w:rFonts w:hint="eastAsia" w:ascii="Times New Roman" w:hAnsi="Times New Roman"/>
                <w:color w:val="auto"/>
                <w:highlight w:val="none"/>
                <w:lang w:eastAsia="zh-CN"/>
              </w:rPr>
              <w:sym w:font="Wingdings" w:char="F0FE"/>
            </w:r>
            <w:r>
              <w:rPr>
                <w:rFonts w:hint="eastAsia" w:ascii="Times New Roman" w:hAnsi="Times New Roman"/>
                <w:color w:val="auto"/>
                <w:highlight w:val="none"/>
                <w:lang w:eastAsia="zh-CN"/>
              </w:rPr>
              <w:t xml:space="preserve"> 银行转账   </w:t>
            </w:r>
            <w:r>
              <w:rPr>
                <w:rFonts w:hint="eastAsia" w:ascii="Times New Roman" w:hAnsi="Times New Roman" w:cs="宋体"/>
                <w:color w:val="auto"/>
                <w:sz w:val="24"/>
                <w:szCs w:val="24"/>
                <w:highlight w:val="none"/>
                <w:lang w:val="en-US" w:eastAsia="zh-CN"/>
              </w:rPr>
              <w:t>*转账需备注“</w:t>
            </w:r>
            <w:r>
              <w:rPr>
                <w:rFonts w:hint="eastAsia" w:ascii="Times New Roman" w:hAnsi="Times New Roman" w:cs="宋体"/>
                <w:b/>
                <w:bCs/>
                <w:color w:val="auto"/>
                <w:highlight w:val="none"/>
                <w:lang w:eastAsia="zh-CN"/>
              </w:rPr>
              <w:t>南沙</w:t>
            </w:r>
            <w:r>
              <w:rPr>
                <w:rFonts w:hint="eastAsia" w:ascii="Times New Roman" w:hAnsi="Times New Roman" w:cs="宋体"/>
                <w:b/>
                <w:bCs/>
                <w:color w:val="auto"/>
                <w:highlight w:val="none"/>
                <w:lang w:val="en-US" w:eastAsia="zh-CN"/>
              </w:rPr>
              <w:t>金融大厦11楼1101之J30房</w:t>
            </w:r>
            <w:r>
              <w:rPr>
                <w:rFonts w:hint="eastAsia" w:ascii="Times New Roman" w:hAnsi="Times New Roman" w:cs="宋体"/>
                <w:b/>
                <w:bCs/>
                <w:color w:val="auto"/>
                <w:sz w:val="24"/>
                <w:szCs w:val="24"/>
                <w:highlight w:val="none"/>
                <w:lang w:val="en-US" w:eastAsia="zh-CN"/>
              </w:rPr>
              <w:t>竞租交易保证金</w:t>
            </w:r>
            <w:r>
              <w:rPr>
                <w:rFonts w:hint="eastAsia" w:ascii="Times New Roman" w:hAnsi="Times New Roman" w:cs="宋体"/>
                <w:color w:val="auto"/>
                <w:sz w:val="24"/>
                <w:szCs w:val="24"/>
                <w:highlight w:val="none"/>
                <w:lang w:val="en-US" w:eastAsia="zh-CN"/>
              </w:rPr>
              <w:t>”。</w:t>
            </w:r>
          </w:p>
        </w:tc>
      </w:tr>
      <w:tr w14:paraId="2D41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211" w:type="dxa"/>
            <w:vMerge w:val="continue"/>
            <w:vAlign w:val="center"/>
          </w:tcPr>
          <w:p w14:paraId="1BF02184">
            <w:pPr>
              <w:pStyle w:val="4"/>
              <w:ind w:left="0" w:leftChars="0" w:firstLine="0" w:firstLineChars="0"/>
              <w:rPr>
                <w:rFonts w:ascii="Times New Roman" w:hAnsi="Times New Roman"/>
                <w:color w:val="auto"/>
                <w:highlight w:val="none"/>
              </w:rPr>
            </w:pPr>
          </w:p>
        </w:tc>
        <w:tc>
          <w:tcPr>
            <w:tcW w:w="7751" w:type="dxa"/>
            <w:gridSpan w:val="4"/>
            <w:vAlign w:val="center"/>
          </w:tcPr>
          <w:p w14:paraId="0C01C8B0">
            <w:pPr>
              <w:pStyle w:val="12"/>
              <w:bidi w:val="0"/>
              <w:ind w:left="0" w:leftChars="0" w:firstLine="0" w:firstLineChars="0"/>
              <w:rPr>
                <w:rFonts w:hint="eastAsia" w:ascii="Times New Roman" w:hAnsi="Times New Roman"/>
                <w:color w:val="auto"/>
                <w:highlight w:val="none"/>
                <w:lang w:val="en-US" w:eastAsia="zh-CN"/>
              </w:rPr>
            </w:pPr>
            <w:r>
              <w:rPr>
                <w:rFonts w:hint="eastAsia" w:ascii="Times New Roman" w:hAnsi="Times New Roman"/>
                <w:color w:val="auto"/>
                <w:highlight w:val="none"/>
                <w:lang w:eastAsia="zh-CN"/>
              </w:rPr>
              <w:t xml:space="preserve">□其他  </w:t>
            </w:r>
          </w:p>
        </w:tc>
      </w:tr>
      <w:tr w14:paraId="0DA9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2211" w:type="dxa"/>
            <w:vAlign w:val="center"/>
          </w:tcPr>
          <w:p w14:paraId="122032DB">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eastAsia="zh-CN"/>
              </w:rPr>
              <w:t>交易保证金</w:t>
            </w:r>
            <w:r>
              <w:rPr>
                <w:rFonts w:hint="eastAsia" w:ascii="Times New Roman" w:hAnsi="Times New Roman" w:eastAsia="宋体" w:cs="宋体"/>
                <w:color w:val="auto"/>
                <w:sz w:val="24"/>
                <w:szCs w:val="24"/>
                <w:highlight w:val="none"/>
                <w:lang w:val="en-US" w:eastAsia="zh-CN"/>
              </w:rPr>
              <w:t>收款账户信息</w:t>
            </w:r>
          </w:p>
        </w:tc>
        <w:tc>
          <w:tcPr>
            <w:tcW w:w="7751" w:type="dxa"/>
            <w:gridSpan w:val="4"/>
            <w:vAlign w:val="center"/>
          </w:tcPr>
          <w:p w14:paraId="1CE03E79">
            <w:pPr>
              <w:pStyle w:val="3"/>
              <w:rPr>
                <w:rFonts w:hint="eastAsia"/>
                <w:lang w:val="en-US" w:eastAsia="zh-CN"/>
              </w:rPr>
            </w:pPr>
            <w:r>
              <w:rPr>
                <w:rFonts w:hint="eastAsia"/>
                <w:lang w:val="en-US" w:eastAsia="zh-CN"/>
              </w:rPr>
              <w:t>公司名称：广州南沙资产经营集团有限公司</w:t>
            </w:r>
          </w:p>
          <w:p w14:paraId="5A833E14">
            <w:pPr>
              <w:pStyle w:val="3"/>
              <w:rPr>
                <w:rFonts w:hint="eastAsia"/>
                <w:lang w:val="en-US" w:eastAsia="zh-CN"/>
              </w:rPr>
            </w:pPr>
            <w:r>
              <w:rPr>
                <w:rFonts w:hint="eastAsia"/>
                <w:lang w:val="en-US" w:eastAsia="zh-CN"/>
              </w:rPr>
              <w:t>开户账号：1865 0000 0000 13010</w:t>
            </w:r>
          </w:p>
          <w:p w14:paraId="0EFC648E">
            <w:pPr>
              <w:pStyle w:val="3"/>
              <w:rPr>
                <w:rFonts w:hint="eastAsia" w:ascii="Times New Roman" w:hAnsi="Times New Roman" w:eastAsia="宋体" w:cs="宋体"/>
                <w:color w:val="auto"/>
                <w:sz w:val="24"/>
                <w:szCs w:val="24"/>
                <w:highlight w:val="none"/>
                <w:lang w:eastAsia="zh-CN"/>
              </w:rPr>
            </w:pPr>
            <w:r>
              <w:rPr>
                <w:rFonts w:hint="eastAsia"/>
                <w:lang w:val="en-US" w:eastAsia="zh-CN"/>
              </w:rPr>
              <w:t>开 户 行：</w:t>
            </w:r>
            <w:r>
              <w:rPr>
                <w:rFonts w:hint="default" w:ascii="宋体" w:hAnsi="宋体" w:eastAsia="宋体"/>
                <w:b w:val="0"/>
                <w:bCs/>
                <w:kern w:val="0"/>
                <w:sz w:val="24"/>
                <w:szCs w:val="28"/>
              </w:rPr>
              <w:t>华夏广东自贸区南沙分行营业部</w:t>
            </w:r>
          </w:p>
        </w:tc>
      </w:tr>
      <w:tr w14:paraId="5447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2211" w:type="dxa"/>
            <w:vAlign w:val="center"/>
          </w:tcPr>
          <w:p w14:paraId="2F8CC98D">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交易保证金的保证内容</w:t>
            </w:r>
          </w:p>
        </w:tc>
        <w:tc>
          <w:tcPr>
            <w:tcW w:w="7751" w:type="dxa"/>
            <w:gridSpan w:val="4"/>
            <w:vAlign w:val="center"/>
          </w:tcPr>
          <w:p w14:paraId="6C9E30C4">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1.意向方已仔细阅读交易标的信息公告披露的相关事项，充分了解标的交易相关的披露事项，对承租标的后可能发生的费用和存在的风险进行充分的评估，对交易标的交易程序无异议；</w:t>
            </w:r>
          </w:p>
          <w:p w14:paraId="39B3429A">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2.意向方向</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递交和上传的资料须保证其真实、完整、有效；</w:t>
            </w:r>
          </w:p>
          <w:p w14:paraId="0330D2DA">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3.意向方不得使用作弊、欺诈、强迫等有违公平的手续参与竞价；</w:t>
            </w:r>
          </w:p>
          <w:p w14:paraId="2F6C5C74">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4.意向方须按照公告和通知，按时参与</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组织的交易活动；</w:t>
            </w:r>
          </w:p>
          <w:p w14:paraId="647AEB2A">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5.意向方参与竞价应保证至少有一家意向方报价，使该项目能产生有效报价；</w:t>
            </w:r>
          </w:p>
          <w:p w14:paraId="5969BB61">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6.意向方被确定为承租方后，应按照公告要求签订交易合同，并按约定足额支付</w:t>
            </w:r>
            <w:r>
              <w:rPr>
                <w:rFonts w:hint="eastAsia" w:ascii="Times New Roman" w:hAnsi="Times New Roman" w:eastAsia="宋体" w:cs="宋体"/>
                <w:bCs/>
                <w:color w:val="auto"/>
                <w:sz w:val="24"/>
                <w:szCs w:val="24"/>
                <w:highlight w:val="none"/>
                <w:lang w:val="en-US" w:eastAsia="zh-CN"/>
              </w:rPr>
              <w:t>合同履约保证金</w:t>
            </w:r>
            <w:r>
              <w:rPr>
                <w:rFonts w:hint="eastAsia" w:ascii="Times New Roman" w:hAnsi="Times New Roman" w:eastAsia="宋体" w:cs="宋体"/>
                <w:bCs/>
                <w:color w:val="auto"/>
                <w:sz w:val="24"/>
                <w:szCs w:val="24"/>
                <w:highlight w:val="none"/>
                <w:lang w:eastAsia="zh-CN"/>
              </w:rPr>
              <w:t>；</w:t>
            </w:r>
          </w:p>
          <w:p w14:paraId="6F87A804">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7.遵守项目公告、项目须知的约定，以及</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操作规程和有关实施办法等制度要求。</w:t>
            </w:r>
          </w:p>
        </w:tc>
      </w:tr>
      <w:tr w14:paraId="7880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2211" w:type="dxa"/>
            <w:vAlign w:val="center"/>
          </w:tcPr>
          <w:p w14:paraId="17E0CFCD">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交易保证金的处置</w:t>
            </w:r>
          </w:p>
        </w:tc>
        <w:tc>
          <w:tcPr>
            <w:tcW w:w="7751" w:type="dxa"/>
            <w:gridSpan w:val="4"/>
            <w:vAlign w:val="center"/>
          </w:tcPr>
          <w:p w14:paraId="5EC529B4">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1.符合资格且交纳交易保证金的意向方出现违反上述保证事项的任一情形的，须承担缔约过失责任，其交纳的交易保证金不予退回，作为违约金归</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所有,</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因政策规定需重新挂牌除外。</w:t>
            </w:r>
          </w:p>
          <w:p w14:paraId="44757DFF">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2.若意向方未被确认为成交方且未违反上述保证事项所述情形的，其交纳的交易保证金本金由</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于交易结束之日起</w:t>
            </w:r>
            <w:r>
              <w:rPr>
                <w:rFonts w:hint="eastAsia" w:ascii="Times New Roman" w:hAnsi="Times New Roman" w:eastAsia="宋体" w:cs="宋体"/>
                <w:bCs/>
                <w:color w:val="auto"/>
                <w:sz w:val="24"/>
                <w:szCs w:val="24"/>
                <w:highlight w:val="none"/>
                <w:lang w:val="en-US" w:eastAsia="zh-CN"/>
              </w:rPr>
              <w:t>10</w:t>
            </w:r>
            <w:r>
              <w:rPr>
                <w:rFonts w:hint="eastAsia" w:ascii="Times New Roman" w:hAnsi="Times New Roman" w:eastAsia="宋体" w:cs="宋体"/>
                <w:bCs/>
                <w:color w:val="auto"/>
                <w:sz w:val="24"/>
                <w:szCs w:val="24"/>
                <w:highlight w:val="none"/>
                <w:lang w:eastAsia="zh-CN"/>
              </w:rPr>
              <w:t>个工作日内不计息原路径退回。</w:t>
            </w:r>
          </w:p>
          <w:p w14:paraId="4A9F0064">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3.成交方按约定签订交易合同后，其交纳的交易保证金本金由</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于交易双方已签订交易合同</w:t>
            </w:r>
            <w:r>
              <w:rPr>
                <w:rFonts w:hint="eastAsia" w:ascii="Times New Roman" w:hAnsi="Times New Roman" w:cs="宋体"/>
                <w:bCs/>
                <w:color w:val="auto"/>
                <w:sz w:val="24"/>
                <w:szCs w:val="24"/>
                <w:highlight w:val="none"/>
                <w:lang w:val="en-US" w:eastAsia="zh-CN"/>
              </w:rPr>
              <w:t>且承租方已缴纳合同履约保证金</w:t>
            </w:r>
            <w:r>
              <w:rPr>
                <w:rFonts w:hint="eastAsia" w:ascii="Times New Roman" w:hAnsi="Times New Roman" w:eastAsia="宋体" w:cs="宋体"/>
                <w:bCs/>
                <w:color w:val="auto"/>
                <w:sz w:val="24"/>
                <w:szCs w:val="24"/>
                <w:highlight w:val="none"/>
                <w:lang w:eastAsia="zh-CN"/>
              </w:rPr>
              <w:t>之日起</w:t>
            </w:r>
            <w:r>
              <w:rPr>
                <w:rFonts w:hint="eastAsia" w:ascii="Times New Roman" w:hAnsi="Times New Roman" w:eastAsia="宋体" w:cs="宋体"/>
                <w:bCs/>
                <w:color w:val="auto"/>
                <w:sz w:val="24"/>
                <w:szCs w:val="24"/>
                <w:highlight w:val="none"/>
                <w:lang w:val="en-US" w:eastAsia="zh-CN"/>
              </w:rPr>
              <w:t>10</w:t>
            </w:r>
            <w:r>
              <w:rPr>
                <w:rFonts w:hint="eastAsia" w:ascii="Times New Roman" w:hAnsi="Times New Roman" w:eastAsia="宋体" w:cs="宋体"/>
                <w:bCs/>
                <w:color w:val="auto"/>
                <w:sz w:val="24"/>
                <w:szCs w:val="24"/>
                <w:highlight w:val="none"/>
                <w:lang w:eastAsia="zh-CN"/>
              </w:rPr>
              <w:t>个工作日内不计息原路径退回。</w:t>
            </w:r>
          </w:p>
        </w:tc>
      </w:tr>
      <w:tr w14:paraId="3FC5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14:paraId="180BE8F2">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b/>
                <w:color w:val="auto"/>
                <w:sz w:val="24"/>
                <w:szCs w:val="24"/>
                <w:highlight w:val="none"/>
                <w:lang w:eastAsia="zh-CN"/>
              </w:rPr>
            </w:pPr>
            <w:r>
              <w:rPr>
                <w:rFonts w:hint="eastAsia" w:ascii="Times New Roman" w:hAnsi="Times New Roman" w:eastAsia="宋体" w:cs="宋体"/>
                <w:b/>
                <w:color w:val="auto"/>
                <w:sz w:val="24"/>
                <w:szCs w:val="24"/>
                <w:highlight w:val="none"/>
                <w:lang w:eastAsia="zh-CN"/>
              </w:rPr>
              <w:t>交 易 条 件</w:t>
            </w:r>
          </w:p>
        </w:tc>
      </w:tr>
      <w:tr w14:paraId="7211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11" w:type="dxa"/>
            <w:vMerge w:val="restart"/>
            <w:vAlign w:val="center"/>
          </w:tcPr>
          <w:p w14:paraId="4473B34F">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与交易相关其他条件</w:t>
            </w:r>
          </w:p>
        </w:tc>
        <w:tc>
          <w:tcPr>
            <w:tcW w:w="7751" w:type="dxa"/>
            <w:gridSpan w:val="4"/>
            <w:vAlign w:val="center"/>
          </w:tcPr>
          <w:p w14:paraId="7406CF8D">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val="en-US" w:eastAsia="zh-CN"/>
              </w:rPr>
              <w:t>1</w:t>
            </w:r>
            <w:r>
              <w:rPr>
                <w:rFonts w:hint="eastAsia" w:ascii="Times New Roman" w:hAnsi="Times New Roman" w:eastAsia="宋体" w:cs="宋体"/>
                <w:bCs/>
                <w:color w:val="auto"/>
                <w:sz w:val="24"/>
                <w:szCs w:val="24"/>
                <w:highlight w:val="none"/>
                <w:lang w:eastAsia="zh-CN"/>
              </w:rPr>
              <w:t>.承租方须于《成交</w:t>
            </w:r>
            <w:r>
              <w:rPr>
                <w:rFonts w:hint="eastAsia" w:ascii="Times New Roman" w:hAnsi="Times New Roman" w:cs="宋体"/>
                <w:bCs/>
                <w:color w:val="auto"/>
                <w:sz w:val="24"/>
                <w:szCs w:val="24"/>
                <w:highlight w:val="none"/>
                <w:lang w:val="en-US" w:eastAsia="zh-CN"/>
              </w:rPr>
              <w:t>通知</w:t>
            </w:r>
            <w:r>
              <w:rPr>
                <w:rFonts w:hint="eastAsia" w:ascii="Times New Roman" w:hAnsi="Times New Roman" w:eastAsia="宋体" w:cs="宋体"/>
                <w:bCs/>
                <w:color w:val="auto"/>
                <w:sz w:val="24"/>
                <w:szCs w:val="24"/>
                <w:highlight w:val="none"/>
                <w:lang w:eastAsia="zh-CN"/>
              </w:rPr>
              <w:t>书》生效之日起</w:t>
            </w:r>
            <w:r>
              <w:rPr>
                <w:rFonts w:hint="eastAsia" w:ascii="Times New Roman" w:hAnsi="Times New Roman" w:eastAsia="宋体" w:cs="宋体"/>
                <w:bCs/>
                <w:color w:val="auto"/>
                <w:sz w:val="24"/>
                <w:szCs w:val="24"/>
                <w:highlight w:val="none"/>
                <w:u w:val="single"/>
                <w:lang w:val="en-US" w:eastAsia="zh-CN"/>
              </w:rPr>
              <w:t xml:space="preserve"> 1</w:t>
            </w:r>
            <w:r>
              <w:rPr>
                <w:rFonts w:hint="eastAsia" w:ascii="Times New Roman" w:hAnsi="Times New Roman" w:cs="宋体"/>
                <w:bCs/>
                <w:color w:val="auto"/>
                <w:sz w:val="24"/>
                <w:szCs w:val="24"/>
                <w:highlight w:val="none"/>
                <w:u w:val="single"/>
                <w:lang w:val="en-US" w:eastAsia="zh-CN"/>
              </w:rPr>
              <w:t>5</w:t>
            </w:r>
            <w:r>
              <w:rPr>
                <w:rFonts w:hint="eastAsia" w:ascii="Times New Roman" w:hAnsi="Times New Roman" w:eastAsia="宋体" w:cs="宋体"/>
                <w:bCs/>
                <w:color w:val="auto"/>
                <w:sz w:val="24"/>
                <w:szCs w:val="24"/>
                <w:highlight w:val="none"/>
                <w:u w:val="single"/>
                <w:lang w:val="en-US" w:eastAsia="zh-CN"/>
              </w:rPr>
              <w:t xml:space="preserve"> </w:t>
            </w:r>
            <w:r>
              <w:rPr>
                <w:rFonts w:hint="eastAsia" w:ascii="Times New Roman" w:hAnsi="Times New Roman" w:eastAsia="宋体" w:cs="宋体"/>
                <w:bCs/>
                <w:color w:val="auto"/>
                <w:sz w:val="24"/>
                <w:szCs w:val="24"/>
                <w:highlight w:val="none"/>
                <w:lang w:eastAsia="zh-CN"/>
              </w:rPr>
              <w:t>个工作日内与出租方签订租赁合同。</w:t>
            </w:r>
          </w:p>
        </w:tc>
      </w:tr>
      <w:tr w14:paraId="5F30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11" w:type="dxa"/>
            <w:vMerge w:val="continue"/>
            <w:vAlign w:val="center"/>
          </w:tcPr>
          <w:p w14:paraId="668B65B8">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color w:val="auto"/>
                <w:sz w:val="24"/>
                <w:szCs w:val="24"/>
                <w:highlight w:val="none"/>
                <w:lang w:eastAsia="zh-CN"/>
              </w:rPr>
            </w:pPr>
          </w:p>
        </w:tc>
        <w:tc>
          <w:tcPr>
            <w:tcW w:w="7751" w:type="dxa"/>
            <w:gridSpan w:val="4"/>
            <w:vAlign w:val="center"/>
          </w:tcPr>
          <w:p w14:paraId="4930BFE6">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val="en-US" w:eastAsia="zh-CN"/>
              </w:rPr>
              <w:t>2</w:t>
            </w:r>
            <w:r>
              <w:rPr>
                <w:rFonts w:hint="eastAsia" w:ascii="Times New Roman" w:hAnsi="Times New Roman" w:eastAsia="宋体" w:cs="宋体"/>
                <w:bCs/>
                <w:color w:val="auto"/>
                <w:sz w:val="24"/>
                <w:szCs w:val="24"/>
                <w:highlight w:val="none"/>
                <w:lang w:eastAsia="zh-CN"/>
              </w:rPr>
              <w:t>.候选成交规则：</w:t>
            </w:r>
          </w:p>
          <w:p w14:paraId="74972C32">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①本次项目采用候选成交规则，即根据交易结果，按意向方的最高报价由高至低确认成交的轮候顺序。候选人在</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发出《成交通知书》后被确认为成交方。</w:t>
            </w:r>
          </w:p>
          <w:p w14:paraId="6CBA852E">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②如该成交方未能按公告规定签署交易合同，则</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取消其成交方资格，该成交方视为违约须承担缔约过失责任或违约责任，其交纳的交易保证金不予退回，作为违约金归</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所有。</w:t>
            </w:r>
            <w:r>
              <w:rPr>
                <w:rFonts w:hint="eastAsia" w:ascii="Times New Roman" w:hAnsi="Times New Roman" w:eastAsia="宋体" w:cs="宋体"/>
                <w:bCs/>
                <w:color w:val="auto"/>
                <w:sz w:val="24"/>
                <w:szCs w:val="24"/>
                <w:highlight w:val="none"/>
                <w:lang w:val="en-US" w:eastAsia="zh-CN"/>
              </w:rPr>
              <w:t>出租方</w:t>
            </w:r>
            <w:r>
              <w:rPr>
                <w:rFonts w:hint="eastAsia" w:ascii="Times New Roman" w:hAnsi="Times New Roman" w:eastAsia="宋体" w:cs="宋体"/>
                <w:bCs/>
                <w:color w:val="auto"/>
                <w:sz w:val="24"/>
                <w:szCs w:val="24"/>
                <w:highlight w:val="none"/>
                <w:lang w:eastAsia="zh-CN"/>
              </w:rPr>
              <w:t>将启动候选人轮候成交机制，依此类推。</w:t>
            </w:r>
          </w:p>
          <w:p w14:paraId="64DCE3D6">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③如项目存在优先权人且符合交易参与资格，若出租项目有优先权人且优先权人有意行权的，当意向方报价有效，并产生最高报价后，招标工作人员将当场询问优先权人是否以最高报价行使优先权。优先权人应即场表明是否以最高报价行使优先权，否则，视为其放弃行使优先权。</w:t>
            </w:r>
          </w:p>
        </w:tc>
      </w:tr>
      <w:tr w14:paraId="25B4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2211" w:type="dxa"/>
            <w:vAlign w:val="center"/>
          </w:tcPr>
          <w:p w14:paraId="10EF48AF">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color w:val="auto"/>
                <w:sz w:val="24"/>
                <w:szCs w:val="24"/>
                <w:highlight w:val="none"/>
                <w:lang w:eastAsia="zh-CN"/>
              </w:rPr>
            </w:pPr>
          </w:p>
        </w:tc>
        <w:tc>
          <w:tcPr>
            <w:tcW w:w="7751" w:type="dxa"/>
            <w:gridSpan w:val="4"/>
            <w:vAlign w:val="center"/>
          </w:tcPr>
          <w:p w14:paraId="31FA79B3">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val="en-US" w:eastAsia="zh-CN"/>
              </w:rPr>
              <w:t>3</w:t>
            </w:r>
            <w:r>
              <w:rPr>
                <w:rFonts w:hint="eastAsia" w:ascii="Times New Roman" w:hAnsi="Times New Roman" w:eastAsia="宋体" w:cs="宋体"/>
                <w:bCs/>
                <w:color w:val="auto"/>
                <w:sz w:val="24"/>
                <w:szCs w:val="24"/>
                <w:highlight w:val="none"/>
                <w:lang w:eastAsia="zh-CN"/>
              </w:rPr>
              <w:t>.意向方应仔细阅读标的信息公告，充分了解标的交易相关的披露事项。意向方应自行对标的进行必要和适当的独立调查和分析，不依赖于出租方提供的信息和解释，对交易标的的现状作了充分的了解，对承租标的后可能发生的费用和存在的风险进行充分的评估。意向方应在调查和了解的基础上独立、自愿作出参与交易的决定，并自行承担所涉风险。</w:t>
            </w:r>
          </w:p>
        </w:tc>
      </w:tr>
      <w:tr w14:paraId="0B7F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14:paraId="1B742E2F">
            <w:pPr>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b/>
                <w:color w:val="auto"/>
                <w:sz w:val="24"/>
                <w:szCs w:val="24"/>
                <w:highlight w:val="none"/>
                <w:lang w:eastAsia="zh-CN"/>
              </w:rPr>
            </w:pPr>
            <w:r>
              <w:rPr>
                <w:rFonts w:hint="eastAsia" w:ascii="Times New Roman" w:hAnsi="Times New Roman" w:eastAsia="宋体" w:cs="宋体"/>
                <w:b/>
                <w:color w:val="auto"/>
                <w:sz w:val="24"/>
                <w:szCs w:val="24"/>
                <w:highlight w:val="none"/>
                <w:lang w:eastAsia="zh-CN"/>
              </w:rPr>
              <w:t>意 向 方 资 格</w:t>
            </w:r>
          </w:p>
        </w:tc>
      </w:tr>
      <w:tr w14:paraId="6261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Align w:val="center"/>
          </w:tcPr>
          <w:p w14:paraId="255419A4">
            <w:pPr>
              <w:pStyle w:val="11"/>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bCs/>
                <w:color w:val="auto"/>
                <w:sz w:val="24"/>
                <w:szCs w:val="24"/>
                <w:highlight w:val="none"/>
                <w:lang w:eastAsia="zh-CN"/>
              </w:rPr>
              <w:t>意向</w:t>
            </w:r>
            <w:r>
              <w:rPr>
                <w:rFonts w:hint="eastAsia" w:ascii="Times New Roman" w:hAnsi="Times New Roman" w:eastAsia="宋体" w:cs="宋体"/>
                <w:color w:val="auto"/>
                <w:sz w:val="24"/>
                <w:szCs w:val="24"/>
                <w:highlight w:val="none"/>
                <w:lang w:eastAsia="zh-CN"/>
              </w:rPr>
              <w:t>方审核</w:t>
            </w:r>
          </w:p>
        </w:tc>
        <w:tc>
          <w:tcPr>
            <w:tcW w:w="7751" w:type="dxa"/>
            <w:gridSpan w:val="4"/>
            <w:vAlign w:val="center"/>
          </w:tcPr>
          <w:p w14:paraId="3E784A33">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val="en-US" w:eastAsia="zh-CN"/>
              </w:rPr>
              <w:t>出租方</w:t>
            </w:r>
            <w:r>
              <w:rPr>
                <w:rFonts w:hint="eastAsia" w:ascii="Times New Roman" w:hAnsi="Times New Roman" w:eastAsia="宋体" w:cs="宋体"/>
                <w:color w:val="auto"/>
                <w:sz w:val="24"/>
                <w:szCs w:val="24"/>
                <w:highlight w:val="none"/>
                <w:lang w:eastAsia="zh-CN"/>
              </w:rPr>
              <w:t xml:space="preserve">审核    </w:t>
            </w:r>
          </w:p>
        </w:tc>
      </w:tr>
      <w:tr w14:paraId="0036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Merge w:val="restart"/>
            <w:vAlign w:val="center"/>
          </w:tcPr>
          <w:p w14:paraId="18843FB0">
            <w:pPr>
              <w:pStyle w:val="11"/>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bCs/>
                <w:color w:val="auto"/>
                <w:sz w:val="24"/>
                <w:szCs w:val="24"/>
                <w:highlight w:val="none"/>
                <w:lang w:val="en-US" w:eastAsia="zh-CN" w:bidi="ar-SA"/>
              </w:rPr>
            </w:pPr>
            <w:r>
              <w:rPr>
                <w:rFonts w:hint="eastAsia" w:ascii="Times New Roman" w:hAnsi="Times New Roman" w:eastAsia="宋体" w:cs="宋体"/>
                <w:bCs/>
                <w:color w:val="auto"/>
                <w:sz w:val="24"/>
                <w:szCs w:val="24"/>
                <w:highlight w:val="none"/>
                <w:lang w:val="en-US" w:eastAsia="zh-CN" w:bidi="ar-SA"/>
              </w:rPr>
              <w:t>*意向承租方资格条件</w:t>
            </w:r>
          </w:p>
        </w:tc>
        <w:tc>
          <w:tcPr>
            <w:tcW w:w="2124" w:type="dxa"/>
            <w:vAlign w:val="center"/>
          </w:tcPr>
          <w:p w14:paraId="49061393">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val="en-US" w:eastAsia="zh-CN" w:bidi="ar-SA"/>
              </w:rPr>
            </w:pPr>
            <w:r>
              <w:rPr>
                <w:rFonts w:hint="eastAsia" w:ascii="Times New Roman" w:hAnsi="Times New Roman" w:eastAsia="宋体" w:cs="宋体"/>
                <w:bCs/>
                <w:color w:val="auto"/>
                <w:sz w:val="24"/>
                <w:szCs w:val="24"/>
                <w:highlight w:val="none"/>
                <w:lang w:val="en-US" w:eastAsia="zh-CN" w:bidi="ar-SA"/>
              </w:rPr>
              <w:t>*是否允许联合体</w:t>
            </w:r>
          </w:p>
        </w:tc>
        <w:tc>
          <w:tcPr>
            <w:tcW w:w="5627" w:type="dxa"/>
            <w:gridSpan w:val="3"/>
            <w:vAlign w:val="center"/>
          </w:tcPr>
          <w:p w14:paraId="4811B2C1">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val="en-US" w:eastAsia="zh-CN" w:bidi="ar-SA"/>
              </w:rPr>
            </w:pPr>
            <w:r>
              <w:rPr>
                <w:rFonts w:hint="eastAsia" w:ascii="Times New Roman" w:hAnsi="Times New Roman" w:eastAsia="宋体" w:cs="宋体"/>
                <w:bCs/>
                <w:color w:val="auto"/>
                <w:sz w:val="24"/>
                <w:szCs w:val="24"/>
                <w:highlight w:val="none"/>
                <w:lang w:val="en-US" w:eastAsia="zh-CN" w:bidi="ar-SA"/>
              </w:rPr>
              <w:t>□是       ☑否</w:t>
            </w:r>
          </w:p>
        </w:tc>
      </w:tr>
      <w:tr w14:paraId="1854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2211" w:type="dxa"/>
            <w:vMerge w:val="continue"/>
            <w:vAlign w:val="center"/>
          </w:tcPr>
          <w:p w14:paraId="6ED5B714">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bCs/>
                <w:color w:val="auto"/>
                <w:sz w:val="24"/>
                <w:szCs w:val="24"/>
                <w:highlight w:val="none"/>
                <w:lang w:val="en-US" w:eastAsia="zh-CN" w:bidi="ar-SA"/>
              </w:rPr>
            </w:pPr>
          </w:p>
        </w:tc>
        <w:tc>
          <w:tcPr>
            <w:tcW w:w="7751" w:type="dxa"/>
            <w:gridSpan w:val="4"/>
            <w:vAlign w:val="center"/>
          </w:tcPr>
          <w:p w14:paraId="5D09DF2B">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val="en-US" w:eastAsia="en-US" w:bidi="ar-SA"/>
              </w:rPr>
            </w:pPr>
            <w:r>
              <w:rPr>
                <w:rFonts w:hint="eastAsia" w:ascii="Times New Roman" w:hAnsi="Times New Roman" w:eastAsia="宋体" w:cs="宋体"/>
                <w:bCs/>
                <w:color w:val="auto"/>
                <w:sz w:val="24"/>
                <w:szCs w:val="24"/>
                <w:highlight w:val="none"/>
                <w:lang w:val="en-US" w:eastAsia="en-US" w:bidi="ar-SA"/>
              </w:rPr>
              <w:t>1.意向方须于公告期内（截止日17时之前）按要求缴纳</w:t>
            </w:r>
            <w:r>
              <w:rPr>
                <w:rFonts w:hint="eastAsia" w:ascii="Times New Roman" w:hAnsi="Times New Roman" w:cs="宋体"/>
                <w:bCs/>
                <w:color w:val="auto"/>
                <w:sz w:val="24"/>
                <w:szCs w:val="24"/>
                <w:highlight w:val="none"/>
                <w:lang w:val="en-US" w:eastAsia="zh-CN" w:bidi="ar-SA"/>
              </w:rPr>
              <w:t>交易</w:t>
            </w:r>
            <w:r>
              <w:rPr>
                <w:rFonts w:hint="eastAsia" w:ascii="Times New Roman" w:hAnsi="Times New Roman" w:eastAsia="宋体" w:cs="宋体"/>
                <w:bCs/>
                <w:color w:val="auto"/>
                <w:sz w:val="24"/>
                <w:szCs w:val="24"/>
                <w:highlight w:val="none"/>
                <w:lang w:val="en-US" w:eastAsia="en-US" w:bidi="ar-SA"/>
              </w:rPr>
              <w:t>保证金到</w:t>
            </w:r>
            <w:r>
              <w:rPr>
                <w:rFonts w:hint="eastAsia" w:ascii="Times New Roman" w:hAnsi="Times New Roman" w:eastAsia="宋体" w:cs="宋体"/>
                <w:bCs/>
                <w:color w:val="auto"/>
                <w:sz w:val="24"/>
                <w:szCs w:val="24"/>
                <w:highlight w:val="none"/>
                <w:lang w:val="en-US" w:eastAsia="zh-CN" w:bidi="ar-SA"/>
              </w:rPr>
              <w:t>出租方</w:t>
            </w:r>
            <w:r>
              <w:rPr>
                <w:rFonts w:hint="eastAsia" w:ascii="Times New Roman" w:hAnsi="Times New Roman" w:eastAsia="宋体" w:cs="宋体"/>
                <w:bCs/>
                <w:color w:val="auto"/>
                <w:sz w:val="24"/>
                <w:szCs w:val="24"/>
                <w:highlight w:val="none"/>
                <w:lang w:val="en-US" w:eastAsia="en-US" w:bidi="ar-SA"/>
              </w:rPr>
              <w:t>指定账户，</w:t>
            </w:r>
            <w:r>
              <w:rPr>
                <w:rFonts w:hint="eastAsia" w:ascii="Times New Roman" w:hAnsi="Times New Roman" w:eastAsia="宋体" w:cs="宋体"/>
                <w:bCs/>
                <w:color w:val="auto"/>
                <w:sz w:val="24"/>
                <w:szCs w:val="24"/>
                <w:highlight w:val="none"/>
                <w:lang w:val="en-US" w:eastAsia="zh-CN" w:bidi="ar-SA"/>
              </w:rPr>
              <w:t>意向方</w:t>
            </w:r>
            <w:r>
              <w:rPr>
                <w:rFonts w:hint="eastAsia" w:ascii="Times New Roman" w:hAnsi="Times New Roman" w:eastAsia="宋体" w:cs="宋体"/>
                <w:bCs/>
                <w:color w:val="auto"/>
                <w:sz w:val="24"/>
                <w:szCs w:val="24"/>
                <w:highlight w:val="none"/>
                <w:lang w:val="en-US" w:eastAsia="en-US" w:bidi="ar-SA"/>
              </w:rPr>
              <w:t>缴纳保证金后才有资格参加公开招租。</w:t>
            </w:r>
            <w:r>
              <w:rPr>
                <w:rFonts w:hint="eastAsia" w:ascii="Times New Roman" w:hAnsi="Times New Roman" w:eastAsia="宋体" w:cs="宋体"/>
                <w:bCs/>
                <w:color w:val="auto"/>
                <w:sz w:val="24"/>
                <w:szCs w:val="24"/>
                <w:highlight w:val="none"/>
                <w:lang w:val="en-US" w:eastAsia="en-US" w:bidi="ar-SA"/>
              </w:rPr>
              <w:br w:type="textWrapping"/>
            </w:r>
            <w:r>
              <w:rPr>
                <w:rFonts w:hint="eastAsia" w:ascii="Times New Roman" w:hAnsi="Times New Roman" w:eastAsia="宋体" w:cs="宋体"/>
                <w:bCs/>
                <w:color w:val="auto"/>
                <w:sz w:val="24"/>
                <w:szCs w:val="24"/>
                <w:highlight w:val="none"/>
                <w:lang w:val="en-US" w:eastAsia="en-US" w:bidi="ar-SA"/>
              </w:rPr>
              <w:t>2. 意向承租方必须为中华人民共和国境内注册成立、合法存续的法人、非法人组织</w:t>
            </w:r>
            <w:r>
              <w:rPr>
                <w:rFonts w:hint="eastAsia" w:ascii="Times New Roman" w:hAnsi="Times New Roman" w:cs="宋体"/>
                <w:bCs/>
                <w:color w:val="auto"/>
                <w:sz w:val="24"/>
                <w:szCs w:val="24"/>
                <w:highlight w:val="none"/>
                <w:lang w:val="en-US" w:eastAsia="zh-CN" w:bidi="ar-SA"/>
              </w:rPr>
              <w:t>/</w:t>
            </w:r>
            <w:r>
              <w:rPr>
                <w:rFonts w:hint="eastAsia" w:ascii="Times New Roman" w:hAnsi="Times New Roman" w:eastAsia="宋体" w:cs="宋体"/>
                <w:bCs/>
                <w:color w:val="auto"/>
                <w:sz w:val="24"/>
                <w:szCs w:val="24"/>
                <w:highlight w:val="none"/>
                <w:lang w:eastAsia="zh-CN"/>
              </w:rPr>
              <w:t>个体工商户</w:t>
            </w:r>
            <w:r>
              <w:rPr>
                <w:rFonts w:hint="eastAsia" w:ascii="Times New Roman" w:hAnsi="Times New Roman" w:eastAsia="宋体" w:cs="宋体"/>
                <w:bCs/>
                <w:color w:val="auto"/>
                <w:sz w:val="24"/>
                <w:szCs w:val="24"/>
                <w:highlight w:val="none"/>
                <w:lang w:val="en-US" w:eastAsia="en-US" w:bidi="ar-SA"/>
              </w:rPr>
              <w:t>。</w:t>
            </w:r>
          </w:p>
          <w:p w14:paraId="29E521A8">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val="en-US" w:eastAsia="en-US" w:bidi="ar-SA"/>
              </w:rPr>
            </w:pPr>
            <w:r>
              <w:rPr>
                <w:rFonts w:hint="eastAsia" w:ascii="Times New Roman" w:hAnsi="Times New Roman" w:eastAsia="宋体" w:cs="宋体"/>
                <w:bCs/>
                <w:color w:val="auto"/>
                <w:sz w:val="24"/>
                <w:szCs w:val="24"/>
                <w:highlight w:val="none"/>
                <w:lang w:val="en-US" w:eastAsia="zh-CN" w:bidi="ar-SA"/>
              </w:rPr>
              <w:t>3</w:t>
            </w:r>
            <w:r>
              <w:rPr>
                <w:rFonts w:hint="eastAsia" w:ascii="Times New Roman" w:hAnsi="Times New Roman" w:eastAsia="宋体" w:cs="宋体"/>
                <w:bCs/>
                <w:color w:val="auto"/>
                <w:sz w:val="24"/>
                <w:szCs w:val="24"/>
                <w:highlight w:val="none"/>
                <w:lang w:val="en-US" w:eastAsia="en-US" w:bidi="ar-SA"/>
              </w:rPr>
              <w:t>.意向方在国家企业信用信息公示系统（www.gsxt.gov.cn）未被列入严重违法失信企业名单（黑名单）和经营异常名录</w:t>
            </w:r>
            <w:r>
              <w:rPr>
                <w:rFonts w:hint="eastAsia" w:ascii="Times New Roman" w:hAnsi="Times New Roman" w:eastAsia="宋体" w:cs="宋体"/>
                <w:bCs/>
                <w:color w:val="auto"/>
                <w:sz w:val="24"/>
                <w:szCs w:val="24"/>
                <w:highlight w:val="none"/>
                <w:lang w:val="en-US" w:eastAsia="zh-CN" w:bidi="ar-SA"/>
              </w:rPr>
              <w:t>。</w:t>
            </w:r>
          </w:p>
          <w:p w14:paraId="563DB497">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val="en-US" w:eastAsia="en-US" w:bidi="ar-SA"/>
              </w:rPr>
            </w:pPr>
            <w:r>
              <w:rPr>
                <w:rFonts w:hint="eastAsia" w:ascii="Times New Roman" w:hAnsi="Times New Roman" w:eastAsia="宋体" w:cs="宋体"/>
                <w:bCs/>
                <w:color w:val="auto"/>
                <w:sz w:val="24"/>
                <w:szCs w:val="24"/>
                <w:highlight w:val="none"/>
                <w:lang w:val="en-US" w:eastAsia="zh-CN" w:bidi="ar-SA"/>
              </w:rPr>
              <w:t>4</w:t>
            </w:r>
            <w:r>
              <w:rPr>
                <w:rFonts w:hint="eastAsia" w:ascii="Times New Roman" w:hAnsi="Times New Roman" w:eastAsia="宋体" w:cs="宋体"/>
                <w:bCs/>
                <w:color w:val="auto"/>
                <w:sz w:val="24"/>
                <w:szCs w:val="24"/>
                <w:highlight w:val="none"/>
                <w:lang w:val="en-US" w:eastAsia="en-US" w:bidi="ar-SA"/>
              </w:rPr>
              <w:t>.意向方在中国执行信息公开网（http://zxgk.court.gov.cn/）未被列入失信被执行人名单</w:t>
            </w:r>
            <w:r>
              <w:rPr>
                <w:rFonts w:hint="eastAsia" w:ascii="Times New Roman" w:hAnsi="Times New Roman" w:eastAsia="宋体" w:cs="宋体"/>
                <w:bCs/>
                <w:color w:val="auto"/>
                <w:sz w:val="24"/>
                <w:szCs w:val="24"/>
                <w:highlight w:val="none"/>
                <w:lang w:val="en-US" w:eastAsia="zh-CN" w:bidi="ar-SA"/>
              </w:rPr>
              <w:t>。</w:t>
            </w:r>
            <w:r>
              <w:rPr>
                <w:rFonts w:hint="eastAsia" w:ascii="Times New Roman" w:hAnsi="Times New Roman" w:eastAsia="宋体" w:cs="宋体"/>
                <w:bCs/>
                <w:color w:val="auto"/>
                <w:sz w:val="24"/>
                <w:szCs w:val="24"/>
                <w:highlight w:val="none"/>
                <w:lang w:val="en-US" w:eastAsia="en-US" w:bidi="ar-SA"/>
              </w:rPr>
              <w:t xml:space="preserve"> </w:t>
            </w:r>
          </w:p>
          <w:p w14:paraId="0449742E">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Times New Roman" w:hAnsi="Times New Roman" w:eastAsia="宋体" w:cs="宋体"/>
                <w:bCs/>
                <w:color w:val="auto"/>
                <w:sz w:val="24"/>
                <w:szCs w:val="24"/>
                <w:highlight w:val="none"/>
                <w:lang w:val="en-US" w:eastAsia="zh-CN" w:bidi="ar-SA"/>
              </w:rPr>
            </w:pPr>
            <w:r>
              <w:rPr>
                <w:rFonts w:hint="eastAsia" w:ascii="Times New Roman" w:hAnsi="Times New Roman" w:eastAsia="宋体" w:cs="宋体"/>
                <w:bCs/>
                <w:color w:val="auto"/>
                <w:sz w:val="24"/>
                <w:szCs w:val="24"/>
                <w:highlight w:val="none"/>
                <w:lang w:val="en-US" w:eastAsia="en-US" w:bidi="ar-SA"/>
              </w:rPr>
              <w:t> </w:t>
            </w:r>
          </w:p>
        </w:tc>
      </w:tr>
      <w:tr w14:paraId="6AC1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Merge w:val="restart"/>
            <w:vAlign w:val="center"/>
          </w:tcPr>
          <w:p w14:paraId="202495FB">
            <w:pPr>
              <w:pStyle w:val="11"/>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*意向方需提交的材料</w:t>
            </w:r>
          </w:p>
        </w:tc>
        <w:tc>
          <w:tcPr>
            <w:tcW w:w="3254" w:type="dxa"/>
            <w:gridSpan w:val="2"/>
            <w:vAlign w:val="center"/>
          </w:tcPr>
          <w:p w14:paraId="265825FE">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*是否需要提供纸质材料</w:t>
            </w:r>
          </w:p>
        </w:tc>
        <w:tc>
          <w:tcPr>
            <w:tcW w:w="4497" w:type="dxa"/>
            <w:gridSpan w:val="2"/>
            <w:vAlign w:val="center"/>
          </w:tcPr>
          <w:p w14:paraId="291D6CE8">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☑是</w:t>
            </w: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lang w:eastAsia="zh-CN"/>
              </w:rPr>
              <w:t xml:space="preserve">    </w:t>
            </w:r>
            <w:r>
              <w:rPr>
                <w:rFonts w:hint="eastAsia" w:ascii="Times New Roman" w:hAnsi="Times New Roman" w:eastAsia="宋体" w:cs="宋体"/>
                <w:color w:val="auto"/>
                <w:sz w:val="24"/>
                <w:szCs w:val="24"/>
                <w:highlight w:val="none"/>
                <w:lang w:eastAsia="zh-CN"/>
              </w:rPr>
              <w:sym w:font="Wingdings" w:char="00A8"/>
            </w:r>
            <w:r>
              <w:rPr>
                <w:rFonts w:hint="eastAsia" w:ascii="Times New Roman" w:hAnsi="Times New Roman" w:eastAsia="宋体" w:cs="宋体"/>
                <w:color w:val="auto"/>
                <w:sz w:val="24"/>
                <w:szCs w:val="24"/>
                <w:highlight w:val="none"/>
                <w:lang w:eastAsia="zh-CN"/>
              </w:rPr>
              <w:t>否</w:t>
            </w:r>
          </w:p>
        </w:tc>
      </w:tr>
      <w:tr w14:paraId="29D5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jc w:val="center"/>
        </w:trPr>
        <w:tc>
          <w:tcPr>
            <w:tcW w:w="2211" w:type="dxa"/>
            <w:vMerge w:val="continue"/>
            <w:vAlign w:val="center"/>
          </w:tcPr>
          <w:p w14:paraId="4BF57566">
            <w:pPr>
              <w:pStyle w:val="11"/>
              <w:keepLines w:val="0"/>
              <w:pageBreakBefore w:val="0"/>
              <w:widowControl/>
              <w:kinsoku/>
              <w:wordWrap/>
              <w:overflowPunct/>
              <w:topLinePunct w:val="0"/>
              <w:autoSpaceDE/>
              <w:autoSpaceDN/>
              <w:bidi w:val="0"/>
              <w:spacing w:before="0" w:after="0" w:line="240" w:lineRule="auto"/>
              <w:jc w:val="center"/>
              <w:textAlignment w:val="auto"/>
              <w:rPr>
                <w:rFonts w:hint="eastAsia" w:ascii="Times New Roman" w:hAnsi="Times New Roman" w:eastAsia="宋体" w:cs="宋体"/>
                <w:b/>
                <w:color w:val="auto"/>
                <w:sz w:val="24"/>
                <w:szCs w:val="24"/>
                <w:highlight w:val="none"/>
                <w:lang w:eastAsia="zh-CN"/>
              </w:rPr>
            </w:pPr>
          </w:p>
        </w:tc>
        <w:tc>
          <w:tcPr>
            <w:tcW w:w="7751" w:type="dxa"/>
            <w:gridSpan w:val="4"/>
            <w:vAlign w:val="center"/>
          </w:tcPr>
          <w:p w14:paraId="21B9B74A">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1.物业公开招租项目的《竞租报价表》、投标承诺函；</w:t>
            </w:r>
          </w:p>
          <w:p w14:paraId="75FED447">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2.意向方身份证明文件：法人/非法人组织/个体工商户需提交资格证明、法定代表人/负责人/经营者身份证；截止公告发布之日在有效期内的营业执照；自然人提交身份证明文件；</w:t>
            </w:r>
          </w:p>
          <w:p w14:paraId="743E2618">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3.意向方(法人/非法人组织/个体工商户)在国家企业信用信息公示系统 (www.gsxt.gov.cn)未被列入严重违法失信企业名单 (黑名单)和经营异常名录的查询打印件；</w:t>
            </w:r>
          </w:p>
          <w:p w14:paraId="0EB4C456">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4.意向方在中国执行信息公开网(http://zxgk.court.gov.cn/)  未被列入失信被执行人名单的查询打印件；</w:t>
            </w:r>
          </w:p>
          <w:p w14:paraId="54B9D624">
            <w:pPr>
              <w:numPr>
                <w:ilvl w:val="0"/>
                <w:numId w:val="0"/>
              </w:numPr>
              <w:jc w:val="both"/>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lang w:eastAsia="zh-CN"/>
              </w:rPr>
              <w:t>5.</w:t>
            </w:r>
            <w:r>
              <w:rPr>
                <w:rFonts w:hint="eastAsia" w:ascii="Times New Roman" w:hAnsi="Times New Roman" w:cs="宋体"/>
                <w:bCs/>
                <w:color w:val="auto"/>
                <w:sz w:val="24"/>
                <w:szCs w:val="24"/>
                <w:highlight w:val="none"/>
                <w:lang w:val="en-US" w:eastAsia="zh-CN"/>
              </w:rPr>
              <w:t>交易</w:t>
            </w:r>
            <w:r>
              <w:rPr>
                <w:rFonts w:hint="eastAsia" w:ascii="Times New Roman" w:hAnsi="Times New Roman" w:eastAsia="宋体" w:cs="宋体"/>
                <w:bCs/>
                <w:color w:val="auto"/>
                <w:sz w:val="24"/>
                <w:szCs w:val="24"/>
                <w:highlight w:val="none"/>
                <w:lang w:eastAsia="zh-CN"/>
              </w:rPr>
              <w:t>保证金银行转账凭证；</w:t>
            </w:r>
          </w:p>
          <w:p w14:paraId="16C2C491">
            <w:pPr>
              <w:numPr>
                <w:ilvl w:val="0"/>
                <w:numId w:val="0"/>
              </w:numPr>
              <w:jc w:val="both"/>
              <w:rPr>
                <w:rFonts w:hint="default" w:ascii="Times New Roman" w:hAnsi="Times New Roman"/>
                <w:color w:val="auto"/>
                <w:highlight w:val="none"/>
                <w:lang w:val="en-US" w:eastAsia="zh-CN"/>
              </w:rPr>
            </w:pPr>
            <w:r>
              <w:rPr>
                <w:rFonts w:hint="eastAsia" w:ascii="Times New Roman" w:hAnsi="Times New Roman" w:cs="宋体"/>
                <w:bCs/>
                <w:color w:val="auto"/>
                <w:sz w:val="24"/>
                <w:szCs w:val="24"/>
                <w:highlight w:val="none"/>
                <w:lang w:val="en-US" w:eastAsia="zh-CN"/>
              </w:rPr>
              <w:t>6.意向方的银行账户复印件（用于退还交易保证金）；</w:t>
            </w:r>
          </w:p>
          <w:p w14:paraId="769C704B">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cs="宋体"/>
                <w:bCs/>
                <w:color w:val="auto"/>
                <w:sz w:val="24"/>
                <w:szCs w:val="24"/>
                <w:highlight w:val="none"/>
                <w:lang w:val="en-US" w:eastAsia="zh-CN"/>
              </w:rPr>
              <w:t>7</w:t>
            </w:r>
            <w:r>
              <w:rPr>
                <w:rFonts w:hint="eastAsia" w:ascii="Times New Roman" w:hAnsi="Times New Roman" w:eastAsia="宋体" w:cs="宋体"/>
                <w:bCs/>
                <w:color w:val="auto"/>
                <w:sz w:val="24"/>
                <w:szCs w:val="24"/>
                <w:highlight w:val="none"/>
                <w:lang w:eastAsia="zh-CN"/>
              </w:rPr>
              <w:t>.由委托代理人参与本招租项目的投标工作的，须提交由意向方签署的有效授权委托书的扫描件，授权委托书原件附在投标文件中一并提交；</w:t>
            </w:r>
          </w:p>
          <w:p w14:paraId="5800AF08">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cs="宋体"/>
                <w:bCs/>
                <w:color w:val="auto"/>
                <w:sz w:val="24"/>
                <w:szCs w:val="24"/>
                <w:highlight w:val="none"/>
                <w:lang w:val="en-US" w:eastAsia="zh-CN"/>
              </w:rPr>
              <w:t>8</w:t>
            </w:r>
            <w:r>
              <w:rPr>
                <w:rFonts w:hint="eastAsia" w:ascii="Times New Roman" w:hAnsi="Times New Roman" w:eastAsia="宋体" w:cs="宋体"/>
                <w:bCs/>
                <w:color w:val="auto"/>
                <w:sz w:val="24"/>
                <w:szCs w:val="24"/>
                <w:highlight w:val="none"/>
                <w:lang w:eastAsia="zh-CN"/>
              </w:rPr>
              <w:t>.招租方要求的其他有关资料。</w:t>
            </w:r>
          </w:p>
          <w:p w14:paraId="038ACA5F">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Times New Roman" w:hAnsi="Times New Roman" w:eastAsia="宋体" w:cs="宋体"/>
                <w:bCs/>
                <w:color w:val="auto"/>
                <w:sz w:val="24"/>
                <w:szCs w:val="24"/>
                <w:highlight w:val="none"/>
                <w:lang w:val="en-US" w:eastAsia="zh-CN"/>
              </w:rPr>
            </w:pPr>
            <w:r>
              <w:rPr>
                <w:rFonts w:hint="eastAsia" w:ascii="Times New Roman" w:hAnsi="Times New Roman" w:cs="宋体"/>
                <w:bCs/>
                <w:color w:val="auto"/>
                <w:sz w:val="24"/>
                <w:szCs w:val="24"/>
                <w:highlight w:val="none"/>
                <w:lang w:val="en-US" w:eastAsia="zh-CN"/>
              </w:rPr>
              <w:t>9</w:t>
            </w:r>
            <w:r>
              <w:rPr>
                <w:rFonts w:hint="eastAsia" w:ascii="Times New Roman" w:hAnsi="Times New Roman" w:eastAsia="宋体" w:cs="宋体"/>
                <w:bCs/>
                <w:color w:val="auto"/>
                <w:sz w:val="24"/>
                <w:szCs w:val="24"/>
                <w:highlight w:val="none"/>
                <w:lang w:val="en-US" w:eastAsia="zh-CN"/>
              </w:rPr>
              <w:t>.</w:t>
            </w:r>
            <w:r>
              <w:rPr>
                <w:rFonts w:hint="eastAsia" w:ascii="Times New Roman" w:hAnsi="Times New Roman" w:eastAsia="宋体" w:cs="宋体"/>
                <w:color w:val="auto"/>
                <w:sz w:val="24"/>
                <w:szCs w:val="24"/>
                <w:highlight w:val="none"/>
                <w:lang w:val="en-US" w:eastAsia="zh-CN"/>
              </w:rPr>
              <w:t>上述所需资料每一项都要加盖公章或按手指印，所有资料需</w:t>
            </w:r>
            <w:r>
              <w:rPr>
                <w:rFonts w:hint="eastAsia" w:ascii="Times New Roman" w:hAnsi="Times New Roman" w:eastAsia="宋体" w:cs="宋体"/>
                <w:color w:val="auto"/>
                <w:sz w:val="24"/>
                <w:szCs w:val="24"/>
                <w:highlight w:val="none"/>
              </w:rPr>
              <w:t>密封完好</w:t>
            </w:r>
            <w:r>
              <w:rPr>
                <w:rFonts w:hint="eastAsia" w:ascii="Times New Roman" w:hAnsi="Times New Roman" w:eastAsia="宋体" w:cs="宋体"/>
                <w:color w:val="auto"/>
                <w:sz w:val="24"/>
                <w:szCs w:val="24"/>
                <w:highlight w:val="none"/>
                <w:lang w:eastAsia="zh-CN"/>
              </w:rPr>
              <w:t>。</w:t>
            </w:r>
          </w:p>
          <w:p w14:paraId="17F37176">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Times New Roman" w:hAnsi="Times New Roman" w:eastAsia="宋体" w:cs="宋体"/>
                <w:bCs/>
                <w:color w:val="auto"/>
                <w:sz w:val="24"/>
                <w:szCs w:val="24"/>
                <w:highlight w:val="none"/>
                <w:lang w:eastAsia="zh-CN"/>
              </w:rPr>
            </w:pPr>
          </w:p>
        </w:tc>
      </w:tr>
    </w:tbl>
    <w:p w14:paraId="309FA65A">
      <w:pPr>
        <w:keepLines w:val="0"/>
        <w:pageBreakBefore w:val="0"/>
        <w:widowControl/>
        <w:kinsoku/>
        <w:wordWrap/>
        <w:overflowPunct/>
        <w:topLinePunct w:val="0"/>
        <w:autoSpaceDE/>
        <w:autoSpaceDN/>
        <w:bidi w:val="0"/>
        <w:spacing w:line="240" w:lineRule="auto"/>
        <w:textAlignment w:val="auto"/>
        <w:rPr>
          <w:rFonts w:hint="eastAsia" w:ascii="Times New Roman" w:hAnsi="Times New Roman" w:eastAsia="宋体" w:cs="宋体"/>
          <w:color w:val="auto"/>
          <w:sz w:val="24"/>
          <w:szCs w:val="24"/>
          <w:highlight w:val="none"/>
        </w:rPr>
      </w:pPr>
    </w:p>
    <w:p w14:paraId="3D81D6E9">
      <w:pPr>
        <w:rPr>
          <w:rFonts w:hint="eastAsia" w:ascii="Times New Roman" w:hAnsi="Times New Roman"/>
          <w:color w:val="auto"/>
          <w:highlight w:val="none"/>
          <w:lang w:val="en-US" w:eastAsia="zh-CN"/>
        </w:rPr>
      </w:pPr>
    </w:p>
    <w:p w14:paraId="013C824D">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r>
    </w:p>
    <w:p w14:paraId="02D62AF4">
      <w:pPr>
        <w:rPr>
          <w:rFonts w:hint="eastAsia" w:ascii="Times New Roman" w:hAnsi="Times New Roman"/>
          <w:color w:val="auto"/>
          <w:sz w:val="24"/>
          <w:szCs w:val="24"/>
          <w:highlight w:val="none"/>
          <w:lang w:val="en-US" w:eastAsia="zh-CN"/>
        </w:rPr>
      </w:pPr>
      <w:r>
        <w:rPr>
          <w:rFonts w:hint="eastAsia" w:ascii="Times New Roman" w:hAnsi="Times New Roman"/>
          <w:color w:val="auto"/>
          <w:highlight w:val="none"/>
          <w:lang w:val="en-US" w:eastAsia="zh-CN"/>
        </w:rPr>
        <w:t>附件材料一：</w:t>
      </w:r>
    </w:p>
    <w:p w14:paraId="4B97D15B">
      <w:pPr>
        <w:spacing w:before="85" w:line="218" w:lineRule="auto"/>
        <w:ind w:left="3231"/>
        <w:rPr>
          <w:rFonts w:hint="eastAsia" w:ascii="Times New Roman" w:hAnsi="Times New Roman" w:eastAsia="宋体" w:cs="宋体"/>
          <w:color w:val="auto"/>
          <w:sz w:val="44"/>
          <w:szCs w:val="44"/>
          <w:highlight w:val="none"/>
        </w:rPr>
      </w:pPr>
      <w:r>
        <w:rPr>
          <w:rFonts w:hint="eastAsia" w:ascii="Times New Roman" w:hAnsi="Times New Roman" w:cs="宋体"/>
          <w:b/>
          <w:bCs/>
          <w:color w:val="auto"/>
          <w:spacing w:val="1"/>
          <w:sz w:val="44"/>
          <w:szCs w:val="44"/>
          <w:highlight w:val="none"/>
          <w:lang w:val="en-US" w:eastAsia="zh-CN"/>
        </w:rPr>
        <w:t>竞</w:t>
      </w:r>
      <w:r>
        <w:rPr>
          <w:rFonts w:hint="eastAsia" w:ascii="Times New Roman" w:hAnsi="Times New Roman" w:eastAsia="宋体" w:cs="宋体"/>
          <w:b/>
          <w:bCs/>
          <w:color w:val="auto"/>
          <w:spacing w:val="1"/>
          <w:sz w:val="44"/>
          <w:szCs w:val="44"/>
          <w:highlight w:val="none"/>
        </w:rPr>
        <w:t>租报价表</w:t>
      </w:r>
    </w:p>
    <w:p w14:paraId="3560FC35">
      <w:pPr>
        <w:spacing w:before="58"/>
        <w:rPr>
          <w:rFonts w:hint="eastAsia" w:ascii="Times New Roman" w:hAnsi="Times New Roman" w:eastAsia="宋体" w:cs="宋体"/>
          <w:color w:val="auto"/>
          <w:sz w:val="24"/>
          <w:szCs w:val="24"/>
          <w:highlight w:val="none"/>
        </w:rPr>
      </w:pP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24"/>
        <w:gridCol w:w="6336"/>
      </w:tblGrid>
      <w:tr w14:paraId="621C6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000" w:type="pct"/>
            <w:gridSpan w:val="2"/>
            <w:vAlign w:val="top"/>
          </w:tcPr>
          <w:p w14:paraId="31F2B786">
            <w:pPr>
              <w:spacing w:before="179" w:line="221" w:lineRule="auto"/>
              <w:ind w:left="12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rPr>
              <w:t>物业名称：</w:t>
            </w:r>
          </w:p>
        </w:tc>
      </w:tr>
      <w:tr w14:paraId="3B3E2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000" w:type="pct"/>
            <w:gridSpan w:val="2"/>
            <w:vAlign w:val="top"/>
          </w:tcPr>
          <w:p w14:paraId="3821D25A">
            <w:pPr>
              <w:spacing w:before="161" w:line="219" w:lineRule="auto"/>
              <w:ind w:left="318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3"/>
                <w:sz w:val="24"/>
                <w:szCs w:val="24"/>
                <w:highlight w:val="none"/>
              </w:rPr>
              <w:t>意向方基本信息</w:t>
            </w:r>
          </w:p>
        </w:tc>
      </w:tr>
      <w:tr w14:paraId="57E7F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754" w:type="pct"/>
            <w:vAlign w:val="top"/>
          </w:tcPr>
          <w:p w14:paraId="7DC4D1DA">
            <w:pPr>
              <w:spacing w:before="326" w:line="221" w:lineRule="auto"/>
              <w:ind w:left="102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4"/>
                <w:sz w:val="24"/>
                <w:szCs w:val="24"/>
                <w:highlight w:val="none"/>
              </w:rPr>
              <w:t>意向方</w:t>
            </w:r>
          </w:p>
        </w:tc>
        <w:tc>
          <w:tcPr>
            <w:tcW w:w="3245" w:type="pct"/>
            <w:vAlign w:val="top"/>
          </w:tcPr>
          <w:p w14:paraId="477AE131">
            <w:pPr>
              <w:pStyle w:val="14"/>
              <w:rPr>
                <w:rFonts w:hint="eastAsia" w:ascii="Times New Roman" w:hAnsi="Times New Roman" w:eastAsia="宋体" w:cs="宋体"/>
                <w:color w:val="auto"/>
                <w:sz w:val="24"/>
                <w:szCs w:val="24"/>
                <w:highlight w:val="none"/>
              </w:rPr>
            </w:pPr>
          </w:p>
        </w:tc>
      </w:tr>
      <w:tr w14:paraId="199AE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754" w:type="pct"/>
            <w:vAlign w:val="top"/>
          </w:tcPr>
          <w:p w14:paraId="6E068DC5">
            <w:pPr>
              <w:spacing w:before="284" w:line="551" w:lineRule="exact"/>
              <w:ind w:left="25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1"/>
                <w:position w:val="17"/>
                <w:sz w:val="24"/>
                <w:szCs w:val="24"/>
                <w:highlight w:val="none"/>
              </w:rPr>
              <w:t>统一社会信用代码</w:t>
            </w:r>
          </w:p>
          <w:p w14:paraId="0E24EE99">
            <w:pPr>
              <w:spacing w:line="219" w:lineRule="auto"/>
              <w:ind w:left="102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4"/>
                <w:sz w:val="24"/>
                <w:szCs w:val="24"/>
                <w:highlight w:val="none"/>
              </w:rPr>
              <w:t>身份证</w:t>
            </w:r>
          </w:p>
        </w:tc>
        <w:tc>
          <w:tcPr>
            <w:tcW w:w="3245" w:type="pct"/>
            <w:vAlign w:val="top"/>
          </w:tcPr>
          <w:p w14:paraId="5776BCE5">
            <w:pPr>
              <w:pStyle w:val="14"/>
              <w:rPr>
                <w:rFonts w:hint="eastAsia" w:ascii="Times New Roman" w:hAnsi="Times New Roman" w:eastAsia="宋体" w:cs="宋体"/>
                <w:color w:val="auto"/>
                <w:sz w:val="24"/>
                <w:szCs w:val="24"/>
                <w:highlight w:val="none"/>
              </w:rPr>
            </w:pPr>
          </w:p>
        </w:tc>
      </w:tr>
      <w:tr w14:paraId="3836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754" w:type="pct"/>
            <w:vAlign w:val="top"/>
          </w:tcPr>
          <w:p w14:paraId="55079D36">
            <w:pPr>
              <w:pStyle w:val="14"/>
              <w:spacing w:line="288" w:lineRule="auto"/>
              <w:rPr>
                <w:rFonts w:hint="eastAsia" w:ascii="Times New Roman" w:hAnsi="Times New Roman" w:eastAsia="宋体" w:cs="宋体"/>
                <w:color w:val="auto"/>
                <w:sz w:val="24"/>
                <w:szCs w:val="24"/>
                <w:highlight w:val="none"/>
              </w:rPr>
            </w:pPr>
          </w:p>
          <w:p w14:paraId="073D0103">
            <w:pPr>
              <w:spacing w:before="101" w:line="221" w:lineRule="auto"/>
              <w:ind w:left="87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3"/>
                <w:sz w:val="24"/>
                <w:szCs w:val="24"/>
                <w:highlight w:val="none"/>
              </w:rPr>
              <w:t>联系地址</w:t>
            </w:r>
          </w:p>
        </w:tc>
        <w:tc>
          <w:tcPr>
            <w:tcW w:w="3245" w:type="pct"/>
            <w:vAlign w:val="top"/>
          </w:tcPr>
          <w:p w14:paraId="7794BF0F">
            <w:pPr>
              <w:pStyle w:val="14"/>
              <w:rPr>
                <w:rFonts w:hint="eastAsia" w:ascii="Times New Roman" w:hAnsi="Times New Roman" w:eastAsia="宋体" w:cs="宋体"/>
                <w:color w:val="auto"/>
                <w:sz w:val="24"/>
                <w:szCs w:val="24"/>
                <w:highlight w:val="none"/>
              </w:rPr>
            </w:pPr>
          </w:p>
        </w:tc>
      </w:tr>
      <w:tr w14:paraId="2279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754" w:type="pct"/>
            <w:vAlign w:val="top"/>
          </w:tcPr>
          <w:p w14:paraId="27065D83">
            <w:pPr>
              <w:pStyle w:val="14"/>
              <w:spacing w:line="299" w:lineRule="auto"/>
              <w:rPr>
                <w:rFonts w:hint="eastAsia" w:ascii="Times New Roman" w:hAnsi="Times New Roman" w:eastAsia="宋体" w:cs="宋体"/>
                <w:color w:val="auto"/>
                <w:sz w:val="24"/>
                <w:szCs w:val="24"/>
                <w:highlight w:val="none"/>
              </w:rPr>
            </w:pPr>
          </w:p>
          <w:p w14:paraId="03CAA1FD">
            <w:pPr>
              <w:spacing w:before="101" w:line="221" w:lineRule="auto"/>
              <w:ind w:left="25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rPr>
              <w:t>联系人、联系电话</w:t>
            </w:r>
          </w:p>
        </w:tc>
        <w:tc>
          <w:tcPr>
            <w:tcW w:w="3245" w:type="pct"/>
            <w:vAlign w:val="top"/>
          </w:tcPr>
          <w:p w14:paraId="44BE6177">
            <w:pPr>
              <w:pStyle w:val="14"/>
              <w:rPr>
                <w:rFonts w:hint="eastAsia" w:ascii="Times New Roman" w:hAnsi="Times New Roman" w:eastAsia="宋体" w:cs="宋体"/>
                <w:color w:val="auto"/>
                <w:sz w:val="24"/>
                <w:szCs w:val="24"/>
                <w:highlight w:val="none"/>
              </w:rPr>
            </w:pPr>
          </w:p>
        </w:tc>
      </w:tr>
      <w:tr w14:paraId="2FFBF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00" w:type="pct"/>
            <w:gridSpan w:val="2"/>
            <w:vAlign w:val="top"/>
          </w:tcPr>
          <w:p w14:paraId="23D63A24">
            <w:pPr>
              <w:spacing w:before="226" w:line="198" w:lineRule="auto"/>
              <w:ind w:left="364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14"/>
                <w:sz w:val="24"/>
                <w:szCs w:val="24"/>
                <w:highlight w:val="none"/>
              </w:rPr>
              <w:t>报价项目</w:t>
            </w:r>
          </w:p>
        </w:tc>
      </w:tr>
      <w:tr w14:paraId="35482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754" w:type="pct"/>
            <w:vAlign w:val="top"/>
          </w:tcPr>
          <w:p w14:paraId="43670689">
            <w:pPr>
              <w:pStyle w:val="14"/>
              <w:spacing w:line="254" w:lineRule="auto"/>
              <w:rPr>
                <w:rFonts w:hint="eastAsia" w:ascii="Times New Roman" w:hAnsi="Times New Roman" w:eastAsia="宋体" w:cs="宋体"/>
                <w:color w:val="auto"/>
                <w:sz w:val="24"/>
                <w:szCs w:val="24"/>
                <w:highlight w:val="none"/>
              </w:rPr>
            </w:pPr>
          </w:p>
          <w:p w14:paraId="6667D626">
            <w:pPr>
              <w:spacing w:before="101" w:line="218" w:lineRule="auto"/>
              <w:ind w:left="5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2"/>
                <w:sz w:val="24"/>
                <w:szCs w:val="24"/>
                <w:highlight w:val="none"/>
              </w:rPr>
              <w:t>首月租金报价</w:t>
            </w:r>
          </w:p>
        </w:tc>
        <w:tc>
          <w:tcPr>
            <w:tcW w:w="3245" w:type="pct"/>
            <w:vAlign w:val="top"/>
          </w:tcPr>
          <w:p w14:paraId="14FA4A23">
            <w:pPr>
              <w:pStyle w:val="14"/>
              <w:spacing w:line="267" w:lineRule="auto"/>
              <w:rPr>
                <w:rFonts w:hint="eastAsia" w:ascii="Times New Roman" w:hAnsi="Times New Roman" w:eastAsia="宋体" w:cs="宋体"/>
                <w:color w:val="auto"/>
                <w:sz w:val="24"/>
                <w:szCs w:val="24"/>
                <w:highlight w:val="none"/>
              </w:rPr>
            </w:pPr>
          </w:p>
          <w:p w14:paraId="1489C9B7">
            <w:pPr>
              <w:tabs>
                <w:tab w:val="left" w:pos="3013"/>
              </w:tabs>
              <w:spacing w:before="101" w:line="219" w:lineRule="auto"/>
              <w:ind w:left="139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color="auto"/>
              </w:rPr>
              <w:tab/>
            </w:r>
            <w:r>
              <w:rPr>
                <w:rFonts w:hint="eastAsia" w:ascii="Times New Roman" w:hAnsi="Times New Roman" w:eastAsia="宋体" w:cs="宋体"/>
                <w:color w:val="auto"/>
                <w:spacing w:val="35"/>
                <w:sz w:val="24"/>
                <w:szCs w:val="24"/>
                <w:highlight w:val="none"/>
              </w:rPr>
              <w:t>元/m²/月</w:t>
            </w:r>
          </w:p>
        </w:tc>
      </w:tr>
      <w:tr w14:paraId="52A35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754" w:type="pct"/>
            <w:vAlign w:val="top"/>
          </w:tcPr>
          <w:p w14:paraId="457C91DE">
            <w:pPr>
              <w:spacing w:before="301" w:line="220" w:lineRule="auto"/>
              <w:ind w:left="118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10"/>
                <w:sz w:val="24"/>
                <w:szCs w:val="24"/>
                <w:highlight w:val="none"/>
              </w:rPr>
              <w:t>租期</w:t>
            </w:r>
          </w:p>
        </w:tc>
        <w:tc>
          <w:tcPr>
            <w:tcW w:w="3245" w:type="pct"/>
            <w:vAlign w:val="top"/>
          </w:tcPr>
          <w:p w14:paraId="4279F1B2">
            <w:pPr>
              <w:tabs>
                <w:tab w:val="left" w:pos="3263"/>
              </w:tabs>
              <w:spacing w:before="300" w:line="219" w:lineRule="auto"/>
              <w:ind w:left="201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color="auto"/>
              </w:rPr>
              <w:tab/>
            </w:r>
            <w:r>
              <w:rPr>
                <w:rFonts w:hint="eastAsia" w:ascii="Times New Roman" w:hAnsi="Times New Roman" w:eastAsia="宋体" w:cs="宋体"/>
                <w:color w:val="auto"/>
                <w:sz w:val="24"/>
                <w:szCs w:val="24"/>
                <w:highlight w:val="none"/>
              </w:rPr>
              <w:t>年</w:t>
            </w:r>
          </w:p>
        </w:tc>
      </w:tr>
      <w:tr w14:paraId="6BDB4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754" w:type="pct"/>
            <w:vAlign w:val="top"/>
          </w:tcPr>
          <w:p w14:paraId="6C5D151D">
            <w:pPr>
              <w:spacing w:before="321" w:line="219" w:lineRule="auto"/>
              <w:ind w:left="71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pacing w:val="2"/>
                <w:sz w:val="24"/>
                <w:szCs w:val="24"/>
                <w:highlight w:val="none"/>
              </w:rPr>
              <w:t>租金递增率</w:t>
            </w:r>
          </w:p>
        </w:tc>
        <w:tc>
          <w:tcPr>
            <w:tcW w:w="3245" w:type="pct"/>
            <w:vAlign w:val="top"/>
          </w:tcPr>
          <w:p w14:paraId="592ACD8A">
            <w:pPr>
              <w:pStyle w:val="14"/>
              <w:rPr>
                <w:rFonts w:hint="eastAsia" w:ascii="Times New Roman" w:hAnsi="Times New Roman" w:eastAsia="宋体" w:cs="宋体"/>
                <w:color w:val="auto"/>
                <w:sz w:val="24"/>
                <w:szCs w:val="24"/>
                <w:highlight w:val="none"/>
              </w:rPr>
            </w:pPr>
          </w:p>
        </w:tc>
      </w:tr>
    </w:tbl>
    <w:p w14:paraId="71C2A831">
      <w:pPr>
        <w:spacing w:line="360" w:lineRule="auto"/>
        <w:rPr>
          <w:rFonts w:hint="eastAsia" w:ascii="Times New Roman" w:hAnsi="Times New Roman" w:eastAsia="宋体" w:cs="宋体"/>
          <w:color w:val="auto"/>
          <w:sz w:val="24"/>
          <w:szCs w:val="24"/>
          <w:highlight w:val="none"/>
          <w:lang w:val="en-US" w:eastAsia="zh-CN"/>
        </w:rPr>
      </w:pPr>
    </w:p>
    <w:p w14:paraId="7D299327">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备注：各报价人严格根据招租方提供的上述清单格式进行报价。以上报价已包含增值税税款。</w:t>
      </w:r>
    </w:p>
    <w:p w14:paraId="380A9A46">
      <w:pPr>
        <w:spacing w:line="360" w:lineRule="auto"/>
        <w:jc w:val="both"/>
        <w:rPr>
          <w:rFonts w:hint="eastAsia" w:ascii="Times New Roman" w:hAnsi="Times New Roman" w:eastAsia="宋体" w:cs="宋体"/>
          <w:color w:val="auto"/>
          <w:sz w:val="24"/>
          <w:szCs w:val="24"/>
          <w:highlight w:val="none"/>
        </w:rPr>
      </w:pPr>
    </w:p>
    <w:p w14:paraId="371B9BF8">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意向方(盖章/签字):</w:t>
      </w:r>
    </w:p>
    <w:p w14:paraId="68AD8823">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法定代表人或委托代理人(签字):</w:t>
      </w:r>
    </w:p>
    <w:p w14:paraId="6B07EE66">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日 期 ：   年  月   日</w:t>
      </w:r>
    </w:p>
    <w:p w14:paraId="1CFDA96B">
      <w:pPr>
        <w:spacing w:line="360" w:lineRule="auto"/>
        <w:rPr>
          <w:rFonts w:hint="eastAsia" w:ascii="Times New Roman" w:hAnsi="Times New Roman" w:eastAsia="宋体" w:cs="宋体"/>
          <w:color w:val="auto"/>
          <w:sz w:val="24"/>
          <w:szCs w:val="24"/>
          <w:highlight w:val="none"/>
          <w:lang w:val="en-US" w:eastAsia="zh-CN"/>
        </w:rPr>
        <w:sectPr>
          <w:footerReference r:id="rId3" w:type="default"/>
          <w:pgSz w:w="11910" w:h="16850"/>
          <w:pgMar w:top="1440" w:right="1080" w:bottom="1440" w:left="1080" w:header="0" w:footer="0" w:gutter="0"/>
          <w:pgNumType w:fmt="decimal"/>
          <w:cols w:space="720" w:num="1"/>
        </w:sectPr>
      </w:pPr>
    </w:p>
    <w:p w14:paraId="2FFC9B72">
      <w:pPr>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附件材料二：</w:t>
      </w:r>
    </w:p>
    <w:p w14:paraId="5556A936">
      <w:pPr>
        <w:jc w:val="center"/>
        <w:rPr>
          <w:rFonts w:hint="eastAsia" w:ascii="Times New Roman" w:hAnsi="Times New Roman" w:eastAsia="宋体" w:cs="宋体"/>
          <w:b/>
          <w:bCs/>
          <w:color w:val="auto"/>
          <w:sz w:val="44"/>
          <w:szCs w:val="44"/>
          <w:highlight w:val="none"/>
          <w:lang w:val="en-US" w:eastAsia="zh-CN"/>
        </w:rPr>
      </w:pPr>
      <w:r>
        <w:rPr>
          <w:rFonts w:hint="eastAsia" w:ascii="Times New Roman" w:hAnsi="Times New Roman" w:eastAsia="宋体" w:cs="宋体"/>
          <w:b/>
          <w:bCs/>
          <w:color w:val="auto"/>
          <w:sz w:val="44"/>
          <w:szCs w:val="44"/>
          <w:highlight w:val="none"/>
          <w:lang w:val="en-US" w:eastAsia="zh-CN"/>
        </w:rPr>
        <w:t>投标承诺函</w:t>
      </w:r>
    </w:p>
    <w:p w14:paraId="4A17A31C">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lang w:val="en-US" w:eastAsia="zh-CN"/>
        </w:rPr>
        <w:t>公司：</w:t>
      </w:r>
    </w:p>
    <w:p w14:paraId="42676A80">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根据贵司发出的招租公告及其他相关文件，我方已经详细地阅读并清晰理解了全部招租公告及附件内容，并在此声明并承诺：</w:t>
      </w:r>
    </w:p>
    <w:p w14:paraId="4984FCC9">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一、我方完全理解并同意遵守招租公告及附件内容的各项规定和要求。</w:t>
      </w:r>
    </w:p>
    <w:p w14:paraId="7B3B42E3">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二、 我方完全理解和接受招租方公布的评审结果。</w:t>
      </w:r>
    </w:p>
    <w:p w14:paraId="4B952BD9">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三、我方承诺及声明，我方于本次招租项目递交的竞租文件所有内容及资料客观真实有效。我方提供的竞租资料对我方有约束力，我方不会反悔。</w:t>
      </w:r>
    </w:p>
    <w:p w14:paraId="50098830">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四 、我方完全承诺和同意，如成为承租候选人，将按竞租文件所列内容及条件按贵司制订的租赁合同的格式和内容与贵司签署订立合同。</w:t>
      </w:r>
    </w:p>
    <w:p w14:paraId="3EBBF8CB">
      <w:pPr>
        <w:spacing w:line="360" w:lineRule="auto"/>
        <w:rPr>
          <w:rFonts w:hint="eastAsia" w:ascii="Times New Roman" w:hAnsi="Times New Roman" w:eastAsia="宋体" w:cs="宋体"/>
          <w:color w:val="auto"/>
          <w:sz w:val="24"/>
          <w:szCs w:val="24"/>
          <w:highlight w:val="none"/>
          <w:lang w:val="en-US" w:eastAsia="zh-CN"/>
        </w:rPr>
      </w:pPr>
    </w:p>
    <w:p w14:paraId="501FD5DE">
      <w:pPr>
        <w:spacing w:line="360" w:lineRule="auto"/>
        <w:rPr>
          <w:rFonts w:hint="eastAsia" w:ascii="Times New Roman" w:hAnsi="Times New Roman" w:eastAsia="宋体" w:cs="宋体"/>
          <w:color w:val="auto"/>
          <w:sz w:val="24"/>
          <w:szCs w:val="24"/>
          <w:highlight w:val="none"/>
          <w:lang w:val="en-US" w:eastAsia="zh-CN"/>
        </w:rPr>
      </w:pPr>
    </w:p>
    <w:p w14:paraId="2974B379">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意向方(盖章/签字):</w:t>
      </w:r>
    </w:p>
    <w:p w14:paraId="356C4688">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法定代表人或委托代理人(签字):</w:t>
      </w:r>
    </w:p>
    <w:p w14:paraId="63A08D58">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日 期：   年    月    日</w:t>
      </w:r>
    </w:p>
    <w:p w14:paraId="3559B1FE">
      <w:pPr>
        <w:spacing w:line="360" w:lineRule="auto"/>
        <w:rPr>
          <w:rFonts w:hint="eastAsia" w:ascii="Times New Roman" w:hAnsi="Times New Roman" w:eastAsia="宋体" w:cs="宋体"/>
          <w:color w:val="auto"/>
          <w:sz w:val="24"/>
          <w:szCs w:val="24"/>
          <w:highlight w:val="none"/>
          <w:lang w:val="en-US" w:eastAsia="zh-CN"/>
        </w:rPr>
      </w:pPr>
    </w:p>
    <w:p w14:paraId="53B8AB64">
      <w:pPr>
        <w:spacing w:line="360" w:lineRule="auto"/>
        <w:rPr>
          <w:rFonts w:hint="eastAsia" w:ascii="Times New Roman" w:hAnsi="Times New Roman" w:eastAsia="宋体" w:cs="宋体"/>
          <w:color w:val="auto"/>
          <w:sz w:val="24"/>
          <w:szCs w:val="24"/>
          <w:highlight w:val="none"/>
          <w:lang w:val="en-US" w:eastAsia="zh-CN"/>
        </w:rPr>
      </w:pPr>
    </w:p>
    <w:p w14:paraId="7F9A19AA">
      <w:pPr>
        <w:rPr>
          <w:rFonts w:ascii="Times New Roman" w:hAnsi="Times New Roman"/>
          <w:color w:val="auto"/>
          <w:highlight w:val="none"/>
        </w:rPr>
      </w:pPr>
    </w:p>
    <w:sectPr>
      <w:headerReference r:id="rId4" w:type="default"/>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200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2C02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32C02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31FE">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3067A">
                          <w:pPr>
                            <w:pStyle w:val="5"/>
                            <w:jc w:val="cen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3067A">
                    <w:pPr>
                      <w:pStyle w:val="5"/>
                      <w:jc w:val="cen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5D0EB64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CBCC">
    <w:pPr>
      <w:jc w:val="right"/>
      <w:rPr>
        <w:rFonts w:ascii="华文中宋" w:hAnsi="华文中宋" w:eastAsia="华文中宋"/>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Dg1NDA4Mjc1NDQ5MWU2MGFhNzc2OTg5ZGJiZTgifQ=="/>
  </w:docVars>
  <w:rsids>
    <w:rsidRoot w:val="7B697784"/>
    <w:rsid w:val="012E2A11"/>
    <w:rsid w:val="02896CB0"/>
    <w:rsid w:val="06153410"/>
    <w:rsid w:val="08847658"/>
    <w:rsid w:val="09E32E3D"/>
    <w:rsid w:val="0AC534D0"/>
    <w:rsid w:val="0C6E110E"/>
    <w:rsid w:val="0C8421DE"/>
    <w:rsid w:val="101A2CB6"/>
    <w:rsid w:val="146D2C0E"/>
    <w:rsid w:val="178F42CB"/>
    <w:rsid w:val="18F57676"/>
    <w:rsid w:val="1CA879F8"/>
    <w:rsid w:val="1CC23D13"/>
    <w:rsid w:val="20E902AB"/>
    <w:rsid w:val="23A646C0"/>
    <w:rsid w:val="25787665"/>
    <w:rsid w:val="297F5466"/>
    <w:rsid w:val="2C8C5D24"/>
    <w:rsid w:val="2D86506C"/>
    <w:rsid w:val="2F7910B9"/>
    <w:rsid w:val="30A62006"/>
    <w:rsid w:val="32E671D0"/>
    <w:rsid w:val="34EA2495"/>
    <w:rsid w:val="35B07CC0"/>
    <w:rsid w:val="35C236B1"/>
    <w:rsid w:val="37103BA1"/>
    <w:rsid w:val="382722DE"/>
    <w:rsid w:val="385E68B9"/>
    <w:rsid w:val="3B64626A"/>
    <w:rsid w:val="40466E85"/>
    <w:rsid w:val="40CC6720"/>
    <w:rsid w:val="417A24AF"/>
    <w:rsid w:val="42B20683"/>
    <w:rsid w:val="46693733"/>
    <w:rsid w:val="47A520E4"/>
    <w:rsid w:val="49F20EE5"/>
    <w:rsid w:val="49FC25C6"/>
    <w:rsid w:val="4B240CB9"/>
    <w:rsid w:val="4B623F21"/>
    <w:rsid w:val="4DE872F4"/>
    <w:rsid w:val="4E85656D"/>
    <w:rsid w:val="4ED65C32"/>
    <w:rsid w:val="4FD94146"/>
    <w:rsid w:val="50E60A58"/>
    <w:rsid w:val="51F60245"/>
    <w:rsid w:val="52917486"/>
    <w:rsid w:val="5342015F"/>
    <w:rsid w:val="53566988"/>
    <w:rsid w:val="55DB679E"/>
    <w:rsid w:val="595C281E"/>
    <w:rsid w:val="59FE16A1"/>
    <w:rsid w:val="5B527DA9"/>
    <w:rsid w:val="5D83181D"/>
    <w:rsid w:val="5FE71205"/>
    <w:rsid w:val="5FF022BD"/>
    <w:rsid w:val="61906A75"/>
    <w:rsid w:val="61C46216"/>
    <w:rsid w:val="633B7582"/>
    <w:rsid w:val="68633281"/>
    <w:rsid w:val="6BCB5615"/>
    <w:rsid w:val="6C2044CD"/>
    <w:rsid w:val="6D231231"/>
    <w:rsid w:val="6D662BB7"/>
    <w:rsid w:val="6FF64384"/>
    <w:rsid w:val="716B764B"/>
    <w:rsid w:val="717A25E8"/>
    <w:rsid w:val="74014CAD"/>
    <w:rsid w:val="79EA09BC"/>
    <w:rsid w:val="7AF661D7"/>
    <w:rsid w:val="7B21471E"/>
    <w:rsid w:val="7B697784"/>
    <w:rsid w:val="7B9F686F"/>
    <w:rsid w:val="7C74308D"/>
    <w:rsid w:val="7D24624F"/>
    <w:rsid w:val="7E83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en-US" w:bidi="ar-SA"/>
    </w:rPr>
  </w:style>
  <w:style w:type="paragraph" w:styleId="2">
    <w:name w:val="heading 1"/>
    <w:basedOn w:val="1"/>
    <w:next w:val="1"/>
    <w:qFormat/>
    <w:uiPriority w:val="99"/>
    <w:pPr>
      <w:keepNext/>
      <w:spacing w:before="240" w:after="60"/>
      <w:outlineLvl w:val="0"/>
    </w:pPr>
    <w:rPr>
      <w:rFonts w:ascii="Cambria" w:hAnsi="Cambria"/>
      <w:b/>
      <w:bCs/>
      <w:kern w:val="3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99"/>
  </w:style>
  <w:style w:type="paragraph" w:styleId="4">
    <w:name w:val="Body Text Indent 2"/>
    <w:basedOn w:val="1"/>
    <w:qFormat/>
    <w:uiPriority w:val="99"/>
    <w:pPr>
      <w:spacing w:after="120" w:line="480" w:lineRule="auto"/>
      <w:ind w:left="420" w:leftChars="200"/>
    </w:p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annotation reference"/>
    <w:basedOn w:val="9"/>
    <w:qFormat/>
    <w:uiPriority w:val="99"/>
    <w:rPr>
      <w:rFonts w:cs="Times New Roman"/>
      <w:sz w:val="21"/>
      <w:szCs w:val="21"/>
    </w:rPr>
  </w:style>
  <w:style w:type="paragraph" w:customStyle="1" w:styleId="11">
    <w:name w:val="正文表格"/>
    <w:basedOn w:val="1"/>
    <w:autoRedefine/>
    <w:qFormat/>
    <w:uiPriority w:val="99"/>
    <w:pPr>
      <w:spacing w:before="60" w:after="60"/>
    </w:pPr>
  </w:style>
  <w:style w:type="paragraph" w:customStyle="1" w:styleId="12">
    <w:name w:val="1"/>
    <w:basedOn w:val="1"/>
    <w:next w:val="4"/>
    <w:autoRedefine/>
    <w:qFormat/>
    <w:uiPriority w:val="0"/>
    <w:pPr>
      <w:spacing w:before="60" w:after="60"/>
      <w:ind w:firstLine="425"/>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3219</Words>
  <Characters>3436</Characters>
  <Lines>0</Lines>
  <Paragraphs>0</Paragraphs>
  <TotalTime>6</TotalTime>
  <ScaleCrop>false</ScaleCrop>
  <LinksUpToDate>false</LinksUpToDate>
  <CharactersWithSpaces>3673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2024-05-10T08:53:00Z</dcterms:created>
  <dc:creator>luoq</dc:creator>
  <cp:lastModifiedBy>luoq</cp:lastModifiedBy>
  <dcterms:modified xsi:type="dcterms:W3CDTF">2025-11-28T08:28:21Z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75E67C7BCA44480EAD30FA20266BD723_11</vt:lpwstr>
  </property>
  <property fmtid="{D5CDD505-2E9C-101B-9397-08002B2CF9AE}" pid="4" name="KSOTemplateDocerSaveRecord">
    <vt:lpwstr>eyJoZGlkIjoiMjI5NDg1NDA4Mjc1NDQ5MWU2MGFhNzc2OTg5ZGJiZTgiLCJ1c2VySWQiOiIyMjc2Mjc3MDUifQ==</vt:lpwstr>
  </property>
</Properties>
</file>